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6F7" w:rsidRDefault="00F4537D">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DE7D2B3-12A5-4603-96E8-C8B3913E9634" style="width:451pt;height:416.45pt">
            <v:imagedata r:id="rId9" o:title=""/>
          </v:shape>
        </w:pict>
      </w:r>
    </w:p>
    <w:bookmarkEnd w:id="0"/>
    <w:p w:rsidR="003C16F7" w:rsidRDefault="003C16F7">
      <w:pPr>
        <w:rPr>
          <w:noProof/>
        </w:rPr>
        <w:sectPr w:rsidR="003C16F7">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3C16F7" w:rsidRDefault="00F4537D">
      <w:pPr>
        <w:spacing w:before="360" w:after="0" w:line="240" w:lineRule="auto"/>
        <w:jc w:val="center"/>
        <w:rPr>
          <w:rFonts w:ascii="Times New Roman" w:eastAsia="Times New Roman" w:hAnsi="Times New Roman"/>
          <w:b/>
          <w:noProof/>
          <w:sz w:val="24"/>
          <w:szCs w:val="24"/>
        </w:rPr>
      </w:pPr>
      <w:r>
        <w:rPr>
          <w:rFonts w:ascii="Times New Roman" w:hAnsi="Times New Roman"/>
          <w:b/>
          <w:noProof/>
          <w:sz w:val="24"/>
        </w:rPr>
        <w:lastRenderedPageBreak/>
        <w:t>COMUNICARE A COMISIEI CĂTRE PARLAMENTUL EUROPEAN, CONSILIU, COMITETUL ECONOMIC ȘI SOCIAL EUROPEAN ȘI COMITETUL REGIUNILOR</w:t>
      </w:r>
    </w:p>
    <w:p w:rsidR="003C16F7" w:rsidRDefault="00F4537D">
      <w:pPr>
        <w:spacing w:before="360" w:after="360" w:line="240" w:lineRule="auto"/>
        <w:jc w:val="center"/>
        <w:rPr>
          <w:rFonts w:ascii="Times New Roman" w:eastAsia="Times New Roman" w:hAnsi="Times New Roman"/>
          <w:b/>
          <w:noProof/>
          <w:sz w:val="24"/>
          <w:szCs w:val="24"/>
        </w:rPr>
      </w:pPr>
      <w:r>
        <w:rPr>
          <w:rFonts w:ascii="Times New Roman" w:hAnsi="Times New Roman"/>
          <w:b/>
          <w:noProof/>
          <w:sz w:val="24"/>
        </w:rPr>
        <w:t xml:space="preserve">cu privire la punerea în aplicare a pachetului de măsuri privind economia circulară:opțiuni pentru abordarea interfeței dintre legile privind substanțele chimice, produsele și deșeurile </w:t>
      </w:r>
    </w:p>
    <w:p w:rsidR="003C16F7" w:rsidRDefault="00F4537D">
      <w:pPr>
        <w:spacing w:before="360" w:after="240" w:line="240" w:lineRule="auto"/>
        <w:jc w:val="center"/>
        <w:rPr>
          <w:rFonts w:ascii="Times New Roman" w:eastAsia="Times New Roman" w:hAnsi="Times New Roman"/>
          <w:noProof/>
          <w:sz w:val="24"/>
          <w:szCs w:val="24"/>
        </w:rPr>
      </w:pPr>
      <w:r>
        <w:rPr>
          <w:rFonts w:ascii="Times New Roman" w:hAnsi="Times New Roman"/>
          <w:noProof/>
          <w:sz w:val="24"/>
        </w:rPr>
        <w:t xml:space="preserve"> (Text cu relevanță pentru SEE)</w:t>
      </w:r>
    </w:p>
    <w:p w:rsidR="003C16F7" w:rsidRDefault="00F4537D">
      <w:pPr>
        <w:pStyle w:val="ManualHeading1"/>
        <w:rPr>
          <w:noProof/>
        </w:rPr>
      </w:pPr>
      <w:r>
        <w:rPr>
          <w:noProof/>
        </w:rPr>
        <w:t>1.</w:t>
      </w:r>
      <w:r>
        <w:rPr>
          <w:noProof/>
        </w:rPr>
        <w:tab/>
        <w:t>Introducere</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În decembrie 2015, Com</w:t>
      </w:r>
      <w:r>
        <w:rPr>
          <w:rFonts w:ascii="Times New Roman" w:hAnsi="Times New Roman"/>
          <w:noProof/>
          <w:sz w:val="24"/>
        </w:rPr>
        <w:t xml:space="preserve">isia Europeană a adoptat un nou pachet ambițios de măsuri privind economia circulară pentru a ajuta întreprinderile și consumatorii din UE să realizeze tranziția către o economie mai puternică și mai circulară, în care resursele sunt utilizate într-un mod </w:t>
      </w:r>
      <w:r>
        <w:rPr>
          <w:rFonts w:ascii="Times New Roman" w:hAnsi="Times New Roman"/>
          <w:noProof/>
          <w:sz w:val="24"/>
        </w:rPr>
        <w:t>mai sustenabil.</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 xml:space="preserve">Acțiunile propuse au contribuit la „închiderea buclei” în ciclurile de viață ale produselor, prin intensificarea reciclării și a reutilizării, atât în beneficiul mediului, cât și al economiei. Scopul urmărit este de a se extrage valoarea maximă și de a se </w:t>
      </w:r>
      <w:r>
        <w:rPr>
          <w:rFonts w:ascii="Times New Roman" w:hAnsi="Times New Roman"/>
          <w:noProof/>
          <w:sz w:val="24"/>
        </w:rPr>
        <w:t xml:space="preserve">utiliza la maximum toate materiile prime, produsele și deșeurile, astfel încât să se stimuleze economia de energie și reducerea emisiilor de gaze cu efect de seră.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Prezența anumitor substanțe chimice pot fi un obstacol pentru reciclare și reutilizare. Une</w:t>
      </w:r>
      <w:r>
        <w:rPr>
          <w:rFonts w:ascii="Times New Roman" w:hAnsi="Times New Roman"/>
          <w:noProof/>
          <w:sz w:val="24"/>
        </w:rPr>
        <w:t>le substanțe chimice pot constitui, pur și simplu, obstacole tehnice care împiedică reciclarea. Chiar și o substanță inofensivă, care, de exemplu, are un miros puternic, ar putea, în unele cazuri, să împiedice utilizarea materialului reciclat</w:t>
      </w:r>
      <w:r>
        <w:rPr>
          <w:rStyle w:val="FootnoteReference"/>
          <w:rFonts w:ascii="Times New Roman" w:hAnsi="Times New Roman"/>
          <w:noProof/>
          <w:sz w:val="24"/>
        </w:rPr>
        <w:footnoteReference w:id="1"/>
      </w:r>
      <w:r>
        <w:rPr>
          <w:rFonts w:ascii="Times New Roman" w:hAnsi="Times New Roman"/>
          <w:noProof/>
          <w:sz w:val="24"/>
        </w:rPr>
        <w:t>. Alte substa</w:t>
      </w:r>
      <w:r>
        <w:rPr>
          <w:rFonts w:ascii="Times New Roman" w:hAnsi="Times New Roman"/>
          <w:noProof/>
          <w:sz w:val="24"/>
        </w:rPr>
        <w:t xml:space="preserve">nțe chimice sunt periculoase pentru oameni sau pentru mediu. Un număr din ce în ce mai mare de astfel de substanțe sunt în curs de identificare, urmând să facă obiectul unor restricții sau interdicții. Aceste substanțe chimice pot fi prezente în produsele </w:t>
      </w:r>
      <w:r>
        <w:rPr>
          <w:rFonts w:ascii="Times New Roman" w:hAnsi="Times New Roman"/>
          <w:noProof/>
          <w:sz w:val="24"/>
        </w:rPr>
        <w:t>vândute înainte de intrarea în vigoare a restricțiilor, unele dintre acestea având un ciclu de viață îndelungat și, prin urmare, substanțele chimice interzise pot fi găsite uneori în fluxurile de reciclare. Detectarea sau eliminarea unor astfel de substanț</w:t>
      </w:r>
      <w:r>
        <w:rPr>
          <w:rFonts w:ascii="Times New Roman" w:hAnsi="Times New Roman"/>
          <w:noProof/>
          <w:sz w:val="24"/>
        </w:rPr>
        <w:t>e poate fi costisitoare, ceea ce creează dificultăți, în special pentru operatorii mici care desfășoară activități de reciclare. În prezenta comunicare, toate aceste tipuri diferite de substanțe chimice sunt denumite „substanțe chimice care prezintă motive</w:t>
      </w:r>
      <w:r>
        <w:rPr>
          <w:rFonts w:ascii="Times New Roman" w:hAnsi="Times New Roman"/>
          <w:noProof/>
          <w:sz w:val="24"/>
        </w:rPr>
        <w:t xml:space="preserve"> de îngrijorare”.</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Comunicarea și documentul de lucru al serviciilor Comisiei însoțitor constituie rezultatul activității transversale dintre experții responsabili de diferite domenii legislative. De asemenea, în perioada 12 aprilie - 7 iulie 2017 s-a desfă</w:t>
      </w:r>
      <w:r>
        <w:rPr>
          <w:rFonts w:ascii="Times New Roman" w:hAnsi="Times New Roman"/>
          <w:noProof/>
          <w:sz w:val="24"/>
        </w:rPr>
        <w:t>ș</w:t>
      </w:r>
      <w:r>
        <w:rPr>
          <w:rFonts w:ascii="Times New Roman" w:hAnsi="Times New Roman"/>
          <w:noProof/>
          <w:sz w:val="24"/>
        </w:rPr>
        <w:t xml:space="preserve">urat o consultare amplă a părților interesate, deschisă pentru contribuții, la care au participat peste 100 de experți.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Comunicarea analizează cele patru aspecte esențiale care au reieșit din modul în care interacționează legile privind substanțele chimi</w:t>
      </w:r>
      <w:r>
        <w:rPr>
          <w:rFonts w:ascii="Times New Roman" w:hAnsi="Times New Roman"/>
          <w:noProof/>
          <w:sz w:val="24"/>
        </w:rPr>
        <w:t xml:space="preserve">ce, produsele și deșeurile, precum și modul în care acestea împiedică dezvoltarea unei economii circulare. În acest context, punem întrebări-cheie specifice cu privire la modul în care pot fi depășite aceste obstacole și prezentăm măsurile pe care Comisia </w:t>
      </w:r>
      <w:r>
        <w:rPr>
          <w:rFonts w:ascii="Times New Roman" w:hAnsi="Times New Roman"/>
          <w:noProof/>
          <w:sz w:val="24"/>
        </w:rPr>
        <w:t xml:space="preserve">intenționează deja să le pună în aplicare. În documentul de însoțire, </w:t>
      </w:r>
      <w:r>
        <w:rPr>
          <w:rFonts w:ascii="Times New Roman" w:hAnsi="Times New Roman"/>
          <w:noProof/>
          <w:sz w:val="24"/>
        </w:rPr>
        <w:lastRenderedPageBreak/>
        <w:t>serviciile Comisiei propun o analiză tehnică mai aprofundată a problemelor juridice și tehnice care trebuie să fie examinate și sugerează posibile opțiuni pentru depășirea lor.</w:t>
      </w:r>
    </w:p>
    <w:p w:rsidR="003C16F7" w:rsidRDefault="00F4537D">
      <w:pPr>
        <w:pStyle w:val="ManualHeading1"/>
        <w:rPr>
          <w:noProof/>
        </w:rPr>
      </w:pPr>
      <w:r>
        <w:rPr>
          <w:noProof/>
        </w:rPr>
        <w:t>2.</w:t>
      </w:r>
      <w:r>
        <w:rPr>
          <w:noProof/>
        </w:rPr>
        <w:tab/>
        <w:t xml:space="preserve">Ce ne </w:t>
      </w:r>
      <w:r>
        <w:rPr>
          <w:noProof/>
        </w:rPr>
        <w:t>propunem?</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Planul de acțiune privind economia circulară a stabilit următoarele două obiective:</w:t>
      </w:r>
    </w:p>
    <w:p w:rsidR="003C16F7" w:rsidRDefault="00F4537D">
      <w:pPr>
        <w:numPr>
          <w:ilvl w:val="0"/>
          <w:numId w:val="62"/>
        </w:numPr>
        <w:spacing w:before="120" w:after="120" w:line="240" w:lineRule="auto"/>
        <w:jc w:val="both"/>
        <w:rPr>
          <w:rFonts w:ascii="Times New Roman" w:hAnsi="Times New Roman"/>
          <w:noProof/>
          <w:sz w:val="24"/>
          <w:szCs w:val="24"/>
        </w:rPr>
      </w:pPr>
      <w:r>
        <w:rPr>
          <w:rFonts w:ascii="Times New Roman" w:hAnsi="Times New Roman"/>
          <w:noProof/>
          <w:sz w:val="24"/>
        </w:rPr>
        <w:t>facilitarea reciclării și creșterea gradului de utilizare a materiilor prime secundare prin limitarea constrângerilor inutile și prin facilitarea circulației tran</w:t>
      </w:r>
      <w:r>
        <w:rPr>
          <w:rFonts w:ascii="Times New Roman" w:hAnsi="Times New Roman"/>
          <w:noProof/>
          <w:sz w:val="24"/>
        </w:rPr>
        <w:t>sfrontaliere a materiilor prime secundare, astfel încât să se asigure că acestea pot fi comercializate cu ușurință în întreaga UE; și</w:t>
      </w:r>
    </w:p>
    <w:p w:rsidR="003C16F7" w:rsidRDefault="00F4537D">
      <w:pPr>
        <w:numPr>
          <w:ilvl w:val="0"/>
          <w:numId w:val="62"/>
        </w:numPr>
        <w:spacing w:before="120" w:after="120" w:line="240" w:lineRule="auto"/>
        <w:jc w:val="both"/>
        <w:rPr>
          <w:rFonts w:ascii="Times New Roman" w:hAnsi="Times New Roman"/>
          <w:noProof/>
          <w:sz w:val="24"/>
          <w:szCs w:val="24"/>
        </w:rPr>
      </w:pPr>
      <w:r>
        <w:rPr>
          <w:rFonts w:ascii="Times New Roman" w:hAnsi="Times New Roman"/>
          <w:noProof/>
          <w:sz w:val="24"/>
        </w:rPr>
        <w:t xml:space="preserve">înlocuirea substanțelor chimice care prezintă motive de îngrijorare și, acolo unde acest lucru nu este posibil, reducerea </w:t>
      </w:r>
      <w:r>
        <w:rPr>
          <w:rFonts w:ascii="Times New Roman" w:hAnsi="Times New Roman"/>
          <w:noProof/>
          <w:sz w:val="24"/>
        </w:rPr>
        <w:t xml:space="preserve">prezenței acestora și îmbunătățirea trasabilității lor.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Aceste două obiective, dintre care unul care decurge din politica privind deșeurile, iar celălalt din politica privind substanțele chimice, au fost percepute adeseori ca fiind antagonice, ceea ce a d</w:t>
      </w:r>
      <w:r>
        <w:rPr>
          <w:rFonts w:ascii="Times New Roman" w:hAnsi="Times New Roman"/>
          <w:noProof/>
          <w:sz w:val="24"/>
        </w:rPr>
        <w:t xml:space="preserve">at naștere unor afirmații conform cărora primul domeniu de politică împiedică realizarea obiectivelor celuilalt.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Obiectivul prezentei comunicări este de a promova o amplă dezbatere în cadrul Uniunii cu privire la modul în care pot fi abordate în mod satisfăcător elementele majore identificate la interfața dintre legile care reglementează substanțele chimice, produsel</w:t>
      </w:r>
      <w:r>
        <w:rPr>
          <w:rFonts w:ascii="Times New Roman" w:hAnsi="Times New Roman"/>
          <w:noProof/>
          <w:sz w:val="24"/>
        </w:rPr>
        <w:t xml:space="preserve">e și deșeurile. Soluțiile trebuie să țină seama de faptul că acesta este un domeniu de politică în care circumstanțele specifice - adesea regionale sau chiar locale - joacă un rol important.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În prezent suntem în căutarea unor soluții care să atragă spriji</w:t>
      </w:r>
      <w:r>
        <w:rPr>
          <w:rFonts w:ascii="Times New Roman" w:hAnsi="Times New Roman"/>
          <w:noProof/>
          <w:sz w:val="24"/>
        </w:rPr>
        <w:t xml:space="preserve">nul amplu al părților interesate implicate și care să fie aplicate la nivelul adecvat. Nu este necesar să existe un răspuns la nivelul Uniunii pentru toate aceste probleme, dacă soluțiile naționale sau locale ne vor ajuta să obținem rezultate mai bune. </w:t>
      </w:r>
    </w:p>
    <w:p w:rsidR="003C16F7" w:rsidRDefault="00F4537D">
      <w:pPr>
        <w:pStyle w:val="ManualHeading1"/>
        <w:rPr>
          <w:noProof/>
        </w:rPr>
      </w:pPr>
      <w:r>
        <w:rPr>
          <w:noProof/>
        </w:rPr>
        <w:t>3.</w:t>
      </w:r>
      <w:r>
        <w:rPr>
          <w:noProof/>
        </w:rPr>
        <w:tab/>
        <w:t>Patru probleme identificate</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Pe piața deschisă și competitivă a UE, firmele își produc bunurile pe baza materialelor pe care le consideră ca fiind cele mai potrivite pentru nevoile lor. Atunci când deșeurile au fost tratate pentru a fi reintroduse pe piață</w:t>
      </w:r>
      <w:r>
        <w:rPr>
          <w:rFonts w:ascii="Times New Roman" w:hAnsi="Times New Roman"/>
          <w:noProof/>
          <w:sz w:val="24"/>
        </w:rPr>
        <w:t xml:space="preserve">, aceste materiale recuperate se află în concurență directă cu materiile prime. Prin urmare, poziția concurențială pe piață a unui material recuperat, oricare ar fi acesta, este optimă atunci când este cât mai aproape posibil de materia primară în ceea ce </w:t>
      </w:r>
      <w:r>
        <w:rPr>
          <w:rFonts w:ascii="Times New Roman" w:hAnsi="Times New Roman"/>
          <w:noProof/>
          <w:sz w:val="24"/>
        </w:rPr>
        <w:t xml:space="preserve">privește performanța și calitatea. Acest lucru favorizează lărgirea gamei de utilizări a materialului recuperat.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Materialele recuperate conținând substanțe chimice care prezintă motive de îngrijorare nu pot fi preluate, deoarece utilizarea lor ar putea dă</w:t>
      </w:r>
      <w:r>
        <w:rPr>
          <w:rFonts w:ascii="Times New Roman" w:hAnsi="Times New Roman"/>
          <w:noProof/>
          <w:sz w:val="24"/>
        </w:rPr>
        <w:t>una, pur și simplu, imaginii produsului care conține materialul. Mai mult, în unele cazuri, este posibil să nu fie permisă reutilizarea acestor materiale, de exemplu, pentru producerea de noi materiale care vin în contact cu alimentele.</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 xml:space="preserve">Pentru a contribui </w:t>
      </w:r>
      <w:r>
        <w:rPr>
          <w:rFonts w:ascii="Times New Roman" w:hAnsi="Times New Roman"/>
          <w:noProof/>
          <w:sz w:val="24"/>
        </w:rPr>
        <w:t>la succesul Uniunii Europene în ceea ce privește sporirea la maximum a reciclării și reducerea la minimum a utilizării materiilor prime, am analizat cu atenție normele UE aplicabile gestionării deșeurilor, substanțelor chimice și produselor și am constatat</w:t>
      </w:r>
      <w:r>
        <w:rPr>
          <w:rFonts w:ascii="Times New Roman" w:hAnsi="Times New Roman"/>
          <w:noProof/>
          <w:sz w:val="24"/>
        </w:rPr>
        <w:t xml:space="preserve"> că la interfața dintre aceste norme se evidențiază patru aspecte principale. </w:t>
      </w:r>
    </w:p>
    <w:p w:rsidR="003C16F7" w:rsidRDefault="003C16F7">
      <w:pPr>
        <w:spacing w:before="120" w:after="120" w:line="240" w:lineRule="auto"/>
        <w:jc w:val="both"/>
        <w:rPr>
          <w:rFonts w:ascii="Times New Roman" w:hAnsi="Times New Roman"/>
          <w:noProof/>
          <w:sz w:val="24"/>
          <w:szCs w:val="24"/>
        </w:rPr>
      </w:pPr>
    </w:p>
    <w:p w:rsidR="003C16F7" w:rsidRDefault="00F4537D">
      <w:pPr>
        <w:pStyle w:val="ManualHeading2"/>
        <w:rPr>
          <w:noProof/>
        </w:rPr>
      </w:pPr>
      <w:r>
        <w:rPr>
          <w:noProof/>
        </w:rPr>
        <w:lastRenderedPageBreak/>
        <w:t>3.1.</w:t>
      </w:r>
      <w:r>
        <w:rPr>
          <w:noProof/>
        </w:rPr>
        <w:tab/>
        <w:t>Informațiile privind prezența substanțelor care prezintă motive de îngrijorare nu sunt ușor accesibile celor care gestionează deșeurile și le pregătesc pentru recuperare</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D</w:t>
      </w:r>
      <w:r>
        <w:rPr>
          <w:rFonts w:ascii="Times New Roman" w:hAnsi="Times New Roman"/>
          <w:noProof/>
          <w:sz w:val="24"/>
        </w:rPr>
        <w:t>eșeurile au adeseori în componența lor materiale diverse care au fost fabricate la momente diferite și care sunt conforme cu diferitele norme aplicabile produselor respective. De multe ori, companiile care gestionează deșeurile nu au acces la informații pr</w:t>
      </w:r>
      <w:r>
        <w:rPr>
          <w:rFonts w:ascii="Times New Roman" w:hAnsi="Times New Roman"/>
          <w:noProof/>
          <w:sz w:val="24"/>
        </w:rPr>
        <w:t>ivind compoziția bunurilor aruncate pe care le gestionează, deoarece informațiile nu există sau, dacă există, nu sunt disponibile la momentul la care bunul respectiv devine deșeu. Mai mult, materialele pot fi, de asemenea, afectate de contaminarea incident</w:t>
      </w:r>
      <w:r>
        <w:rPr>
          <w:rFonts w:ascii="Times New Roman" w:hAnsi="Times New Roman"/>
          <w:noProof/>
          <w:sz w:val="24"/>
        </w:rPr>
        <w:t xml:space="preserve">ală pe tot parcursul ciclului lor de viață.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C16F7">
        <w:tc>
          <w:tcPr>
            <w:tcW w:w="9242" w:type="dxa"/>
            <w:shd w:val="clear" w:color="auto" w:fill="auto"/>
          </w:tcPr>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u w:val="single"/>
              </w:rPr>
              <w:t>Exemplu:</w:t>
            </w:r>
            <w:r>
              <w:rPr>
                <w:rFonts w:ascii="Times New Roman" w:hAnsi="Times New Roman"/>
                <w:noProof/>
                <w:sz w:val="24"/>
              </w:rPr>
              <w:t xml:space="preserve"> Industria hârtiei face eforturi pentru a-și menține produsul în condiții de siguranță și ușor de reciclat. Atunci când hârtia este utilizată de întreprinderile prelucrătoare pentru fabricarea de produse</w:t>
            </w:r>
            <w:r>
              <w:rPr>
                <w:rFonts w:ascii="Times New Roman" w:hAnsi="Times New Roman"/>
                <w:noProof/>
                <w:sz w:val="24"/>
              </w:rPr>
              <w:t xml:space="preserve"> imprimate, pot fi adăugate cerneluri și alte materiale. Normele actuale nu permit fabricilor de reciclare a hârtiei să dispună de informații suficiente cu privire la substanțele chimice adăugate în etapele precedente al ciclurilor de viață. Acest lucru li</w:t>
            </w:r>
            <w:r>
              <w:rPr>
                <w:rFonts w:ascii="Times New Roman" w:hAnsi="Times New Roman"/>
                <w:noProof/>
                <w:sz w:val="24"/>
              </w:rPr>
              <w:t>mitează reciclarea hârtiei și determină o creștere a costurilor ca urmare a necesității de a se efectua controale și teste suplimentare</w:t>
            </w:r>
            <w:r>
              <w:rPr>
                <w:rStyle w:val="FootnoteReference"/>
                <w:rFonts w:ascii="Times New Roman" w:hAnsi="Times New Roman"/>
                <w:noProof/>
                <w:sz w:val="24"/>
              </w:rPr>
              <w:footnoteReference w:id="2"/>
            </w:r>
            <w:r>
              <w:rPr>
                <w:rFonts w:ascii="Times New Roman" w:hAnsi="Times New Roman"/>
                <w:noProof/>
                <w:sz w:val="24"/>
              </w:rPr>
              <w:t>. S-au constatat cazuri recente în care în produsele alimentare au fost găsite reziduuri de cerneală și uleiuri minerale</w:t>
            </w:r>
            <w:r>
              <w:rPr>
                <w:rFonts w:ascii="Times New Roman" w:hAnsi="Times New Roman"/>
                <w:noProof/>
                <w:sz w:val="24"/>
              </w:rPr>
              <w:t xml:space="preserve"> ca urmare a migrării acestora din ambalaje fabricate din hârtie și carton reciclate</w:t>
            </w:r>
            <w:r>
              <w:rPr>
                <w:rStyle w:val="FootnoteReference"/>
                <w:rFonts w:ascii="Times New Roman" w:hAnsi="Times New Roman"/>
                <w:noProof/>
                <w:sz w:val="24"/>
              </w:rPr>
              <w:footnoteReference w:id="3"/>
            </w:r>
            <w:r>
              <w:rPr>
                <w:rFonts w:ascii="Times New Roman" w:hAnsi="Times New Roman"/>
                <w:noProof/>
                <w:sz w:val="24"/>
              </w:rPr>
              <w:t xml:space="preserve">.  </w:t>
            </w:r>
          </w:p>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 plus, studiile efectuate de statele membre cu privire la deșeurile de echipamente electrice și electronice arată că numai în cazuri rare informațiile impuse de legi</w:t>
            </w:r>
            <w:r>
              <w:rPr>
                <w:rFonts w:ascii="Times New Roman" w:hAnsi="Times New Roman"/>
                <w:noProof/>
                <w:sz w:val="24"/>
              </w:rPr>
              <w:t>slația UE sunt transferate sau accesibile instalațiilor de tratare a deșeurilor</w:t>
            </w:r>
            <w:r>
              <w:rPr>
                <w:rStyle w:val="FootnoteReference"/>
                <w:rFonts w:ascii="Times New Roman" w:hAnsi="Times New Roman"/>
                <w:noProof/>
                <w:sz w:val="24"/>
              </w:rPr>
              <w:footnoteReference w:id="4"/>
            </w:r>
            <w:r>
              <w:rPr>
                <w:rFonts w:ascii="Times New Roman" w:hAnsi="Times New Roman"/>
                <w:noProof/>
                <w:sz w:val="24"/>
              </w:rPr>
              <w:t>.</w:t>
            </w:r>
          </w:p>
        </w:tc>
      </w:tr>
    </w:tbl>
    <w:p w:rsidR="003C16F7" w:rsidRDefault="003C16F7">
      <w:pPr>
        <w:spacing w:before="120" w:after="120" w:line="240" w:lineRule="auto"/>
        <w:jc w:val="both"/>
        <w:rPr>
          <w:rFonts w:ascii="Times New Roman" w:hAnsi="Times New Roman"/>
          <w:noProof/>
          <w:sz w:val="24"/>
          <w:szCs w:val="24"/>
        </w:rPr>
      </w:pPr>
    </w:p>
    <w:p w:rsidR="003C16F7" w:rsidRDefault="00F4537D">
      <w:pPr>
        <w:pStyle w:val="ManualHeading3"/>
        <w:rPr>
          <w:noProof/>
        </w:rPr>
      </w:pPr>
      <w:r>
        <w:t>3.1.1.</w:t>
      </w:r>
      <w:r>
        <w:tab/>
      </w:r>
      <w:r>
        <w:rPr>
          <w:noProof/>
        </w:rPr>
        <w:t>Obiectiv</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Trebuie să ne asigurăm că informațiile adecvate privind substanțele care prezintă motive de îngrijorare din produse sunt disponibile pentru toți actorii din</w:t>
      </w:r>
      <w:r>
        <w:rPr>
          <w:rFonts w:ascii="Times New Roman" w:hAnsi="Times New Roman"/>
          <w:noProof/>
          <w:sz w:val="24"/>
        </w:rPr>
        <w:t xml:space="preserve"> lanțul de aprovizionare și, în cele din urmă, devin disponibile și pentru operatorii care gestionează deșeurile. Acest lucru va contribui la promovarea ciclurilor de materiale netoxice și va îmbunătăți gestionarea riscurilor în timpul reparațiilor și al a</w:t>
      </w:r>
      <w:r>
        <w:rPr>
          <w:rFonts w:ascii="Times New Roman" w:hAnsi="Times New Roman"/>
          <w:noProof/>
          <w:sz w:val="24"/>
        </w:rPr>
        <w:t>ltor forme de reutilizare, precum și în procesele de recuperare a deșeurilor.</w:t>
      </w:r>
    </w:p>
    <w:p w:rsidR="00F4537D" w:rsidRPr="00F4537D" w:rsidRDefault="00F4537D" w:rsidP="00F4537D">
      <w:pPr>
        <w:pStyle w:val="ListParagraph"/>
        <w:keepNext/>
        <w:numPr>
          <w:ilvl w:val="0"/>
          <w:numId w:val="9"/>
        </w:numPr>
        <w:spacing w:before="360" w:after="120" w:line="240" w:lineRule="auto"/>
        <w:jc w:val="both"/>
        <w:outlineLvl w:val="0"/>
        <w:rPr>
          <w:rFonts w:ascii="Times New Roman" w:eastAsia="Times New Roman" w:hAnsi="Times New Roman"/>
          <w:b/>
          <w:bCs/>
          <w:smallCaps/>
          <w:noProof/>
          <w:vanish/>
          <w:sz w:val="24"/>
          <w:szCs w:val="32"/>
        </w:rPr>
      </w:pPr>
    </w:p>
    <w:p w:rsidR="00F4537D" w:rsidRPr="00F4537D" w:rsidRDefault="00F4537D" w:rsidP="00F4537D">
      <w:pPr>
        <w:pStyle w:val="ListParagraph"/>
        <w:keepNext/>
        <w:numPr>
          <w:ilvl w:val="0"/>
          <w:numId w:val="9"/>
        </w:numPr>
        <w:spacing w:before="360" w:after="120" w:line="240" w:lineRule="auto"/>
        <w:jc w:val="both"/>
        <w:outlineLvl w:val="0"/>
        <w:rPr>
          <w:rFonts w:ascii="Times New Roman" w:eastAsia="Times New Roman" w:hAnsi="Times New Roman"/>
          <w:b/>
          <w:bCs/>
          <w:smallCaps/>
          <w:noProof/>
          <w:vanish/>
          <w:sz w:val="24"/>
          <w:szCs w:val="32"/>
        </w:rPr>
      </w:pPr>
    </w:p>
    <w:p w:rsidR="00F4537D" w:rsidRPr="00F4537D" w:rsidRDefault="00F4537D" w:rsidP="00F4537D">
      <w:pPr>
        <w:pStyle w:val="ListParagraph"/>
        <w:keepNext/>
        <w:numPr>
          <w:ilvl w:val="0"/>
          <w:numId w:val="9"/>
        </w:numPr>
        <w:spacing w:before="360" w:after="120" w:line="240" w:lineRule="auto"/>
        <w:jc w:val="both"/>
        <w:outlineLvl w:val="0"/>
        <w:rPr>
          <w:rFonts w:ascii="Times New Roman" w:eastAsia="Times New Roman" w:hAnsi="Times New Roman"/>
          <w:b/>
          <w:bCs/>
          <w:smallCaps/>
          <w:noProof/>
          <w:vanish/>
          <w:sz w:val="24"/>
          <w:szCs w:val="32"/>
        </w:rPr>
      </w:pPr>
    </w:p>
    <w:p w:rsidR="00F4537D" w:rsidRPr="00F4537D" w:rsidRDefault="00F4537D" w:rsidP="00F4537D">
      <w:pPr>
        <w:pStyle w:val="ListParagraph"/>
        <w:keepNext/>
        <w:numPr>
          <w:ilvl w:val="1"/>
          <w:numId w:val="9"/>
        </w:numPr>
        <w:spacing w:before="120" w:after="120" w:line="240" w:lineRule="auto"/>
        <w:jc w:val="both"/>
        <w:outlineLvl w:val="1"/>
        <w:rPr>
          <w:rFonts w:ascii="Times New Roman" w:eastAsia="Times New Roman" w:hAnsi="Times New Roman"/>
          <w:b/>
          <w:bCs/>
          <w:iCs/>
          <w:noProof/>
          <w:vanish/>
          <w:sz w:val="24"/>
          <w:szCs w:val="28"/>
        </w:rPr>
      </w:pPr>
    </w:p>
    <w:p w:rsidR="00F4537D" w:rsidRPr="00F4537D" w:rsidRDefault="00F4537D" w:rsidP="00F4537D">
      <w:pPr>
        <w:pStyle w:val="ListParagraph"/>
        <w:keepNext/>
        <w:numPr>
          <w:ilvl w:val="2"/>
          <w:numId w:val="9"/>
        </w:numPr>
        <w:spacing w:before="120" w:after="120" w:line="240" w:lineRule="auto"/>
        <w:jc w:val="both"/>
        <w:outlineLvl w:val="2"/>
        <w:rPr>
          <w:rFonts w:ascii="Times New Roman" w:eastAsia="Times New Roman" w:hAnsi="Times New Roman"/>
          <w:bCs/>
          <w:i/>
          <w:noProof/>
          <w:vanish/>
          <w:sz w:val="24"/>
          <w:szCs w:val="26"/>
        </w:rPr>
      </w:pPr>
    </w:p>
    <w:p w:rsidR="003C16F7" w:rsidRDefault="00F4537D" w:rsidP="00F4537D">
      <w:pPr>
        <w:pStyle w:val="Heading3"/>
        <w:rPr>
          <w:noProof/>
        </w:rPr>
      </w:pPr>
      <w:r>
        <w:rPr>
          <w:noProof/>
        </w:rPr>
        <w:t>Acțiuni planificate</w:t>
      </w:r>
    </w:p>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 paralel cu această consultare vom îmbunătăți baza de elemente factuale - prin lansarea unui studiu de fezabilitate care va viza sectoarele reprezentative -</w:t>
      </w:r>
      <w:r>
        <w:rPr>
          <w:rFonts w:ascii="Times New Roman" w:hAnsi="Times New Roman"/>
          <w:noProof/>
          <w:sz w:val="24"/>
        </w:rPr>
        <w:t xml:space="preserve"> privind utilizarea diferitelor sisteme de informare, tehnologii inovatoare și strategii în materie de trasabilitate care ar putea facilita circulația informațiilor pertinente de-a lungul lanțurilor de aprovizionare cu articole și comunicarea lor către înt</w:t>
      </w:r>
      <w:r>
        <w:rPr>
          <w:rFonts w:ascii="Times New Roman" w:hAnsi="Times New Roman"/>
          <w:noProof/>
          <w:sz w:val="24"/>
        </w:rPr>
        <w:t>reprinderile de reciclare. Se preconizează ca acest studiu să fie finalizat până la sfârșitul anului 2019. Alte activități planificate includ elaborarea unor proceduri de lucru care să garanteze că articolele importate nu conțin substanțe care nu sunt auto</w:t>
      </w:r>
      <w:r>
        <w:rPr>
          <w:rFonts w:ascii="Times New Roman" w:hAnsi="Times New Roman"/>
          <w:noProof/>
          <w:sz w:val="24"/>
        </w:rPr>
        <w:t>rizate în UE pentru a fi utilizate la fabricarea articolelor, precum și proceduri simplificate de restricționare a substanțelor CPMI</w:t>
      </w:r>
      <w:r>
        <w:rPr>
          <w:rStyle w:val="FootnoteReference"/>
          <w:rFonts w:ascii="Times New Roman" w:hAnsi="Times New Roman"/>
          <w:noProof/>
          <w:sz w:val="24"/>
        </w:rPr>
        <w:footnoteReference w:id="5"/>
      </w:r>
      <w:r>
        <w:rPr>
          <w:rFonts w:ascii="Times New Roman" w:hAnsi="Times New Roman"/>
          <w:noProof/>
          <w:sz w:val="24"/>
        </w:rPr>
        <w:t xml:space="preserve"> în articolele de consum. </w:t>
      </w:r>
    </w:p>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C16F7">
        <w:tc>
          <w:tcPr>
            <w:tcW w:w="9242" w:type="dxa"/>
            <w:shd w:val="clear" w:color="auto" w:fill="auto"/>
          </w:tcPr>
          <w:p w:rsidR="003C16F7" w:rsidRDefault="00F4537D">
            <w:pPr>
              <w:spacing w:before="120" w:after="120" w:line="240" w:lineRule="auto"/>
              <w:jc w:val="both"/>
              <w:rPr>
                <w:rFonts w:ascii="Times New Roman" w:hAnsi="Times New Roman"/>
                <w:b/>
                <w:noProof/>
                <w:sz w:val="24"/>
                <w:szCs w:val="24"/>
              </w:rPr>
            </w:pPr>
            <w:bookmarkStart w:id="1" w:name="_GoBack" w:colFirst="1" w:colLast="1"/>
            <w:r>
              <w:rPr>
                <w:rFonts w:ascii="Times New Roman" w:hAnsi="Times New Roman"/>
                <w:b/>
                <w:noProof/>
                <w:sz w:val="24"/>
              </w:rPr>
              <w:t xml:space="preserve">Întrebări: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 xml:space="preserve">Care ar fi valoarea adăugată a creării unui sistem de informare obligatoriu în Uniune care să informeze întreprinderile care gestionează și recuperează deșeurile cu privire la prezența substanțelor chimice care prezintă motive de îngrijorare?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Cum ar trebu</w:t>
            </w:r>
            <w:r>
              <w:rPr>
                <w:rFonts w:ascii="Times New Roman" w:hAnsi="Times New Roman"/>
                <w:noProof/>
                <w:sz w:val="24"/>
              </w:rPr>
              <w:t>i să gestionăm bunurile importate în Uniune?</w:t>
            </w:r>
          </w:p>
        </w:tc>
      </w:tr>
    </w:tbl>
    <w:bookmarkEnd w:id="1"/>
    <w:p w:rsidR="003C16F7" w:rsidRDefault="00F4537D">
      <w:pPr>
        <w:pStyle w:val="ManualHeading2"/>
        <w:rPr>
          <w:noProof/>
        </w:rPr>
      </w:pPr>
      <w:r>
        <w:rPr>
          <w:noProof/>
        </w:rPr>
        <w:t>3.2.</w:t>
      </w:r>
      <w:r>
        <w:rPr>
          <w:noProof/>
        </w:rPr>
        <w:tab/>
        <w:t>Deșeurile pot conține substanțe care nu mai sunt permise în produsele noi</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Pe piață sunt introduse în permanență substanțe chimice noi, în timp ce altele sunt interzise atunci când se constată că acestea re</w:t>
      </w:r>
      <w:r>
        <w:rPr>
          <w:rFonts w:ascii="Times New Roman" w:hAnsi="Times New Roman"/>
          <w:noProof/>
          <w:sz w:val="24"/>
        </w:rPr>
        <w:t>prezintă un risc.</w:t>
      </w:r>
      <w:r>
        <w:rPr>
          <w:rFonts w:ascii="Times New Roman" w:hAnsi="Times New Roman"/>
          <w:noProof/>
          <w:sz w:val="24"/>
          <w:szCs w:val="24"/>
        </w:rPr>
        <w:br/>
      </w:r>
      <w:r>
        <w:rPr>
          <w:rFonts w:ascii="Times New Roman" w:hAnsi="Times New Roman"/>
          <w:noProof/>
          <w:sz w:val="24"/>
        </w:rPr>
        <w:t xml:space="preserve"> Acest proces continuu implică faptul că, în prezent, produsele fabricate legal pot conține o substanță care mai târziu poate fi interzisă. Atunci când produsul devine deșeu și apoi este recuperat, este posibil ca substanța interzisă să f</w:t>
      </w:r>
      <w:r>
        <w:rPr>
          <w:rFonts w:ascii="Times New Roman" w:hAnsi="Times New Roman"/>
          <w:noProof/>
          <w:sz w:val="24"/>
        </w:rPr>
        <w:t>ie prezentă în continuare în materialul recuperat. Aceasta este ceea ce numim problema substanțelor „moștenite”.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C16F7">
        <w:tc>
          <w:tcPr>
            <w:tcW w:w="9242" w:type="dxa"/>
            <w:shd w:val="clear" w:color="auto" w:fill="auto"/>
          </w:tcPr>
          <w:p w:rsidR="003C16F7" w:rsidRDefault="00F4537D">
            <w:pPr>
              <w:spacing w:before="120" w:after="120" w:line="240" w:lineRule="auto"/>
              <w:jc w:val="both"/>
              <w:rPr>
                <w:rFonts w:ascii="Times New Roman" w:eastAsia="Times New Roman" w:hAnsi="Times New Roman"/>
                <w:b/>
                <w:noProof/>
                <w:sz w:val="24"/>
                <w:szCs w:val="24"/>
              </w:rPr>
            </w:pPr>
            <w:r>
              <w:rPr>
                <w:rFonts w:ascii="Times New Roman" w:hAnsi="Times New Roman"/>
                <w:noProof/>
                <w:sz w:val="24"/>
              </w:rPr>
              <w:t>Exemplu: Există multiple exemple de probleme legate de „substanțele moștenite”. De exemplu, au fost raportate anumite substanțe ignifuge bromur</w:t>
            </w:r>
            <w:r>
              <w:rPr>
                <w:rFonts w:ascii="Times New Roman" w:hAnsi="Times New Roman"/>
                <w:noProof/>
                <w:sz w:val="24"/>
              </w:rPr>
              <w:t>ate, care sunt persistente, bioacumulative și toxice, identificate în produsele din plastic reciclat, inclusiv în jucării și în ustensile de bucătărie</w:t>
            </w:r>
            <w:r>
              <w:rPr>
                <w:rStyle w:val="FootnoteReference"/>
                <w:rFonts w:ascii="Times New Roman" w:hAnsi="Times New Roman"/>
                <w:noProof/>
                <w:sz w:val="24"/>
              </w:rPr>
              <w:footnoteReference w:id="6"/>
            </w:r>
            <w:r>
              <w:rPr>
                <w:rFonts w:ascii="Times New Roman" w:hAnsi="Times New Roman"/>
                <w:noProof/>
                <w:sz w:val="24"/>
              </w:rPr>
              <w:t>. Într-un alt caz, utilizarea anumitor substanțe care au fost inițial adăugate la PVC pentru a-i spori fl</w:t>
            </w:r>
            <w:r>
              <w:rPr>
                <w:rFonts w:ascii="Times New Roman" w:hAnsi="Times New Roman"/>
                <w:noProof/>
                <w:sz w:val="24"/>
              </w:rPr>
              <w:t xml:space="preserve">exibilitatea este în prezent reglementată, ceea ce înseamnă că PVC-ul reciclat care conține aceste substanțe în cantități care depășesc anumite limite nu trebuie să fie utilizat sau comercializat în UE. </w:t>
            </w:r>
          </w:p>
        </w:tc>
      </w:tr>
    </w:tbl>
    <w:p w:rsidR="003C16F7" w:rsidRDefault="00F4537D">
      <w:pPr>
        <w:pStyle w:val="ManualHeading3"/>
        <w:rPr>
          <w:noProof/>
        </w:rPr>
      </w:pPr>
      <w:r>
        <w:rPr>
          <w:noProof/>
        </w:rPr>
        <w:t>3.2.1.</w:t>
      </w:r>
      <w:r>
        <w:rPr>
          <w:noProof/>
        </w:rPr>
        <w:tab/>
        <w:t>Obiectiv</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Trebuie să facilităm reciclarea și să încurajăm utilizarea materiilor prime secundare prin promovarea unor cicluri de materiale netoxice. În plus, atunci când luăm în considerare posibilele restricții privind substanțele chimice și derogările de la restric</w:t>
      </w:r>
      <w:r>
        <w:rPr>
          <w:rFonts w:ascii="Times New Roman" w:hAnsi="Times New Roman"/>
          <w:noProof/>
          <w:sz w:val="24"/>
        </w:rPr>
        <w:t>ț</w:t>
      </w:r>
      <w:r>
        <w:rPr>
          <w:rFonts w:ascii="Times New Roman" w:hAnsi="Times New Roman"/>
          <w:noProof/>
          <w:sz w:val="24"/>
        </w:rPr>
        <w:t xml:space="preserve">ii, trebuie să acordăm mai multă atenție impactului acestora asupra reciclării și reutilizării lor viitoare. </w:t>
      </w:r>
    </w:p>
    <w:p w:rsidR="003C16F7" w:rsidRDefault="00F4537D">
      <w:pPr>
        <w:pStyle w:val="ManualHeading3"/>
        <w:rPr>
          <w:noProof/>
        </w:rPr>
      </w:pPr>
      <w:r>
        <w:rPr>
          <w:noProof/>
        </w:rPr>
        <w:t>3.2.2.</w:t>
      </w:r>
      <w:r>
        <w:rPr>
          <w:noProof/>
        </w:rPr>
        <w:tab/>
        <w:t>Acțiuni planificate</w:t>
      </w:r>
    </w:p>
    <w:p w:rsidR="003C16F7" w:rsidRDefault="00F4537D">
      <w:pPr>
        <w:pStyle w:val="Text1"/>
        <w:ind w:left="0"/>
        <w:rPr>
          <w:noProof/>
        </w:rPr>
      </w:pPr>
      <w:r>
        <w:rPr>
          <w:noProof/>
        </w:rPr>
        <w:t>Problema substanțelor moștenite va continua să constituie un obstacol pentru economia circulară și, prin urmare, vom l</w:t>
      </w:r>
      <w:r>
        <w:rPr>
          <w:noProof/>
        </w:rPr>
        <w:t>ua măsuri pentru a elabora o metodologie specifică de luare a deciziilor, astfel încât să facilităm adoptarea deciziilor cu privire la posibilitatea de a se recicla deșeurile care conțin substanțe care prezintă motive de îngrijorare. Această metodologie va</w:t>
      </w:r>
      <w:r>
        <w:rPr>
          <w:noProof/>
        </w:rPr>
        <w:t xml:space="preserve"> lua în considerare raportul global dintre costuri și beneficii al reciclării unui material prin comparație cu eliminarea acestuia (inclusiv prin incinerare cu recuperare de energie). Preconizăm să finalizăm această activitate până la mijlocul anului 2019.</w:t>
      </w:r>
      <w:r>
        <w:rPr>
          <w:noProof/>
        </w:rPr>
        <w:t xml:space="preserve"> </w:t>
      </w:r>
    </w:p>
    <w:p w:rsidR="003C16F7" w:rsidRDefault="00F4537D">
      <w:pPr>
        <w:pStyle w:val="Text1"/>
        <w:ind w:left="0"/>
        <w:rPr>
          <w:noProof/>
        </w:rPr>
      </w:pPr>
      <w:r>
        <w:rPr>
          <w:noProof/>
        </w:rPr>
        <w:t>De asemenea, constatăm că este necesar să se elaboreze orientări pentru a ne asigura că prezența substanțelor care prezintă motive de îngrijorare identificate în materialele recuperate este abordată mai bine în primele etape de elaborare a propunerilor d</w:t>
      </w:r>
      <w:r>
        <w:rPr>
          <w:noProof/>
        </w:rPr>
        <w:t>e gestionare a riscului legate de substanțele care prezintă motive de îngrijorare.</w:t>
      </w:r>
    </w:p>
    <w:p w:rsidR="003C16F7" w:rsidRDefault="00F4537D">
      <w:pPr>
        <w:pStyle w:val="Text1"/>
        <w:ind w:left="0"/>
        <w:rPr>
          <w:noProof/>
        </w:rPr>
      </w:pPr>
      <w:r>
        <w:rPr>
          <w:noProof/>
        </w:rPr>
        <w:t>În fine, intenționăm să elaborăm o legislație de punere în aplicare, de natură să permită un control eficace al utilizării derogării prevăzute în dispozițiile privind înregi</w:t>
      </w:r>
      <w:r>
        <w:rPr>
          <w:noProof/>
        </w:rPr>
        <w:t>strarea REACH în cazul substanțelor recuperate.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C16F7">
        <w:tc>
          <w:tcPr>
            <w:tcW w:w="9242" w:type="dxa"/>
            <w:shd w:val="clear" w:color="auto" w:fill="auto"/>
          </w:tcPr>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Întrebări: </w:t>
            </w:r>
          </w:p>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Cum reconciliem ideea că deșeurile reprezintă o resursă pe care ar trebui să o reciclăm și, în același timp, să ne asigurăm că deșeurile care conțin substanțe care prezintă motive de îngrijorare s</w:t>
            </w:r>
            <w:r>
              <w:rPr>
                <w:rFonts w:ascii="Times New Roman" w:hAnsi="Times New Roman"/>
                <w:noProof/>
                <w:sz w:val="24"/>
              </w:rPr>
              <w:t>unt recuperate exclusiv pentru producerea de materiale care pot fi utilizate în condiții de siguranță?</w:t>
            </w:r>
          </w:p>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Ar trebui să permitem ca materialele reciclate să conțină substanțe chimice care nu mai sunt permise în materiile prime? În caz afirmativ, în ce condiții</w:t>
            </w:r>
            <w:r>
              <w:rPr>
                <w:rFonts w:ascii="Times New Roman" w:hAnsi="Times New Roman"/>
                <w:noProof/>
                <w:sz w:val="24"/>
              </w:rPr>
              <w:t>?</w:t>
            </w:r>
          </w:p>
        </w:tc>
      </w:tr>
    </w:tbl>
    <w:p w:rsidR="003C16F7" w:rsidRDefault="00F4537D">
      <w:pPr>
        <w:pStyle w:val="ManualHeading2"/>
        <w:rPr>
          <w:noProof/>
        </w:rPr>
      </w:pPr>
      <w:r>
        <w:rPr>
          <w:noProof/>
        </w:rPr>
        <w:t>3.3.</w:t>
      </w:r>
      <w:r>
        <w:rPr>
          <w:noProof/>
        </w:rPr>
        <w:tab/>
        <w:t xml:space="preserve">Normele UE privind încetarea statutului de deșeu nu sunt pe deplin armonizate, ceea ce face ca modul în care deșeul ajunge material nou și produs să fie incert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Normele noastre, jurisprudența și anii de experiență stabilesc stadiul în care un produ</w:t>
      </w:r>
      <w:r>
        <w:rPr>
          <w:rFonts w:ascii="Times New Roman" w:hAnsi="Times New Roman"/>
          <w:noProof/>
          <w:sz w:val="24"/>
        </w:rPr>
        <w:t>s nu mai este produs și devine deșeu. Atunci când are loc acest lucru, se aplică legislația UE privind deșeurile. Normele UE privind deșeurile sunt stricte, în scopul de a se proteja sănătatea umană și mediul. În cadrul unei economii circulare, materialele</w:t>
      </w:r>
      <w:r>
        <w:rPr>
          <w:rFonts w:ascii="Times New Roman" w:hAnsi="Times New Roman"/>
          <w:noProof/>
          <w:sz w:val="24"/>
        </w:rPr>
        <w:t xml:space="preserve"> ar trebui să rămână doar temporar în faza de deșeuri, având în vedere că acestea trebuie să fie recuperate pentru a fi reintroduse în economie pentru a înlocui materiile prime. În majoritatea cazurilor, pentru a reuși acest lucru, materialele care au fost</w:t>
      </w:r>
      <w:r>
        <w:rPr>
          <w:rFonts w:ascii="Times New Roman" w:hAnsi="Times New Roman"/>
          <w:noProof/>
          <w:sz w:val="24"/>
        </w:rPr>
        <w:t xml:space="preserve"> reciclate nu mai trebuie să fie considerate deșeuri.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Pentru ca deșeurile să înceteze să mai fie deșeuri, acestea trebuie să îndeplinească așa-numitele „criterii privind încetarea statutului de deșeu”. Pentru anumite fluxuri de deșeuri, astfel de criterii</w:t>
      </w:r>
      <w:r>
        <w:rPr>
          <w:rFonts w:ascii="Times New Roman" w:hAnsi="Times New Roman"/>
          <w:noProof/>
          <w:sz w:val="24"/>
        </w:rPr>
        <w:t xml:space="preserve"> au fost stabilite la nivelul UE sau la nivel național. Totuși, lipsesc limitele domeniului de aplicare al acestor norme și claritatea cu privire la modul în care funcționează. Complexitatea fluxurilor de deșeuri, a proceselor de recuperare și a materialel</w:t>
      </w:r>
      <w:r>
        <w:rPr>
          <w:rFonts w:ascii="Times New Roman" w:hAnsi="Times New Roman"/>
          <w:noProof/>
          <w:sz w:val="24"/>
        </w:rPr>
        <w:t>or recuperate înseamnă că criteriile privind încetarea statutului de deșeu, care se aplică fluxurilor de deșeuri întregi, nu sunt ușor de stabilit. În consecință, multe materiale recuperate sunt comercializate și utilizate în absența unor criterii stabilit</w:t>
      </w:r>
      <w:r>
        <w:rPr>
          <w:rFonts w:ascii="Times New Roman" w:hAnsi="Times New Roman"/>
          <w:noProof/>
          <w:sz w:val="24"/>
        </w:rPr>
        <w:t>e privind încetarea statutului de deșeuri și, prin urmare, în condiții juridice neclare și fără transparență.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C16F7">
        <w:tc>
          <w:tcPr>
            <w:tcW w:w="9242" w:type="dxa"/>
            <w:shd w:val="clear" w:color="auto" w:fill="auto"/>
          </w:tcPr>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u w:val="single"/>
              </w:rPr>
              <w:t>Exemplu:</w:t>
            </w:r>
            <w:r>
              <w:rPr>
                <w:rFonts w:ascii="Times New Roman" w:hAnsi="Times New Roman"/>
                <w:noProof/>
                <w:sz w:val="24"/>
              </w:rPr>
              <w:t xml:space="preserve"> În consultarea vizată, industria metalurgică și cea a energiei electrice au raportat dificultăți de a alege între statutul de deșeu sau d</w:t>
            </w:r>
            <w:r>
              <w:rPr>
                <w:rFonts w:ascii="Times New Roman" w:hAnsi="Times New Roman"/>
                <w:noProof/>
                <w:sz w:val="24"/>
              </w:rPr>
              <w:t>e produs al materialelor precum cenușa de cărbune, zgurile de cupru sau zgurile de feromolibden. Se aplică criterii diferite între statele membre și chiar de la o regiune la alta, ceea ce creează probleme pentru transportul transfrontalier al acestor mater</w:t>
            </w:r>
            <w:r>
              <w:rPr>
                <w:rFonts w:ascii="Times New Roman" w:hAnsi="Times New Roman"/>
                <w:noProof/>
                <w:sz w:val="24"/>
              </w:rPr>
              <w:t>iale și, uneori, face imposibilă extragerea resurselor utile din aceste materiale, unele dintre ele fiind deșeuri produse în cantități de milioane de tone pe an</w:t>
            </w:r>
            <w:r>
              <w:rPr>
                <w:rStyle w:val="FootnoteReference"/>
                <w:rFonts w:ascii="Times New Roman" w:hAnsi="Times New Roman"/>
                <w:noProof/>
                <w:sz w:val="24"/>
              </w:rPr>
              <w:footnoteReference w:id="7"/>
            </w:r>
            <w:r>
              <w:rPr>
                <w:rFonts w:ascii="Times New Roman" w:hAnsi="Times New Roman"/>
                <w:noProof/>
                <w:sz w:val="24"/>
              </w:rPr>
              <w:t xml:space="preserve">.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Incertitudinile cu privire la statutul de deșeu sau de produs al unui material sunt, de asem</w:t>
            </w:r>
            <w:r>
              <w:rPr>
                <w:rFonts w:ascii="Times New Roman" w:hAnsi="Times New Roman"/>
                <w:noProof/>
                <w:sz w:val="24"/>
              </w:rPr>
              <w:t>enea, o problemă pentru autorități, care întâmpină adesea dificultăți în a stabili dacă se aplică legislația privind deșeurile sau cea privind produsele. Această situație apare, de exemplu, atunci când trebuie să se decidă dacă PVC-ul reciclat care conține</w:t>
            </w:r>
            <w:r>
              <w:rPr>
                <w:rFonts w:ascii="Times New Roman" w:hAnsi="Times New Roman"/>
                <w:noProof/>
                <w:sz w:val="24"/>
              </w:rPr>
              <w:t xml:space="preserve"> DEHF (dietilhexilftalat) ar trebui să fie considerat în continuare deșeu ori dacă ar trebui să fie tratat ca produs.</w:t>
            </w:r>
          </w:p>
        </w:tc>
      </w:tr>
    </w:tbl>
    <w:p w:rsidR="003C16F7" w:rsidRDefault="00F4537D">
      <w:pPr>
        <w:pStyle w:val="ManualHeading3"/>
        <w:rPr>
          <w:noProof/>
        </w:rPr>
      </w:pPr>
      <w:r>
        <w:rPr>
          <w:noProof/>
        </w:rPr>
        <w:t>3.3.1.</w:t>
      </w:r>
      <w:r>
        <w:rPr>
          <w:noProof/>
        </w:rPr>
        <w:tab/>
        <w:t>Obiectiv</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 xml:space="preserve">Trebuie să asigurăm o interpretare și o aplicare mai armonizate a normelor privind încetarea statutului de deșeu în UE, în scopul de a se facilita în continuare utilizarea materialelor recuperate în cadrul UE. </w:t>
      </w:r>
    </w:p>
    <w:p w:rsidR="003C16F7" w:rsidRDefault="00F4537D">
      <w:pPr>
        <w:pStyle w:val="ManualHeading3"/>
        <w:rPr>
          <w:noProof/>
        </w:rPr>
      </w:pPr>
      <w:r>
        <w:rPr>
          <w:noProof/>
        </w:rPr>
        <w:t>3.3.2.</w:t>
      </w:r>
      <w:r>
        <w:rPr>
          <w:noProof/>
        </w:rPr>
        <w:tab/>
        <w:t>Acțiuni planificate</w:t>
      </w:r>
    </w:p>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Comisia va încuraj</w:t>
      </w:r>
      <w:r>
        <w:rPr>
          <w:rFonts w:ascii="Times New Roman" w:hAnsi="Times New Roman"/>
          <w:noProof/>
          <w:sz w:val="24"/>
        </w:rPr>
        <w:t>a o cooperare mai strânsă între rețelele existente de experți în domeniul gestionării substanțelor chimice și al deșeurilor și va crea un registru on-line al UE pentru toate criteriile adoptate la nivel național și la nivelul UE privind încetarea statutulu</w:t>
      </w:r>
      <w:r>
        <w:rPr>
          <w:rFonts w:ascii="Times New Roman" w:hAnsi="Times New Roman"/>
          <w:noProof/>
          <w:sz w:val="24"/>
        </w:rPr>
        <w:t>i de deșeu și privind sub-produsele. De asemenea, va lansa un studiu pentru a înțelege mai bine practicile statelor membre în ceea ce privește punerea în aplicare și verificarea dispozițiilor privind încetarea statutului de deșeu, ca bază pentru posibile o</w:t>
      </w:r>
      <w:r>
        <w:rPr>
          <w:rFonts w:ascii="Times New Roman" w:hAnsi="Times New Roman"/>
          <w:noProof/>
          <w:sz w:val="24"/>
        </w:rPr>
        <w:t>rientări.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C16F7">
        <w:tc>
          <w:tcPr>
            <w:tcW w:w="9242" w:type="dxa"/>
            <w:shd w:val="clear" w:color="auto" w:fill="auto"/>
          </w:tcPr>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 xml:space="preserve">Întrebare: </w:t>
            </w:r>
          </w:p>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ce mod și pentru care fluxuri de deșeuri ar trebui să facilităm o mai bună armonizare a normelor privind încetarea statutului de deșeu? </w:t>
            </w:r>
          </w:p>
        </w:tc>
      </w:tr>
    </w:tbl>
    <w:p w:rsidR="003C16F7" w:rsidRDefault="00F4537D">
      <w:pPr>
        <w:pStyle w:val="ManualHeading2"/>
        <w:rPr>
          <w:noProof/>
        </w:rPr>
      </w:pPr>
      <w:r>
        <w:rPr>
          <w:noProof/>
        </w:rPr>
        <w:t>3.4.</w:t>
      </w:r>
      <w:r>
        <w:rPr>
          <w:noProof/>
        </w:rPr>
        <w:tab/>
        <w:t xml:space="preserve">Normele în baza cărora se decide care sunt deșeurile și substanțele chimice periculoase </w:t>
      </w:r>
      <w:r>
        <w:rPr>
          <w:noProof/>
        </w:rPr>
        <w:t>nu sunt bine aliniate, ceea ce afectează admisibilitatea materiilor prime secundare</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Producția și utilizarea substanțelor și a produselor chimice periculoase fac obiectul unor norme ale UE stricte, adoptate pentru protejarea lucrătorilor</w:t>
      </w:r>
      <w:r>
        <w:rPr>
          <w:rStyle w:val="FootnoteReference"/>
          <w:rFonts w:ascii="Times New Roman" w:hAnsi="Times New Roman"/>
          <w:noProof/>
          <w:sz w:val="24"/>
        </w:rPr>
        <w:footnoteReference w:id="8"/>
      </w:r>
      <w:r>
        <w:rPr>
          <w:rFonts w:ascii="Times New Roman" w:hAnsi="Times New Roman"/>
          <w:noProof/>
          <w:sz w:val="24"/>
        </w:rPr>
        <w:t>, cetățenilor și me</w:t>
      </w:r>
      <w:r>
        <w:rPr>
          <w:rFonts w:ascii="Times New Roman" w:hAnsi="Times New Roman"/>
          <w:noProof/>
          <w:sz w:val="24"/>
        </w:rPr>
        <w:t>diului înconjurător împotriva pericolelor. Atunci când o substanță chimică este considerată a fi periculoasă, aceasta este clasificată ca atare, ceea ce conduce la obligații clare pentru operatori în vederea asigurării manipulării sale în condiții de sigur</w:t>
      </w:r>
      <w:r>
        <w:rPr>
          <w:rFonts w:ascii="Times New Roman" w:hAnsi="Times New Roman"/>
          <w:noProof/>
          <w:sz w:val="24"/>
        </w:rPr>
        <w:t xml:space="preserve">anță. </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Gestionarea deșeurilor este reglementată, în mod similar, de normele adoptate la nivelul UE, urmărindu-se aceleași obiective, astfel încât deșeurile periculoase să poată fi tratate fără consecințe nocive asupra mediului sau a sănătății umane. Cu toa</w:t>
      </w:r>
      <w:r>
        <w:rPr>
          <w:rFonts w:ascii="Times New Roman" w:hAnsi="Times New Roman"/>
          <w:noProof/>
          <w:sz w:val="24"/>
        </w:rPr>
        <w:t>te acestea, cele două seturi de norme nu sunt pe deplin aliniate. Au existat situații în care același material, care conține o substanță periculoasă, poate fi considerat periculos sau nepericulos, în funcție de statutul de deșeu sau de produs. Această disc</w:t>
      </w:r>
      <w:r>
        <w:rPr>
          <w:rFonts w:ascii="Times New Roman" w:hAnsi="Times New Roman"/>
          <w:noProof/>
          <w:sz w:val="24"/>
        </w:rPr>
        <w:t>repanță înseamnă că nu se poate presupune că materialele care reintră în economie ca urmare a recuperării deșeurilor nepericuloase vor conduce în mod necesar la un produs nepericulos.</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Modul în care sunt puse în aplicare și se asigură respectarea normelor p</w:t>
      </w:r>
      <w:r>
        <w:rPr>
          <w:rFonts w:ascii="Times New Roman" w:hAnsi="Times New Roman"/>
          <w:noProof/>
          <w:sz w:val="24"/>
        </w:rPr>
        <w:t>rivind clasificarea deșeurilor are consecințe importante asupra opțiunilor ulterioare privind gestionarea deșeurilor, precum fezabilitatea și viabilitatea economică a colectării, a metodei de reciclare sau a opțiunii între reciclare și eliminare. Astfel de</w:t>
      </w:r>
      <w:r>
        <w:rPr>
          <w:rFonts w:ascii="Times New Roman" w:hAnsi="Times New Roman"/>
          <w:noProof/>
          <w:sz w:val="24"/>
        </w:rPr>
        <w:t xml:space="preserve"> discrepanțe pot avea impact asupra recurgerii la materii prime secundare.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C16F7">
        <w:tc>
          <w:tcPr>
            <w:tcW w:w="9242" w:type="dxa"/>
            <w:shd w:val="clear" w:color="auto" w:fill="auto"/>
          </w:tcPr>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 xml:space="preserve"> </w:t>
            </w:r>
            <w:r>
              <w:rPr>
                <w:rFonts w:ascii="Times New Roman" w:hAnsi="Times New Roman"/>
                <w:noProof/>
                <w:sz w:val="24"/>
                <w:u w:val="single"/>
              </w:rPr>
              <w:t>Exemplu:</w:t>
            </w:r>
            <w:r>
              <w:rPr>
                <w:rFonts w:ascii="Times New Roman" w:hAnsi="Times New Roman"/>
                <w:noProof/>
                <w:sz w:val="24"/>
              </w:rPr>
              <w:t xml:space="preserve"> Plumbul are o clasificare diferită, în funcție de statutul de deșeu sau de produs al acestuia. Deșeurile metalice de plumb provenite din activitățile de construcții și de</w:t>
            </w:r>
            <w:r>
              <w:rPr>
                <w:rFonts w:ascii="Times New Roman" w:hAnsi="Times New Roman"/>
                <w:noProof/>
                <w:sz w:val="24"/>
              </w:rPr>
              <w:t xml:space="preserve">molare sunt clasificate ca deșeuri nepericuloase în </w:t>
            </w:r>
            <w:r>
              <w:rPr>
                <w:rFonts w:ascii="Times New Roman" w:hAnsi="Times New Roman"/>
                <w:i/>
                <w:noProof/>
                <w:sz w:val="24"/>
              </w:rPr>
              <w:t>Lista europeană a deșeurilor</w:t>
            </w:r>
            <w:r>
              <w:rPr>
                <w:rFonts w:ascii="Times New Roman" w:hAnsi="Times New Roman"/>
                <w:noProof/>
                <w:sz w:val="24"/>
              </w:rPr>
              <w:t>. Plumbul, ca produs, este clasificat ca substanță periculoasă în conformitate cu legislația UE privind clasificarea, ambalarea și etichetarea substanțelor chimice (Regulamentu</w:t>
            </w:r>
            <w:r>
              <w:rPr>
                <w:rFonts w:ascii="Times New Roman" w:hAnsi="Times New Roman"/>
                <w:noProof/>
                <w:sz w:val="24"/>
              </w:rPr>
              <w:t xml:space="preserve">l CLP) din cauza efectelor nocive ale acestuia asupra reproducerii. </w:t>
            </w:r>
          </w:p>
          <w:p w:rsidR="003C16F7" w:rsidRDefault="00F4537D">
            <w:pPr>
              <w:spacing w:before="120" w:after="120" w:line="240" w:lineRule="auto"/>
              <w:jc w:val="both"/>
              <w:rPr>
                <w:rFonts w:ascii="Times New Roman" w:eastAsia="Times New Roman" w:hAnsi="Times New Roman"/>
                <w:b/>
                <w:noProof/>
                <w:sz w:val="24"/>
                <w:szCs w:val="24"/>
              </w:rPr>
            </w:pPr>
            <w:r>
              <w:rPr>
                <w:rFonts w:ascii="Times New Roman" w:hAnsi="Times New Roman"/>
                <w:noProof/>
                <w:sz w:val="24"/>
              </w:rPr>
              <w:t xml:space="preserve">Un alt exemplu este cazul deșeurilor din PVC flexibil, care conțin anumiți aditivi. În acest caz, adeseori, operatorii de deșeuri clasifică în mod eronat aceste deșeuri ca nepericuloase, </w:t>
            </w:r>
            <w:r>
              <w:rPr>
                <w:rFonts w:ascii="Times New Roman" w:hAnsi="Times New Roman"/>
                <w:noProof/>
                <w:sz w:val="24"/>
              </w:rPr>
              <w:t>deși produsul recuperat pe baza acestor deșeuri va fi clasificat, în temeiul Regulamentului CLP, drept amestec chimic periculos.</w:t>
            </w:r>
          </w:p>
        </w:tc>
      </w:tr>
    </w:tbl>
    <w:p w:rsidR="003C16F7" w:rsidRDefault="00F4537D">
      <w:pPr>
        <w:pStyle w:val="ManualHeading3"/>
        <w:rPr>
          <w:noProof/>
        </w:rPr>
      </w:pPr>
      <w:r>
        <w:rPr>
          <w:noProof/>
        </w:rPr>
        <w:t>3.4.1.</w:t>
      </w:r>
      <w:r>
        <w:rPr>
          <w:noProof/>
        </w:rPr>
        <w:tab/>
        <w:t>Obiectiv</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Trebuie să asigurăm o abordare mai coerentă între normele de clasificare a substanțelor chimice și a deșeurilo</w:t>
      </w:r>
      <w:r>
        <w:rPr>
          <w:rFonts w:ascii="Times New Roman" w:hAnsi="Times New Roman"/>
          <w:noProof/>
          <w:sz w:val="24"/>
        </w:rPr>
        <w:t xml:space="preserve">r. </w:t>
      </w:r>
    </w:p>
    <w:p w:rsidR="003C16F7" w:rsidRDefault="00F4537D">
      <w:pPr>
        <w:pStyle w:val="ManualHeading3"/>
        <w:rPr>
          <w:noProof/>
        </w:rPr>
      </w:pPr>
      <w:r>
        <w:rPr>
          <w:noProof/>
        </w:rPr>
        <w:t>3.4.2.</w:t>
      </w:r>
      <w:r>
        <w:rPr>
          <w:noProof/>
        </w:rPr>
        <w:tab/>
        <w:t>Acțiuni planificate</w:t>
      </w:r>
    </w:p>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Suntem pe punctul de a publica un document de orientare privind clasificarea deșeurilor pentru a veni în sprijinul operatorilor de deșeuri și al autorităților competente să adopte o abordare comună în ceea ce privește caracte</w:t>
      </w:r>
      <w:r>
        <w:rPr>
          <w:rFonts w:ascii="Times New Roman" w:hAnsi="Times New Roman"/>
          <w:noProof/>
          <w:sz w:val="24"/>
        </w:rPr>
        <w:t xml:space="preserve">rizarea și clasificarea deșeurilor. Vom promova, de asemenea, schimbul de bune practici referitoare la metodele de testare utilizate pentru evaluarea substanțelor în ceea ce privește proprietatea de a fi periculoase, HP 14 „Ecotoxic”, în vederea posibilei </w:t>
      </w:r>
      <w:r>
        <w:rPr>
          <w:rFonts w:ascii="Times New Roman" w:hAnsi="Times New Roman"/>
          <w:noProof/>
          <w:sz w:val="24"/>
        </w:rPr>
        <w:t>lor armonizări.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C16F7">
        <w:tc>
          <w:tcPr>
            <w:tcW w:w="9242" w:type="dxa"/>
            <w:shd w:val="clear" w:color="auto" w:fill="auto"/>
          </w:tcPr>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Întrebare: </w:t>
            </w:r>
          </w:p>
          <w:p w:rsidR="003C16F7" w:rsidRDefault="00F4537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Ar trebui să aliniem în continuare normele privind clasificarea pericolelor, astfel încât deșeurile să poată fi considerate periculoase pe baza acelorași norme aplicabile produselor? </w:t>
            </w:r>
          </w:p>
        </w:tc>
      </w:tr>
    </w:tbl>
    <w:p w:rsidR="003C16F7" w:rsidRDefault="00F4537D">
      <w:pPr>
        <w:pStyle w:val="ManualHeading1"/>
        <w:rPr>
          <w:noProof/>
        </w:rPr>
      </w:pPr>
      <w:r>
        <w:rPr>
          <w:noProof/>
        </w:rPr>
        <w:t>4.</w:t>
      </w:r>
      <w:r>
        <w:rPr>
          <w:noProof/>
        </w:rPr>
        <w:tab/>
        <w:t>Concluzii și etapele următoare</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 xml:space="preserve">Aceste </w:t>
      </w:r>
      <w:r>
        <w:rPr>
          <w:rFonts w:ascii="Times New Roman" w:hAnsi="Times New Roman"/>
          <w:noProof/>
          <w:sz w:val="24"/>
        </w:rPr>
        <w:t>patru probleme constituie obstacole importante pentru economia circulară. Din contribuțiile primite rezultă în mod clar că există dificultăți în ceea ce privește aplicarea practică, pe teren, din cauza disponibilității limitate a resurselor și a cunoștințe</w:t>
      </w:r>
      <w:r>
        <w:rPr>
          <w:rFonts w:ascii="Times New Roman" w:hAnsi="Times New Roman"/>
          <w:noProof/>
          <w:sz w:val="24"/>
        </w:rPr>
        <w:t>lor, precum și în ceea ce privește coordonarea dintre diferiții actori, la nivel local, național și la nivelul UE.</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Analiza noastră arată, de asemenea, faptul că există dificultăți de natură juridică. Obiectivul nostru pe termen mai lung trebuie să fie atin</w:t>
      </w:r>
      <w:r>
        <w:rPr>
          <w:rFonts w:ascii="Times New Roman" w:hAnsi="Times New Roman"/>
          <w:noProof/>
          <w:sz w:val="24"/>
        </w:rPr>
        <w:t>gerea deplinei coerențe între legile care pun în aplicare politicile privind deșeurile și substanțele chimice. Aceasta va contribui la realizarea obiectivului urmărit, și anume ca materialele să fie sigure, adaptate scopului și concepute pentru a fi durabi</w:t>
      </w:r>
      <w:r>
        <w:rPr>
          <w:rFonts w:ascii="Times New Roman" w:hAnsi="Times New Roman"/>
          <w:noProof/>
          <w:sz w:val="24"/>
        </w:rPr>
        <w:t>le, pentru a putea fi reciclate și pentru a avea un impact redus asupra mediului. Produsele ar trebui să fie proiectate, fabricate, comercializate și reciclate prin utilizarea minimă a substanțelor care prezintă motive de îngrijorare, astfel încât să se fa</w:t>
      </w:r>
      <w:r>
        <w:rPr>
          <w:rFonts w:ascii="Times New Roman" w:hAnsi="Times New Roman"/>
          <w:noProof/>
          <w:sz w:val="24"/>
        </w:rPr>
        <w:t>ciliteze reutilizarea într-un mod care să sporească la maximum avantajele economice ale materialelor și utilitatea acestora pentru societate, menținându-se, în același timp, un nivel ridicat de protecție a sănătății umane și a mediului.</w:t>
      </w:r>
    </w:p>
    <w:p w:rsidR="003C16F7" w:rsidRDefault="00F4537D">
      <w:pPr>
        <w:spacing w:before="120" w:after="120" w:line="240" w:lineRule="auto"/>
        <w:jc w:val="both"/>
        <w:rPr>
          <w:rFonts w:ascii="Times New Roman" w:hAnsi="Times New Roman"/>
          <w:noProof/>
          <w:sz w:val="24"/>
          <w:szCs w:val="24"/>
        </w:rPr>
      </w:pPr>
      <w:r>
        <w:rPr>
          <w:rFonts w:ascii="Times New Roman" w:hAnsi="Times New Roman"/>
          <w:noProof/>
          <w:sz w:val="24"/>
        </w:rPr>
        <w:t>Opțiunile de politi</w:t>
      </w:r>
      <w:r>
        <w:rPr>
          <w:rFonts w:ascii="Times New Roman" w:hAnsi="Times New Roman"/>
          <w:noProof/>
          <w:sz w:val="24"/>
        </w:rPr>
        <w:t>că din documentul de lucru al serviciilor Comisiei acoperă atât problemele care necesită un răspuns imediat, cât și pe cele care nu vor putea fi rezolvate decât în timp. Documentul propune mai multe opțiuni posibile pentru fiecare problemă și invită la ref</w:t>
      </w:r>
      <w:r>
        <w:rPr>
          <w:rFonts w:ascii="Times New Roman" w:hAnsi="Times New Roman"/>
          <w:noProof/>
          <w:sz w:val="24"/>
        </w:rPr>
        <w:t>lecție cu privire la realizarea unui echilibru adecvat între avantajele pe termen lung ale utilizării circulare</w:t>
      </w:r>
      <w:r>
        <w:rPr>
          <w:rFonts w:ascii="Times New Roman" w:hAnsi="Times New Roman"/>
          <w:i/>
          <w:noProof/>
          <w:sz w:val="24"/>
        </w:rPr>
        <w:t xml:space="preserve"> </w:t>
      </w:r>
      <w:r>
        <w:rPr>
          <w:rFonts w:ascii="Times New Roman" w:hAnsi="Times New Roman"/>
          <w:noProof/>
          <w:sz w:val="24"/>
        </w:rPr>
        <w:t>a acestor materiale și preocupările generale pe termen lung privind sănătatea și mediul legate de substanțele pe care le conțin aceste materiale</w:t>
      </w:r>
      <w:r>
        <w:rPr>
          <w:rFonts w:ascii="Times New Roman" w:hAnsi="Times New Roman"/>
          <w:noProof/>
          <w:sz w:val="24"/>
        </w:rPr>
        <w:t>.</w:t>
      </w:r>
    </w:p>
    <w:p w:rsidR="003C16F7" w:rsidRDefault="00F4537D">
      <w:pPr>
        <w:spacing w:before="120" w:after="120" w:line="240" w:lineRule="auto"/>
        <w:jc w:val="both"/>
        <w:rPr>
          <w:rFonts w:ascii="Times New Roman" w:eastAsia="Times New Roman" w:hAnsi="Times New Roman"/>
          <w:iCs/>
          <w:noProof/>
          <w:sz w:val="24"/>
          <w:szCs w:val="24"/>
        </w:rPr>
      </w:pPr>
      <w:r>
        <w:rPr>
          <w:rFonts w:ascii="Times New Roman" w:hAnsi="Times New Roman"/>
          <w:noProof/>
          <w:sz w:val="24"/>
        </w:rPr>
        <w:t>Trebuie să deschidem calea către o economie circulară în Uniune. Dispunem deja de câteva instrumente care pot atenua unele dificultăți, dar avem nevoie de mai multe dovezi și de contribuții din întreaga Uniune Europeană, astfel încât să putem stabili cum p</w:t>
      </w:r>
      <w:r>
        <w:rPr>
          <w:rFonts w:ascii="Times New Roman" w:hAnsi="Times New Roman"/>
          <w:noProof/>
          <w:sz w:val="24"/>
        </w:rPr>
        <w:t xml:space="preserve">utem răspunde cel mai bine la unele dintre problemele de o mai mare amploare. </w:t>
      </w:r>
    </w:p>
    <w:p w:rsidR="003C16F7" w:rsidRDefault="00F4537D">
      <w:pPr>
        <w:spacing w:before="120" w:after="120" w:line="240" w:lineRule="auto"/>
        <w:jc w:val="both"/>
        <w:rPr>
          <w:rFonts w:ascii="Times New Roman" w:eastAsia="Times New Roman" w:hAnsi="Times New Roman"/>
          <w:iCs/>
          <w:noProof/>
          <w:sz w:val="24"/>
          <w:szCs w:val="24"/>
        </w:rPr>
      </w:pPr>
      <w:r>
        <w:rPr>
          <w:rFonts w:ascii="Times New Roman" w:hAnsi="Times New Roman"/>
          <w:noProof/>
          <w:sz w:val="24"/>
        </w:rPr>
        <w:t>Invităm Parlamentul European, Consiliul, Comitetul Regiunilor și părțile interesate să se participe la discuții și să se pronunțe cu privire la problemele identificate, astfel î</w:t>
      </w:r>
      <w:r>
        <w:rPr>
          <w:rFonts w:ascii="Times New Roman" w:hAnsi="Times New Roman"/>
          <w:noProof/>
          <w:sz w:val="24"/>
        </w:rPr>
        <w:t>ncât să putem defini calea de urmat către o economie cu adevărat circulară.</w:t>
      </w:r>
    </w:p>
    <w:p w:rsidR="003C16F7" w:rsidRDefault="00F4537D">
      <w:pPr>
        <w:spacing w:before="120" w:after="120" w:line="240" w:lineRule="auto"/>
        <w:jc w:val="both"/>
        <w:rPr>
          <w:rFonts w:ascii="Times New Roman" w:eastAsia="Times New Roman" w:hAnsi="Times New Roman"/>
          <w:iCs/>
          <w:noProof/>
          <w:sz w:val="24"/>
          <w:szCs w:val="24"/>
        </w:rPr>
      </w:pPr>
      <w:r>
        <w:rPr>
          <w:rFonts w:ascii="Times New Roman" w:hAnsi="Times New Roman"/>
          <w:noProof/>
          <w:sz w:val="24"/>
        </w:rPr>
        <w:t>Ambiția noastră este ca, până la sfârșitul mandatului actualei Comisii, în 2019, măsurile promise să fie deja pe calea cea bună și să fie susținute de elemente factuale solide. Noi</w:t>
      </w:r>
      <w:r>
        <w:rPr>
          <w:rFonts w:ascii="Times New Roman" w:hAnsi="Times New Roman"/>
          <w:noProof/>
          <w:sz w:val="24"/>
        </w:rPr>
        <w:t xml:space="preserve">le studii pe care le lansăm, precum și consultarea la care, în prezent, toate părțile interesate sunt invitate să participe vor avea, prin urmare, un rol esențial pentru continuarea acțiunilor noastre. </w:t>
      </w:r>
    </w:p>
    <w:sectPr w:rsidR="003C16F7">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6F7" w:rsidRDefault="00F4537D">
      <w:pPr>
        <w:spacing w:after="0" w:line="240" w:lineRule="auto"/>
      </w:pPr>
      <w:r>
        <w:separator/>
      </w:r>
    </w:p>
  </w:endnote>
  <w:endnote w:type="continuationSeparator" w:id="0">
    <w:p w:rsidR="003C16F7" w:rsidRDefault="00F45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3C16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F4537D">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3C16F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3C16F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F4537D">
    <w:pPr>
      <w:pStyle w:val="Footer"/>
      <w:jc w:val="center"/>
    </w:pPr>
    <w:r>
      <w:fldChar w:fldCharType="begin"/>
    </w:r>
    <w:r>
      <w:instrText xml:space="preserve"> PAGE   \* MERGEFORMAT </w:instrText>
    </w:r>
    <w:r>
      <w:fldChar w:fldCharType="separate"/>
    </w:r>
    <w:r>
      <w:rPr>
        <w:noProof/>
      </w:rPr>
      <w:t>7</w:t>
    </w:r>
    <w:r>
      <w:rPr>
        <w:noProof/>
      </w:rPr>
      <w:fldChar w:fldCharType="end"/>
    </w:r>
  </w:p>
  <w:p w:rsidR="003C16F7" w:rsidRDefault="003C16F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3C16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6F7" w:rsidRDefault="00F4537D">
      <w:pPr>
        <w:spacing w:after="0" w:line="240" w:lineRule="auto"/>
      </w:pPr>
      <w:r>
        <w:separator/>
      </w:r>
    </w:p>
  </w:footnote>
  <w:footnote w:type="continuationSeparator" w:id="0">
    <w:p w:rsidR="003C16F7" w:rsidRDefault="00F4537D">
      <w:pPr>
        <w:spacing w:after="0" w:line="240" w:lineRule="auto"/>
      </w:pPr>
      <w:r>
        <w:continuationSeparator/>
      </w:r>
    </w:p>
  </w:footnote>
  <w:footnote w:id="1">
    <w:p w:rsidR="003C16F7" w:rsidRDefault="00F4537D">
      <w:pPr>
        <w:pStyle w:val="FootnoteText"/>
        <w:rPr>
          <w:lang w:val="en-GB"/>
        </w:rPr>
      </w:pPr>
      <w:r>
        <w:rPr>
          <w:rStyle w:val="FootnoteReference"/>
        </w:rPr>
        <w:footnoteRef/>
      </w:r>
      <w:r>
        <w:t xml:space="preserve"> Acesta ar putea fi cazul materialelor recuperate, care urmează a fi utilizate ca material nou ce intră în contact cu alimentele.</w:t>
      </w:r>
    </w:p>
  </w:footnote>
  <w:footnote w:id="2">
    <w:p w:rsidR="003C16F7" w:rsidRDefault="00F4537D">
      <w:pPr>
        <w:pStyle w:val="FootnoteText"/>
        <w:rPr>
          <w:lang w:val="en-GB"/>
        </w:rPr>
      </w:pPr>
      <w:r>
        <w:rPr>
          <w:rStyle w:val="FootnoteReference"/>
        </w:rPr>
        <w:footnoteRef/>
      </w:r>
      <w:r>
        <w:t xml:space="preserve"> Potrivit informațiilor de la CEPI furnizate în consultarea vizată.</w:t>
      </w:r>
    </w:p>
  </w:footnote>
  <w:footnote w:id="3">
    <w:p w:rsidR="003C16F7" w:rsidRDefault="00F4537D">
      <w:pPr>
        <w:pStyle w:val="FootnoteText"/>
        <w:rPr>
          <w:lang w:val="en-GB"/>
        </w:rPr>
      </w:pPr>
      <w:r>
        <w:rPr>
          <w:rStyle w:val="FootnoteReference"/>
        </w:rPr>
        <w:footnoteRef/>
      </w:r>
      <w:r>
        <w:t xml:space="preserve"> A se vedea, de exemplu: </w:t>
      </w:r>
      <w:hyperlink r:id="rId1">
        <w:r>
          <w:rPr>
            <w:rStyle w:val="Hyperlink"/>
          </w:rPr>
          <w:t>https://chemicalwatch.com/7210/mineral-oils-health-scare-sparks-food-packaging-debate</w:t>
        </w:r>
      </w:hyperlink>
      <w:r>
        <w:t xml:space="preserve"> sau documentul de poziție al Organizației Europene a Consumatorilor (a se vedea pagina 5) </w:t>
      </w:r>
      <w:hyperlink r:id="rId2">
        <w:r>
          <w:rPr>
            <w:rStyle w:val="Hyperlink"/>
          </w:rPr>
          <w:t>https://www.anec.eu/images/Publications/position-papers/Sustainability/ANEC-PT-2017-CEG-017.pdf</w:t>
        </w:r>
      </w:hyperlink>
      <w:r>
        <w:t xml:space="preserve"> </w:t>
      </w:r>
    </w:p>
  </w:footnote>
  <w:footnote w:id="4">
    <w:p w:rsidR="003C16F7" w:rsidRDefault="00F4537D">
      <w:pPr>
        <w:pStyle w:val="FootnoteText"/>
      </w:pPr>
      <w:r>
        <w:rPr>
          <w:rStyle w:val="FootnoteReference"/>
        </w:rPr>
        <w:footnoteRef/>
      </w:r>
      <w:r>
        <w:t xml:space="preserve"> Sursa: Informații comunicate de Agenția suedeză </w:t>
      </w:r>
      <w:r>
        <w:t xml:space="preserve">de protecție a mediului și de Franța. Studii: </w:t>
      </w:r>
      <w:r>
        <w:rPr>
          <w:i/>
        </w:rPr>
        <w:t>Goodpoint, Information on Hazardous Substances in Waste</w:t>
      </w:r>
      <w:r>
        <w:t xml:space="preserve">, </w:t>
      </w:r>
      <w:r>
        <w:rPr>
          <w:i/>
        </w:rPr>
        <w:t>2016 (în engleză)</w:t>
      </w:r>
      <w:r>
        <w:t xml:space="preserve"> și </w:t>
      </w:r>
      <w:r>
        <w:rPr>
          <w:i/>
        </w:rPr>
        <w:t>Goodpoint, Transfer on Hazardous Substances, 2017 (în engleză)</w:t>
      </w:r>
      <w:r>
        <w:t xml:space="preserve"> </w:t>
      </w:r>
    </w:p>
  </w:footnote>
  <w:footnote w:id="5">
    <w:p w:rsidR="003C16F7" w:rsidRDefault="00F4537D">
      <w:pPr>
        <w:pStyle w:val="FootnoteText"/>
      </w:pPr>
      <w:r>
        <w:rPr>
          <w:rStyle w:val="FootnoteReference"/>
        </w:rPr>
        <w:footnoteRef/>
      </w:r>
      <w:r>
        <w:t xml:space="preserve"> Substanțe care cauzează cancer, mutații sau efecte adverse asupra </w:t>
      </w:r>
      <w:r>
        <w:t xml:space="preserve">reproducerii. </w:t>
      </w:r>
    </w:p>
  </w:footnote>
  <w:footnote w:id="6">
    <w:p w:rsidR="003C16F7" w:rsidRDefault="00F4537D">
      <w:pPr>
        <w:pStyle w:val="FootnoteText"/>
        <w:rPr>
          <w:lang w:val="pt-PT"/>
        </w:rPr>
      </w:pPr>
      <w:r>
        <w:rPr>
          <w:rStyle w:val="FootnoteReference"/>
        </w:rPr>
        <w:footnoteRef/>
      </w:r>
      <w:r>
        <w:t xml:space="preserve"> A se vedea trimiterile la mai multe studii care figurează în contribuțiile EEB (The European Environmental Bureau - Biroul European pentru Mediu) și OEC (The European Consumer Organisation - Organizația Europeană a consumatorilor). A se ve</w:t>
      </w:r>
      <w:r>
        <w:t xml:space="preserve">dea, de exemplu, pagina 4 din </w:t>
      </w:r>
      <w:hyperlink r:id="rId3">
        <w:r>
          <w:rPr>
            <w:rStyle w:val="Hyperlink"/>
          </w:rPr>
          <w:t>http://eeb.org/publications/81/circular-economy/33789/pops-in-the-circular-economy.pdf</w:t>
        </w:r>
      </w:hyperlink>
      <w:r>
        <w:t xml:space="preserve"> </w:t>
      </w:r>
    </w:p>
  </w:footnote>
  <w:footnote w:id="7">
    <w:p w:rsidR="003C16F7" w:rsidRDefault="00F4537D">
      <w:pPr>
        <w:pStyle w:val="FootnoteText"/>
        <w:rPr>
          <w:lang w:val="pt-PT"/>
        </w:rPr>
      </w:pPr>
      <w:r>
        <w:rPr>
          <w:rStyle w:val="FootnoteReference"/>
        </w:rPr>
        <w:footnoteRef/>
      </w:r>
      <w:r>
        <w:t xml:space="preserve"> A se vedea Eurometaux: </w:t>
      </w:r>
      <w:hyperlink r:id="rId4">
        <w:r>
          <w:rPr>
            <w:rStyle w:val="Hyperlink"/>
          </w:rPr>
          <w:t>https://www.eurometaux.eu/media/1634/eurometaux-response-chemicals-products-waste-interface-stakeholder-c.pdf</w:t>
        </w:r>
      </w:hyperlink>
      <w:r>
        <w:t xml:space="preserve"> și Eurelectric: </w:t>
      </w:r>
      <w:hyperlink r:id="rId5">
        <w:r>
          <w:rPr>
            <w:rStyle w:val="Hyperlink"/>
          </w:rPr>
          <w:t>http://www.eurelectric.org/media/340047/eurelectric-interface_consultation-final_07072017-2017-2430-0001-01-e.pdf</w:t>
        </w:r>
      </w:hyperlink>
      <w:r>
        <w:t xml:space="preserve">. </w:t>
      </w:r>
    </w:p>
  </w:footnote>
  <w:footnote w:id="8">
    <w:p w:rsidR="003C16F7" w:rsidRDefault="00F4537D">
      <w:pPr>
        <w:pStyle w:val="FootnoteText"/>
        <w:rPr>
          <w:lang w:val="pt-PT"/>
        </w:rPr>
      </w:pPr>
      <w:r>
        <w:rPr>
          <w:rStyle w:val="FootnoteReference"/>
        </w:rPr>
        <w:footnoteRef/>
      </w:r>
      <w:r>
        <w:t xml:space="preserve"> </w:t>
      </w:r>
      <w:r>
        <w:rPr>
          <w:sz w:val="16"/>
        </w:rPr>
        <w:t>Directiva 89/</w:t>
      </w:r>
      <w:r>
        <w:rPr>
          <w:sz w:val="16"/>
        </w:rPr>
        <w:t>391/CEE privind punerea în aplicare de măsuri pentru promovarea îmbunătățirii securității și sănătății lucrătorilor la locul de muncă; Directiva 98/24/CE privind protecția sănătății și securității lucrătorilor împotriva riscurilor legate de agenții chimici</w:t>
      </w:r>
      <w:r>
        <w:rPr>
          <w:sz w:val="16"/>
        </w:rPr>
        <w:t xml:space="preserve"> la locul de muncă; Directiva 2004/37/CE privind protecția lucrătorilor împotriva riscurilor legate de expunerea la agenți cancerigeni sau mutageni la locul de muncă.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3C16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3C16F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3C16F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3C16F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3C16F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7" w:rsidRDefault="003C16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B60A60"/>
    <w:lvl w:ilvl="0">
      <w:start w:val="1"/>
      <w:numFmt w:val="decimal"/>
      <w:lvlText w:val="%1."/>
      <w:lvlJc w:val="left"/>
      <w:pPr>
        <w:tabs>
          <w:tab w:val="num" w:pos="1492"/>
        </w:tabs>
        <w:ind w:left="1492" w:hanging="360"/>
      </w:pPr>
    </w:lvl>
  </w:abstractNum>
  <w:abstractNum w:abstractNumId="1">
    <w:nsid w:val="FFFFFF7D"/>
    <w:multiLevelType w:val="singleLevel"/>
    <w:tmpl w:val="120A6174"/>
    <w:lvl w:ilvl="0">
      <w:start w:val="1"/>
      <w:numFmt w:val="decimal"/>
      <w:pStyle w:val="ListBullet2"/>
      <w:lvlText w:val="%1."/>
      <w:lvlJc w:val="left"/>
      <w:pPr>
        <w:tabs>
          <w:tab w:val="num" w:pos="1209"/>
        </w:tabs>
        <w:ind w:left="1209" w:hanging="360"/>
      </w:pPr>
      <w:rPr>
        <w:rFonts w:cs="Times New Roman"/>
      </w:rPr>
    </w:lvl>
  </w:abstractNum>
  <w:abstractNum w:abstractNumId="2">
    <w:nsid w:val="FFFFFF7E"/>
    <w:multiLevelType w:val="singleLevel"/>
    <w:tmpl w:val="52D649BE"/>
    <w:lvl w:ilvl="0">
      <w:start w:val="1"/>
      <w:numFmt w:val="decimal"/>
      <w:pStyle w:val="ListBullet"/>
      <w:lvlText w:val="%1."/>
      <w:lvlJc w:val="left"/>
      <w:pPr>
        <w:tabs>
          <w:tab w:val="num" w:pos="926"/>
        </w:tabs>
        <w:ind w:left="926" w:hanging="360"/>
      </w:pPr>
      <w:rPr>
        <w:rFonts w:cs="Times New Roman"/>
      </w:rPr>
    </w:lvl>
  </w:abstractNum>
  <w:abstractNum w:abstractNumId="3">
    <w:nsid w:val="FFFFFF80"/>
    <w:multiLevelType w:val="singleLevel"/>
    <w:tmpl w:val="5EAA11DC"/>
    <w:lvl w:ilvl="0">
      <w:start w:val="1"/>
      <w:numFmt w:val="bullet"/>
      <w:lvlText w:val=""/>
      <w:lvlJc w:val="left"/>
      <w:pPr>
        <w:tabs>
          <w:tab w:val="num" w:pos="1492"/>
        </w:tabs>
        <w:ind w:left="1492" w:hanging="360"/>
      </w:pPr>
      <w:rPr>
        <w:rFonts w:ascii="Symbol" w:hAnsi="Symbol" w:hint="default"/>
      </w:rPr>
    </w:lvl>
  </w:abstractNum>
  <w:abstractNum w:abstractNumId="4">
    <w:nsid w:val="03353EEC"/>
    <w:multiLevelType w:val="hybridMultilevel"/>
    <w:tmpl w:val="83D8741C"/>
    <w:lvl w:ilvl="0" w:tplc="501482D8">
      <w:start w:val="1"/>
      <w:numFmt w:val="upperRoman"/>
      <w:lvlText w:val="Objective %1."/>
      <w:lvlJc w:val="left"/>
      <w:pPr>
        <w:ind w:left="1637" w:hanging="360"/>
      </w:pPr>
      <w:rPr>
        <w:rFonts w:hint="default"/>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5">
    <w:nsid w:val="05694990"/>
    <w:multiLevelType w:val="hybridMultilevel"/>
    <w:tmpl w:val="BBA40E00"/>
    <w:lvl w:ilvl="0" w:tplc="501482D8">
      <w:start w:val="1"/>
      <w:numFmt w:val="upperRoman"/>
      <w:lvlText w:val="Objective %1."/>
      <w:lvlJc w:val="left"/>
      <w:pPr>
        <w:ind w:left="1637" w:hanging="360"/>
      </w:pPr>
      <w:rPr>
        <w:rFonts w:hint="default"/>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6">
    <w:nsid w:val="0C042BB8"/>
    <w:multiLevelType w:val="hybridMultilevel"/>
    <w:tmpl w:val="DB0AAF0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nsid w:val="0F212747"/>
    <w:multiLevelType w:val="multilevel"/>
    <w:tmpl w:val="FBD0F488"/>
    <w:name w:val="NumPar22"/>
    <w:lvl w:ilvl="0">
      <w:start w:val="1"/>
      <w:numFmt w:val="decimal"/>
      <w:lvlRestart w:val="0"/>
      <w:pStyle w:val="NumPar1"/>
      <w:lvlText w:val="%1."/>
      <w:lvlJc w:val="left"/>
      <w:pPr>
        <w:tabs>
          <w:tab w:val="num" w:pos="850"/>
        </w:tabs>
        <w:ind w:left="850" w:hanging="850"/>
      </w:pPr>
      <w:rPr>
        <w:rFonts w:cs="Times New Roman" w:hint="default"/>
      </w:rPr>
    </w:lvl>
    <w:lvl w:ilvl="1">
      <w:start w:val="1"/>
      <w:numFmt w:val="decimal"/>
      <w:pStyle w:val="NumPar2"/>
      <w:lvlText w:val="%1.%2."/>
      <w:lvlJc w:val="left"/>
      <w:pPr>
        <w:tabs>
          <w:tab w:val="num" w:pos="850"/>
        </w:tabs>
        <w:ind w:left="850" w:hanging="850"/>
      </w:pPr>
      <w:rPr>
        <w:rFonts w:cs="Times New Roman" w:hint="default"/>
      </w:rPr>
    </w:lvl>
    <w:lvl w:ilvl="2">
      <w:start w:val="1"/>
      <w:numFmt w:val="decimal"/>
      <w:pStyle w:val="NumPar3"/>
      <w:lvlText w:val="%1.%2.%3."/>
      <w:lvlJc w:val="left"/>
      <w:pPr>
        <w:tabs>
          <w:tab w:val="num" w:pos="850"/>
        </w:tabs>
        <w:ind w:left="850" w:hanging="850"/>
      </w:pPr>
      <w:rPr>
        <w:rFonts w:cs="Times New Roman" w:hint="default"/>
      </w:rPr>
    </w:lvl>
    <w:lvl w:ilvl="3">
      <w:start w:val="1"/>
      <w:numFmt w:val="decimal"/>
      <w:pStyle w:val="NumPar4"/>
      <w:lvlText w:val="%1.%2.%3.%4."/>
      <w:lvlJc w:val="left"/>
      <w:pPr>
        <w:tabs>
          <w:tab w:val="num" w:pos="850"/>
        </w:tabs>
        <w:ind w:left="850" w:hanging="85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nsid w:val="149674C4"/>
    <w:multiLevelType w:val="singleLevel"/>
    <w:tmpl w:val="8A2AF054"/>
    <w:name w:val="Tiret 1"/>
    <w:lvl w:ilvl="0">
      <w:start w:val="1"/>
      <w:numFmt w:val="bullet"/>
      <w:lvlRestart w:val="0"/>
      <w:pStyle w:val="Tiret1"/>
      <w:lvlText w:val="–"/>
      <w:lvlJc w:val="left"/>
      <w:pPr>
        <w:tabs>
          <w:tab w:val="num" w:pos="1417"/>
        </w:tabs>
        <w:ind w:left="1417" w:hanging="567"/>
      </w:pPr>
    </w:lvl>
  </w:abstractNum>
  <w:abstractNum w:abstractNumId="9">
    <w:nsid w:val="15592001"/>
    <w:multiLevelType w:val="singleLevel"/>
    <w:tmpl w:val="3C6C7C7E"/>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nsid w:val="158411A6"/>
    <w:multiLevelType w:val="singleLevel"/>
    <w:tmpl w:val="891A2EB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1">
    <w:nsid w:val="17457808"/>
    <w:multiLevelType w:val="hybridMultilevel"/>
    <w:tmpl w:val="A5F63E90"/>
    <w:lvl w:ilvl="0" w:tplc="91D052FA">
      <w:start w:val="1"/>
      <w:numFmt w:val="upperRoman"/>
      <w:lvlText w:val="Objective %1."/>
      <w:lvlJc w:val="left"/>
      <w:pPr>
        <w:ind w:left="2487" w:hanging="360"/>
      </w:pPr>
      <w:rPr>
        <w:rFonts w:hint="default"/>
        <w:b/>
      </w:rPr>
    </w:lvl>
    <w:lvl w:ilvl="1" w:tplc="08090019" w:tentative="1">
      <w:start w:val="1"/>
      <w:numFmt w:val="lowerLetter"/>
      <w:lvlText w:val="%2."/>
      <w:lvlJc w:val="left"/>
      <w:pPr>
        <w:ind w:left="3066" w:hanging="360"/>
      </w:pPr>
    </w:lvl>
    <w:lvl w:ilvl="2" w:tplc="0809001B" w:tentative="1">
      <w:start w:val="1"/>
      <w:numFmt w:val="lowerRoman"/>
      <w:lvlText w:val="%3."/>
      <w:lvlJc w:val="right"/>
      <w:pPr>
        <w:ind w:left="3786" w:hanging="180"/>
      </w:pPr>
    </w:lvl>
    <w:lvl w:ilvl="3" w:tplc="0809000F" w:tentative="1">
      <w:start w:val="1"/>
      <w:numFmt w:val="decimal"/>
      <w:lvlText w:val="%4."/>
      <w:lvlJc w:val="left"/>
      <w:pPr>
        <w:ind w:left="4506" w:hanging="360"/>
      </w:pPr>
    </w:lvl>
    <w:lvl w:ilvl="4" w:tplc="08090019" w:tentative="1">
      <w:start w:val="1"/>
      <w:numFmt w:val="lowerLetter"/>
      <w:lvlText w:val="%5."/>
      <w:lvlJc w:val="left"/>
      <w:pPr>
        <w:ind w:left="5226" w:hanging="360"/>
      </w:pPr>
    </w:lvl>
    <w:lvl w:ilvl="5" w:tplc="0809001B" w:tentative="1">
      <w:start w:val="1"/>
      <w:numFmt w:val="lowerRoman"/>
      <w:lvlText w:val="%6."/>
      <w:lvlJc w:val="right"/>
      <w:pPr>
        <w:ind w:left="5946" w:hanging="180"/>
      </w:pPr>
    </w:lvl>
    <w:lvl w:ilvl="6" w:tplc="0809000F" w:tentative="1">
      <w:start w:val="1"/>
      <w:numFmt w:val="decimal"/>
      <w:lvlText w:val="%7."/>
      <w:lvlJc w:val="left"/>
      <w:pPr>
        <w:ind w:left="6666" w:hanging="360"/>
      </w:pPr>
    </w:lvl>
    <w:lvl w:ilvl="7" w:tplc="08090019" w:tentative="1">
      <w:start w:val="1"/>
      <w:numFmt w:val="lowerLetter"/>
      <w:lvlText w:val="%8."/>
      <w:lvlJc w:val="left"/>
      <w:pPr>
        <w:ind w:left="7386" w:hanging="360"/>
      </w:pPr>
    </w:lvl>
    <w:lvl w:ilvl="8" w:tplc="0809001B" w:tentative="1">
      <w:start w:val="1"/>
      <w:numFmt w:val="lowerRoman"/>
      <w:lvlText w:val="%9."/>
      <w:lvlJc w:val="right"/>
      <w:pPr>
        <w:ind w:left="8106" w:hanging="180"/>
      </w:pPr>
    </w:lvl>
  </w:abstractNum>
  <w:abstractNum w:abstractNumId="12">
    <w:nsid w:val="179264B1"/>
    <w:multiLevelType w:val="hybridMultilevel"/>
    <w:tmpl w:val="3ADA2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82036BB"/>
    <w:multiLevelType w:val="hybridMultilevel"/>
    <w:tmpl w:val="D4D8F3B6"/>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98827F3"/>
    <w:multiLevelType w:val="hybridMultilevel"/>
    <w:tmpl w:val="B316C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9E233B6"/>
    <w:multiLevelType w:val="hybridMultilevel"/>
    <w:tmpl w:val="A5F63E90"/>
    <w:lvl w:ilvl="0" w:tplc="91D052FA">
      <w:start w:val="1"/>
      <w:numFmt w:val="upperRoman"/>
      <w:lvlText w:val="Objective %1."/>
      <w:lvlJc w:val="left"/>
      <w:pPr>
        <w:ind w:left="2487" w:hanging="360"/>
      </w:pPr>
      <w:rPr>
        <w:rFonts w:hint="default"/>
        <w:b/>
      </w:rPr>
    </w:lvl>
    <w:lvl w:ilvl="1" w:tplc="08090019" w:tentative="1">
      <w:start w:val="1"/>
      <w:numFmt w:val="lowerLetter"/>
      <w:lvlText w:val="%2."/>
      <w:lvlJc w:val="left"/>
      <w:pPr>
        <w:ind w:left="3066" w:hanging="360"/>
      </w:pPr>
    </w:lvl>
    <w:lvl w:ilvl="2" w:tplc="0809001B" w:tentative="1">
      <w:start w:val="1"/>
      <w:numFmt w:val="lowerRoman"/>
      <w:lvlText w:val="%3."/>
      <w:lvlJc w:val="right"/>
      <w:pPr>
        <w:ind w:left="3786" w:hanging="180"/>
      </w:pPr>
    </w:lvl>
    <w:lvl w:ilvl="3" w:tplc="0809000F" w:tentative="1">
      <w:start w:val="1"/>
      <w:numFmt w:val="decimal"/>
      <w:lvlText w:val="%4."/>
      <w:lvlJc w:val="left"/>
      <w:pPr>
        <w:ind w:left="4506" w:hanging="360"/>
      </w:pPr>
    </w:lvl>
    <w:lvl w:ilvl="4" w:tplc="08090019" w:tentative="1">
      <w:start w:val="1"/>
      <w:numFmt w:val="lowerLetter"/>
      <w:lvlText w:val="%5."/>
      <w:lvlJc w:val="left"/>
      <w:pPr>
        <w:ind w:left="5226" w:hanging="360"/>
      </w:pPr>
    </w:lvl>
    <w:lvl w:ilvl="5" w:tplc="0809001B" w:tentative="1">
      <w:start w:val="1"/>
      <w:numFmt w:val="lowerRoman"/>
      <w:lvlText w:val="%6."/>
      <w:lvlJc w:val="right"/>
      <w:pPr>
        <w:ind w:left="5946" w:hanging="180"/>
      </w:pPr>
    </w:lvl>
    <w:lvl w:ilvl="6" w:tplc="0809000F" w:tentative="1">
      <w:start w:val="1"/>
      <w:numFmt w:val="decimal"/>
      <w:lvlText w:val="%7."/>
      <w:lvlJc w:val="left"/>
      <w:pPr>
        <w:ind w:left="6666" w:hanging="360"/>
      </w:pPr>
    </w:lvl>
    <w:lvl w:ilvl="7" w:tplc="08090019" w:tentative="1">
      <w:start w:val="1"/>
      <w:numFmt w:val="lowerLetter"/>
      <w:lvlText w:val="%8."/>
      <w:lvlJc w:val="left"/>
      <w:pPr>
        <w:ind w:left="7386" w:hanging="360"/>
      </w:pPr>
    </w:lvl>
    <w:lvl w:ilvl="8" w:tplc="0809001B" w:tentative="1">
      <w:start w:val="1"/>
      <w:numFmt w:val="lowerRoman"/>
      <w:lvlText w:val="%9."/>
      <w:lvlJc w:val="right"/>
      <w:pPr>
        <w:ind w:left="8106" w:hanging="180"/>
      </w:pPr>
    </w:lvl>
  </w:abstractNum>
  <w:abstractNum w:abstractNumId="16">
    <w:nsid w:val="1B9679CF"/>
    <w:multiLevelType w:val="hybridMultilevel"/>
    <w:tmpl w:val="B4D6F35E"/>
    <w:lvl w:ilvl="0" w:tplc="6D6E99E4">
      <w:numFmt w:val="bullet"/>
      <w:lvlText w:val=""/>
      <w:lvlJc w:val="left"/>
      <w:pPr>
        <w:ind w:left="1202" w:hanging="360"/>
      </w:pPr>
      <w:rPr>
        <w:rFonts w:ascii="Wingdings" w:eastAsia="Calibri" w:hAnsi="Wingdings" w:cs="Times New Roman" w:hint="default"/>
      </w:rPr>
    </w:lvl>
    <w:lvl w:ilvl="1" w:tplc="08090003">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7">
    <w:nsid w:val="1D405D0B"/>
    <w:multiLevelType w:val="hybridMultilevel"/>
    <w:tmpl w:val="4F76D1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05A4522"/>
    <w:multiLevelType w:val="hybridMultilevel"/>
    <w:tmpl w:val="F43C3E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41162DB"/>
    <w:multiLevelType w:val="singleLevel"/>
    <w:tmpl w:val="B27E1B54"/>
    <w:name w:val="Tiret 2"/>
    <w:lvl w:ilvl="0">
      <w:start w:val="1"/>
      <w:numFmt w:val="bullet"/>
      <w:lvlRestart w:val="0"/>
      <w:pStyle w:val="Tiret2"/>
      <w:lvlText w:val="–"/>
      <w:lvlJc w:val="left"/>
      <w:pPr>
        <w:tabs>
          <w:tab w:val="num" w:pos="1984"/>
        </w:tabs>
        <w:ind w:left="1984" w:hanging="567"/>
      </w:pPr>
    </w:lvl>
  </w:abstractNum>
  <w:abstractNum w:abstractNumId="20">
    <w:nsid w:val="25C11FD4"/>
    <w:multiLevelType w:val="hybridMultilevel"/>
    <w:tmpl w:val="9E0A5F28"/>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Garamond"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Garamond"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Garamond" w:hint="default"/>
      </w:rPr>
    </w:lvl>
    <w:lvl w:ilvl="8" w:tplc="08090005" w:tentative="1">
      <w:start w:val="1"/>
      <w:numFmt w:val="bullet"/>
      <w:lvlText w:val=""/>
      <w:lvlJc w:val="left"/>
      <w:pPr>
        <w:ind w:left="6900" w:hanging="360"/>
      </w:pPr>
      <w:rPr>
        <w:rFonts w:ascii="Wingdings" w:hAnsi="Wingdings" w:hint="default"/>
      </w:rPr>
    </w:lvl>
  </w:abstractNum>
  <w:abstractNum w:abstractNumId="21">
    <w:nsid w:val="25DF0603"/>
    <w:multiLevelType w:val="hybridMultilevel"/>
    <w:tmpl w:val="3E6E51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2A2F12C5"/>
    <w:multiLevelType w:val="hybridMultilevel"/>
    <w:tmpl w:val="487E764A"/>
    <w:lvl w:ilvl="0" w:tplc="501482D8">
      <w:start w:val="1"/>
      <w:numFmt w:val="upperRoman"/>
      <w:lvlText w:val="Objective %1."/>
      <w:lvlJc w:val="left"/>
      <w:pPr>
        <w:ind w:left="1778" w:hanging="360"/>
      </w:pPr>
      <w:rPr>
        <w:rFonts w:hint="default"/>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23">
    <w:nsid w:val="2F076C74"/>
    <w:multiLevelType w:val="multilevel"/>
    <w:tmpl w:val="CC8EDB14"/>
    <w:name w:val="Point"/>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24">
    <w:nsid w:val="3037651F"/>
    <w:multiLevelType w:val="hybridMultilevel"/>
    <w:tmpl w:val="49E40EC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8892688"/>
    <w:multiLevelType w:val="hybridMultilevel"/>
    <w:tmpl w:val="CCCC2E7A"/>
    <w:name w:val="NumPar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D9F4908"/>
    <w:multiLevelType w:val="hybridMultilevel"/>
    <w:tmpl w:val="1090D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F433143"/>
    <w:multiLevelType w:val="hybridMultilevel"/>
    <w:tmpl w:val="3C40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F457280"/>
    <w:multiLevelType w:val="hybridMultilevel"/>
    <w:tmpl w:val="62C47CFC"/>
    <w:lvl w:ilvl="0" w:tplc="DAE630A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FF3500"/>
    <w:multiLevelType w:val="singleLevel"/>
    <w:tmpl w:val="84DA1EE8"/>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0">
    <w:nsid w:val="49D47C56"/>
    <w:multiLevelType w:val="multilevel"/>
    <w:tmpl w:val="90381812"/>
    <w:lvl w:ilvl="0">
      <w:start w:val="1"/>
      <w:numFmt w:val="decimal"/>
      <w:lvlRestart w:val="0"/>
      <w:pStyle w:val="Heading1"/>
      <w:lvlText w:val="%1."/>
      <w:lvlJc w:val="left"/>
      <w:pPr>
        <w:tabs>
          <w:tab w:val="num" w:pos="850"/>
        </w:tabs>
        <w:ind w:left="850" w:hanging="850"/>
      </w:pPr>
      <w:rPr>
        <w:rFonts w:cs="Times New Roman" w:hint="default"/>
      </w:rPr>
    </w:lvl>
    <w:lvl w:ilvl="1">
      <w:start w:val="1"/>
      <w:numFmt w:val="decimal"/>
      <w:pStyle w:val="Heading2"/>
      <w:lvlText w:val="%1.%2."/>
      <w:lvlJc w:val="left"/>
      <w:pPr>
        <w:tabs>
          <w:tab w:val="num" w:pos="850"/>
        </w:tabs>
        <w:ind w:left="850" w:hanging="850"/>
      </w:pPr>
      <w:rPr>
        <w:rFonts w:cs="Times New Roman" w:hint="default"/>
      </w:rPr>
    </w:lvl>
    <w:lvl w:ilvl="2">
      <w:start w:val="1"/>
      <w:numFmt w:val="decimal"/>
      <w:pStyle w:val="Heading3"/>
      <w:lvlText w:val="%1.%2.%3."/>
      <w:lvlJc w:val="left"/>
      <w:pPr>
        <w:tabs>
          <w:tab w:val="num" w:pos="850"/>
        </w:tabs>
        <w:ind w:left="850" w:hanging="850"/>
      </w:pPr>
      <w:rPr>
        <w:rFonts w:cs="Times New Roman" w:hint="default"/>
      </w:rPr>
    </w:lvl>
    <w:lvl w:ilvl="3">
      <w:start w:val="1"/>
      <w:numFmt w:val="decimal"/>
      <w:pStyle w:val="Heading4"/>
      <w:lvlText w:val="%1.%2.%3.%4."/>
      <w:lvlJc w:val="left"/>
      <w:pPr>
        <w:tabs>
          <w:tab w:val="num" w:pos="850"/>
        </w:tabs>
        <w:ind w:left="850" w:hanging="85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nsid w:val="4C692410"/>
    <w:multiLevelType w:val="hybridMultilevel"/>
    <w:tmpl w:val="B3D6D008"/>
    <w:lvl w:ilvl="0" w:tplc="0809000F">
      <w:start w:val="1"/>
      <w:numFmt w:val="decimal"/>
      <w:lvlText w:val="%1."/>
      <w:lvlJc w:val="left"/>
      <w:pPr>
        <w:ind w:left="1202" w:hanging="360"/>
      </w:pPr>
    </w:lvl>
    <w:lvl w:ilvl="1" w:tplc="128CDD24">
      <w:numFmt w:val="bullet"/>
      <w:lvlText w:val="•"/>
      <w:lvlJc w:val="left"/>
      <w:pPr>
        <w:ind w:left="1922" w:hanging="360"/>
      </w:pPr>
      <w:rPr>
        <w:rFonts w:ascii="Times New Roman" w:eastAsia="Times New Roman" w:hAnsi="Times New Roman" w:cs="Times New Roman" w:hint="default"/>
      </w:rPr>
    </w:lvl>
    <w:lvl w:ilvl="2" w:tplc="0809001B" w:tentative="1">
      <w:start w:val="1"/>
      <w:numFmt w:val="lowerRoman"/>
      <w:lvlText w:val="%3."/>
      <w:lvlJc w:val="right"/>
      <w:pPr>
        <w:ind w:left="2642" w:hanging="180"/>
      </w:pPr>
    </w:lvl>
    <w:lvl w:ilvl="3" w:tplc="0809000F" w:tentative="1">
      <w:start w:val="1"/>
      <w:numFmt w:val="decimal"/>
      <w:lvlText w:val="%4."/>
      <w:lvlJc w:val="left"/>
      <w:pPr>
        <w:ind w:left="3362" w:hanging="360"/>
      </w:pPr>
    </w:lvl>
    <w:lvl w:ilvl="4" w:tplc="08090019" w:tentative="1">
      <w:start w:val="1"/>
      <w:numFmt w:val="lowerLetter"/>
      <w:lvlText w:val="%5."/>
      <w:lvlJc w:val="left"/>
      <w:pPr>
        <w:ind w:left="4082" w:hanging="360"/>
      </w:pPr>
    </w:lvl>
    <w:lvl w:ilvl="5" w:tplc="0809001B" w:tentative="1">
      <w:start w:val="1"/>
      <w:numFmt w:val="lowerRoman"/>
      <w:lvlText w:val="%6."/>
      <w:lvlJc w:val="right"/>
      <w:pPr>
        <w:ind w:left="4802" w:hanging="180"/>
      </w:pPr>
    </w:lvl>
    <w:lvl w:ilvl="6" w:tplc="0809000F" w:tentative="1">
      <w:start w:val="1"/>
      <w:numFmt w:val="decimal"/>
      <w:lvlText w:val="%7."/>
      <w:lvlJc w:val="left"/>
      <w:pPr>
        <w:ind w:left="5522" w:hanging="360"/>
      </w:pPr>
    </w:lvl>
    <w:lvl w:ilvl="7" w:tplc="08090019" w:tentative="1">
      <w:start w:val="1"/>
      <w:numFmt w:val="lowerLetter"/>
      <w:lvlText w:val="%8."/>
      <w:lvlJc w:val="left"/>
      <w:pPr>
        <w:ind w:left="6242" w:hanging="360"/>
      </w:pPr>
    </w:lvl>
    <w:lvl w:ilvl="8" w:tplc="0809001B" w:tentative="1">
      <w:start w:val="1"/>
      <w:numFmt w:val="lowerRoman"/>
      <w:lvlText w:val="%9."/>
      <w:lvlJc w:val="right"/>
      <w:pPr>
        <w:ind w:left="6962" w:hanging="180"/>
      </w:pPr>
    </w:lvl>
  </w:abstractNum>
  <w:abstractNum w:abstractNumId="32">
    <w:nsid w:val="4E416729"/>
    <w:multiLevelType w:val="hybridMultilevel"/>
    <w:tmpl w:val="A0AEDB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3">
    <w:nsid w:val="4E5F6728"/>
    <w:multiLevelType w:val="hybridMultilevel"/>
    <w:tmpl w:val="4B5EABBE"/>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32E62A3"/>
    <w:multiLevelType w:val="hybridMultilevel"/>
    <w:tmpl w:val="A02E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Garamond"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Garamond"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Garamond"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52D74C5"/>
    <w:multiLevelType w:val="hybridMultilevel"/>
    <w:tmpl w:val="0ACCA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Garamond"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Garamond"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Garamond"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0574383"/>
    <w:multiLevelType w:val="hybridMultilevel"/>
    <w:tmpl w:val="6D829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3B26268"/>
    <w:multiLevelType w:val="singleLevel"/>
    <w:tmpl w:val="491E6360"/>
    <w:name w:val="Considérant"/>
    <w:lvl w:ilvl="0">
      <w:start w:val="1"/>
      <w:numFmt w:val="decimal"/>
      <w:lvlRestart w:val="0"/>
      <w:pStyle w:val="Considrant"/>
      <w:lvlText w:val="(%1)"/>
      <w:lvlJc w:val="left"/>
      <w:pPr>
        <w:tabs>
          <w:tab w:val="num" w:pos="709"/>
        </w:tabs>
        <w:ind w:left="709" w:hanging="709"/>
      </w:pPr>
      <w:rPr>
        <w:rFonts w:cs="Times New Roman"/>
      </w:rPr>
    </w:lvl>
  </w:abstractNum>
  <w:abstractNum w:abstractNumId="38">
    <w:nsid w:val="6CF95061"/>
    <w:multiLevelType w:val="hybridMultilevel"/>
    <w:tmpl w:val="C10EC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E5048BB"/>
    <w:multiLevelType w:val="hybridMultilevel"/>
    <w:tmpl w:val="DC321F6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EC300CA"/>
    <w:multiLevelType w:val="singleLevel"/>
    <w:tmpl w:val="055ABBD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1">
    <w:nsid w:val="712E4B18"/>
    <w:multiLevelType w:val="singleLevel"/>
    <w:tmpl w:val="66ECC298"/>
    <w:name w:val="Tiret 3"/>
    <w:lvl w:ilvl="0">
      <w:start w:val="1"/>
      <w:numFmt w:val="bullet"/>
      <w:lvlRestart w:val="0"/>
      <w:pStyle w:val="Tiret3"/>
      <w:lvlText w:val="–"/>
      <w:lvlJc w:val="left"/>
      <w:pPr>
        <w:tabs>
          <w:tab w:val="num" w:pos="2551"/>
        </w:tabs>
        <w:ind w:left="2551" w:hanging="567"/>
      </w:pPr>
    </w:lvl>
  </w:abstractNum>
  <w:abstractNum w:abstractNumId="42">
    <w:nsid w:val="71E82089"/>
    <w:multiLevelType w:val="hybridMultilevel"/>
    <w:tmpl w:val="DE367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29504D5"/>
    <w:multiLevelType w:val="singleLevel"/>
    <w:tmpl w:val="1BC6DBFC"/>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4">
    <w:nsid w:val="734A1C8A"/>
    <w:multiLevelType w:val="hybridMultilevel"/>
    <w:tmpl w:val="34E820A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78B552A"/>
    <w:multiLevelType w:val="hybridMultilevel"/>
    <w:tmpl w:val="487E764A"/>
    <w:lvl w:ilvl="0" w:tplc="501482D8">
      <w:start w:val="1"/>
      <w:numFmt w:val="upperRoman"/>
      <w:lvlText w:val="Objective %1."/>
      <w:lvlJc w:val="left"/>
      <w:pPr>
        <w:ind w:left="1637" w:hanging="360"/>
      </w:pPr>
      <w:rPr>
        <w:rFonts w:hint="default"/>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46">
    <w:nsid w:val="7B454D54"/>
    <w:multiLevelType w:val="singleLevel"/>
    <w:tmpl w:val="8A02E4B2"/>
    <w:name w:val="Tiret 4"/>
    <w:lvl w:ilvl="0">
      <w:start w:val="1"/>
      <w:numFmt w:val="bullet"/>
      <w:lvlRestart w:val="0"/>
      <w:pStyle w:val="Tiret4"/>
      <w:lvlText w:val="–"/>
      <w:lvlJc w:val="left"/>
      <w:pPr>
        <w:tabs>
          <w:tab w:val="num" w:pos="3118"/>
        </w:tabs>
        <w:ind w:left="3118" w:hanging="567"/>
      </w:pPr>
    </w:lvl>
  </w:abstractNum>
  <w:abstractNum w:abstractNumId="47">
    <w:nsid w:val="7E8224EA"/>
    <w:multiLevelType w:val="singleLevel"/>
    <w:tmpl w:val="34DEB8CE"/>
    <w:name w:val="Tiret 0"/>
    <w:lvl w:ilvl="0">
      <w:start w:val="1"/>
      <w:numFmt w:val="bullet"/>
      <w:lvlRestart w:val="0"/>
      <w:pStyle w:val="Tiret0"/>
      <w:lvlText w:val="–"/>
      <w:lvlJc w:val="left"/>
      <w:pPr>
        <w:tabs>
          <w:tab w:val="num" w:pos="850"/>
        </w:tabs>
        <w:ind w:left="850" w:hanging="850"/>
      </w:pPr>
    </w:lvl>
  </w:abstractNum>
  <w:abstractNum w:abstractNumId="48">
    <w:nsid w:val="7E9B467C"/>
    <w:multiLevelType w:val="hybridMultilevel"/>
    <w:tmpl w:val="B13A9D06"/>
    <w:lvl w:ilvl="0" w:tplc="6D6E99E4">
      <w:numFmt w:val="bullet"/>
      <w:lvlText w:val=""/>
      <w:lvlJc w:val="left"/>
      <w:pPr>
        <w:ind w:left="1202" w:hanging="360"/>
      </w:pPr>
      <w:rPr>
        <w:rFonts w:ascii="Wingdings" w:eastAsia="Calibri" w:hAnsi="Wingdings" w:cs="Times New Roman"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num w:numId="1">
    <w:abstractNumId w:val="2"/>
  </w:num>
  <w:num w:numId="2">
    <w:abstractNumId w:val="1"/>
  </w:num>
  <w:num w:numId="3">
    <w:abstractNumId w:val="47"/>
  </w:num>
  <w:num w:numId="4">
    <w:abstractNumId w:val="8"/>
  </w:num>
  <w:num w:numId="5">
    <w:abstractNumId w:val="19"/>
  </w:num>
  <w:num w:numId="6">
    <w:abstractNumId w:val="41"/>
  </w:num>
  <w:num w:numId="7">
    <w:abstractNumId w:val="46"/>
  </w:num>
  <w:num w:numId="8">
    <w:abstractNumId w:val="7"/>
  </w:num>
  <w:num w:numId="9">
    <w:abstractNumId w:val="30"/>
  </w:num>
  <w:num w:numId="10">
    <w:abstractNumId w:val="23"/>
  </w:num>
  <w:num w:numId="11">
    <w:abstractNumId w:val="9"/>
  </w:num>
  <w:num w:numId="12">
    <w:abstractNumId w:val="29"/>
  </w:num>
  <w:num w:numId="13">
    <w:abstractNumId w:val="10"/>
  </w:num>
  <w:num w:numId="14">
    <w:abstractNumId w:val="43"/>
  </w:num>
  <w:num w:numId="15">
    <w:abstractNumId w:val="40"/>
  </w:num>
  <w:num w:numId="16">
    <w:abstractNumId w:val="37"/>
  </w:num>
  <w:num w:numId="17">
    <w:abstractNumId w:val="15"/>
  </w:num>
  <w:num w:numId="18">
    <w:abstractNumId w:val="6"/>
  </w:num>
  <w:num w:numId="19">
    <w:abstractNumId w:val="5"/>
  </w:num>
  <w:num w:numId="20">
    <w:abstractNumId w:val="4"/>
  </w:num>
  <w:num w:numId="21">
    <w:abstractNumId w:val="45"/>
  </w:num>
  <w:num w:numId="22">
    <w:abstractNumId w:val="15"/>
    <w:lvlOverride w:ilvl="0">
      <w:lvl w:ilvl="0" w:tplc="91D052FA">
        <w:start w:val="1"/>
        <w:numFmt w:val="upperRoman"/>
        <w:lvlText w:val="Objective %1."/>
        <w:lvlJc w:val="left"/>
        <w:pPr>
          <w:ind w:left="1637" w:hanging="360"/>
        </w:pPr>
        <w:rPr>
          <w:rFonts w:hint="default"/>
        </w:rPr>
      </w:lvl>
    </w:lvlOverride>
    <w:lvlOverride w:ilvl="1">
      <w:lvl w:ilvl="1" w:tplc="08090019" w:tentative="1">
        <w:start w:val="1"/>
        <w:numFmt w:val="lowerLetter"/>
        <w:lvlText w:val="%2."/>
        <w:lvlJc w:val="left"/>
        <w:pPr>
          <w:ind w:left="2357" w:hanging="360"/>
        </w:pPr>
      </w:lvl>
    </w:lvlOverride>
    <w:lvlOverride w:ilvl="2">
      <w:lvl w:ilvl="2" w:tplc="0809001B" w:tentative="1">
        <w:start w:val="1"/>
        <w:numFmt w:val="lowerRoman"/>
        <w:lvlText w:val="%3."/>
        <w:lvlJc w:val="right"/>
        <w:pPr>
          <w:ind w:left="3077" w:hanging="180"/>
        </w:pPr>
      </w:lvl>
    </w:lvlOverride>
    <w:lvlOverride w:ilvl="3">
      <w:lvl w:ilvl="3" w:tplc="0809000F" w:tentative="1">
        <w:start w:val="1"/>
        <w:numFmt w:val="decimal"/>
        <w:lvlText w:val="%4."/>
        <w:lvlJc w:val="left"/>
        <w:pPr>
          <w:ind w:left="3797" w:hanging="360"/>
        </w:pPr>
      </w:lvl>
    </w:lvlOverride>
    <w:lvlOverride w:ilvl="4">
      <w:lvl w:ilvl="4" w:tplc="08090019" w:tentative="1">
        <w:start w:val="1"/>
        <w:numFmt w:val="lowerLetter"/>
        <w:lvlText w:val="%5."/>
        <w:lvlJc w:val="left"/>
        <w:pPr>
          <w:ind w:left="4517" w:hanging="360"/>
        </w:pPr>
      </w:lvl>
    </w:lvlOverride>
    <w:lvlOverride w:ilvl="5">
      <w:lvl w:ilvl="5" w:tplc="0809001B" w:tentative="1">
        <w:start w:val="1"/>
        <w:numFmt w:val="lowerRoman"/>
        <w:lvlText w:val="%6."/>
        <w:lvlJc w:val="right"/>
        <w:pPr>
          <w:ind w:left="5237" w:hanging="180"/>
        </w:pPr>
      </w:lvl>
    </w:lvlOverride>
    <w:lvlOverride w:ilvl="6">
      <w:lvl w:ilvl="6" w:tplc="0809000F" w:tentative="1">
        <w:start w:val="1"/>
        <w:numFmt w:val="decimal"/>
        <w:lvlText w:val="%7."/>
        <w:lvlJc w:val="left"/>
        <w:pPr>
          <w:ind w:left="5957" w:hanging="360"/>
        </w:pPr>
      </w:lvl>
    </w:lvlOverride>
    <w:lvlOverride w:ilvl="7">
      <w:lvl w:ilvl="7" w:tplc="08090019" w:tentative="1">
        <w:start w:val="1"/>
        <w:numFmt w:val="lowerLetter"/>
        <w:lvlText w:val="%8."/>
        <w:lvlJc w:val="left"/>
        <w:pPr>
          <w:ind w:left="6677" w:hanging="360"/>
        </w:pPr>
      </w:lvl>
    </w:lvlOverride>
    <w:lvlOverride w:ilvl="8">
      <w:lvl w:ilvl="8" w:tplc="0809001B" w:tentative="1">
        <w:start w:val="1"/>
        <w:numFmt w:val="lowerRoman"/>
        <w:lvlText w:val="%9."/>
        <w:lvlJc w:val="right"/>
        <w:pPr>
          <w:ind w:left="7397" w:hanging="180"/>
        </w:pPr>
      </w:lvl>
    </w:lvlOverride>
  </w:num>
  <w:num w:numId="23">
    <w:abstractNumId w:val="6"/>
    <w:lvlOverride w:ilvl="0">
      <w:lvl w:ilvl="0" w:tplc="0809000F">
        <w:start w:val="1"/>
        <w:numFmt w:val="decimal"/>
        <w:lvlText w:val="%1."/>
        <w:lvlJc w:val="left"/>
        <w:pPr>
          <w:ind w:left="780" w:hanging="360"/>
        </w:pPr>
      </w:lvl>
    </w:lvlOverride>
    <w:lvlOverride w:ilvl="1">
      <w:lvl w:ilvl="1" w:tplc="08090019" w:tentative="1">
        <w:start w:val="1"/>
        <w:numFmt w:val="lowerLetter"/>
        <w:lvlText w:val="%2."/>
        <w:lvlJc w:val="left"/>
        <w:pPr>
          <w:ind w:left="1500" w:hanging="360"/>
        </w:pPr>
      </w:lvl>
    </w:lvlOverride>
    <w:lvlOverride w:ilvl="2">
      <w:lvl w:ilvl="2" w:tplc="0809001B" w:tentative="1">
        <w:start w:val="1"/>
        <w:numFmt w:val="lowerRoman"/>
        <w:lvlText w:val="%3."/>
        <w:lvlJc w:val="right"/>
        <w:pPr>
          <w:ind w:left="2220" w:hanging="180"/>
        </w:pPr>
      </w:lvl>
    </w:lvlOverride>
    <w:lvlOverride w:ilvl="3">
      <w:lvl w:ilvl="3" w:tplc="0809000F" w:tentative="1">
        <w:start w:val="1"/>
        <w:numFmt w:val="decimal"/>
        <w:lvlText w:val="%4."/>
        <w:lvlJc w:val="left"/>
        <w:pPr>
          <w:ind w:left="2940" w:hanging="360"/>
        </w:pPr>
      </w:lvl>
    </w:lvlOverride>
    <w:lvlOverride w:ilvl="4">
      <w:lvl w:ilvl="4" w:tplc="08090019" w:tentative="1">
        <w:start w:val="1"/>
        <w:numFmt w:val="lowerLetter"/>
        <w:lvlText w:val="%5."/>
        <w:lvlJc w:val="left"/>
        <w:pPr>
          <w:ind w:left="3660" w:hanging="360"/>
        </w:pPr>
      </w:lvl>
    </w:lvlOverride>
    <w:lvlOverride w:ilvl="5">
      <w:lvl w:ilvl="5" w:tplc="0809001B" w:tentative="1">
        <w:start w:val="1"/>
        <w:numFmt w:val="lowerRoman"/>
        <w:lvlText w:val="%6."/>
        <w:lvlJc w:val="right"/>
        <w:pPr>
          <w:ind w:left="4380" w:hanging="180"/>
        </w:pPr>
      </w:lvl>
    </w:lvlOverride>
    <w:lvlOverride w:ilvl="6">
      <w:lvl w:ilvl="6" w:tplc="0809000F" w:tentative="1">
        <w:start w:val="1"/>
        <w:numFmt w:val="decimal"/>
        <w:lvlText w:val="%7."/>
        <w:lvlJc w:val="left"/>
        <w:pPr>
          <w:ind w:left="5100" w:hanging="360"/>
        </w:pPr>
      </w:lvl>
    </w:lvlOverride>
    <w:lvlOverride w:ilvl="7">
      <w:lvl w:ilvl="7" w:tplc="08090019" w:tentative="1">
        <w:start w:val="1"/>
        <w:numFmt w:val="lowerLetter"/>
        <w:lvlText w:val="%8."/>
        <w:lvlJc w:val="left"/>
        <w:pPr>
          <w:ind w:left="5820" w:hanging="360"/>
        </w:pPr>
      </w:lvl>
    </w:lvlOverride>
    <w:lvlOverride w:ilvl="8">
      <w:lvl w:ilvl="8" w:tplc="0809001B" w:tentative="1">
        <w:start w:val="1"/>
        <w:numFmt w:val="lowerRoman"/>
        <w:lvlText w:val="%9."/>
        <w:lvlJc w:val="right"/>
        <w:pPr>
          <w:ind w:left="6540" w:hanging="180"/>
        </w:pPr>
      </w:lvl>
    </w:lvlOverride>
  </w:num>
  <w:num w:numId="24">
    <w:abstractNumId w:val="15"/>
    <w:lvlOverride w:ilvl="0">
      <w:lvl w:ilvl="0" w:tplc="91D052FA">
        <w:start w:val="1"/>
        <w:numFmt w:val="upperRoman"/>
        <w:lvlText w:val="Objective %1."/>
        <w:lvlJc w:val="left"/>
        <w:pPr>
          <w:ind w:left="1637" w:hanging="360"/>
        </w:pPr>
        <w:rPr>
          <w:rFonts w:hint="default"/>
        </w:rPr>
      </w:lvl>
    </w:lvlOverride>
    <w:lvlOverride w:ilvl="1">
      <w:lvl w:ilvl="1" w:tplc="08090019" w:tentative="1">
        <w:start w:val="1"/>
        <w:numFmt w:val="lowerLetter"/>
        <w:lvlText w:val="%2."/>
        <w:lvlJc w:val="left"/>
        <w:pPr>
          <w:ind w:left="2357" w:hanging="360"/>
        </w:pPr>
      </w:lvl>
    </w:lvlOverride>
    <w:lvlOverride w:ilvl="2">
      <w:lvl w:ilvl="2" w:tplc="0809001B" w:tentative="1">
        <w:start w:val="1"/>
        <w:numFmt w:val="lowerRoman"/>
        <w:lvlText w:val="%3."/>
        <w:lvlJc w:val="right"/>
        <w:pPr>
          <w:ind w:left="3077" w:hanging="180"/>
        </w:pPr>
      </w:lvl>
    </w:lvlOverride>
    <w:lvlOverride w:ilvl="3">
      <w:lvl w:ilvl="3" w:tplc="0809000F" w:tentative="1">
        <w:start w:val="1"/>
        <w:numFmt w:val="decimal"/>
        <w:lvlText w:val="%4."/>
        <w:lvlJc w:val="left"/>
        <w:pPr>
          <w:ind w:left="3797" w:hanging="360"/>
        </w:pPr>
      </w:lvl>
    </w:lvlOverride>
    <w:lvlOverride w:ilvl="4">
      <w:lvl w:ilvl="4" w:tplc="08090019" w:tentative="1">
        <w:start w:val="1"/>
        <w:numFmt w:val="lowerLetter"/>
        <w:lvlText w:val="%5."/>
        <w:lvlJc w:val="left"/>
        <w:pPr>
          <w:ind w:left="4517" w:hanging="360"/>
        </w:pPr>
      </w:lvl>
    </w:lvlOverride>
    <w:lvlOverride w:ilvl="5">
      <w:lvl w:ilvl="5" w:tplc="0809001B" w:tentative="1">
        <w:start w:val="1"/>
        <w:numFmt w:val="lowerRoman"/>
        <w:lvlText w:val="%6."/>
        <w:lvlJc w:val="right"/>
        <w:pPr>
          <w:ind w:left="5237" w:hanging="180"/>
        </w:pPr>
      </w:lvl>
    </w:lvlOverride>
    <w:lvlOverride w:ilvl="6">
      <w:lvl w:ilvl="6" w:tplc="0809000F" w:tentative="1">
        <w:start w:val="1"/>
        <w:numFmt w:val="decimal"/>
        <w:lvlText w:val="%7."/>
        <w:lvlJc w:val="left"/>
        <w:pPr>
          <w:ind w:left="5957" w:hanging="360"/>
        </w:pPr>
      </w:lvl>
    </w:lvlOverride>
    <w:lvlOverride w:ilvl="7">
      <w:lvl w:ilvl="7" w:tplc="08090019" w:tentative="1">
        <w:start w:val="1"/>
        <w:numFmt w:val="lowerLetter"/>
        <w:lvlText w:val="%8."/>
        <w:lvlJc w:val="left"/>
        <w:pPr>
          <w:ind w:left="6677" w:hanging="360"/>
        </w:pPr>
      </w:lvl>
    </w:lvlOverride>
    <w:lvlOverride w:ilvl="8">
      <w:lvl w:ilvl="8" w:tplc="0809001B" w:tentative="1">
        <w:start w:val="1"/>
        <w:numFmt w:val="lowerRoman"/>
        <w:lvlText w:val="%9."/>
        <w:lvlJc w:val="right"/>
        <w:pPr>
          <w:ind w:left="7397" w:hanging="180"/>
        </w:pPr>
      </w:lvl>
    </w:lvlOverride>
  </w:num>
  <w:num w:numId="25">
    <w:abstractNumId w:val="6"/>
    <w:lvlOverride w:ilvl="0">
      <w:lvl w:ilvl="0" w:tplc="0809000F">
        <w:start w:val="1"/>
        <w:numFmt w:val="decimal"/>
        <w:lvlText w:val="%1."/>
        <w:lvlJc w:val="left"/>
        <w:pPr>
          <w:ind w:left="780" w:hanging="360"/>
        </w:pPr>
      </w:lvl>
    </w:lvlOverride>
    <w:lvlOverride w:ilvl="1">
      <w:lvl w:ilvl="1" w:tplc="08090019" w:tentative="1">
        <w:start w:val="1"/>
        <w:numFmt w:val="lowerLetter"/>
        <w:lvlText w:val="%2."/>
        <w:lvlJc w:val="left"/>
        <w:pPr>
          <w:ind w:left="1500" w:hanging="360"/>
        </w:pPr>
      </w:lvl>
    </w:lvlOverride>
    <w:lvlOverride w:ilvl="2">
      <w:lvl w:ilvl="2" w:tplc="0809001B" w:tentative="1">
        <w:start w:val="1"/>
        <w:numFmt w:val="lowerRoman"/>
        <w:lvlText w:val="%3."/>
        <w:lvlJc w:val="right"/>
        <w:pPr>
          <w:ind w:left="2220" w:hanging="180"/>
        </w:pPr>
      </w:lvl>
    </w:lvlOverride>
    <w:lvlOverride w:ilvl="3">
      <w:lvl w:ilvl="3" w:tplc="0809000F" w:tentative="1">
        <w:start w:val="1"/>
        <w:numFmt w:val="decimal"/>
        <w:lvlText w:val="%4."/>
        <w:lvlJc w:val="left"/>
        <w:pPr>
          <w:ind w:left="2940" w:hanging="360"/>
        </w:pPr>
      </w:lvl>
    </w:lvlOverride>
    <w:lvlOverride w:ilvl="4">
      <w:lvl w:ilvl="4" w:tplc="08090019" w:tentative="1">
        <w:start w:val="1"/>
        <w:numFmt w:val="lowerLetter"/>
        <w:lvlText w:val="%5."/>
        <w:lvlJc w:val="left"/>
        <w:pPr>
          <w:ind w:left="3660" w:hanging="360"/>
        </w:pPr>
      </w:lvl>
    </w:lvlOverride>
    <w:lvlOverride w:ilvl="5">
      <w:lvl w:ilvl="5" w:tplc="0809001B" w:tentative="1">
        <w:start w:val="1"/>
        <w:numFmt w:val="lowerRoman"/>
        <w:lvlText w:val="%6."/>
        <w:lvlJc w:val="right"/>
        <w:pPr>
          <w:ind w:left="4380" w:hanging="180"/>
        </w:pPr>
      </w:lvl>
    </w:lvlOverride>
    <w:lvlOverride w:ilvl="6">
      <w:lvl w:ilvl="6" w:tplc="0809000F" w:tentative="1">
        <w:start w:val="1"/>
        <w:numFmt w:val="decimal"/>
        <w:lvlText w:val="%7."/>
        <w:lvlJc w:val="left"/>
        <w:pPr>
          <w:ind w:left="5100" w:hanging="360"/>
        </w:pPr>
      </w:lvl>
    </w:lvlOverride>
    <w:lvlOverride w:ilvl="7">
      <w:lvl w:ilvl="7" w:tplc="08090019" w:tentative="1">
        <w:start w:val="1"/>
        <w:numFmt w:val="lowerLetter"/>
        <w:lvlText w:val="%8."/>
        <w:lvlJc w:val="left"/>
        <w:pPr>
          <w:ind w:left="5820" w:hanging="360"/>
        </w:pPr>
      </w:lvl>
    </w:lvlOverride>
    <w:lvlOverride w:ilvl="8">
      <w:lvl w:ilvl="8" w:tplc="0809001B" w:tentative="1">
        <w:start w:val="1"/>
        <w:numFmt w:val="lowerRoman"/>
        <w:lvlText w:val="%9."/>
        <w:lvlJc w:val="right"/>
        <w:pPr>
          <w:ind w:left="6540" w:hanging="180"/>
        </w:pPr>
      </w:lvl>
    </w:lvlOverride>
  </w:num>
  <w:num w:numId="26">
    <w:abstractNumId w:val="22"/>
  </w:num>
  <w:num w:numId="27">
    <w:abstractNumId w:val="20"/>
  </w:num>
  <w:num w:numId="28">
    <w:abstractNumId w:val="35"/>
  </w:num>
  <w:num w:numId="29">
    <w:abstractNumId w:val="15"/>
    <w:lvlOverride w:ilvl="0">
      <w:lvl w:ilvl="0" w:tplc="91D052FA">
        <w:start w:val="1"/>
        <w:numFmt w:val="upperRoman"/>
        <w:lvlText w:val="Objective %1."/>
        <w:lvlJc w:val="left"/>
        <w:pPr>
          <w:ind w:left="1778" w:hanging="360"/>
        </w:pPr>
        <w:rPr>
          <w:rFonts w:hint="default"/>
          <w:b/>
        </w:rPr>
      </w:lvl>
    </w:lvlOverride>
    <w:lvlOverride w:ilvl="1">
      <w:lvl w:ilvl="1" w:tplc="08090019" w:tentative="1">
        <w:start w:val="1"/>
        <w:numFmt w:val="lowerLetter"/>
        <w:lvlText w:val="%2."/>
        <w:lvlJc w:val="left"/>
        <w:pPr>
          <w:ind w:left="2357" w:hanging="360"/>
        </w:pPr>
      </w:lvl>
    </w:lvlOverride>
    <w:lvlOverride w:ilvl="2">
      <w:lvl w:ilvl="2" w:tplc="0809001B" w:tentative="1">
        <w:start w:val="1"/>
        <w:numFmt w:val="lowerRoman"/>
        <w:lvlText w:val="%3."/>
        <w:lvlJc w:val="right"/>
        <w:pPr>
          <w:ind w:left="3077" w:hanging="180"/>
        </w:pPr>
      </w:lvl>
    </w:lvlOverride>
    <w:lvlOverride w:ilvl="3">
      <w:lvl w:ilvl="3" w:tplc="0809000F" w:tentative="1">
        <w:start w:val="1"/>
        <w:numFmt w:val="decimal"/>
        <w:lvlText w:val="%4."/>
        <w:lvlJc w:val="left"/>
        <w:pPr>
          <w:ind w:left="3797" w:hanging="360"/>
        </w:pPr>
      </w:lvl>
    </w:lvlOverride>
    <w:lvlOverride w:ilvl="4">
      <w:lvl w:ilvl="4" w:tplc="08090019" w:tentative="1">
        <w:start w:val="1"/>
        <w:numFmt w:val="lowerLetter"/>
        <w:lvlText w:val="%5."/>
        <w:lvlJc w:val="left"/>
        <w:pPr>
          <w:ind w:left="4517" w:hanging="360"/>
        </w:pPr>
      </w:lvl>
    </w:lvlOverride>
    <w:lvlOverride w:ilvl="5">
      <w:lvl w:ilvl="5" w:tplc="0809001B" w:tentative="1">
        <w:start w:val="1"/>
        <w:numFmt w:val="lowerRoman"/>
        <w:lvlText w:val="%6."/>
        <w:lvlJc w:val="right"/>
        <w:pPr>
          <w:ind w:left="5237" w:hanging="180"/>
        </w:pPr>
      </w:lvl>
    </w:lvlOverride>
    <w:lvlOverride w:ilvl="6">
      <w:lvl w:ilvl="6" w:tplc="0809000F" w:tentative="1">
        <w:start w:val="1"/>
        <w:numFmt w:val="decimal"/>
        <w:lvlText w:val="%7."/>
        <w:lvlJc w:val="left"/>
        <w:pPr>
          <w:ind w:left="5957" w:hanging="360"/>
        </w:pPr>
      </w:lvl>
    </w:lvlOverride>
    <w:lvlOverride w:ilvl="7">
      <w:lvl w:ilvl="7" w:tplc="08090019" w:tentative="1">
        <w:start w:val="1"/>
        <w:numFmt w:val="lowerLetter"/>
        <w:lvlText w:val="%8."/>
        <w:lvlJc w:val="left"/>
        <w:pPr>
          <w:ind w:left="6677" w:hanging="360"/>
        </w:pPr>
      </w:lvl>
    </w:lvlOverride>
    <w:lvlOverride w:ilvl="8">
      <w:lvl w:ilvl="8" w:tplc="0809001B" w:tentative="1">
        <w:start w:val="1"/>
        <w:numFmt w:val="lowerRoman"/>
        <w:lvlText w:val="%9."/>
        <w:lvlJc w:val="right"/>
        <w:pPr>
          <w:ind w:left="7397" w:hanging="180"/>
        </w:pPr>
      </w:lvl>
    </w:lvlOverride>
  </w:num>
  <w:num w:numId="30">
    <w:abstractNumId w:val="15"/>
    <w:lvlOverride w:ilvl="0">
      <w:lvl w:ilvl="0" w:tplc="91D052FA">
        <w:start w:val="1"/>
        <w:numFmt w:val="upperRoman"/>
        <w:lvlText w:val="Objective %1."/>
        <w:lvlJc w:val="left"/>
        <w:pPr>
          <w:ind w:left="1778" w:hanging="360"/>
        </w:pPr>
        <w:rPr>
          <w:rFonts w:hint="default"/>
          <w:b/>
        </w:rPr>
      </w:lvl>
    </w:lvlOverride>
    <w:lvlOverride w:ilvl="1">
      <w:lvl w:ilvl="1" w:tplc="08090019" w:tentative="1">
        <w:start w:val="1"/>
        <w:numFmt w:val="lowerLetter"/>
        <w:lvlText w:val="%2."/>
        <w:lvlJc w:val="left"/>
        <w:pPr>
          <w:ind w:left="2357" w:hanging="360"/>
        </w:pPr>
      </w:lvl>
    </w:lvlOverride>
    <w:lvlOverride w:ilvl="2">
      <w:lvl w:ilvl="2" w:tplc="0809001B" w:tentative="1">
        <w:start w:val="1"/>
        <w:numFmt w:val="lowerRoman"/>
        <w:lvlText w:val="%3."/>
        <w:lvlJc w:val="right"/>
        <w:pPr>
          <w:ind w:left="3077" w:hanging="180"/>
        </w:pPr>
      </w:lvl>
    </w:lvlOverride>
    <w:lvlOverride w:ilvl="3">
      <w:lvl w:ilvl="3" w:tplc="0809000F" w:tentative="1">
        <w:start w:val="1"/>
        <w:numFmt w:val="decimal"/>
        <w:lvlText w:val="%4."/>
        <w:lvlJc w:val="left"/>
        <w:pPr>
          <w:ind w:left="3797" w:hanging="360"/>
        </w:pPr>
      </w:lvl>
    </w:lvlOverride>
    <w:lvlOverride w:ilvl="4">
      <w:lvl w:ilvl="4" w:tplc="08090019" w:tentative="1">
        <w:start w:val="1"/>
        <w:numFmt w:val="lowerLetter"/>
        <w:lvlText w:val="%5."/>
        <w:lvlJc w:val="left"/>
        <w:pPr>
          <w:ind w:left="4517" w:hanging="360"/>
        </w:pPr>
      </w:lvl>
    </w:lvlOverride>
    <w:lvlOverride w:ilvl="5">
      <w:lvl w:ilvl="5" w:tplc="0809001B" w:tentative="1">
        <w:start w:val="1"/>
        <w:numFmt w:val="lowerRoman"/>
        <w:lvlText w:val="%6."/>
        <w:lvlJc w:val="right"/>
        <w:pPr>
          <w:ind w:left="5237" w:hanging="180"/>
        </w:pPr>
      </w:lvl>
    </w:lvlOverride>
    <w:lvlOverride w:ilvl="6">
      <w:lvl w:ilvl="6" w:tplc="0809000F" w:tentative="1">
        <w:start w:val="1"/>
        <w:numFmt w:val="decimal"/>
        <w:lvlText w:val="%7."/>
        <w:lvlJc w:val="left"/>
        <w:pPr>
          <w:ind w:left="5957" w:hanging="360"/>
        </w:pPr>
      </w:lvl>
    </w:lvlOverride>
    <w:lvlOverride w:ilvl="7">
      <w:lvl w:ilvl="7" w:tplc="08090019" w:tentative="1">
        <w:start w:val="1"/>
        <w:numFmt w:val="lowerLetter"/>
        <w:lvlText w:val="%8."/>
        <w:lvlJc w:val="left"/>
        <w:pPr>
          <w:ind w:left="6677" w:hanging="360"/>
        </w:pPr>
      </w:lvl>
    </w:lvlOverride>
    <w:lvlOverride w:ilvl="8">
      <w:lvl w:ilvl="8" w:tplc="0809001B" w:tentative="1">
        <w:start w:val="1"/>
        <w:numFmt w:val="lowerRoman"/>
        <w:lvlText w:val="%9."/>
        <w:lvlJc w:val="right"/>
        <w:pPr>
          <w:ind w:left="7397" w:hanging="180"/>
        </w:pPr>
      </w:lvl>
    </w:lvlOverride>
  </w:num>
  <w:num w:numId="31">
    <w:abstractNumId w:val="15"/>
    <w:lvlOverride w:ilvl="0">
      <w:lvl w:ilvl="0" w:tplc="91D052FA">
        <w:start w:val="1"/>
        <w:numFmt w:val="upperRoman"/>
        <w:lvlText w:val="Objective %1."/>
        <w:lvlJc w:val="left"/>
        <w:pPr>
          <w:ind w:left="1778" w:hanging="360"/>
        </w:pPr>
        <w:rPr>
          <w:rFonts w:hint="default"/>
          <w:b/>
        </w:rPr>
      </w:lvl>
    </w:lvlOverride>
    <w:lvlOverride w:ilvl="1">
      <w:lvl w:ilvl="1" w:tplc="08090019" w:tentative="1">
        <w:start w:val="1"/>
        <w:numFmt w:val="lowerLetter"/>
        <w:lvlText w:val="%2."/>
        <w:lvlJc w:val="left"/>
        <w:pPr>
          <w:ind w:left="2357" w:hanging="360"/>
        </w:pPr>
      </w:lvl>
    </w:lvlOverride>
    <w:lvlOverride w:ilvl="2">
      <w:lvl w:ilvl="2" w:tplc="0809001B" w:tentative="1">
        <w:start w:val="1"/>
        <w:numFmt w:val="lowerRoman"/>
        <w:lvlText w:val="%3."/>
        <w:lvlJc w:val="right"/>
        <w:pPr>
          <w:ind w:left="3077" w:hanging="180"/>
        </w:pPr>
      </w:lvl>
    </w:lvlOverride>
    <w:lvlOverride w:ilvl="3">
      <w:lvl w:ilvl="3" w:tplc="0809000F" w:tentative="1">
        <w:start w:val="1"/>
        <w:numFmt w:val="decimal"/>
        <w:lvlText w:val="%4."/>
        <w:lvlJc w:val="left"/>
        <w:pPr>
          <w:ind w:left="3797" w:hanging="360"/>
        </w:pPr>
      </w:lvl>
    </w:lvlOverride>
    <w:lvlOverride w:ilvl="4">
      <w:lvl w:ilvl="4" w:tplc="08090019" w:tentative="1">
        <w:start w:val="1"/>
        <w:numFmt w:val="lowerLetter"/>
        <w:lvlText w:val="%5."/>
        <w:lvlJc w:val="left"/>
        <w:pPr>
          <w:ind w:left="4517" w:hanging="360"/>
        </w:pPr>
      </w:lvl>
    </w:lvlOverride>
    <w:lvlOverride w:ilvl="5">
      <w:lvl w:ilvl="5" w:tplc="0809001B" w:tentative="1">
        <w:start w:val="1"/>
        <w:numFmt w:val="lowerRoman"/>
        <w:lvlText w:val="%6."/>
        <w:lvlJc w:val="right"/>
        <w:pPr>
          <w:ind w:left="5237" w:hanging="180"/>
        </w:pPr>
      </w:lvl>
    </w:lvlOverride>
    <w:lvlOverride w:ilvl="6">
      <w:lvl w:ilvl="6" w:tplc="0809000F" w:tentative="1">
        <w:start w:val="1"/>
        <w:numFmt w:val="decimal"/>
        <w:lvlText w:val="%7."/>
        <w:lvlJc w:val="left"/>
        <w:pPr>
          <w:ind w:left="5957" w:hanging="360"/>
        </w:pPr>
      </w:lvl>
    </w:lvlOverride>
    <w:lvlOverride w:ilvl="7">
      <w:lvl w:ilvl="7" w:tplc="08090019" w:tentative="1">
        <w:start w:val="1"/>
        <w:numFmt w:val="lowerLetter"/>
        <w:lvlText w:val="%8."/>
        <w:lvlJc w:val="left"/>
        <w:pPr>
          <w:ind w:left="6677" w:hanging="360"/>
        </w:pPr>
      </w:lvl>
    </w:lvlOverride>
    <w:lvlOverride w:ilvl="8">
      <w:lvl w:ilvl="8" w:tplc="0809001B" w:tentative="1">
        <w:start w:val="1"/>
        <w:numFmt w:val="lowerRoman"/>
        <w:lvlText w:val="%9."/>
        <w:lvlJc w:val="right"/>
        <w:pPr>
          <w:ind w:left="7397" w:hanging="180"/>
        </w:pPr>
      </w:lvl>
    </w:lvlOverride>
  </w:num>
  <w:num w:numId="32">
    <w:abstractNumId w:val="15"/>
    <w:lvlOverride w:ilvl="0">
      <w:lvl w:ilvl="0" w:tplc="91D052FA">
        <w:start w:val="1"/>
        <w:numFmt w:val="upperRoman"/>
        <w:lvlText w:val="Objective %1."/>
        <w:lvlJc w:val="left"/>
        <w:pPr>
          <w:ind w:left="1778" w:hanging="360"/>
        </w:pPr>
        <w:rPr>
          <w:rFonts w:hint="default"/>
          <w:b/>
        </w:rPr>
      </w:lvl>
    </w:lvlOverride>
    <w:lvlOverride w:ilvl="1">
      <w:lvl w:ilvl="1" w:tplc="08090019" w:tentative="1">
        <w:start w:val="1"/>
        <w:numFmt w:val="lowerLetter"/>
        <w:lvlText w:val="%2."/>
        <w:lvlJc w:val="left"/>
        <w:pPr>
          <w:ind w:left="2357" w:hanging="360"/>
        </w:pPr>
      </w:lvl>
    </w:lvlOverride>
    <w:lvlOverride w:ilvl="2">
      <w:lvl w:ilvl="2" w:tplc="0809001B" w:tentative="1">
        <w:start w:val="1"/>
        <w:numFmt w:val="lowerRoman"/>
        <w:lvlText w:val="%3."/>
        <w:lvlJc w:val="right"/>
        <w:pPr>
          <w:ind w:left="3077" w:hanging="180"/>
        </w:pPr>
      </w:lvl>
    </w:lvlOverride>
    <w:lvlOverride w:ilvl="3">
      <w:lvl w:ilvl="3" w:tplc="0809000F" w:tentative="1">
        <w:start w:val="1"/>
        <w:numFmt w:val="decimal"/>
        <w:lvlText w:val="%4."/>
        <w:lvlJc w:val="left"/>
        <w:pPr>
          <w:ind w:left="3797" w:hanging="360"/>
        </w:pPr>
      </w:lvl>
    </w:lvlOverride>
    <w:lvlOverride w:ilvl="4">
      <w:lvl w:ilvl="4" w:tplc="08090019" w:tentative="1">
        <w:start w:val="1"/>
        <w:numFmt w:val="lowerLetter"/>
        <w:lvlText w:val="%5."/>
        <w:lvlJc w:val="left"/>
        <w:pPr>
          <w:ind w:left="4517" w:hanging="360"/>
        </w:pPr>
      </w:lvl>
    </w:lvlOverride>
    <w:lvlOverride w:ilvl="5">
      <w:lvl w:ilvl="5" w:tplc="0809001B" w:tentative="1">
        <w:start w:val="1"/>
        <w:numFmt w:val="lowerRoman"/>
        <w:lvlText w:val="%6."/>
        <w:lvlJc w:val="right"/>
        <w:pPr>
          <w:ind w:left="5237" w:hanging="180"/>
        </w:pPr>
      </w:lvl>
    </w:lvlOverride>
    <w:lvlOverride w:ilvl="6">
      <w:lvl w:ilvl="6" w:tplc="0809000F" w:tentative="1">
        <w:start w:val="1"/>
        <w:numFmt w:val="decimal"/>
        <w:lvlText w:val="%7."/>
        <w:lvlJc w:val="left"/>
        <w:pPr>
          <w:ind w:left="5957" w:hanging="360"/>
        </w:pPr>
      </w:lvl>
    </w:lvlOverride>
    <w:lvlOverride w:ilvl="7">
      <w:lvl w:ilvl="7" w:tplc="08090019" w:tentative="1">
        <w:start w:val="1"/>
        <w:numFmt w:val="lowerLetter"/>
        <w:lvlText w:val="%8."/>
        <w:lvlJc w:val="left"/>
        <w:pPr>
          <w:ind w:left="6677" w:hanging="360"/>
        </w:pPr>
      </w:lvl>
    </w:lvlOverride>
    <w:lvlOverride w:ilvl="8">
      <w:lvl w:ilvl="8" w:tplc="0809001B" w:tentative="1">
        <w:start w:val="1"/>
        <w:numFmt w:val="lowerRoman"/>
        <w:lvlText w:val="%9."/>
        <w:lvlJc w:val="right"/>
        <w:pPr>
          <w:ind w:left="7397" w:hanging="180"/>
        </w:pPr>
      </w:lvl>
    </w:lvlOverride>
  </w:num>
  <w:num w:numId="33">
    <w:abstractNumId w:val="34"/>
  </w:num>
  <w:num w:numId="34">
    <w:abstractNumId w:val="14"/>
  </w:num>
  <w:num w:numId="35">
    <w:abstractNumId w:val="21"/>
  </w:num>
  <w:num w:numId="36">
    <w:abstractNumId w:val="11"/>
  </w:num>
  <w:num w:numId="37">
    <w:abstractNumId w:val="3"/>
  </w:num>
  <w:num w:numId="38">
    <w:abstractNumId w:val="0"/>
  </w:num>
  <w:num w:numId="39">
    <w:abstractNumId w:val="16"/>
  </w:num>
  <w:num w:numId="40">
    <w:abstractNumId w:val="48"/>
  </w:num>
  <w:num w:numId="41">
    <w:abstractNumId w:val="31"/>
  </w:num>
  <w:num w:numId="42">
    <w:abstractNumId w:val="42"/>
  </w:num>
  <w:num w:numId="43">
    <w:abstractNumId w:val="26"/>
  </w:num>
  <w:num w:numId="44">
    <w:abstractNumId w:val="7"/>
    <w:lvlOverride w:ilvl="0">
      <w:lvl w:ilvl="0">
        <w:start w:val="1"/>
        <w:numFmt w:val="decimal"/>
        <w:lvlRestart w:val="0"/>
        <w:pStyle w:val="NumPar1"/>
        <w:lvlText w:val="%1."/>
        <w:lvlJc w:val="left"/>
        <w:pPr>
          <w:tabs>
            <w:tab w:val="num" w:pos="850"/>
          </w:tabs>
          <w:ind w:left="850" w:hanging="850"/>
        </w:pPr>
        <w:rPr>
          <w:rFonts w:cs="Times New Roman" w:hint="default"/>
        </w:rPr>
      </w:lvl>
    </w:lvlOverride>
    <w:lvlOverride w:ilvl="1">
      <w:lvl w:ilvl="1">
        <w:start w:val="1"/>
        <w:numFmt w:val="decimal"/>
        <w:pStyle w:val="NumPar2"/>
        <w:lvlText w:val="%1.%2."/>
        <w:lvlJc w:val="left"/>
        <w:pPr>
          <w:tabs>
            <w:tab w:val="num" w:pos="850"/>
          </w:tabs>
          <w:ind w:left="850" w:hanging="850"/>
        </w:pPr>
        <w:rPr>
          <w:rFonts w:cs="Times New Roman" w:hint="default"/>
        </w:rPr>
      </w:lvl>
    </w:lvlOverride>
    <w:lvlOverride w:ilvl="2">
      <w:lvl w:ilvl="2">
        <w:start w:val="1"/>
        <w:numFmt w:val="decimal"/>
        <w:pStyle w:val="NumPar3"/>
        <w:lvlText w:val="%1.%2.%3."/>
        <w:lvlJc w:val="left"/>
        <w:pPr>
          <w:tabs>
            <w:tab w:val="num" w:pos="850"/>
          </w:tabs>
          <w:ind w:left="850" w:hanging="850"/>
        </w:pPr>
        <w:rPr>
          <w:rFonts w:cs="Times New Roman" w:hint="default"/>
        </w:rPr>
      </w:lvl>
    </w:lvlOverride>
    <w:lvlOverride w:ilvl="3">
      <w:lvl w:ilvl="3">
        <w:start w:val="1"/>
        <w:numFmt w:val="decimal"/>
        <w:pStyle w:val="NumPar4"/>
        <w:lvlText w:val="%1.%2.%3.%4."/>
        <w:lvlJc w:val="left"/>
        <w:pPr>
          <w:tabs>
            <w:tab w:val="num" w:pos="850"/>
          </w:tabs>
          <w:ind w:left="850" w:hanging="850"/>
        </w:pPr>
        <w:rPr>
          <w:rFonts w:cs="Times New Roman" w:hint="default"/>
        </w:rPr>
      </w:lvl>
    </w:lvlOverride>
    <w:lvlOverride w:ilvl="4">
      <w:lvl w:ilvl="4">
        <w:start w:val="1"/>
        <w:numFmt w:val="lowerLetter"/>
        <w:lvlText w:val="(%5)"/>
        <w:lvlJc w:val="left"/>
        <w:pPr>
          <w:tabs>
            <w:tab w:val="num" w:pos="1800"/>
          </w:tabs>
          <w:ind w:left="1800" w:hanging="360"/>
        </w:pPr>
        <w:rPr>
          <w:rFonts w:cs="Times New Roman" w:hint="default"/>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45">
    <w:abstractNumId w:val="7"/>
    <w:lvlOverride w:ilvl="0">
      <w:startOverride w:val="1"/>
      <w:lvl w:ilvl="0">
        <w:start w:val="1"/>
        <w:numFmt w:val="decimal"/>
        <w:lvlRestart w:val="0"/>
        <w:pStyle w:val="NumPar1"/>
        <w:lvlText w:val="%1."/>
        <w:lvlJc w:val="left"/>
        <w:pPr>
          <w:tabs>
            <w:tab w:val="num" w:pos="850"/>
          </w:tabs>
          <w:ind w:left="850" w:hanging="850"/>
        </w:pPr>
        <w:rPr>
          <w:rFonts w:cs="Times New Roman" w:hint="default"/>
        </w:rPr>
      </w:lvl>
    </w:lvlOverride>
    <w:lvlOverride w:ilvl="1">
      <w:startOverride w:val="1"/>
      <w:lvl w:ilvl="1">
        <w:start w:val="1"/>
        <w:numFmt w:val="decimal"/>
        <w:pStyle w:val="NumPar2"/>
        <w:lvlText w:val="%1.%2."/>
        <w:lvlJc w:val="left"/>
        <w:pPr>
          <w:tabs>
            <w:tab w:val="num" w:pos="850"/>
          </w:tabs>
          <w:ind w:left="850" w:hanging="850"/>
        </w:pPr>
        <w:rPr>
          <w:rFonts w:cs="Times New Roman" w:hint="default"/>
        </w:rPr>
      </w:lvl>
    </w:lvlOverride>
    <w:lvlOverride w:ilvl="2">
      <w:startOverride w:val="1"/>
      <w:lvl w:ilvl="2">
        <w:start w:val="1"/>
        <w:numFmt w:val="decimal"/>
        <w:pStyle w:val="NumPar3"/>
        <w:lvlText w:val="%1.%2.%3."/>
        <w:lvlJc w:val="left"/>
        <w:pPr>
          <w:tabs>
            <w:tab w:val="num" w:pos="850"/>
          </w:tabs>
          <w:ind w:left="850" w:hanging="850"/>
        </w:pPr>
        <w:rPr>
          <w:rFonts w:cs="Times New Roman" w:hint="default"/>
        </w:rPr>
      </w:lvl>
    </w:lvlOverride>
    <w:lvlOverride w:ilvl="3">
      <w:startOverride w:val="1"/>
      <w:lvl w:ilvl="3">
        <w:start w:val="1"/>
        <w:numFmt w:val="decimal"/>
        <w:pStyle w:val="NumPar4"/>
        <w:lvlText w:val="%1.%2.%3.%4."/>
        <w:lvlJc w:val="left"/>
        <w:pPr>
          <w:tabs>
            <w:tab w:val="num" w:pos="850"/>
          </w:tabs>
          <w:ind w:left="850" w:hanging="850"/>
        </w:pPr>
        <w:rPr>
          <w:rFonts w:cs="Times New Roman" w:hint="default"/>
        </w:rPr>
      </w:lvl>
    </w:lvlOverride>
    <w:lvlOverride w:ilvl="4">
      <w:startOverride w:val="1"/>
      <w:lvl w:ilvl="4">
        <w:start w:val="1"/>
        <w:numFmt w:val="lowerLetter"/>
        <w:lvlText w:val="(%5)"/>
        <w:lvlJc w:val="left"/>
        <w:pPr>
          <w:tabs>
            <w:tab w:val="num" w:pos="1800"/>
          </w:tabs>
          <w:ind w:left="1800" w:hanging="360"/>
        </w:pPr>
        <w:rPr>
          <w:rFonts w:cs="Times New Roman" w:hint="default"/>
        </w:rPr>
      </w:lvl>
    </w:lvlOverride>
    <w:lvlOverride w:ilvl="5">
      <w:startOverride w:val="1"/>
      <w:lvl w:ilvl="5">
        <w:start w:val="1"/>
        <w:numFmt w:val="lowerRoman"/>
        <w:lvlText w:val="(%6)"/>
        <w:lvlJc w:val="left"/>
        <w:pPr>
          <w:tabs>
            <w:tab w:val="num" w:pos="2160"/>
          </w:tabs>
          <w:ind w:left="2160" w:hanging="360"/>
        </w:pPr>
        <w:rPr>
          <w:rFonts w:cs="Times New Roman" w:hint="default"/>
        </w:rPr>
      </w:lvl>
    </w:lvlOverride>
    <w:lvlOverride w:ilvl="6">
      <w:startOverride w:val="1"/>
      <w:lvl w:ilvl="6">
        <w:start w:val="1"/>
        <w:numFmt w:val="decimal"/>
        <w:lvlText w:val="%7."/>
        <w:lvlJc w:val="left"/>
        <w:pPr>
          <w:tabs>
            <w:tab w:val="num" w:pos="2520"/>
          </w:tabs>
          <w:ind w:left="2520" w:hanging="360"/>
        </w:pPr>
        <w:rPr>
          <w:rFonts w:cs="Times New Roman" w:hint="default"/>
        </w:rPr>
      </w:lvl>
    </w:lvlOverride>
    <w:lvlOverride w:ilvl="7">
      <w:startOverride w:val="1"/>
      <w:lvl w:ilvl="7">
        <w:start w:val="1"/>
        <w:numFmt w:val="lowerLetter"/>
        <w:lvlText w:val="%8."/>
        <w:lvlJc w:val="left"/>
        <w:pPr>
          <w:tabs>
            <w:tab w:val="num" w:pos="2880"/>
          </w:tabs>
          <w:ind w:left="2880" w:hanging="360"/>
        </w:pPr>
        <w:rPr>
          <w:rFonts w:cs="Times New Roman" w:hint="default"/>
        </w:rPr>
      </w:lvl>
    </w:lvlOverride>
    <w:lvlOverride w:ilvl="8">
      <w:startOverride w:val="1"/>
      <w:lvl w:ilvl="8">
        <w:start w:val="1"/>
        <w:numFmt w:val="lowerRoman"/>
        <w:lvlText w:val="%9."/>
        <w:lvlJc w:val="left"/>
        <w:pPr>
          <w:tabs>
            <w:tab w:val="num" w:pos="3240"/>
          </w:tabs>
          <w:ind w:left="3240" w:hanging="360"/>
        </w:pPr>
        <w:rPr>
          <w:rFonts w:cs="Times New Roman" w:hint="default"/>
        </w:rPr>
      </w:lvl>
    </w:lvlOverride>
  </w:num>
  <w:num w:numId="46">
    <w:abstractNumId w:val="25"/>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8"/>
  </w:num>
  <w:num w:numId="52">
    <w:abstractNumId w:val="24"/>
  </w:num>
  <w:num w:numId="53">
    <w:abstractNumId w:val="36"/>
  </w:num>
  <w:num w:numId="54">
    <w:abstractNumId w:val="28"/>
  </w:num>
  <w:num w:numId="55">
    <w:abstractNumId w:val="32"/>
  </w:num>
  <w:num w:numId="56">
    <w:abstractNumId w:val="13"/>
  </w:num>
  <w:num w:numId="57">
    <w:abstractNumId w:val="18"/>
  </w:num>
  <w:num w:numId="58">
    <w:abstractNumId w:val="17"/>
  </w:num>
  <w:num w:numId="59">
    <w:abstractNumId w:val="33"/>
  </w:num>
  <w:num w:numId="60">
    <w:abstractNumId w:val="12"/>
  </w:num>
  <w:num w:numId="61">
    <w:abstractNumId w:val="27"/>
  </w:num>
  <w:num w:numId="62">
    <w:abstractNumId w:val="39"/>
  </w:num>
  <w:num w:numId="63">
    <w:abstractNumId w:val="44"/>
  </w:num>
  <w:num w:numId="64">
    <w:abstractNumId w:val="30"/>
  </w:num>
  <w:num w:numId="65">
    <w:abstractNumId w:val="30"/>
  </w:num>
  <w:num w:numId="66">
    <w:abstractNumId w:val="30"/>
  </w:num>
  <w:num w:numId="67">
    <w:abstractNumId w:val="30"/>
  </w:num>
  <w:num w:numId="68">
    <w:abstractNumId w:val="30"/>
  </w:num>
  <w:num w:numId="69">
    <w:abstractNumId w:val="30"/>
  </w:num>
  <w:num w:numId="70">
    <w:abstractNumId w:val="30"/>
  </w:num>
  <w:num w:numId="71">
    <w:abstractNumId w:val="30"/>
  </w:num>
  <w:num w:numId="72">
    <w:abstractNumId w:val="30"/>
  </w:num>
  <w:num w:numId="73">
    <w:abstractNumId w:val="30"/>
  </w:num>
  <w:num w:numId="74">
    <w:abstractNumId w:val="30"/>
  </w:num>
  <w:num w:numId="75">
    <w:abstractNumId w:val="30"/>
  </w:num>
  <w:num w:numId="76">
    <w:abstractNumId w:val="30"/>
  </w:num>
  <w:num w:numId="77">
    <w:abstractNumId w:val="30"/>
  </w:num>
  <w:num w:numId="78">
    <w:abstractNumId w:val="30"/>
  </w:num>
  <w:num w:numId="7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hideGrammaticalErrors/>
  <w:doNotTrackMoves/>
  <w:defaultTabStop w:val="720"/>
  <w:characterSpacingControl w:val="doNotCompress"/>
  <w:hdrShapeDefaults>
    <o:shapedefaults v:ext="edit" spidmax="1126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R_RefLast" w:val="0"/>
    <w:docVar w:name="DocStatus" w:val="Green"/>
    <w:docVar w:name="LW_CORRIGENDUM" w:val="&lt;UNUSED&gt;"/>
    <w:docVar w:name="LW_COVERPAGE_EXISTS" w:val="True"/>
    <w:docVar w:name="LW_COVERPAGE_GUID" w:val="0DE7D2B3-12A5-4603-96E8-C8B3913E9634"/>
    <w:docVar w:name="LW_COVERPAGE_TYPE" w:val="1"/>
    <w:docVar w:name="LW_CROSSREFERENCE" w:val="{SWD(2018) 20 final}"/>
    <w:docVar w:name="LW_DocType" w:val="NORMAL"/>
    <w:docVar w:name="LW_EMISSION" w:val="16.1.2018"/>
    <w:docVar w:name="LW_EMISSION_ISODATE" w:val="2018-01-16"/>
    <w:docVar w:name="LW_EMISSION_LOCATION" w:val="STR"/>
    <w:docVar w:name="LW_EMISSION_PREFIX" w:val="Strasbourg, "/>
    <w:docVar w:name="LW_EMISSION_SUFFIX" w:val="&lt;EMPTY&gt;"/>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 w:val="options to address the interface between chemical, product and waste legislation"/>
    <w:docVar w:name="LW_SOUS.TITRE.OBJ.CP" w:val="options to address the interface between chemical, product and waste legislation"/>
    <w:docVar w:name="LW_SUPERTITRE" w:val="&lt;UNUSED&gt;"/>
    <w:docVar w:name="LW_TITRE.OBJ.CP" w:val="&lt;FMT:Bold&gt;cu privire la punerea în aplicare a pachetului de m\u259?suri privind economia circular\u259?: op\u539?iuni pentru abordarea interfe\u539?ei dintre legile privind substan\u539?ele chimice, produsele \u537?i de\u537?eurile &lt;/FMT&gt;_x000b__x000b__x000b_(Text cu relevan\u539?\u259? pentru SEE)_x000b_"/>
    <w:docVar w:name="LW_TYPE.DOC.CP" w:val="COMUNICARE A COMISIEI C\u258?TRE PARLAMENTUL EUROPEAN, CONSILIU, COMITETUL ECONOMIC \u536?I SOCIAL EUROPEAN \u536?I COMITETUL REGIUNILOR"/>
    <w:docVar w:name="LW_TYPE.DOC.CP.USERTEXT" w:val="&lt;EMPTY&gt;"/>
  </w:docVars>
  <w:rsids>
    <w:rsidRoot w:val="003C16F7"/>
    <w:rsid w:val="003C16F7"/>
    <w:rsid w:val="00F45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ro-RO"/>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qFormat="1"/>
    <w:lsdException w:name="annotation reference" w:uiPriority="99"/>
    <w:lsdException w:name="Title" w:qFormat="1"/>
    <w:lsdException w:name="Subtitle" w:qFormat="1"/>
    <w:lsdException w:name="Strong" w:uiPriority="22"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Text1"/>
    <w:link w:val="Heading1Char"/>
    <w:uiPriority w:val="99"/>
    <w:qFormat/>
    <w:pPr>
      <w:keepNext/>
      <w:numPr>
        <w:numId w:val="9"/>
      </w:numPr>
      <w:spacing w:before="360" w:after="120" w:line="240" w:lineRule="auto"/>
      <w:jc w:val="both"/>
      <w:outlineLvl w:val="0"/>
    </w:pPr>
    <w:rPr>
      <w:rFonts w:ascii="Times New Roman" w:eastAsia="Times New Roman" w:hAnsi="Times New Roman"/>
      <w:b/>
      <w:bCs/>
      <w:smallCaps/>
      <w:sz w:val="24"/>
      <w:szCs w:val="32"/>
    </w:rPr>
  </w:style>
  <w:style w:type="paragraph" w:styleId="Heading2">
    <w:name w:val="heading 2"/>
    <w:basedOn w:val="Normal"/>
    <w:next w:val="Text1"/>
    <w:link w:val="Heading2Char"/>
    <w:uiPriority w:val="99"/>
    <w:qFormat/>
    <w:pPr>
      <w:keepNext/>
      <w:numPr>
        <w:ilvl w:val="1"/>
        <w:numId w:val="9"/>
      </w:numPr>
      <w:spacing w:before="120" w:after="120" w:line="240" w:lineRule="auto"/>
      <w:jc w:val="both"/>
      <w:outlineLvl w:val="1"/>
    </w:pPr>
    <w:rPr>
      <w:rFonts w:ascii="Times New Roman" w:eastAsia="Times New Roman" w:hAnsi="Times New Roman"/>
      <w:b/>
      <w:bCs/>
      <w:iCs/>
      <w:sz w:val="24"/>
      <w:szCs w:val="28"/>
    </w:rPr>
  </w:style>
  <w:style w:type="paragraph" w:styleId="Heading3">
    <w:name w:val="heading 3"/>
    <w:basedOn w:val="Normal"/>
    <w:next w:val="Text1"/>
    <w:link w:val="Heading3Char"/>
    <w:uiPriority w:val="99"/>
    <w:qFormat/>
    <w:pPr>
      <w:keepNext/>
      <w:numPr>
        <w:ilvl w:val="2"/>
        <w:numId w:val="9"/>
      </w:numPr>
      <w:spacing w:before="120" w:after="120" w:line="240" w:lineRule="auto"/>
      <w:jc w:val="both"/>
      <w:outlineLvl w:val="2"/>
    </w:pPr>
    <w:rPr>
      <w:rFonts w:ascii="Times New Roman" w:eastAsia="Times New Roman" w:hAnsi="Times New Roman"/>
      <w:bCs/>
      <w:i/>
      <w:sz w:val="24"/>
      <w:szCs w:val="26"/>
    </w:rPr>
  </w:style>
  <w:style w:type="paragraph" w:styleId="Heading4">
    <w:name w:val="heading 4"/>
    <w:basedOn w:val="Normal"/>
    <w:next w:val="Text1"/>
    <w:link w:val="Heading4Char"/>
    <w:uiPriority w:val="99"/>
    <w:qFormat/>
    <w:pPr>
      <w:keepNext/>
      <w:numPr>
        <w:ilvl w:val="3"/>
        <w:numId w:val="9"/>
      </w:numPr>
      <w:spacing w:before="120" w:after="120" w:line="240" w:lineRule="auto"/>
      <w:jc w:val="both"/>
      <w:outlineLvl w:val="3"/>
    </w:pPr>
    <w:rPr>
      <w:rFonts w:ascii="Times New Roman" w:eastAsia="Times New Roman" w:hAnsi="Times New Roman"/>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uiPriority w:val="99"/>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styleId="Header">
    <w:name w:val="header"/>
    <w:basedOn w:val="Normal"/>
    <w:link w:val="HeaderChar"/>
    <w:unhideWhenUsed/>
    <w:pPr>
      <w:tabs>
        <w:tab w:val="center" w:pos="4513"/>
        <w:tab w:val="right" w:pos="9026"/>
      </w:tabs>
    </w:pPr>
  </w:style>
  <w:style w:type="character" w:customStyle="1" w:styleId="HeaderChar">
    <w:name w:val="Header Char"/>
    <w:link w:val="Header"/>
    <w:rPr>
      <w:sz w:val="22"/>
      <w:szCs w:val="22"/>
      <w:lang w:eastAsia="ro-RO"/>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sz w:val="22"/>
      <w:szCs w:val="22"/>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ro-RO"/>
    </w:rPr>
  </w:style>
  <w:style w:type="character" w:styleId="FootnoteReference">
    <w:name w:val="footnote reference"/>
    <w:rPr>
      <w:rFonts w:cs="Times New Roman"/>
      <w:shd w:val="clear" w:color="auto" w:fill="auto"/>
      <w:vertAlign w:val="superscript"/>
    </w:rPr>
  </w:style>
  <w:style w:type="character" w:styleId="Hyperlink">
    <w:name w:val="Hyperlink"/>
    <w:uiPriority w:val="99"/>
    <w:rPr>
      <w:rFonts w:cs="Times New Roman"/>
      <w:color w:val="0000FF"/>
      <w:u w:val="single"/>
      <w:shd w:val="clear" w:color="auto" w:fill="auto"/>
    </w:rPr>
  </w:style>
  <w:style w:type="character" w:customStyle="1" w:styleId="Heading1Char">
    <w:name w:val="Heading 1 Char"/>
    <w:link w:val="Heading1"/>
    <w:uiPriority w:val="99"/>
    <w:rPr>
      <w:rFonts w:ascii="Times New Roman" w:eastAsia="Times New Roman" w:hAnsi="Times New Roman"/>
      <w:b/>
      <w:bCs/>
      <w:smallCaps/>
      <w:sz w:val="24"/>
      <w:szCs w:val="32"/>
      <w:lang w:val="ro-RO" w:eastAsia="ro-RO"/>
    </w:rPr>
  </w:style>
  <w:style w:type="character" w:customStyle="1" w:styleId="Heading2Char">
    <w:name w:val="Heading 2 Char"/>
    <w:link w:val="Heading2"/>
    <w:uiPriority w:val="99"/>
    <w:rPr>
      <w:rFonts w:ascii="Times New Roman" w:eastAsia="Times New Roman" w:hAnsi="Times New Roman"/>
      <w:b/>
      <w:bCs/>
      <w:iCs/>
      <w:sz w:val="24"/>
      <w:szCs w:val="28"/>
      <w:lang w:val="ro-RO" w:eastAsia="ro-RO"/>
    </w:rPr>
  </w:style>
  <w:style w:type="character" w:customStyle="1" w:styleId="Heading3Char">
    <w:name w:val="Heading 3 Char"/>
    <w:link w:val="Heading3"/>
    <w:uiPriority w:val="99"/>
    <w:rPr>
      <w:rFonts w:ascii="Times New Roman" w:eastAsia="Times New Roman" w:hAnsi="Times New Roman"/>
      <w:bCs/>
      <w:i/>
      <w:sz w:val="24"/>
      <w:szCs w:val="26"/>
      <w:lang w:val="ro-RO" w:eastAsia="ro-RO"/>
    </w:rPr>
  </w:style>
  <w:style w:type="character" w:customStyle="1" w:styleId="Heading4Char">
    <w:name w:val="Heading 4 Char"/>
    <w:link w:val="Heading4"/>
    <w:uiPriority w:val="99"/>
    <w:rPr>
      <w:rFonts w:ascii="Times New Roman" w:eastAsia="Times New Roman" w:hAnsi="Times New Roman"/>
      <w:bCs/>
      <w:sz w:val="24"/>
      <w:szCs w:val="28"/>
      <w:lang w:val="ro-RO" w:eastAsia="ro-RO"/>
    </w:rPr>
  </w:style>
  <w:style w:type="numbering" w:customStyle="1" w:styleId="NoList1">
    <w:name w:val="No List1"/>
    <w:next w:val="NoList"/>
    <w:uiPriority w:val="99"/>
    <w:semiHidden/>
    <w:unhideWhenUsed/>
  </w:style>
  <w:style w:type="paragraph" w:styleId="TOC1">
    <w:name w:val="toc 1"/>
    <w:basedOn w:val="Normal"/>
    <w:next w:val="Normal"/>
    <w:uiPriority w:val="99"/>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2">
    <w:name w:val="toc 2"/>
    <w:basedOn w:val="Normal"/>
    <w:next w:val="Normal"/>
    <w:uiPriority w:val="99"/>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3">
    <w:name w:val="toc 3"/>
    <w:basedOn w:val="Normal"/>
    <w:next w:val="Normal"/>
    <w:uiPriority w:val="99"/>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4">
    <w:name w:val="toc 4"/>
    <w:basedOn w:val="Normal"/>
    <w:next w:val="Normal"/>
    <w:uiPriority w:val="99"/>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5">
    <w:name w:val="toc 5"/>
    <w:basedOn w:val="Normal"/>
    <w:next w:val="Normal"/>
    <w:uiPriority w:val="99"/>
    <w:semiHidden/>
    <w:pPr>
      <w:tabs>
        <w:tab w:val="right" w:leader="dot" w:pos="9071"/>
      </w:tabs>
      <w:spacing w:before="300" w:after="120" w:line="240" w:lineRule="auto"/>
    </w:pPr>
    <w:rPr>
      <w:rFonts w:ascii="Times New Roman" w:eastAsia="Times New Roman" w:hAnsi="Times New Roman"/>
      <w:sz w:val="24"/>
      <w:szCs w:val="24"/>
    </w:rPr>
  </w:style>
  <w:style w:type="paragraph" w:styleId="TOC6">
    <w:name w:val="toc 6"/>
    <w:basedOn w:val="Normal"/>
    <w:next w:val="Normal"/>
    <w:uiPriority w:val="99"/>
    <w:semiHidden/>
    <w:pPr>
      <w:tabs>
        <w:tab w:val="right" w:leader="dot" w:pos="9071"/>
      </w:tabs>
      <w:spacing w:before="240" w:after="120" w:line="240" w:lineRule="auto"/>
    </w:pPr>
    <w:rPr>
      <w:rFonts w:ascii="Times New Roman" w:eastAsia="Times New Roman" w:hAnsi="Times New Roman"/>
      <w:sz w:val="24"/>
      <w:szCs w:val="24"/>
    </w:rPr>
  </w:style>
  <w:style w:type="paragraph" w:styleId="TOC7">
    <w:name w:val="toc 7"/>
    <w:basedOn w:val="Normal"/>
    <w:next w:val="Normal"/>
    <w:uiPriority w:val="99"/>
    <w:semiHidden/>
    <w:pPr>
      <w:tabs>
        <w:tab w:val="right" w:leader="dot" w:pos="9071"/>
      </w:tabs>
      <w:spacing w:before="180" w:after="120" w:line="240" w:lineRule="auto"/>
    </w:pPr>
    <w:rPr>
      <w:rFonts w:ascii="Times New Roman" w:eastAsia="Times New Roman" w:hAnsi="Times New Roman"/>
      <w:sz w:val="24"/>
      <w:szCs w:val="24"/>
    </w:rPr>
  </w:style>
  <w:style w:type="paragraph" w:styleId="TOC8">
    <w:name w:val="toc 8"/>
    <w:basedOn w:val="Normal"/>
    <w:next w:val="Normal"/>
    <w:uiPriority w:val="99"/>
    <w:semiHidden/>
    <w:pPr>
      <w:tabs>
        <w:tab w:val="right" w:leader="dot" w:pos="9071"/>
      </w:tabs>
      <w:spacing w:before="120" w:after="120" w:line="240" w:lineRule="auto"/>
    </w:pPr>
    <w:rPr>
      <w:rFonts w:ascii="Times New Roman" w:eastAsia="Times New Roman" w:hAnsi="Times New Roman"/>
      <w:sz w:val="24"/>
      <w:szCs w:val="24"/>
    </w:rPr>
  </w:style>
  <w:style w:type="paragraph" w:styleId="TOC9">
    <w:name w:val="toc 9"/>
    <w:basedOn w:val="Normal"/>
    <w:next w:val="Normal"/>
    <w:uiPriority w:val="99"/>
    <w:semiHidden/>
    <w:pPr>
      <w:tabs>
        <w:tab w:val="right" w:leader="dot" w:pos="9071"/>
      </w:tabs>
      <w:spacing w:before="120" w:after="120" w:line="240" w:lineRule="auto"/>
      <w:jc w:val="both"/>
    </w:pPr>
    <w:rPr>
      <w:rFonts w:ascii="Times New Roman" w:eastAsia="Times New Roman" w:hAnsi="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imes New Roman" w:hAnsi="Times New Roman"/>
      <w:sz w:val="24"/>
      <w:szCs w:val="24"/>
    </w:rPr>
  </w:style>
  <w:style w:type="paragraph" w:customStyle="1" w:styleId="FooterLandscape">
    <w:name w:val="FooterLandscape"/>
    <w:basedOn w:val="Normal"/>
    <w:uiPriority w:val="99"/>
    <w:pPr>
      <w:tabs>
        <w:tab w:val="center" w:pos="7285"/>
        <w:tab w:val="center" w:pos="10913"/>
        <w:tab w:val="right" w:pos="15137"/>
      </w:tabs>
      <w:spacing w:before="360" w:after="0" w:line="240" w:lineRule="auto"/>
      <w:ind w:left="-567" w:right="-567"/>
    </w:pPr>
    <w:rPr>
      <w:rFonts w:ascii="Times New Roman" w:eastAsia="Times New Roman" w:hAnsi="Times New Roman"/>
      <w:sz w:val="24"/>
      <w:szCs w:val="24"/>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rPr>
  </w:style>
  <w:style w:type="paragraph" w:customStyle="1" w:styleId="Text2">
    <w:name w:val="Text 2"/>
    <w:basedOn w:val="Normal"/>
    <w:uiPriority w:val="99"/>
    <w:pPr>
      <w:spacing w:before="120" w:after="120" w:line="240" w:lineRule="auto"/>
      <w:ind w:left="1417"/>
      <w:jc w:val="both"/>
    </w:pPr>
    <w:rPr>
      <w:rFonts w:ascii="Times New Roman" w:eastAsia="Times New Roman" w:hAnsi="Times New Roman"/>
      <w:sz w:val="24"/>
      <w:szCs w:val="24"/>
    </w:rPr>
  </w:style>
  <w:style w:type="paragraph" w:customStyle="1" w:styleId="Text3">
    <w:name w:val="Text 3"/>
    <w:basedOn w:val="Normal"/>
    <w:uiPriority w:val="99"/>
    <w:pPr>
      <w:spacing w:before="120" w:after="120" w:line="240" w:lineRule="auto"/>
      <w:ind w:left="1984"/>
      <w:jc w:val="both"/>
    </w:pPr>
    <w:rPr>
      <w:rFonts w:ascii="Times New Roman" w:eastAsia="Times New Roman" w:hAnsi="Times New Roman"/>
      <w:sz w:val="24"/>
      <w:szCs w:val="24"/>
    </w:rPr>
  </w:style>
  <w:style w:type="paragraph" w:customStyle="1" w:styleId="Text4">
    <w:name w:val="Text 4"/>
    <w:basedOn w:val="Normal"/>
    <w:uiPriority w:val="99"/>
    <w:pPr>
      <w:spacing w:before="120" w:after="120" w:line="240" w:lineRule="auto"/>
      <w:ind w:left="2551"/>
      <w:jc w:val="both"/>
    </w:pPr>
    <w:rPr>
      <w:rFonts w:ascii="Times New Roman" w:eastAsia="Times New Roman" w:hAnsi="Times New Roman"/>
      <w:sz w:val="24"/>
      <w:szCs w:val="24"/>
    </w:rPr>
  </w:style>
  <w:style w:type="paragraph" w:customStyle="1" w:styleId="NormalCentered">
    <w:name w:val="Normal Centered"/>
    <w:basedOn w:val="Normal"/>
    <w:uiPriority w:val="99"/>
    <w:pPr>
      <w:spacing w:before="120" w:after="120" w:line="240" w:lineRule="auto"/>
      <w:jc w:val="center"/>
    </w:pPr>
    <w:rPr>
      <w:rFonts w:ascii="Times New Roman" w:eastAsia="Times New Roman" w:hAnsi="Times New Roman"/>
      <w:sz w:val="24"/>
      <w:szCs w:val="24"/>
    </w:rPr>
  </w:style>
  <w:style w:type="paragraph" w:customStyle="1" w:styleId="NormalLeft">
    <w:name w:val="Normal Left"/>
    <w:basedOn w:val="Normal"/>
    <w:uiPriority w:val="99"/>
    <w:pPr>
      <w:spacing w:before="120" w:after="120" w:line="240" w:lineRule="auto"/>
    </w:pPr>
    <w:rPr>
      <w:rFonts w:ascii="Times New Roman" w:eastAsia="Times New Roman" w:hAnsi="Times New Roman"/>
      <w:sz w:val="24"/>
      <w:szCs w:val="24"/>
    </w:rPr>
  </w:style>
  <w:style w:type="paragraph" w:customStyle="1" w:styleId="NormalRight">
    <w:name w:val="Normal Right"/>
    <w:basedOn w:val="Normal"/>
    <w:uiPriority w:val="99"/>
    <w:pPr>
      <w:spacing w:before="120" w:after="120" w:line="240" w:lineRule="auto"/>
      <w:jc w:val="right"/>
    </w:pPr>
    <w:rPr>
      <w:rFonts w:ascii="Times New Roman" w:eastAsia="Times New Roman" w:hAnsi="Times New Roman"/>
      <w:sz w:val="24"/>
      <w:szCs w:val="24"/>
    </w:rPr>
  </w:style>
  <w:style w:type="paragraph" w:customStyle="1" w:styleId="QuotedText">
    <w:name w:val="Quoted Text"/>
    <w:basedOn w:val="Normal"/>
    <w:uiPriority w:val="99"/>
    <w:pPr>
      <w:spacing w:before="120" w:after="120" w:line="240" w:lineRule="auto"/>
      <w:ind w:left="1417"/>
      <w:jc w:val="both"/>
    </w:pPr>
    <w:rPr>
      <w:rFonts w:ascii="Times New Roman" w:eastAsia="Times New Roman" w:hAnsi="Times New Roman"/>
      <w:sz w:val="24"/>
      <w:szCs w:val="24"/>
    </w:rPr>
  </w:style>
  <w:style w:type="paragraph" w:customStyle="1" w:styleId="Point0">
    <w:name w:val="Point 0"/>
    <w:basedOn w:val="Normal"/>
    <w:uiPriority w:val="99"/>
    <w:pPr>
      <w:spacing w:before="120" w:after="120" w:line="240" w:lineRule="auto"/>
      <w:ind w:left="850" w:hanging="850"/>
      <w:jc w:val="both"/>
    </w:pPr>
    <w:rPr>
      <w:rFonts w:ascii="Times New Roman" w:eastAsia="Times New Roman" w:hAnsi="Times New Roman"/>
      <w:sz w:val="24"/>
      <w:szCs w:val="24"/>
    </w:rPr>
  </w:style>
  <w:style w:type="paragraph" w:customStyle="1" w:styleId="Point1">
    <w:name w:val="Point 1"/>
    <w:basedOn w:val="Normal"/>
    <w:uiPriority w:val="99"/>
    <w:pPr>
      <w:spacing w:before="120" w:after="120" w:line="240" w:lineRule="auto"/>
      <w:ind w:left="1417" w:hanging="567"/>
      <w:jc w:val="both"/>
    </w:pPr>
    <w:rPr>
      <w:rFonts w:ascii="Times New Roman" w:eastAsia="Times New Roman" w:hAnsi="Times New Roman"/>
      <w:sz w:val="24"/>
      <w:szCs w:val="24"/>
    </w:rPr>
  </w:style>
  <w:style w:type="paragraph" w:customStyle="1" w:styleId="Point2">
    <w:name w:val="Point 2"/>
    <w:basedOn w:val="Normal"/>
    <w:uiPriority w:val="99"/>
    <w:pPr>
      <w:spacing w:before="120" w:after="120" w:line="240" w:lineRule="auto"/>
      <w:ind w:left="1984" w:hanging="567"/>
      <w:jc w:val="both"/>
    </w:pPr>
    <w:rPr>
      <w:rFonts w:ascii="Times New Roman" w:eastAsia="Times New Roman" w:hAnsi="Times New Roman"/>
      <w:sz w:val="24"/>
      <w:szCs w:val="24"/>
    </w:rPr>
  </w:style>
  <w:style w:type="paragraph" w:customStyle="1" w:styleId="Point3">
    <w:name w:val="Point 3"/>
    <w:basedOn w:val="Normal"/>
    <w:uiPriority w:val="99"/>
    <w:pPr>
      <w:spacing w:before="120" w:after="120" w:line="240" w:lineRule="auto"/>
      <w:ind w:left="2551" w:hanging="567"/>
      <w:jc w:val="both"/>
    </w:pPr>
    <w:rPr>
      <w:rFonts w:ascii="Times New Roman" w:eastAsia="Times New Roman" w:hAnsi="Times New Roman"/>
      <w:sz w:val="24"/>
      <w:szCs w:val="24"/>
    </w:rPr>
  </w:style>
  <w:style w:type="paragraph" w:customStyle="1" w:styleId="Point4">
    <w:name w:val="Point 4"/>
    <w:basedOn w:val="Normal"/>
    <w:uiPriority w:val="99"/>
    <w:pPr>
      <w:spacing w:before="120" w:after="120" w:line="240" w:lineRule="auto"/>
      <w:ind w:left="3118" w:hanging="567"/>
      <w:jc w:val="both"/>
    </w:pPr>
    <w:rPr>
      <w:rFonts w:ascii="Times New Roman" w:eastAsia="Times New Roman" w:hAnsi="Times New Roman"/>
      <w:sz w:val="24"/>
      <w:szCs w:val="24"/>
    </w:rPr>
  </w:style>
  <w:style w:type="paragraph" w:customStyle="1" w:styleId="Tiret0">
    <w:name w:val="Tiret 0"/>
    <w:basedOn w:val="Point0"/>
    <w:uiPriority w:val="99"/>
    <w:pPr>
      <w:numPr>
        <w:numId w:val="3"/>
      </w:numPr>
    </w:pPr>
  </w:style>
  <w:style w:type="paragraph" w:customStyle="1" w:styleId="Tiret1">
    <w:name w:val="Tiret 1"/>
    <w:basedOn w:val="Point1"/>
    <w:uiPriority w:val="99"/>
    <w:pPr>
      <w:numPr>
        <w:numId w:val="4"/>
      </w:numPr>
    </w:pPr>
  </w:style>
  <w:style w:type="paragraph" w:customStyle="1" w:styleId="Tiret2">
    <w:name w:val="Tiret 2"/>
    <w:basedOn w:val="Point2"/>
    <w:uiPriority w:val="99"/>
    <w:pPr>
      <w:numPr>
        <w:numId w:val="5"/>
      </w:numPr>
    </w:pPr>
  </w:style>
  <w:style w:type="paragraph" w:customStyle="1" w:styleId="Tiret3">
    <w:name w:val="Tiret 3"/>
    <w:basedOn w:val="Point3"/>
    <w:uiPriority w:val="99"/>
    <w:pPr>
      <w:numPr>
        <w:numId w:val="6"/>
      </w:numPr>
    </w:pPr>
  </w:style>
  <w:style w:type="paragraph" w:customStyle="1" w:styleId="Tiret4">
    <w:name w:val="Tiret 4"/>
    <w:basedOn w:val="Point4"/>
    <w:uiPriority w:val="99"/>
    <w:pPr>
      <w:numPr>
        <w:numId w:val="7"/>
      </w:numPr>
    </w:pPr>
  </w:style>
  <w:style w:type="paragraph" w:customStyle="1" w:styleId="PointDouble0">
    <w:name w:val="PointDouble 0"/>
    <w:basedOn w:val="Normal"/>
    <w:uiPriority w:val="99"/>
    <w:pPr>
      <w:tabs>
        <w:tab w:val="left" w:pos="850"/>
      </w:tabs>
      <w:spacing w:before="120" w:after="120" w:line="240" w:lineRule="auto"/>
      <w:ind w:left="1417" w:hanging="1417"/>
      <w:jc w:val="both"/>
    </w:pPr>
    <w:rPr>
      <w:rFonts w:ascii="Times New Roman" w:eastAsia="Times New Roman" w:hAnsi="Times New Roman"/>
      <w:sz w:val="24"/>
      <w:szCs w:val="24"/>
    </w:rPr>
  </w:style>
  <w:style w:type="paragraph" w:customStyle="1" w:styleId="PointDouble1">
    <w:name w:val="PointDouble 1"/>
    <w:basedOn w:val="Normal"/>
    <w:uiPriority w:val="99"/>
    <w:pPr>
      <w:tabs>
        <w:tab w:val="left" w:pos="1417"/>
      </w:tabs>
      <w:spacing w:before="120" w:after="120" w:line="240" w:lineRule="auto"/>
      <w:ind w:left="1984" w:hanging="1134"/>
      <w:jc w:val="both"/>
    </w:pPr>
    <w:rPr>
      <w:rFonts w:ascii="Times New Roman" w:eastAsia="Times New Roman" w:hAnsi="Times New Roman"/>
      <w:sz w:val="24"/>
      <w:szCs w:val="24"/>
    </w:rPr>
  </w:style>
  <w:style w:type="paragraph" w:customStyle="1" w:styleId="PointDouble2">
    <w:name w:val="PointDouble 2"/>
    <w:basedOn w:val="Normal"/>
    <w:uiPriority w:val="99"/>
    <w:pPr>
      <w:tabs>
        <w:tab w:val="left" w:pos="1984"/>
      </w:tabs>
      <w:spacing w:before="120" w:after="120" w:line="240" w:lineRule="auto"/>
      <w:ind w:left="2551" w:hanging="1134"/>
      <w:jc w:val="both"/>
    </w:pPr>
    <w:rPr>
      <w:rFonts w:ascii="Times New Roman" w:eastAsia="Times New Roman" w:hAnsi="Times New Roman"/>
      <w:sz w:val="24"/>
      <w:szCs w:val="24"/>
    </w:rPr>
  </w:style>
  <w:style w:type="paragraph" w:customStyle="1" w:styleId="PointDouble3">
    <w:name w:val="PointDouble 3"/>
    <w:basedOn w:val="Normal"/>
    <w:uiPriority w:val="99"/>
    <w:pPr>
      <w:tabs>
        <w:tab w:val="left" w:pos="2551"/>
      </w:tabs>
      <w:spacing w:before="120" w:after="120" w:line="240" w:lineRule="auto"/>
      <w:ind w:left="3118" w:hanging="1134"/>
      <w:jc w:val="both"/>
    </w:pPr>
    <w:rPr>
      <w:rFonts w:ascii="Times New Roman" w:eastAsia="Times New Roman" w:hAnsi="Times New Roman"/>
      <w:sz w:val="24"/>
      <w:szCs w:val="24"/>
    </w:rPr>
  </w:style>
  <w:style w:type="paragraph" w:customStyle="1" w:styleId="PointDouble4">
    <w:name w:val="PointDouble 4"/>
    <w:basedOn w:val="Normal"/>
    <w:uiPriority w:val="99"/>
    <w:pPr>
      <w:tabs>
        <w:tab w:val="left" w:pos="3118"/>
      </w:tabs>
      <w:spacing w:before="120" w:after="120" w:line="240" w:lineRule="auto"/>
      <w:ind w:left="3685" w:hanging="1134"/>
      <w:jc w:val="both"/>
    </w:pPr>
    <w:rPr>
      <w:rFonts w:ascii="Times New Roman" w:eastAsia="Times New Roman" w:hAnsi="Times New Roman"/>
      <w:sz w:val="24"/>
      <w:szCs w:val="24"/>
    </w:rPr>
  </w:style>
  <w:style w:type="paragraph" w:customStyle="1" w:styleId="PointTriple0">
    <w:name w:val="PointTriple 0"/>
    <w:basedOn w:val="Normal"/>
    <w:uiPriority w:val="99"/>
    <w:pPr>
      <w:tabs>
        <w:tab w:val="left" w:pos="850"/>
        <w:tab w:val="left" w:pos="1417"/>
      </w:tabs>
      <w:spacing w:before="120" w:after="120" w:line="240" w:lineRule="auto"/>
      <w:ind w:left="1984" w:hanging="1984"/>
      <w:jc w:val="both"/>
    </w:pPr>
    <w:rPr>
      <w:rFonts w:ascii="Times New Roman" w:eastAsia="Times New Roman" w:hAnsi="Times New Roman"/>
      <w:sz w:val="24"/>
      <w:szCs w:val="24"/>
    </w:rPr>
  </w:style>
  <w:style w:type="paragraph" w:customStyle="1" w:styleId="PointTriple1">
    <w:name w:val="PointTriple 1"/>
    <w:basedOn w:val="Normal"/>
    <w:uiPriority w:val="99"/>
    <w:pPr>
      <w:tabs>
        <w:tab w:val="left" w:pos="1417"/>
        <w:tab w:val="left" w:pos="1984"/>
      </w:tabs>
      <w:spacing w:before="120" w:after="120" w:line="240" w:lineRule="auto"/>
      <w:ind w:left="2551" w:hanging="1701"/>
      <w:jc w:val="both"/>
    </w:pPr>
    <w:rPr>
      <w:rFonts w:ascii="Times New Roman" w:eastAsia="Times New Roman" w:hAnsi="Times New Roman"/>
      <w:sz w:val="24"/>
      <w:szCs w:val="24"/>
    </w:rPr>
  </w:style>
  <w:style w:type="paragraph" w:customStyle="1" w:styleId="PointTriple2">
    <w:name w:val="PointTriple 2"/>
    <w:basedOn w:val="Normal"/>
    <w:uiPriority w:val="99"/>
    <w:pPr>
      <w:tabs>
        <w:tab w:val="left" w:pos="1984"/>
        <w:tab w:val="left" w:pos="2551"/>
      </w:tabs>
      <w:spacing w:before="120" w:after="120" w:line="240" w:lineRule="auto"/>
      <w:ind w:left="3118" w:hanging="1701"/>
      <w:jc w:val="both"/>
    </w:pPr>
    <w:rPr>
      <w:rFonts w:ascii="Times New Roman" w:eastAsia="Times New Roman" w:hAnsi="Times New Roman"/>
      <w:sz w:val="24"/>
      <w:szCs w:val="24"/>
    </w:rPr>
  </w:style>
  <w:style w:type="paragraph" w:customStyle="1" w:styleId="PointTriple3">
    <w:name w:val="PointTriple 3"/>
    <w:basedOn w:val="Normal"/>
    <w:uiPriority w:val="99"/>
    <w:pPr>
      <w:tabs>
        <w:tab w:val="left" w:pos="2551"/>
        <w:tab w:val="left" w:pos="3118"/>
      </w:tabs>
      <w:spacing w:before="120" w:after="120" w:line="240" w:lineRule="auto"/>
      <w:ind w:left="3685" w:hanging="1701"/>
      <w:jc w:val="both"/>
    </w:pPr>
    <w:rPr>
      <w:rFonts w:ascii="Times New Roman" w:eastAsia="Times New Roman" w:hAnsi="Times New Roman"/>
      <w:sz w:val="24"/>
      <w:szCs w:val="24"/>
    </w:rPr>
  </w:style>
  <w:style w:type="paragraph" w:customStyle="1" w:styleId="PointTriple4">
    <w:name w:val="PointTriple 4"/>
    <w:basedOn w:val="Normal"/>
    <w:uiPriority w:val="99"/>
    <w:pPr>
      <w:tabs>
        <w:tab w:val="left" w:pos="3118"/>
        <w:tab w:val="left" w:pos="3685"/>
      </w:tabs>
      <w:spacing w:before="120" w:after="120" w:line="240" w:lineRule="auto"/>
      <w:ind w:left="4252" w:hanging="1701"/>
      <w:jc w:val="both"/>
    </w:pPr>
    <w:rPr>
      <w:rFonts w:ascii="Times New Roman" w:eastAsia="Times New Roman" w:hAnsi="Times New Roman"/>
      <w:sz w:val="24"/>
      <w:szCs w:val="24"/>
    </w:rPr>
  </w:style>
  <w:style w:type="paragraph" w:customStyle="1" w:styleId="NumPar1">
    <w:name w:val="NumPar 1"/>
    <w:basedOn w:val="Normal"/>
    <w:next w:val="Text1"/>
    <w:uiPriority w:val="99"/>
    <w:pPr>
      <w:numPr>
        <w:numId w:val="8"/>
      </w:numPr>
      <w:spacing w:before="120" w:after="120" w:line="240" w:lineRule="auto"/>
      <w:jc w:val="both"/>
    </w:pPr>
    <w:rPr>
      <w:rFonts w:ascii="Times New Roman" w:eastAsia="Times New Roman" w:hAnsi="Times New Roman"/>
      <w:sz w:val="24"/>
      <w:szCs w:val="24"/>
    </w:rPr>
  </w:style>
  <w:style w:type="paragraph" w:customStyle="1" w:styleId="NumPar2">
    <w:name w:val="NumPar 2"/>
    <w:basedOn w:val="Normal"/>
    <w:next w:val="Text1"/>
    <w:uiPriority w:val="99"/>
    <w:pPr>
      <w:numPr>
        <w:ilvl w:val="1"/>
        <w:numId w:val="8"/>
      </w:numPr>
      <w:spacing w:before="120" w:after="120" w:line="240" w:lineRule="auto"/>
      <w:jc w:val="both"/>
    </w:pPr>
    <w:rPr>
      <w:rFonts w:ascii="Times New Roman" w:eastAsia="Times New Roman" w:hAnsi="Times New Roman"/>
      <w:sz w:val="24"/>
      <w:szCs w:val="24"/>
    </w:rPr>
  </w:style>
  <w:style w:type="paragraph" w:customStyle="1" w:styleId="NumPar3">
    <w:name w:val="NumPar 3"/>
    <w:basedOn w:val="Normal"/>
    <w:next w:val="Text1"/>
    <w:uiPriority w:val="99"/>
    <w:pPr>
      <w:numPr>
        <w:ilvl w:val="2"/>
        <w:numId w:val="8"/>
      </w:numPr>
      <w:spacing w:before="120" w:after="120" w:line="240" w:lineRule="auto"/>
      <w:jc w:val="both"/>
    </w:pPr>
    <w:rPr>
      <w:rFonts w:ascii="Times New Roman" w:eastAsia="Times New Roman" w:hAnsi="Times New Roman"/>
      <w:sz w:val="24"/>
      <w:szCs w:val="24"/>
    </w:rPr>
  </w:style>
  <w:style w:type="paragraph" w:customStyle="1" w:styleId="NumPar4">
    <w:name w:val="NumPar 4"/>
    <w:basedOn w:val="Normal"/>
    <w:next w:val="Text1"/>
    <w:uiPriority w:val="99"/>
    <w:pPr>
      <w:numPr>
        <w:ilvl w:val="3"/>
        <w:numId w:val="8"/>
      </w:numPr>
      <w:spacing w:before="120" w:after="120" w:line="240" w:lineRule="auto"/>
      <w:jc w:val="both"/>
    </w:pPr>
    <w:rPr>
      <w:rFonts w:ascii="Times New Roman" w:eastAsia="Times New Roman" w:hAnsi="Times New Roman"/>
      <w:sz w:val="24"/>
      <w:szCs w:val="24"/>
    </w:rPr>
  </w:style>
  <w:style w:type="paragraph" w:customStyle="1" w:styleId="ManualNumPar1">
    <w:name w:val="Manual NumPar 1"/>
    <w:basedOn w:val="Normal"/>
    <w:next w:val="Text1"/>
    <w:uiPriority w:val="99"/>
    <w:pPr>
      <w:spacing w:before="120" w:after="120" w:line="240" w:lineRule="auto"/>
      <w:ind w:left="850" w:hanging="850"/>
      <w:jc w:val="both"/>
    </w:pPr>
    <w:rPr>
      <w:rFonts w:ascii="Times New Roman" w:eastAsia="Times New Roman" w:hAnsi="Times New Roman"/>
      <w:sz w:val="24"/>
      <w:szCs w:val="24"/>
    </w:rPr>
  </w:style>
  <w:style w:type="paragraph" w:customStyle="1" w:styleId="ManualNumPar2">
    <w:name w:val="Manual NumPar 2"/>
    <w:basedOn w:val="Normal"/>
    <w:next w:val="Text1"/>
    <w:uiPriority w:val="99"/>
    <w:pPr>
      <w:spacing w:before="120" w:after="120" w:line="240" w:lineRule="auto"/>
      <w:ind w:left="850" w:hanging="850"/>
      <w:jc w:val="both"/>
    </w:pPr>
    <w:rPr>
      <w:rFonts w:ascii="Times New Roman" w:eastAsia="Times New Roman" w:hAnsi="Times New Roman"/>
      <w:sz w:val="24"/>
      <w:szCs w:val="24"/>
    </w:rPr>
  </w:style>
  <w:style w:type="paragraph" w:customStyle="1" w:styleId="ManualNumPar3">
    <w:name w:val="Manual NumPar 3"/>
    <w:basedOn w:val="Normal"/>
    <w:next w:val="Text1"/>
    <w:uiPriority w:val="99"/>
    <w:pPr>
      <w:spacing w:before="120" w:after="120" w:line="240" w:lineRule="auto"/>
      <w:ind w:left="850" w:hanging="850"/>
      <w:jc w:val="both"/>
    </w:pPr>
    <w:rPr>
      <w:rFonts w:ascii="Times New Roman" w:eastAsia="Times New Roman" w:hAnsi="Times New Roman"/>
      <w:sz w:val="24"/>
      <w:szCs w:val="24"/>
    </w:rPr>
  </w:style>
  <w:style w:type="paragraph" w:customStyle="1" w:styleId="ManualNumPar4">
    <w:name w:val="Manual NumPar 4"/>
    <w:basedOn w:val="Normal"/>
    <w:next w:val="Text1"/>
    <w:uiPriority w:val="99"/>
    <w:pPr>
      <w:spacing w:before="120" w:after="120" w:line="240" w:lineRule="auto"/>
      <w:ind w:left="850" w:hanging="850"/>
      <w:jc w:val="both"/>
    </w:pPr>
    <w:rPr>
      <w:rFonts w:ascii="Times New Roman" w:eastAsia="Times New Roman" w:hAnsi="Times New Roman"/>
      <w:sz w:val="24"/>
      <w:szCs w:val="24"/>
    </w:rPr>
  </w:style>
  <w:style w:type="paragraph" w:customStyle="1" w:styleId="QuotedNumPar">
    <w:name w:val="Quoted NumPar"/>
    <w:basedOn w:val="Normal"/>
    <w:uiPriority w:val="99"/>
    <w:pPr>
      <w:spacing w:before="120" w:after="120" w:line="240" w:lineRule="auto"/>
      <w:ind w:left="1417" w:hanging="567"/>
      <w:jc w:val="both"/>
    </w:pPr>
    <w:rPr>
      <w:rFonts w:ascii="Times New Roman" w:eastAsia="Times New Roman" w:hAnsi="Times New Roman"/>
      <w:sz w:val="24"/>
      <w:szCs w:val="24"/>
    </w:rPr>
  </w:style>
  <w:style w:type="paragraph" w:customStyle="1" w:styleId="ManualHeading1">
    <w:name w:val="Manual Heading 1"/>
    <w:basedOn w:val="Normal"/>
    <w:next w:val="Text1"/>
    <w:uiPriority w:val="99"/>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paragraph" w:customStyle="1" w:styleId="ManualHeading2">
    <w:name w:val="Manual Heading 2"/>
    <w:basedOn w:val="Normal"/>
    <w:next w:val="Text1"/>
    <w:uiPriority w:val="99"/>
    <w:pPr>
      <w:keepNext/>
      <w:tabs>
        <w:tab w:val="left" w:pos="850"/>
      </w:tabs>
      <w:spacing w:before="120" w:after="120" w:line="240" w:lineRule="auto"/>
      <w:ind w:left="850" w:hanging="850"/>
      <w:jc w:val="both"/>
      <w:outlineLvl w:val="1"/>
    </w:pPr>
    <w:rPr>
      <w:rFonts w:ascii="Times New Roman" w:eastAsia="Times New Roman" w:hAnsi="Times New Roman"/>
      <w:b/>
      <w:sz w:val="24"/>
      <w:szCs w:val="24"/>
    </w:rPr>
  </w:style>
  <w:style w:type="paragraph" w:customStyle="1" w:styleId="ManualHeading3">
    <w:name w:val="Manual Heading 3"/>
    <w:basedOn w:val="Normal"/>
    <w:next w:val="Text1"/>
    <w:uiPriority w:val="99"/>
    <w:pPr>
      <w:keepNext/>
      <w:tabs>
        <w:tab w:val="left" w:pos="850"/>
      </w:tabs>
      <w:spacing w:before="120" w:after="120" w:line="240" w:lineRule="auto"/>
      <w:ind w:left="850" w:hanging="850"/>
      <w:jc w:val="both"/>
      <w:outlineLvl w:val="2"/>
    </w:pPr>
    <w:rPr>
      <w:rFonts w:ascii="Times New Roman" w:eastAsia="Times New Roman" w:hAnsi="Times New Roman"/>
      <w:i/>
      <w:sz w:val="24"/>
      <w:szCs w:val="24"/>
    </w:rPr>
  </w:style>
  <w:style w:type="paragraph" w:customStyle="1" w:styleId="ManualHeading4">
    <w:name w:val="Manual Heading 4"/>
    <w:basedOn w:val="Normal"/>
    <w:next w:val="Text1"/>
    <w:uiPriority w:val="99"/>
    <w:pPr>
      <w:keepNext/>
      <w:tabs>
        <w:tab w:val="left" w:pos="850"/>
      </w:tabs>
      <w:spacing w:before="120" w:after="120" w:line="240" w:lineRule="auto"/>
      <w:ind w:left="850" w:hanging="850"/>
      <w:jc w:val="both"/>
      <w:outlineLvl w:val="3"/>
    </w:pPr>
    <w:rPr>
      <w:rFonts w:ascii="Times New Roman" w:eastAsia="Times New Roman" w:hAnsi="Times New Roman"/>
      <w:sz w:val="24"/>
      <w:szCs w:val="24"/>
    </w:rPr>
  </w:style>
  <w:style w:type="paragraph" w:customStyle="1" w:styleId="ChapterTitle">
    <w:name w:val="ChapterTitle"/>
    <w:basedOn w:val="Normal"/>
    <w:next w:val="Normal"/>
    <w:uiPriority w:val="99"/>
    <w:pPr>
      <w:keepNext/>
      <w:spacing w:before="120" w:after="360" w:line="240" w:lineRule="auto"/>
      <w:jc w:val="center"/>
    </w:pPr>
    <w:rPr>
      <w:rFonts w:ascii="Times New Roman" w:eastAsia="Times New Roman" w:hAnsi="Times New Roman"/>
      <w:b/>
      <w:sz w:val="32"/>
      <w:szCs w:val="24"/>
    </w:rPr>
  </w:style>
  <w:style w:type="paragraph" w:customStyle="1" w:styleId="PartTitle">
    <w:name w:val="PartTitle"/>
    <w:basedOn w:val="Normal"/>
    <w:next w:val="ChapterTitle"/>
    <w:uiPriority w:val="99"/>
    <w:pPr>
      <w:keepNext/>
      <w:pageBreakBefore/>
      <w:spacing w:before="120" w:after="360" w:line="240" w:lineRule="auto"/>
      <w:jc w:val="center"/>
    </w:pPr>
    <w:rPr>
      <w:rFonts w:ascii="Times New Roman" w:eastAsia="Times New Roman" w:hAnsi="Times New Roman"/>
      <w:b/>
      <w:sz w:val="36"/>
      <w:szCs w:val="24"/>
    </w:rPr>
  </w:style>
  <w:style w:type="paragraph" w:customStyle="1" w:styleId="SectionTitle">
    <w:name w:val="SectionTitle"/>
    <w:basedOn w:val="Normal"/>
    <w:next w:val="Heading1"/>
    <w:uiPriority w:val="99"/>
    <w:pPr>
      <w:keepNext/>
      <w:spacing w:before="120" w:after="360" w:line="240" w:lineRule="auto"/>
      <w:jc w:val="center"/>
    </w:pPr>
    <w:rPr>
      <w:rFonts w:ascii="Times New Roman" w:eastAsia="Times New Roman" w:hAnsi="Times New Roman"/>
      <w:b/>
      <w:smallCaps/>
      <w:sz w:val="28"/>
      <w:szCs w:val="24"/>
    </w:rPr>
  </w:style>
  <w:style w:type="paragraph" w:customStyle="1" w:styleId="TableTitle">
    <w:name w:val="Table Title"/>
    <w:basedOn w:val="Normal"/>
    <w:next w:val="Normal"/>
    <w:uiPriority w:val="99"/>
    <w:pPr>
      <w:spacing w:before="120" w:after="120" w:line="240" w:lineRule="auto"/>
      <w:jc w:val="center"/>
    </w:pPr>
    <w:rPr>
      <w:rFonts w:ascii="Times New Roman" w:eastAsia="Times New Roman" w:hAnsi="Times New Roman"/>
      <w:b/>
      <w:sz w:val="24"/>
      <w:szCs w:val="24"/>
    </w:rPr>
  </w:style>
  <w:style w:type="character" w:customStyle="1" w:styleId="Marker1">
    <w:name w:val="Marker1"/>
    <w:uiPriority w:val="99"/>
    <w:rPr>
      <w:rFonts w:cs="Times New Roman"/>
      <w:color w:val="008000"/>
      <w:shd w:val="clear" w:color="auto" w:fill="auto"/>
    </w:rPr>
  </w:style>
  <w:style w:type="character" w:customStyle="1" w:styleId="Marker2">
    <w:name w:val="Marker2"/>
    <w:uiPriority w:val="99"/>
    <w:rPr>
      <w:rFonts w:cs="Times New Roman"/>
      <w:color w:val="FF0000"/>
      <w:shd w:val="clear" w:color="auto" w:fill="auto"/>
    </w:rPr>
  </w:style>
  <w:style w:type="paragraph" w:customStyle="1" w:styleId="TOCHeading1">
    <w:name w:val="TOC Heading1"/>
    <w:basedOn w:val="Normal"/>
    <w:next w:val="Normal"/>
    <w:uiPriority w:val="99"/>
    <w:qFormat/>
    <w:pPr>
      <w:spacing w:before="120" w:after="240" w:line="240" w:lineRule="auto"/>
      <w:jc w:val="center"/>
    </w:pPr>
    <w:rPr>
      <w:rFonts w:ascii="Times New Roman" w:eastAsia="Times New Roman" w:hAnsi="Times New Roman"/>
      <w:b/>
      <w:sz w:val="28"/>
      <w:szCs w:val="24"/>
    </w:rPr>
  </w:style>
  <w:style w:type="paragraph" w:customStyle="1" w:styleId="Point0number">
    <w:name w:val="Point 0 (number)"/>
    <w:basedOn w:val="Normal"/>
    <w:uiPriority w:val="99"/>
    <w:pPr>
      <w:numPr>
        <w:numId w:val="10"/>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ormal"/>
    <w:uiPriority w:val="99"/>
    <w:pPr>
      <w:numPr>
        <w:ilvl w:val="2"/>
        <w:numId w:val="10"/>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ormal"/>
    <w:uiPriority w:val="99"/>
    <w:pPr>
      <w:numPr>
        <w:ilvl w:val="4"/>
        <w:numId w:val="10"/>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ormal"/>
    <w:uiPriority w:val="99"/>
    <w:pPr>
      <w:numPr>
        <w:ilvl w:val="6"/>
        <w:numId w:val="10"/>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ormal"/>
    <w:uiPriority w:val="99"/>
    <w:pPr>
      <w:numPr>
        <w:ilvl w:val="1"/>
        <w:numId w:val="10"/>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ormal"/>
    <w:uiPriority w:val="99"/>
    <w:pPr>
      <w:numPr>
        <w:ilvl w:val="3"/>
        <w:numId w:val="10"/>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ormal"/>
    <w:uiPriority w:val="99"/>
    <w:pPr>
      <w:numPr>
        <w:ilvl w:val="5"/>
        <w:numId w:val="10"/>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ormal"/>
    <w:uiPriority w:val="99"/>
    <w:pPr>
      <w:numPr>
        <w:ilvl w:val="7"/>
        <w:numId w:val="10"/>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ormal"/>
    <w:uiPriority w:val="99"/>
    <w:pPr>
      <w:numPr>
        <w:ilvl w:val="8"/>
        <w:numId w:val="10"/>
      </w:numPr>
      <w:spacing w:before="120" w:after="120" w:line="240" w:lineRule="auto"/>
      <w:jc w:val="both"/>
    </w:pPr>
    <w:rPr>
      <w:rFonts w:ascii="Times New Roman" w:eastAsia="Times New Roman" w:hAnsi="Times New Roman"/>
      <w:sz w:val="24"/>
      <w:szCs w:val="24"/>
    </w:rPr>
  </w:style>
  <w:style w:type="paragraph" w:customStyle="1" w:styleId="Bullet0">
    <w:name w:val="Bullet 0"/>
    <w:basedOn w:val="Normal"/>
    <w:uiPriority w:val="99"/>
    <w:pPr>
      <w:numPr>
        <w:numId w:val="11"/>
      </w:numPr>
      <w:spacing w:before="120" w:after="120" w:line="240" w:lineRule="auto"/>
      <w:jc w:val="both"/>
    </w:pPr>
    <w:rPr>
      <w:rFonts w:ascii="Times New Roman" w:eastAsia="Times New Roman" w:hAnsi="Times New Roman"/>
      <w:sz w:val="24"/>
      <w:szCs w:val="24"/>
    </w:rPr>
  </w:style>
  <w:style w:type="paragraph" w:customStyle="1" w:styleId="Bullet1">
    <w:name w:val="Bullet 1"/>
    <w:basedOn w:val="Normal"/>
    <w:uiPriority w:val="99"/>
    <w:pPr>
      <w:numPr>
        <w:numId w:val="12"/>
      </w:numPr>
      <w:spacing w:before="120" w:after="120" w:line="240" w:lineRule="auto"/>
      <w:jc w:val="both"/>
    </w:pPr>
    <w:rPr>
      <w:rFonts w:ascii="Times New Roman" w:eastAsia="Times New Roman" w:hAnsi="Times New Roman"/>
      <w:sz w:val="24"/>
      <w:szCs w:val="24"/>
    </w:rPr>
  </w:style>
  <w:style w:type="paragraph" w:customStyle="1" w:styleId="Bullet2">
    <w:name w:val="Bullet 2"/>
    <w:basedOn w:val="Normal"/>
    <w:uiPriority w:val="99"/>
    <w:pPr>
      <w:numPr>
        <w:numId w:val="13"/>
      </w:numPr>
      <w:spacing w:before="120" w:after="120" w:line="240" w:lineRule="auto"/>
      <w:jc w:val="both"/>
    </w:pPr>
    <w:rPr>
      <w:rFonts w:ascii="Times New Roman" w:eastAsia="Times New Roman" w:hAnsi="Times New Roman"/>
      <w:sz w:val="24"/>
      <w:szCs w:val="24"/>
    </w:rPr>
  </w:style>
  <w:style w:type="paragraph" w:customStyle="1" w:styleId="Bullet3">
    <w:name w:val="Bullet 3"/>
    <w:basedOn w:val="Normal"/>
    <w:uiPriority w:val="99"/>
    <w:pPr>
      <w:numPr>
        <w:numId w:val="14"/>
      </w:numPr>
      <w:spacing w:before="120" w:after="120" w:line="240" w:lineRule="auto"/>
      <w:jc w:val="both"/>
    </w:pPr>
    <w:rPr>
      <w:rFonts w:ascii="Times New Roman" w:eastAsia="Times New Roman" w:hAnsi="Times New Roman"/>
      <w:sz w:val="24"/>
      <w:szCs w:val="24"/>
    </w:rPr>
  </w:style>
  <w:style w:type="paragraph" w:customStyle="1" w:styleId="Bullet4">
    <w:name w:val="Bullet 4"/>
    <w:basedOn w:val="Normal"/>
    <w:uiPriority w:val="99"/>
    <w:pPr>
      <w:numPr>
        <w:numId w:val="15"/>
      </w:numPr>
      <w:spacing w:before="120" w:after="120" w:line="240" w:lineRule="auto"/>
      <w:jc w:val="both"/>
    </w:pPr>
    <w:rPr>
      <w:rFonts w:ascii="Times New Roman" w:eastAsia="Times New Roman" w:hAnsi="Times New Roman"/>
      <w:sz w:val="24"/>
      <w:szCs w:val="24"/>
    </w:rPr>
  </w:style>
  <w:style w:type="paragraph" w:customStyle="1" w:styleId="Annexetitreexpos">
    <w:name w:val="Annexe titre (exposé)"/>
    <w:basedOn w:val="Normal"/>
    <w:next w:val="Normal"/>
    <w:uiPriority w:val="99"/>
    <w:pPr>
      <w:spacing w:before="120" w:after="120" w:line="240" w:lineRule="auto"/>
      <w:jc w:val="center"/>
    </w:pPr>
    <w:rPr>
      <w:rFonts w:ascii="Times New Roman" w:eastAsia="Times New Roman" w:hAnsi="Times New Roman"/>
      <w:b/>
      <w:sz w:val="24"/>
      <w:szCs w:val="24"/>
      <w:u w:val="single"/>
    </w:rPr>
  </w:style>
  <w:style w:type="paragraph" w:customStyle="1" w:styleId="Annexetitre">
    <w:name w:val="Annexe titre"/>
    <w:basedOn w:val="Normal"/>
    <w:next w:val="Normal"/>
    <w:uiPriority w:val="99"/>
    <w:pPr>
      <w:spacing w:before="120" w:after="120" w:line="240" w:lineRule="auto"/>
      <w:jc w:val="center"/>
    </w:pPr>
    <w:rPr>
      <w:rFonts w:ascii="Times New Roman" w:eastAsia="Times New Roman" w:hAnsi="Times New Roman"/>
      <w:b/>
      <w:sz w:val="24"/>
      <w:szCs w:val="24"/>
      <w:u w:val="single"/>
    </w:rPr>
  </w:style>
  <w:style w:type="paragraph" w:customStyle="1" w:styleId="Annexetitrefichefinancire">
    <w:name w:val="Annexe titre (fiche financière)"/>
    <w:basedOn w:val="Normal"/>
    <w:next w:val="Normal"/>
    <w:uiPriority w:val="99"/>
    <w:pPr>
      <w:spacing w:before="120" w:after="120" w:line="240" w:lineRule="auto"/>
      <w:jc w:val="center"/>
    </w:pPr>
    <w:rPr>
      <w:rFonts w:ascii="Times New Roman" w:eastAsia="Times New Roman" w:hAnsi="Times New Roman"/>
      <w:b/>
      <w:sz w:val="24"/>
      <w:szCs w:val="24"/>
      <w:u w:val="single"/>
    </w:rPr>
  </w:style>
  <w:style w:type="paragraph" w:customStyle="1" w:styleId="Applicationdirecte">
    <w:name w:val="Application directe"/>
    <w:basedOn w:val="Normal"/>
    <w:next w:val="Fait"/>
    <w:uiPriority w:val="99"/>
    <w:pPr>
      <w:spacing w:before="480" w:after="120" w:line="240" w:lineRule="auto"/>
      <w:jc w:val="both"/>
    </w:pPr>
    <w:rPr>
      <w:rFonts w:ascii="Times New Roman" w:eastAsia="Times New Roman" w:hAnsi="Times New Roman"/>
      <w:sz w:val="24"/>
      <w:szCs w:val="24"/>
    </w:rPr>
  </w:style>
  <w:style w:type="paragraph" w:customStyle="1" w:styleId="Avertissementtitre">
    <w:name w:val="Avertissement titre"/>
    <w:basedOn w:val="Normal"/>
    <w:next w:val="Normal"/>
    <w:uiPriority w:val="99"/>
    <w:pPr>
      <w:keepNext/>
      <w:spacing w:before="480" w:after="120" w:line="240" w:lineRule="auto"/>
      <w:jc w:val="both"/>
    </w:pPr>
    <w:rPr>
      <w:rFonts w:ascii="Times New Roman" w:eastAsia="Times New Roman" w:hAnsi="Times New Roman"/>
      <w:sz w:val="24"/>
      <w:szCs w:val="24"/>
      <w:u w:val="single"/>
    </w:rPr>
  </w:style>
  <w:style w:type="paragraph" w:customStyle="1" w:styleId="Confidence">
    <w:name w:val="Confidence"/>
    <w:basedOn w:val="Normal"/>
    <w:next w:val="Normal"/>
    <w:uiPriority w:val="99"/>
    <w:pPr>
      <w:spacing w:before="360" w:after="120" w:line="240" w:lineRule="auto"/>
      <w:jc w:val="center"/>
    </w:pPr>
    <w:rPr>
      <w:rFonts w:ascii="Times New Roman" w:eastAsia="Times New Roman" w:hAnsi="Times New Roman"/>
      <w:sz w:val="24"/>
      <w:szCs w:val="24"/>
    </w:rPr>
  </w:style>
  <w:style w:type="paragraph" w:customStyle="1" w:styleId="Confidentialit">
    <w:name w:val="Confidentialité"/>
    <w:basedOn w:val="Normal"/>
    <w:next w:val="TypedudocumentPagedecouverture"/>
    <w:uiPriority w:val="99"/>
    <w:pPr>
      <w:spacing w:before="240" w:after="240" w:line="240" w:lineRule="auto"/>
      <w:ind w:left="5103"/>
      <w:jc w:val="both"/>
    </w:pPr>
    <w:rPr>
      <w:rFonts w:ascii="Times New Roman" w:eastAsia="Times New Roman" w:hAnsi="Times New Roman"/>
      <w:i/>
      <w:sz w:val="32"/>
      <w:szCs w:val="24"/>
    </w:rPr>
  </w:style>
  <w:style w:type="paragraph" w:customStyle="1" w:styleId="Considrant">
    <w:name w:val="Considérant"/>
    <w:basedOn w:val="Normal"/>
    <w:uiPriority w:val="99"/>
    <w:pPr>
      <w:numPr>
        <w:numId w:val="16"/>
      </w:numPr>
      <w:spacing w:before="120" w:after="120" w:line="240" w:lineRule="auto"/>
      <w:jc w:val="both"/>
    </w:pPr>
    <w:rPr>
      <w:rFonts w:ascii="Times New Roman" w:eastAsia="Times New Roman" w:hAnsi="Times New Roman"/>
      <w:sz w:val="24"/>
      <w:szCs w:val="24"/>
    </w:rPr>
  </w:style>
  <w:style w:type="paragraph" w:customStyle="1" w:styleId="Corrigendum">
    <w:name w:val="Corrigendum"/>
    <w:basedOn w:val="Normal"/>
    <w:next w:val="Normal"/>
    <w:uiPriority w:val="99"/>
    <w:pPr>
      <w:spacing w:after="240" w:line="240" w:lineRule="auto"/>
    </w:pPr>
    <w:rPr>
      <w:rFonts w:ascii="Times New Roman" w:eastAsia="Times New Roman" w:hAnsi="Times New Roman"/>
      <w:sz w:val="24"/>
      <w:szCs w:val="24"/>
    </w:rPr>
  </w:style>
  <w:style w:type="paragraph" w:customStyle="1" w:styleId="Datedadoption">
    <w:name w:val="Date d'adoption"/>
    <w:basedOn w:val="Normal"/>
    <w:next w:val="Titreobjet"/>
    <w:uiPriority w:val="99"/>
    <w:pPr>
      <w:spacing w:before="360" w:after="0" w:line="240" w:lineRule="auto"/>
      <w:jc w:val="center"/>
    </w:pPr>
    <w:rPr>
      <w:rFonts w:ascii="Times New Roman" w:eastAsia="Times New Roman" w:hAnsi="Times New Roman"/>
      <w:b/>
      <w:sz w:val="24"/>
      <w:szCs w:val="24"/>
    </w:rPr>
  </w:style>
  <w:style w:type="paragraph" w:customStyle="1" w:styleId="Emission">
    <w:name w:val="Emission"/>
    <w:basedOn w:val="Normal"/>
    <w:next w:val="Rfrenceinstitutionnelle"/>
    <w:uiPriority w:val="99"/>
    <w:pPr>
      <w:spacing w:after="0" w:line="240" w:lineRule="auto"/>
      <w:ind w:left="5103"/>
    </w:pPr>
    <w:rPr>
      <w:rFonts w:ascii="Times New Roman" w:eastAsia="Times New Roman" w:hAnsi="Times New Roman"/>
      <w:sz w:val="24"/>
      <w:szCs w:val="24"/>
    </w:rPr>
  </w:style>
  <w:style w:type="paragraph" w:customStyle="1" w:styleId="Exposdesmotifstitre">
    <w:name w:val="Exposé des motifs titre"/>
    <w:basedOn w:val="Normal"/>
    <w:next w:val="Normal"/>
    <w:uiPriority w:val="99"/>
    <w:pPr>
      <w:spacing w:before="120" w:after="120" w:line="240" w:lineRule="auto"/>
      <w:jc w:val="center"/>
    </w:pPr>
    <w:rPr>
      <w:rFonts w:ascii="Times New Roman" w:eastAsia="Times New Roman" w:hAnsi="Times New Roman"/>
      <w:b/>
      <w:sz w:val="24"/>
      <w:szCs w:val="24"/>
      <w:u w:val="single"/>
    </w:rPr>
  </w:style>
  <w:style w:type="paragraph" w:customStyle="1" w:styleId="Fait">
    <w:name w:val="Fait à"/>
    <w:basedOn w:val="Normal"/>
    <w:next w:val="Institutionquisigne"/>
    <w:uiPriority w:val="99"/>
    <w:pPr>
      <w:keepNext/>
      <w:spacing w:before="120" w:after="0" w:line="240" w:lineRule="auto"/>
      <w:jc w:val="both"/>
    </w:pPr>
    <w:rPr>
      <w:rFonts w:ascii="Times New Roman" w:eastAsia="Times New Roman" w:hAnsi="Times New Roman"/>
      <w:sz w:val="24"/>
      <w:szCs w:val="24"/>
    </w:rPr>
  </w:style>
  <w:style w:type="paragraph" w:customStyle="1" w:styleId="Formuledadoption">
    <w:name w:val="Formule d'adoption"/>
    <w:basedOn w:val="Normal"/>
    <w:next w:val="Titrearticle"/>
    <w:uiPriority w:val="99"/>
    <w:pPr>
      <w:keepNext/>
      <w:spacing w:before="120" w:after="120" w:line="240" w:lineRule="auto"/>
      <w:jc w:val="both"/>
    </w:pPr>
    <w:rPr>
      <w:rFonts w:ascii="Times New Roman" w:eastAsia="Times New Roman" w:hAnsi="Times New Roman"/>
      <w:sz w:val="24"/>
      <w:szCs w:val="24"/>
    </w:rPr>
  </w:style>
  <w:style w:type="paragraph" w:customStyle="1" w:styleId="Institutionquiagit">
    <w:name w:val="Institution qui agit"/>
    <w:basedOn w:val="Normal"/>
    <w:next w:val="Normal"/>
    <w:uiPriority w:val="99"/>
    <w:pPr>
      <w:keepNext/>
      <w:spacing w:before="600" w:after="120" w:line="240" w:lineRule="auto"/>
      <w:jc w:val="both"/>
    </w:pPr>
    <w:rPr>
      <w:rFonts w:ascii="Times New Roman" w:eastAsia="Times New Roman" w:hAnsi="Times New Roman"/>
      <w:sz w:val="24"/>
      <w:szCs w:val="24"/>
    </w:rPr>
  </w:style>
  <w:style w:type="paragraph" w:customStyle="1" w:styleId="Institutionquisigne">
    <w:name w:val="Institution qui signe"/>
    <w:basedOn w:val="Normal"/>
    <w:next w:val="Personnequisigne"/>
    <w:uiPriority w:val="99"/>
    <w:pPr>
      <w:keepNext/>
      <w:tabs>
        <w:tab w:val="left" w:pos="4252"/>
      </w:tabs>
      <w:spacing w:before="720" w:after="0" w:line="240" w:lineRule="auto"/>
      <w:jc w:val="both"/>
    </w:pPr>
    <w:rPr>
      <w:rFonts w:ascii="Times New Roman" w:eastAsia="Times New Roman" w:hAnsi="Times New Roman"/>
      <w:i/>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b/>
      <w:caps/>
      <w:sz w:val="24"/>
      <w:szCs w:val="24"/>
    </w:rPr>
  </w:style>
  <w:style w:type="paragraph" w:customStyle="1" w:styleId="ManualConsidrant">
    <w:name w:val="Manual Considérant"/>
    <w:basedOn w:val="Normal"/>
    <w:uiPriority w:val="99"/>
    <w:pPr>
      <w:spacing w:before="120" w:after="120" w:line="240" w:lineRule="auto"/>
      <w:ind w:left="709" w:hanging="709"/>
      <w:jc w:val="both"/>
    </w:pPr>
    <w:rPr>
      <w:rFonts w:ascii="Times New Roman" w:eastAsia="Times New Roman" w:hAnsi="Times New Roman"/>
      <w:sz w:val="24"/>
      <w:szCs w:val="24"/>
    </w:rPr>
  </w:style>
  <w:style w:type="paragraph" w:customStyle="1" w:styleId="Nomdelinstitution">
    <w:name w:val="Nom de l'institution"/>
    <w:basedOn w:val="Normal"/>
    <w:next w:val="Emission"/>
    <w:uiPriority w:val="99"/>
    <w:pPr>
      <w:spacing w:after="0" w:line="240" w:lineRule="auto"/>
    </w:pPr>
    <w:rPr>
      <w:rFonts w:ascii="Arial" w:eastAsia="Times New Roman" w:hAnsi="Arial" w:cs="Arial"/>
      <w:sz w:val="24"/>
      <w:szCs w:val="24"/>
    </w:rPr>
  </w:style>
  <w:style w:type="paragraph" w:customStyle="1" w:styleId="Personnequisigne">
    <w:name w:val="Personne qui signe"/>
    <w:basedOn w:val="Normal"/>
    <w:next w:val="Institutionquisigne"/>
    <w:uiPriority w:val="99"/>
    <w:pPr>
      <w:tabs>
        <w:tab w:val="left" w:pos="4252"/>
      </w:tabs>
      <w:spacing w:after="0" w:line="240" w:lineRule="auto"/>
    </w:pPr>
    <w:rPr>
      <w:rFonts w:ascii="Times New Roman" w:eastAsia="Times New Roman" w:hAnsi="Times New Roman"/>
      <w:i/>
      <w:sz w:val="24"/>
      <w:szCs w:val="24"/>
    </w:rPr>
  </w:style>
  <w:style w:type="paragraph" w:customStyle="1" w:styleId="Rfrenceinstitutionnelle">
    <w:name w:val="Référence institutionnelle"/>
    <w:basedOn w:val="Normal"/>
    <w:next w:val="Confidentialit"/>
    <w:uiPriority w:val="99"/>
    <w:pPr>
      <w:spacing w:after="240" w:line="240" w:lineRule="auto"/>
      <w:ind w:left="5103"/>
    </w:pPr>
    <w:rPr>
      <w:rFonts w:ascii="Times New Roman" w:eastAsia="Times New Roman" w:hAnsi="Times New Roman"/>
      <w:sz w:val="24"/>
      <w:szCs w:val="24"/>
    </w:rPr>
  </w:style>
  <w:style w:type="paragraph" w:customStyle="1" w:styleId="Rfrenceinterinstitutionnelle">
    <w:name w:val="Référence interinstitutionnelle"/>
    <w:basedOn w:val="Normal"/>
    <w:next w:val="Statut"/>
    <w:uiPriority w:val="99"/>
    <w:pPr>
      <w:spacing w:after="0" w:line="240" w:lineRule="auto"/>
      <w:ind w:left="5103"/>
    </w:pPr>
    <w:rPr>
      <w:rFonts w:ascii="Times New Roman" w:eastAsia="Times New Roman" w:hAnsi="Times New Roman"/>
      <w:sz w:val="24"/>
      <w:szCs w:val="24"/>
    </w:rPr>
  </w:style>
  <w:style w:type="paragraph" w:customStyle="1" w:styleId="Rfrenceinterne">
    <w:name w:val="Référence interne"/>
    <w:basedOn w:val="Normal"/>
    <w:next w:val="Rfrenceinterinstitutionnelle"/>
    <w:uiPriority w:val="99"/>
    <w:pPr>
      <w:spacing w:after="0" w:line="240" w:lineRule="auto"/>
      <w:ind w:left="5103"/>
    </w:pPr>
    <w:rPr>
      <w:rFonts w:ascii="Times New Roman" w:eastAsia="Times New Roman" w:hAnsi="Times New Roman"/>
      <w:sz w:val="24"/>
      <w:szCs w:val="24"/>
    </w:rPr>
  </w:style>
  <w:style w:type="paragraph" w:customStyle="1" w:styleId="Sous-titreobjet">
    <w:name w:val="Sous-titre objet"/>
    <w:basedOn w:val="Normal"/>
    <w:uiPriority w:val="99"/>
    <w:pPr>
      <w:spacing w:after="0" w:line="240" w:lineRule="auto"/>
      <w:jc w:val="center"/>
    </w:pPr>
    <w:rPr>
      <w:rFonts w:ascii="Times New Roman" w:eastAsia="Times New Roman" w:hAnsi="Times New Roman"/>
      <w:b/>
      <w:sz w:val="24"/>
      <w:szCs w:val="24"/>
    </w:rPr>
  </w:style>
  <w:style w:type="paragraph" w:customStyle="1" w:styleId="Statut">
    <w:name w:val="Statut"/>
    <w:basedOn w:val="Normal"/>
    <w:next w:val="Typedudocument"/>
    <w:uiPriority w:val="99"/>
    <w:pPr>
      <w:spacing w:before="360" w:after="0" w:line="240" w:lineRule="auto"/>
      <w:jc w:val="center"/>
    </w:pPr>
    <w:rPr>
      <w:rFonts w:ascii="Times New Roman" w:eastAsia="Times New Roman" w:hAnsi="Times New Roman"/>
      <w:sz w:val="24"/>
      <w:szCs w:val="24"/>
    </w:rPr>
  </w:style>
  <w:style w:type="paragraph" w:customStyle="1" w:styleId="Titrearticle">
    <w:name w:val="Titre article"/>
    <w:basedOn w:val="Normal"/>
    <w:next w:val="Normal"/>
    <w:uiPriority w:val="99"/>
    <w:pPr>
      <w:keepNext/>
      <w:spacing w:before="360" w:after="120" w:line="240" w:lineRule="auto"/>
      <w:jc w:val="center"/>
    </w:pPr>
    <w:rPr>
      <w:rFonts w:ascii="Times New Roman" w:eastAsia="Times New Roman" w:hAnsi="Times New Roman"/>
      <w:i/>
      <w:sz w:val="24"/>
      <w:szCs w:val="24"/>
    </w:rPr>
  </w:style>
  <w:style w:type="paragraph" w:customStyle="1" w:styleId="Titreobjet">
    <w:name w:val="Titre objet"/>
    <w:basedOn w:val="Normal"/>
    <w:next w:val="Sous-titreobjet"/>
    <w:uiPriority w:val="99"/>
    <w:pPr>
      <w:spacing w:before="360" w:after="360" w:line="240" w:lineRule="auto"/>
      <w:jc w:val="center"/>
    </w:pPr>
    <w:rPr>
      <w:rFonts w:ascii="Times New Roman" w:eastAsia="Times New Roman" w:hAnsi="Times New Roman"/>
      <w:b/>
      <w:sz w:val="24"/>
      <w:szCs w:val="24"/>
    </w:rPr>
  </w:style>
  <w:style w:type="paragraph" w:customStyle="1" w:styleId="Typedudocument">
    <w:name w:val="Type du document"/>
    <w:basedOn w:val="Normal"/>
    <w:next w:val="Titreobjet"/>
    <w:uiPriority w:val="99"/>
    <w:pPr>
      <w:spacing w:before="360" w:after="0" w:line="240" w:lineRule="auto"/>
      <w:jc w:val="center"/>
    </w:pPr>
    <w:rPr>
      <w:rFonts w:ascii="Times New Roman" w:eastAsia="Times New Roman" w:hAnsi="Times New Roman"/>
      <w:b/>
      <w:sz w:val="24"/>
      <w:szCs w:val="24"/>
    </w:rPr>
  </w:style>
  <w:style w:type="character" w:customStyle="1" w:styleId="Added">
    <w:name w:val="Added"/>
    <w:uiPriority w:val="99"/>
    <w:rPr>
      <w:rFonts w:cs="Times New Roman"/>
      <w:b/>
      <w:u w:val="single"/>
      <w:shd w:val="clear" w:color="auto" w:fill="auto"/>
    </w:rPr>
  </w:style>
  <w:style w:type="character" w:customStyle="1" w:styleId="Deleted">
    <w:name w:val="Deleted"/>
    <w:uiPriority w:val="99"/>
    <w:rPr>
      <w:rFonts w:cs="Times New Roman"/>
      <w:strike/>
      <w:shd w:val="clear" w:color="auto" w:fill="auto"/>
    </w:rPr>
  </w:style>
  <w:style w:type="paragraph" w:customStyle="1" w:styleId="Address">
    <w:name w:val="Address"/>
    <w:basedOn w:val="Normal"/>
    <w:next w:val="Normal"/>
    <w:uiPriority w:val="99"/>
    <w:pPr>
      <w:keepLines/>
      <w:spacing w:before="120" w:after="120" w:line="360" w:lineRule="auto"/>
      <w:ind w:left="3402"/>
    </w:pPr>
    <w:rPr>
      <w:rFonts w:ascii="Times New Roman" w:eastAsia="Times New Roman" w:hAnsi="Times New Roman"/>
      <w:sz w:val="24"/>
      <w:szCs w:val="24"/>
    </w:rPr>
  </w:style>
  <w:style w:type="paragraph" w:customStyle="1" w:styleId="Objetexterne">
    <w:name w:val="Objet externe"/>
    <w:basedOn w:val="Normal"/>
    <w:next w:val="Normal"/>
    <w:uiPriority w:val="99"/>
    <w:pPr>
      <w:spacing w:before="120" w:after="120" w:line="240" w:lineRule="auto"/>
      <w:jc w:val="both"/>
    </w:pPr>
    <w:rPr>
      <w:rFonts w:ascii="Times New Roman" w:eastAsia="Times New Roman" w:hAnsi="Times New Roman"/>
      <w:i/>
      <w:caps/>
      <w:sz w:val="24"/>
      <w:szCs w:val="24"/>
    </w:rPr>
  </w:style>
  <w:style w:type="paragraph" w:customStyle="1" w:styleId="Supertitre">
    <w:name w:val="Supertitre"/>
    <w:basedOn w:val="Normal"/>
    <w:next w:val="Normal"/>
    <w:uiPriority w:val="99"/>
    <w:pPr>
      <w:spacing w:after="600" w:line="240" w:lineRule="auto"/>
      <w:jc w:val="center"/>
    </w:pPr>
    <w:rPr>
      <w:rFonts w:ascii="Times New Roman" w:eastAsia="Times New Roman" w:hAnsi="Times New Roman"/>
      <w:b/>
      <w:sz w:val="24"/>
      <w:szCs w:val="24"/>
    </w:rPr>
  </w:style>
  <w:style w:type="paragraph" w:customStyle="1" w:styleId="Languesfaisantfoi">
    <w:name w:val="Langues faisant foi"/>
    <w:basedOn w:val="Normal"/>
    <w:next w:val="Normal"/>
    <w:uiPriority w:val="99"/>
    <w:pPr>
      <w:spacing w:before="360" w:after="0" w:line="240" w:lineRule="auto"/>
      <w:jc w:val="center"/>
    </w:pPr>
    <w:rPr>
      <w:rFonts w:ascii="Times New Roman" w:eastAsia="Times New Roman" w:hAnsi="Times New Roman"/>
      <w:sz w:val="24"/>
      <w:szCs w:val="24"/>
    </w:rPr>
  </w:style>
  <w:style w:type="paragraph" w:customStyle="1" w:styleId="Rfrencecroise">
    <w:name w:val="Référence croisée"/>
    <w:basedOn w:val="Normal"/>
    <w:uiPriority w:val="99"/>
    <w:pPr>
      <w:spacing w:after="0" w:line="240" w:lineRule="auto"/>
      <w:jc w:val="center"/>
    </w:pPr>
    <w:rPr>
      <w:rFonts w:ascii="Times New Roman" w:eastAsia="Times New Roman" w:hAnsi="Times New Roman"/>
      <w:sz w:val="24"/>
      <w:szCs w:val="24"/>
    </w:rPr>
  </w:style>
  <w:style w:type="paragraph" w:customStyle="1" w:styleId="Fichefinanciretitre">
    <w:name w:val="Fiche financière titre"/>
    <w:basedOn w:val="Normal"/>
    <w:next w:val="Normal"/>
    <w:uiPriority w:val="99"/>
    <w:pPr>
      <w:spacing w:before="120" w:after="120" w:line="240" w:lineRule="auto"/>
      <w:jc w:val="center"/>
    </w:pPr>
    <w:rPr>
      <w:rFonts w:ascii="Times New Roman" w:eastAsia="Times New Roman" w:hAnsi="Times New Roman"/>
      <w:b/>
      <w:sz w:val="24"/>
      <w:szCs w:val="24"/>
      <w:u w:val="single"/>
    </w:rPr>
  </w:style>
  <w:style w:type="paragraph" w:customStyle="1" w:styleId="DatedadoptionPagedecouverture">
    <w:name w:val="Date d'adoption (Page de couverture)"/>
    <w:basedOn w:val="Datedadoption"/>
    <w:next w:val="TitreobjetPagedecouverture"/>
    <w:uiPriority w:val="99"/>
  </w:style>
  <w:style w:type="paragraph" w:customStyle="1" w:styleId="RfrenceinterinstitutionnellePagedecouverture">
    <w:name w:val="Référence interinstitutionnelle (Page de couverture)"/>
    <w:basedOn w:val="Rfrenceinterinstitutionnelle"/>
    <w:next w:val="Confidentialit"/>
    <w:uiPriority w:val="99"/>
  </w:style>
  <w:style w:type="paragraph" w:customStyle="1" w:styleId="Sous-titreobjetPagedecouverture">
    <w:name w:val="Sous-titre objet (Page de couverture)"/>
    <w:basedOn w:val="Sous-titreobjet"/>
    <w:uiPriority w:val="99"/>
  </w:style>
  <w:style w:type="paragraph" w:customStyle="1" w:styleId="StatutPagedecouverture">
    <w:name w:val="Statut (Page de couverture)"/>
    <w:basedOn w:val="Statut"/>
    <w:next w:val="TypedudocumentPagedecouverture"/>
    <w:uiPriority w:val="99"/>
  </w:style>
  <w:style w:type="paragraph" w:customStyle="1" w:styleId="TitreobjetPagedecouverture">
    <w:name w:val="Titre objet (Page de couverture)"/>
    <w:basedOn w:val="Titreobjet"/>
    <w:next w:val="Sous-titreobjetPagedecouverture"/>
    <w:uiPriority w:val="99"/>
  </w:style>
  <w:style w:type="paragraph" w:customStyle="1" w:styleId="TypedudocumentPagedecouverture">
    <w:name w:val="Type du document (Page de couverture)"/>
    <w:basedOn w:val="Typedudocument"/>
    <w:next w:val="TitreobjetPagedecouverture"/>
    <w:uiPriority w:val="99"/>
  </w:style>
  <w:style w:type="paragraph" w:customStyle="1" w:styleId="Volume">
    <w:name w:val="Volume"/>
    <w:basedOn w:val="Normal"/>
    <w:next w:val="Confidentialit"/>
    <w:uiPriority w:val="99"/>
    <w:pPr>
      <w:spacing w:after="240" w:line="240" w:lineRule="auto"/>
      <w:ind w:left="5103"/>
    </w:pPr>
    <w:rPr>
      <w:rFonts w:ascii="Times New Roman" w:eastAsia="Times New Roman" w:hAnsi="Times New Roman"/>
      <w:sz w:val="24"/>
      <w:szCs w:val="24"/>
    </w:rPr>
  </w:style>
  <w:style w:type="paragraph" w:customStyle="1" w:styleId="IntrtEEE">
    <w:name w:val="Intérêt EEE"/>
    <w:basedOn w:val="Languesfaisantfoi"/>
    <w:next w:val="Normal"/>
    <w:uiPriority w:val="99"/>
    <w:pPr>
      <w:spacing w:after="240"/>
    </w:pPr>
  </w:style>
  <w:style w:type="paragraph" w:customStyle="1" w:styleId="Accompagnant">
    <w:name w:val="Accompagnant"/>
    <w:basedOn w:val="Normal"/>
    <w:next w:val="Typeacteprincipal"/>
    <w:uiPriority w:val="99"/>
    <w:pPr>
      <w:spacing w:after="240" w:line="240" w:lineRule="auto"/>
      <w:jc w:val="center"/>
    </w:pPr>
    <w:rPr>
      <w:rFonts w:ascii="Times New Roman" w:eastAsia="Times New Roman" w:hAnsi="Times New Roman"/>
      <w:b/>
      <w:i/>
      <w:sz w:val="24"/>
      <w:szCs w:val="24"/>
    </w:rPr>
  </w:style>
  <w:style w:type="paragraph" w:customStyle="1" w:styleId="Typeacteprincipal">
    <w:name w:val="Type acte principal"/>
    <w:basedOn w:val="Normal"/>
    <w:next w:val="Objetacteprincipal"/>
    <w:uiPriority w:val="99"/>
    <w:pPr>
      <w:spacing w:after="240" w:line="240" w:lineRule="auto"/>
      <w:jc w:val="center"/>
    </w:pPr>
    <w:rPr>
      <w:rFonts w:ascii="Times New Roman" w:eastAsia="Times New Roman" w:hAnsi="Times New Roman"/>
      <w:b/>
      <w:sz w:val="24"/>
      <w:szCs w:val="24"/>
    </w:rPr>
  </w:style>
  <w:style w:type="paragraph" w:customStyle="1" w:styleId="Objetacteprincipal">
    <w:name w:val="Objet acte principal"/>
    <w:basedOn w:val="Normal"/>
    <w:next w:val="Titrearticle"/>
    <w:uiPriority w:val="99"/>
    <w:pPr>
      <w:spacing w:after="360" w:line="240" w:lineRule="auto"/>
      <w:jc w:val="center"/>
    </w:pPr>
    <w:rPr>
      <w:rFonts w:ascii="Times New Roman" w:eastAsia="Times New Roman" w:hAnsi="Times New Roman"/>
      <w:b/>
      <w:sz w:val="24"/>
      <w:szCs w:val="24"/>
    </w:rPr>
  </w:style>
  <w:style w:type="paragraph" w:customStyle="1" w:styleId="IntrtEEEPagedecouverture">
    <w:name w:val="Intérêt EEE (Page de couverture)"/>
    <w:basedOn w:val="IntrtEEE"/>
    <w:next w:val="Rfrencecroise"/>
    <w:uiPriority w:val="99"/>
  </w:style>
  <w:style w:type="paragraph" w:customStyle="1" w:styleId="AccompagnantPagedecouverture">
    <w:name w:val="Accompagnant (Page de couverture)"/>
    <w:basedOn w:val="Accompagnant"/>
    <w:next w:val="TypeacteprincipalPagedecouverture"/>
    <w:uiPriority w:val="99"/>
  </w:style>
  <w:style w:type="paragraph" w:customStyle="1" w:styleId="TypeacteprincipalPagedecouverture">
    <w:name w:val="Type acte principal (Page de couverture)"/>
    <w:basedOn w:val="Typeacteprincipal"/>
    <w:next w:val="ObjetacteprincipalPagedecouverture"/>
    <w:uiPriority w:val="99"/>
  </w:style>
  <w:style w:type="paragraph" w:customStyle="1" w:styleId="ObjetacteprincipalPagedecouverture">
    <w:name w:val="Objet acte principal (Page de couverture)"/>
    <w:basedOn w:val="Objetacteprincipal"/>
    <w:next w:val="Rfrencecroise"/>
    <w:uiPriority w:val="99"/>
  </w:style>
  <w:style w:type="paragraph" w:customStyle="1" w:styleId="LanguesfaisantfoiPagedecouverture">
    <w:name w:val="Langues faisant foi (Page de couverture)"/>
    <w:basedOn w:val="Normal"/>
    <w:next w:val="Normal"/>
    <w:uiPriority w:val="99"/>
    <w:pPr>
      <w:spacing w:before="360" w:after="0" w:line="240" w:lineRule="auto"/>
      <w:jc w:val="center"/>
    </w:pPr>
    <w:rPr>
      <w:rFonts w:ascii="Times New Roman" w:eastAsia="Times New Roman" w:hAnsi="Times New Roman"/>
      <w:sz w:val="24"/>
      <w:szCs w:val="24"/>
    </w:rPr>
  </w:style>
  <w:style w:type="character" w:styleId="CommentReference">
    <w:name w:val="annotation reference"/>
    <w:uiPriority w:val="99"/>
    <w:semiHidden/>
    <w:rPr>
      <w:rFonts w:cs="Times New Roman"/>
      <w:sz w:val="16"/>
      <w:szCs w:val="16"/>
      <w:shd w:val="clear" w:color="auto" w:fill="auto"/>
    </w:rPr>
  </w:style>
  <w:style w:type="table" w:styleId="TableGrid">
    <w:name w:val="Table Grid"/>
    <w:basedOn w:val="TableNormal"/>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pPr>
      <w:spacing w:before="120" w:after="120" w:line="240" w:lineRule="auto"/>
      <w:jc w:val="both"/>
    </w:pPr>
    <w:rPr>
      <w:rFonts w:ascii="Times New Roman" w:eastAsia="Times New Roman" w:hAnsi="Times New Roman"/>
      <w:b/>
      <w:bCs/>
      <w:sz w:val="20"/>
      <w:szCs w:val="20"/>
    </w:rPr>
  </w:style>
  <w:style w:type="paragraph" w:styleId="TableofFigures">
    <w:name w:val="table of figures"/>
    <w:basedOn w:val="Normal"/>
    <w:next w:val="Normal"/>
    <w:uiPriority w:val="99"/>
    <w:semiHidden/>
    <w:pPr>
      <w:spacing w:before="120" w:after="120" w:line="240" w:lineRule="auto"/>
      <w:jc w:val="both"/>
    </w:pPr>
    <w:rPr>
      <w:rFonts w:ascii="Times New Roman" w:eastAsia="Times New Roman" w:hAnsi="Times New Roman"/>
      <w:sz w:val="24"/>
      <w:szCs w:val="24"/>
    </w:rPr>
  </w:style>
  <w:style w:type="paragraph" w:styleId="ListBullet">
    <w:name w:val="List Bullet"/>
    <w:basedOn w:val="Normal"/>
    <w:uiPriority w:val="99"/>
    <w:pPr>
      <w:numPr>
        <w:numId w:val="1"/>
      </w:numPr>
      <w:spacing w:before="120" w:after="120" w:line="240" w:lineRule="auto"/>
      <w:jc w:val="both"/>
    </w:pPr>
    <w:rPr>
      <w:rFonts w:ascii="Times New Roman" w:eastAsia="Times New Roman" w:hAnsi="Times New Roman"/>
      <w:sz w:val="24"/>
      <w:szCs w:val="24"/>
    </w:rPr>
  </w:style>
  <w:style w:type="paragraph" w:styleId="ListBullet2">
    <w:name w:val="List Bullet 2"/>
    <w:basedOn w:val="Normal"/>
    <w:uiPriority w:val="99"/>
    <w:pPr>
      <w:numPr>
        <w:numId w:val="2"/>
      </w:numPr>
      <w:tabs>
        <w:tab w:val="clear" w:pos="1209"/>
        <w:tab w:val="num" w:pos="643"/>
        <w:tab w:val="num" w:pos="850"/>
      </w:tabs>
      <w:spacing w:before="120" w:after="120" w:line="240" w:lineRule="auto"/>
      <w:ind w:left="643"/>
      <w:jc w:val="both"/>
    </w:pPr>
    <w:rPr>
      <w:rFonts w:ascii="Times New Roman" w:eastAsia="Times New Roman" w:hAnsi="Times New Roman"/>
      <w:sz w:val="24"/>
      <w:szCs w:val="24"/>
    </w:rPr>
  </w:style>
  <w:style w:type="paragraph" w:styleId="ListBullet3">
    <w:name w:val="List Bullet 3"/>
    <w:basedOn w:val="Normal"/>
    <w:uiPriority w:val="99"/>
    <w:pPr>
      <w:tabs>
        <w:tab w:val="num" w:pos="850"/>
        <w:tab w:val="num" w:pos="926"/>
      </w:tabs>
      <w:spacing w:before="120" w:after="120" w:line="240" w:lineRule="auto"/>
      <w:ind w:left="926" w:hanging="360"/>
      <w:jc w:val="both"/>
    </w:pPr>
    <w:rPr>
      <w:rFonts w:ascii="Times New Roman" w:eastAsia="Times New Roman" w:hAnsi="Times New Roman"/>
      <w:sz w:val="24"/>
      <w:szCs w:val="24"/>
    </w:rPr>
  </w:style>
  <w:style w:type="paragraph" w:styleId="ListBullet4">
    <w:name w:val="List Bullet 4"/>
    <w:basedOn w:val="Normal"/>
    <w:uiPriority w:val="99"/>
    <w:pPr>
      <w:tabs>
        <w:tab w:val="num" w:pos="1209"/>
        <w:tab w:val="num" w:pos="1417"/>
      </w:tabs>
      <w:spacing w:before="120" w:after="120" w:line="240" w:lineRule="auto"/>
      <w:ind w:left="1209" w:hanging="360"/>
      <w:jc w:val="both"/>
    </w:pPr>
    <w:rPr>
      <w:rFonts w:ascii="Times New Roman" w:eastAsia="Times New Roman" w:hAnsi="Times New Roman"/>
      <w:sz w:val="24"/>
      <w:szCs w:val="24"/>
    </w:rPr>
  </w:style>
  <w:style w:type="paragraph" w:styleId="ListNumber">
    <w:name w:val="List Number"/>
    <w:basedOn w:val="Normal"/>
    <w:uiPriority w:val="99"/>
    <w:pPr>
      <w:tabs>
        <w:tab w:val="num" w:pos="1984"/>
      </w:tabs>
      <w:spacing w:before="120" w:after="120" w:line="240" w:lineRule="auto"/>
      <w:ind w:left="360" w:hanging="360"/>
      <w:jc w:val="both"/>
    </w:pPr>
    <w:rPr>
      <w:rFonts w:ascii="Times New Roman" w:eastAsia="Times New Roman" w:hAnsi="Times New Roman"/>
      <w:sz w:val="24"/>
      <w:szCs w:val="24"/>
    </w:rPr>
  </w:style>
  <w:style w:type="paragraph" w:styleId="ListNumber2">
    <w:name w:val="List Number 2"/>
    <w:basedOn w:val="Normal"/>
    <w:uiPriority w:val="99"/>
    <w:pPr>
      <w:tabs>
        <w:tab w:val="num" w:pos="643"/>
        <w:tab w:val="num" w:pos="2551"/>
      </w:tabs>
      <w:spacing w:before="120" w:after="120" w:line="240" w:lineRule="auto"/>
      <w:ind w:left="643" w:hanging="360"/>
      <w:jc w:val="both"/>
    </w:pPr>
    <w:rPr>
      <w:rFonts w:ascii="Times New Roman" w:eastAsia="Times New Roman" w:hAnsi="Times New Roman"/>
      <w:sz w:val="24"/>
      <w:szCs w:val="24"/>
    </w:rPr>
  </w:style>
  <w:style w:type="paragraph" w:styleId="ListNumber3">
    <w:name w:val="List Number 3"/>
    <w:basedOn w:val="Normal"/>
    <w:uiPriority w:val="99"/>
    <w:pPr>
      <w:tabs>
        <w:tab w:val="num" w:pos="926"/>
        <w:tab w:val="num" w:pos="3118"/>
      </w:tabs>
      <w:spacing w:before="120" w:after="120" w:line="240" w:lineRule="auto"/>
      <w:ind w:left="926" w:hanging="360"/>
      <w:jc w:val="both"/>
    </w:pPr>
    <w:rPr>
      <w:rFonts w:ascii="Times New Roman" w:eastAsia="Times New Roman" w:hAnsi="Times New Roman"/>
      <w:sz w:val="24"/>
      <w:szCs w:val="24"/>
    </w:rPr>
  </w:style>
  <w:style w:type="paragraph" w:styleId="ListNumber4">
    <w:name w:val="List Number 4"/>
    <w:basedOn w:val="Normal"/>
    <w:uiPriority w:val="99"/>
    <w:pPr>
      <w:tabs>
        <w:tab w:val="num" w:pos="709"/>
        <w:tab w:val="num" w:pos="1209"/>
      </w:tabs>
      <w:spacing w:before="120" w:after="120" w:line="240" w:lineRule="auto"/>
      <w:ind w:left="1209" w:hanging="360"/>
      <w:jc w:val="both"/>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pPr>
      <w:spacing w:after="0" w:line="240" w:lineRule="auto"/>
      <w:jc w:val="both"/>
    </w:pPr>
    <w:rPr>
      <w:rFonts w:ascii="Tahoma" w:eastAsia="Times New Roman" w:hAnsi="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lang w:eastAsia="ro-RO"/>
    </w:rPr>
  </w:style>
  <w:style w:type="paragraph" w:styleId="CommentText">
    <w:name w:val="annotation text"/>
    <w:basedOn w:val="Normal"/>
    <w:link w:val="CommentTextChar"/>
    <w:uiPriority w:val="99"/>
    <w:unhideWhenUsed/>
    <w:pPr>
      <w:spacing w:before="120" w:after="120" w:line="240" w:lineRule="auto"/>
      <w:jc w:val="both"/>
    </w:pPr>
    <w:rPr>
      <w:rFonts w:ascii="Times New Roman" w:eastAsia="Times New Roman" w:hAnsi="Times New Roman"/>
      <w:sz w:val="20"/>
      <w:szCs w:val="20"/>
    </w:rPr>
  </w:style>
  <w:style w:type="character" w:customStyle="1" w:styleId="CommentTextChar">
    <w:name w:val="Comment Text Char"/>
    <w:link w:val="CommentText"/>
    <w:uiPriority w:val="99"/>
    <w:rPr>
      <w:rFonts w:ascii="Times New Roman" w:eastAsia="Times New Roman" w:hAnsi="Times New Roman"/>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b/>
      <w:bCs/>
      <w:lang w:eastAsia="ro-RO"/>
    </w:rPr>
  </w:style>
  <w:style w:type="paragraph" w:customStyle="1" w:styleId="MediumGrid1-Accent21">
    <w:name w:val="Medium Grid 1 - Accent 21"/>
    <w:basedOn w:val="Normal"/>
    <w:uiPriority w:val="34"/>
    <w:qFormat/>
    <w:pPr>
      <w:spacing w:before="120" w:after="120" w:line="240" w:lineRule="auto"/>
      <w:ind w:left="720"/>
      <w:contextualSpacing/>
      <w:jc w:val="both"/>
    </w:pPr>
    <w:rPr>
      <w:rFonts w:ascii="Times New Roman" w:eastAsia="Times New Roman" w:hAnsi="Times New Roman"/>
      <w:sz w:val="24"/>
      <w:szCs w:val="24"/>
    </w:rPr>
  </w:style>
  <w:style w:type="paragraph" w:customStyle="1" w:styleId="MediumList2-Accent21">
    <w:name w:val="Medium List 2 - Accent 21"/>
    <w:hidden/>
    <w:uiPriority w:val="99"/>
    <w:semiHidden/>
    <w:rPr>
      <w:rFonts w:ascii="Times New Roman" w:eastAsia="Times New Roman" w:hAnsi="Times New Roman"/>
      <w:sz w:val="24"/>
      <w:szCs w:val="24"/>
    </w:rPr>
  </w:style>
  <w:style w:type="character" w:customStyle="1" w:styleId="FollowedHyperlink1">
    <w:name w:val="FollowedHyperlink1"/>
    <w:uiPriority w:val="99"/>
    <w:semiHidden/>
    <w:unhideWhenUsed/>
    <w:rPr>
      <w:color w:val="800080"/>
      <w:u w:val="single"/>
    </w:rPr>
  </w:style>
  <w:style w:type="character" w:customStyle="1" w:styleId="FootnoteTextChar1">
    <w:name w:val="Footnote Text Char1"/>
    <w:aliases w:val="Footnote Text Char Char"/>
    <w:uiPriority w:val="99"/>
    <w:rPr>
      <w:lang w:val="ro-RO" w:eastAsia="ro-RO"/>
    </w:rPr>
  </w:style>
  <w:style w:type="character" w:styleId="FollowedHyperlink">
    <w:name w:val="FollowedHyperlink"/>
    <w:uiPriority w:val="99"/>
    <w:semiHidden/>
    <w:unhideWhenUsed/>
    <w:rPr>
      <w:color w:val="800080"/>
      <w:u w:val="single"/>
    </w:rPr>
  </w:style>
  <w:style w:type="paragraph" w:styleId="Revision">
    <w:name w:val="Revision"/>
    <w:hidden/>
    <w:rPr>
      <w:sz w:val="22"/>
      <w:szCs w:val="22"/>
    </w:rPr>
  </w:style>
  <w:style w:type="paragraph" w:styleId="NormalWeb">
    <w:name w:val="Normal (Web)"/>
    <w:basedOn w:val="Normal"/>
    <w:rPr>
      <w:rFonts w:ascii="Times New Roman" w:hAnsi="Times New Roman"/>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link w:val="FooterSensitivity"/>
    <w:rPr>
      <w:rFonts w:ascii="Times New Roman" w:hAnsi="Times New Roman"/>
      <w:b/>
      <w:sz w:val="32"/>
      <w:szCs w:val="2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character" w:customStyle="1" w:styleId="HeaderSensitivityChar">
    <w:name w:val="Header Sensitivity Char"/>
    <w:link w:val="HeaderSensitivity"/>
    <w:rPr>
      <w:rFonts w:ascii="Times New Roman" w:hAnsi="Times New Roman"/>
      <w:b/>
      <w:sz w:val="32"/>
      <w:szCs w:val="22"/>
    </w:rPr>
  </w:style>
  <w:style w:type="table" w:customStyle="1" w:styleId="TableGrid1">
    <w:name w:val="Table Grid1"/>
    <w:basedOn w:val="TableNormal"/>
    <w:next w:val="TableGrid"/>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 w:type="paragraph" w:styleId="ListParagraph">
    <w:name w:val="List Paragraph"/>
    <w:basedOn w:val="Normal"/>
    <w:qFormat/>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151935">
      <w:bodyDiv w:val="1"/>
      <w:marLeft w:val="0"/>
      <w:marRight w:val="0"/>
      <w:marTop w:val="0"/>
      <w:marBottom w:val="0"/>
      <w:divBdr>
        <w:top w:val="none" w:sz="0" w:space="0" w:color="auto"/>
        <w:left w:val="none" w:sz="0" w:space="0" w:color="auto"/>
        <w:bottom w:val="none" w:sz="0" w:space="0" w:color="auto"/>
        <w:right w:val="none" w:sz="0" w:space="0" w:color="auto"/>
      </w:divBdr>
    </w:div>
    <w:div w:id="1297301793">
      <w:bodyDiv w:val="1"/>
      <w:marLeft w:val="0"/>
      <w:marRight w:val="0"/>
      <w:marTop w:val="0"/>
      <w:marBottom w:val="0"/>
      <w:divBdr>
        <w:top w:val="none" w:sz="0" w:space="0" w:color="auto"/>
        <w:left w:val="none" w:sz="0" w:space="0" w:color="auto"/>
        <w:bottom w:val="none" w:sz="0" w:space="0" w:color="auto"/>
        <w:right w:val="none" w:sz="0" w:space="0" w:color="auto"/>
      </w:divBdr>
    </w:div>
    <w:div w:id="1693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eb.org/publications/81/circular-economy/33789/pops-in-the-circular-economy.pdf" TargetMode="External"/><Relationship Id="rId2" Type="http://schemas.openxmlformats.org/officeDocument/2006/relationships/hyperlink" Target="https://www.anec.eu/images/Publications/position-papers/Sustainability/ANEC-PT-2017-CEG-017.pdf" TargetMode="External"/><Relationship Id="rId1" Type="http://schemas.openxmlformats.org/officeDocument/2006/relationships/hyperlink" Target="https://chemicalwatch.com/7210/mineral-oils-health-scare-sparks-food-packaging-debate" TargetMode="External"/><Relationship Id="rId5" Type="http://schemas.openxmlformats.org/officeDocument/2006/relationships/hyperlink" Target="http://www.eurelectric.org/media/340047/eurelectric-interface_consultation-final_07072017-2017-2430-0001-01-e.pdf" TargetMode="External"/><Relationship Id="rId4" Type="http://schemas.openxmlformats.org/officeDocument/2006/relationships/hyperlink" Target="https://www.eurometaux.eu/media/1634/eurometaux-response-chemicals-products-waste-interface-stakeholder-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F35D5-C0B0-4B8E-A33B-CB4515BA4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3395</Words>
  <Characters>19358</Characters>
  <Application>Microsoft Office Word</Application>
  <DocSecurity>0</DocSecurity>
  <Lines>161</Lines>
  <Paragraphs>45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22708</CharactersWithSpaces>
  <SharedDoc>false</SharedDoc>
  <HLinks>
    <vt:vector size="30" baseType="variant">
      <vt:variant>
        <vt:i4>7274608</vt:i4>
      </vt:variant>
      <vt:variant>
        <vt:i4>12</vt:i4>
      </vt:variant>
      <vt:variant>
        <vt:i4>0</vt:i4>
      </vt:variant>
      <vt:variant>
        <vt:i4>5</vt:i4>
      </vt:variant>
      <vt:variant>
        <vt:lpwstr>http://www.eurelectric.org/media/340047/eurelectric-interface_consultation-final_07072017-2017-2430-0001-01-e.pdf</vt:lpwstr>
      </vt:variant>
      <vt:variant>
        <vt:lpwstr/>
      </vt:variant>
      <vt:variant>
        <vt:i4>4259909</vt:i4>
      </vt:variant>
      <vt:variant>
        <vt:i4>9</vt:i4>
      </vt:variant>
      <vt:variant>
        <vt:i4>0</vt:i4>
      </vt:variant>
      <vt:variant>
        <vt:i4>5</vt:i4>
      </vt:variant>
      <vt:variant>
        <vt:lpwstr>https://www.eurometaux.eu/media/1634/eurometaux-response-chemicals-products-waste-interface-stakeholder-c.pdf</vt:lpwstr>
      </vt:variant>
      <vt:variant>
        <vt:lpwstr/>
      </vt:variant>
      <vt:variant>
        <vt:i4>6750335</vt:i4>
      </vt:variant>
      <vt:variant>
        <vt:i4>6</vt:i4>
      </vt:variant>
      <vt:variant>
        <vt:i4>0</vt:i4>
      </vt:variant>
      <vt:variant>
        <vt:i4>5</vt:i4>
      </vt:variant>
      <vt:variant>
        <vt:lpwstr>http://eeb.org/publications/81/circular-economy/33789/pops-in-the-circular-economy.pdf</vt:lpwstr>
      </vt:variant>
      <vt:variant>
        <vt:lpwstr/>
      </vt:variant>
      <vt:variant>
        <vt:i4>2621555</vt:i4>
      </vt:variant>
      <vt:variant>
        <vt:i4>3</vt:i4>
      </vt:variant>
      <vt:variant>
        <vt:i4>0</vt:i4>
      </vt:variant>
      <vt:variant>
        <vt:i4>5</vt:i4>
      </vt:variant>
      <vt:variant>
        <vt:lpwstr>https://www.anec.eu/images/Publications/position-papers/Sustainability/ANEC-PT-2017-CEG-017.pdf</vt:lpwstr>
      </vt:variant>
      <vt:variant>
        <vt:lpwstr/>
      </vt:variant>
      <vt:variant>
        <vt:i4>65611</vt:i4>
      </vt:variant>
      <vt:variant>
        <vt:i4>0</vt:i4>
      </vt:variant>
      <vt:variant>
        <vt:i4>0</vt:i4>
      </vt:variant>
      <vt:variant>
        <vt:i4>5</vt:i4>
      </vt:variant>
      <vt:variant>
        <vt:lpwstr>https://chemicalwatch.com/7210/mineral-oils-health-scare-sparks-food-packaging-debate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Stefanie Heilemann</cp:lastModifiedBy>
  <cp:revision>20</cp:revision>
  <cp:lastPrinted>2018-01-09T15:49:00Z</cp:lastPrinted>
  <dcterms:created xsi:type="dcterms:W3CDTF">2018-01-15T15:12:00Z</dcterms:created>
  <dcterms:modified xsi:type="dcterms:W3CDTF">2018-01-19T09:24:00Z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evel of sensitivity">
    <vt:lpwstr>Standard treatment</vt:lpwstr>
  </property>
</Properties>
</file>