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454E9AFD-85C7-4258-A19F-7124B80ABC30" style="width:450.75pt;height:351.75pt">
            <v:imagedata r:id="rId8" o:title=""/>
          </v:shape>
        </w:pict>
      </w:r>
    </w:p>
    <w:p>
      <w:pPr>
        <w:rPr>
          <w:noProof/>
        </w:rPr>
        <w:sectPr>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EXPUNERE DE MOTIVE</w:t>
      </w:r>
    </w:p>
    <w:p>
      <w:pPr>
        <w:pStyle w:val="ManualHeading1"/>
        <w:rPr>
          <w:noProof/>
        </w:rPr>
      </w:pPr>
      <w:r>
        <w:rPr>
          <w:noProof/>
        </w:rPr>
        <w:t>1.</w:t>
      </w:r>
      <w:r>
        <w:rPr>
          <w:noProof/>
        </w:rPr>
        <w:tab/>
        <w:t>CONTEXTUL PROPUNERII</w:t>
      </w:r>
    </w:p>
    <w:p>
      <w:pPr>
        <w:pStyle w:val="ListBullet"/>
        <w:rPr>
          <w:b/>
          <w:noProof/>
        </w:rPr>
      </w:pPr>
      <w:r>
        <w:rPr>
          <w:b/>
          <w:noProof/>
        </w:rPr>
        <w:t>Motivele și obiectivele propunerii</w:t>
      </w:r>
    </w:p>
    <w:p>
      <w:pPr>
        <w:rPr>
          <w:noProof/>
        </w:rPr>
      </w:pPr>
      <w:r>
        <w:rPr>
          <w:noProof/>
        </w:rPr>
        <w:t xml:space="preserve">Regulamentul (CE) nr. 1380/2013 al Parlamentului European și al Consiliului privind politica comună în domeniul pescuitului, de modificare a Regulamentelor (CE) nr. 1954/2003 și (CE) nr. 1224/2009 ale Consiliului și de abrogare a Regulamentelor (CE) nr. 2371/2002 și (CE) nr. 639/2004 ale Consiliului și a Deciziei 2004/585/CE a Consiliului are scopul de a garanta exploatarea resurselor acvatice vii în condiții economice, ecologice și sociale sustenabile. Un instrument important în acest sens îl constituie stabilirea anuală a posibilităților de pescuit. </w:t>
      </w:r>
    </w:p>
    <w:p>
      <w:pPr>
        <w:rPr>
          <w:noProof/>
        </w:rPr>
      </w:pPr>
      <w:r>
        <w:rPr>
          <w:noProof/>
        </w:rPr>
        <w:t xml:space="preserve">Obiectivul prezentei propuneri este de a stabili, pentru 2019, posibilitățile de pescuit ale statelor membre pentru stocurile de pește cele mai importante din punct de vedere comercial din Marea Neagră. </w:t>
      </w:r>
    </w:p>
    <w:p>
      <w:pPr>
        <w:rPr>
          <w:noProof/>
        </w:rPr>
      </w:pPr>
      <w:r>
        <w:rPr>
          <w:noProof/>
        </w:rPr>
        <w:t xml:space="preserve">În ceea ce privește șprotul, propunerea se bazează pe avizele științifice referitoare la o cotă autonomă, pentru a menține actualul nivel al mortalității prin pescuit. </w:t>
      </w:r>
    </w:p>
    <w:p>
      <w:pPr>
        <w:rPr>
          <w:noProof/>
          <w:color w:val="FFFFFF"/>
          <w:sz w:val="12"/>
        </w:rPr>
      </w:pPr>
      <w:r>
        <w:rPr>
          <w:noProof/>
        </w:rPr>
        <w:t>În ceea ce privește calcanul, propunerea transpune TAC și cotele stabilite de Comisia Generală pentru Pescuit în Marea Mediterană (CGPM) în recomandarea (CGPM/41/2017/4) privind un plan multianual de gestionare a pescuitului de calcan în subzona geografică 29 (Marea Neagră).</w:t>
      </w:r>
    </w:p>
    <w:p>
      <w:pPr>
        <w:pStyle w:val="ListBullet"/>
        <w:rPr>
          <w:b/>
          <w:noProof/>
        </w:rPr>
      </w:pPr>
      <w:r>
        <w:rPr>
          <w:b/>
          <w:noProof/>
        </w:rPr>
        <w:t>Contextul general</w:t>
      </w:r>
    </w:p>
    <w:p>
      <w:pPr>
        <w:pStyle w:val="ListBullet"/>
        <w:rPr>
          <w:noProof/>
        </w:rPr>
      </w:pPr>
      <w:r>
        <w:rPr>
          <w:noProof/>
        </w:rPr>
        <w:t xml:space="preserve">Contextul propunerii este expus în Comunicarea Comisiei către Parlamentul European și Consiliu privind situația actuală a politicii comune în domeniul pescuitului și consultarea referitoare la posibilitățile de pescuit pentru 2019 [COM(2018) 452 final din 11.6.2018]. </w:t>
      </w:r>
    </w:p>
    <w:p>
      <w:pPr>
        <w:pStyle w:val="ListBullet"/>
        <w:rPr>
          <w:noProof/>
        </w:rPr>
      </w:pPr>
      <w:r>
        <w:rPr>
          <w:noProof/>
        </w:rPr>
        <w:t>Posibilitățile de pescuit ar trebui stabilite în conformitate cu articolul 16 alineatele (1) (referitor la principiul stabilității relative) și (4) (referitor la obiectivele politicii comune în domeniul pescuitului și la regulile prevăzute în planurile multianuale) din Regulamentul (CE) nr. 1380/2013 al Parlamentului European și al Consiliului privind politica comună în domeniul pescuitului.</w:t>
      </w:r>
    </w:p>
    <w:p>
      <w:pPr>
        <w:rPr>
          <w:noProof/>
        </w:rPr>
      </w:pPr>
      <w:r>
        <w:rPr>
          <w:noProof/>
        </w:rPr>
        <w:t xml:space="preserve">Stocurile de pește din Marea Neagră exploatate de Bulgaria și România sunt împărțite cu țări din afara UE, precum Turcia, Ucraina, Georgia și Federația Rusă. </w:t>
      </w:r>
    </w:p>
    <w:p>
      <w:pPr>
        <w:rPr>
          <w:noProof/>
        </w:rPr>
      </w:pPr>
      <w:r>
        <w:rPr>
          <w:noProof/>
        </w:rPr>
        <w:t xml:space="preserve">Până în 2017 nu s-au stabilit capturi totale admisibile (TAC) la nivel regional între țările din interiorul și din afara UE. În fiecare an, începând din 2008, Uniunea Europeană a stabilit cote autonome pentru stocurile de calcan și de șprot, pentru a garanta aplicarea normelor PCP. Cu toate acestea, începând din 2018 se aplică, pentru o perioadă de doi ani (2018-2019), o TAC regională pentru pescuitul de calcan, cu o alocare temporară de cote, ea fiind transpusă în Regulamentul UE privind Marea Neagră în conformitate cu recomandarea CGPM/41/2017/4, adoptată la cea de a 41-a sesiune anuală a CGPM din 2017. </w:t>
      </w:r>
    </w:p>
    <w:p>
      <w:pPr>
        <w:rPr>
          <w:noProof/>
        </w:rPr>
      </w:pPr>
      <w:r>
        <w:rPr>
          <w:noProof/>
        </w:rPr>
        <w:t xml:space="preserve">Activitățile de pescuit de </w:t>
      </w:r>
      <w:r>
        <w:rPr>
          <w:b/>
          <w:noProof/>
        </w:rPr>
        <w:t>șprot</w:t>
      </w:r>
      <w:r>
        <w:rPr>
          <w:noProof/>
        </w:rPr>
        <w:t xml:space="preserve"> au o mare importanță socio-economică pentru țările cu ieșire la Marea Neagră. Conform debarcărilor raportate oficial incluse în raportul din 2017 referitor la Marea Neagră al Comitetului științific, tehnic și economic pentru pescuit (CSTEP), cota țărilor UE în debarcările de șprot din Marea Neagră a reprezentat 4,5 % în 2014, 3,12 % în 2015 și 2,93 % în 2016 din debarcările totale. Conform raportului anual din 2017 al CGPM, stocurile de șprot din Marea Neagră sunt exploatate în mod sustenabil. Totuși, pentru a se asigura sustenabilitatea stocurilor de șprot din Marea Neagră, este necesar să se mențină nivelul actual al ratei mortalității prin pescuit, și anume 11 475 de tone.</w:t>
      </w:r>
    </w:p>
    <w:p>
      <w:pPr>
        <w:rPr>
          <w:noProof/>
        </w:rPr>
      </w:pPr>
      <w:r>
        <w:rPr>
          <w:noProof/>
        </w:rPr>
        <w:lastRenderedPageBreak/>
        <w:t xml:space="preserve">Activitățile de pescuit care exploatează </w:t>
      </w:r>
      <w:r>
        <w:rPr>
          <w:b/>
          <w:noProof/>
        </w:rPr>
        <w:t>calcan</w:t>
      </w:r>
      <w:r>
        <w:rPr>
          <w:noProof/>
        </w:rPr>
        <w:t xml:space="preserve"> prezintă o mare importanță socio-economică pentru țările cu ieșire la Marea Neagră. Recomandarea CGPM/41/2017/4 a stabilit o TAC regională pentru calcan de 644 de tone pentru 2018 și 2019, cu o alocare temporară de cote pentru toate țările cu ieșire la Marea Neagră. Recomandarea conține o clauză de revizuire care permite reevaluarea TAC și a cotelor în 2018, în cazul în care avizele științifice nu confirmă continuarea evoluției constructive a mortalității prin pescuit. În cadrul celei de a 7-a sesiuni anuale a grupului de lucru al CGPM privind Marea Neagră, care a avut loc în perioada 11</w:t>
      </w:r>
      <w:r>
        <w:rPr>
          <w:noProof/>
        </w:rPr>
        <w:noBreakHyphen/>
        <w:t xml:space="preserve">13 iulie 2018, s-a confirmat continuarea evoluției constructive a mortalității prin pescuit a stocurilor de calcan. Pentru UE, cota alocată a fost stabilită la 114 tone în 2018 și în 2019. TAC și cotele pentru calcan, gestionarea efortului de pescuit și limitarea zilelor de pescuit la 180 pe an, precum și perioada de interdicție de două luni aplicabilă în prezent între 15 aprilie și 15 iunie sunt dispoziții care ar trebui puse în aplicare în prezentul regulament. </w:t>
      </w:r>
    </w:p>
    <w:p>
      <w:pPr>
        <w:rPr>
          <w:noProof/>
        </w:rPr>
      </w:pPr>
      <w:r>
        <w:rPr>
          <w:noProof/>
        </w:rPr>
        <w:t>În conformitate cu articolul 2 din Regulamentul (CE) nr. 847/96 al Consiliului</w:t>
      </w:r>
      <w:r>
        <w:rPr>
          <w:rStyle w:val="FootnoteReference"/>
          <w:noProof/>
        </w:rPr>
        <w:footnoteReference w:id="1"/>
      </w:r>
      <w:r>
        <w:rPr>
          <w:noProof/>
        </w:rPr>
        <w:t>, se propune ca articolele 3 și 4 să nu se aplice stocurilor vizate de prezentul regulament. Cu toate acestea, în conformitate cu articolul 15 alineatul (9) din Regulamentul (UE) nr. 1380/2013, flexibilitatea de la an la an prevăzută la articolul citat se aplică stocurilor care fac obiectul obligației de debarcare.</w:t>
      </w:r>
    </w:p>
    <w:p>
      <w:pPr>
        <w:pStyle w:val="ListBullet"/>
        <w:rPr>
          <w:b/>
          <w:noProof/>
        </w:rPr>
      </w:pPr>
      <w:r>
        <w:rPr>
          <w:b/>
          <w:noProof/>
        </w:rPr>
        <w:t>Dispoziții în vigoare în domeniul propunerii</w:t>
      </w:r>
    </w:p>
    <w:p>
      <w:pPr>
        <w:rPr>
          <w:noProof/>
        </w:rPr>
      </w:pPr>
      <w:r>
        <w:rPr>
          <w:noProof/>
        </w:rPr>
        <w:t>Posibilitățile de pescuit și alocarea acestora către statele membre se reglementează anual. Ultimul act legislativ de acest fel este Regulamentul (UE) 2017/2360 al Consiliului</w:t>
      </w:r>
      <w:r>
        <w:rPr>
          <w:rStyle w:val="FootnoteReference"/>
          <w:noProof/>
        </w:rPr>
        <w:footnoteReference w:id="2"/>
      </w:r>
      <w:r>
        <w:rPr>
          <w:noProof/>
        </w:rPr>
        <w:t xml:space="preserve"> din 11 decembrie 2017 de stabilire, pentru 2018, a posibilităților de pescuit pentru anumite resurse halieutice și grupe de resurse halieutice din Marea Neagră. </w:t>
      </w:r>
    </w:p>
    <w:p>
      <w:pPr>
        <w:rPr>
          <w:noProof/>
        </w:rPr>
      </w:pPr>
      <w:r>
        <w:rPr>
          <w:noProof/>
        </w:rPr>
        <w:t>Pe lângă posibilitățile anuale de pescuit, ar trebui menționate următoarele măsuri relevante pentru activitățile de pescuit din Marea Neagră vizate de prezenta propunere. Propunerea Comisiei privind transpunerea recentelor recomandări ale CGPM a fost adoptată la 22.3.2018</w:t>
      </w:r>
      <w:r>
        <w:rPr>
          <w:rStyle w:val="FootnoteReference"/>
          <w:noProof/>
        </w:rPr>
        <w:footnoteReference w:id="3"/>
      </w:r>
      <w:r>
        <w:rPr>
          <w:noProof/>
        </w:rPr>
        <w:t xml:space="preserve"> și face în prezent obiectul procedurii de codecizie în cadrul Parlamentului European și al Consiliului. Trebuie remarcat, de asemenea, că următoarele elemente sunt intrinsec legate de posibilitățile anuale de pescuit și sunt luate în considerare în prezenta propunere: </w:t>
      </w:r>
    </w:p>
    <w:p>
      <w:pPr>
        <w:pStyle w:val="Tiret0"/>
        <w:numPr>
          <w:ilvl w:val="0"/>
          <w:numId w:val="3"/>
        </w:numPr>
        <w:rPr>
          <w:noProof/>
        </w:rPr>
      </w:pPr>
      <w:r>
        <w:rPr>
          <w:noProof/>
        </w:rPr>
        <w:t>Dimensiunile minime pentru conservare și dimensiunile minime ale ochiurilor de plasă pentru pescuitul de calcan din Marea Neagră sunt stabilite în Regulamentul (UE) nr. 227/2013 al Parlamentului European și al Consiliului din 13 martie 2013</w:t>
      </w:r>
      <w:r>
        <w:rPr>
          <w:rStyle w:val="FootnoteReference"/>
          <w:noProof/>
        </w:rPr>
        <w:footnoteReference w:id="4"/>
      </w:r>
      <w:r>
        <w:rPr>
          <w:noProof/>
        </w:rPr>
        <w:t xml:space="preserve"> de modificare a Regulamentului (CE) nr. 850/98 al Consiliului pentru conservarea resurselor de pescuit prin măsuri tehnice de protecție a puietului de organisme marine și a Regulamentului (CE) nr. 1434/98 al Consiliului de specificare a condițiilor în care heringul poate fi descărcat la țărm în scopuri industriale, altele decât consumul uman direct.</w:t>
      </w:r>
    </w:p>
    <w:p>
      <w:pPr>
        <w:pStyle w:val="Tiret0"/>
        <w:rPr>
          <w:noProof/>
        </w:rPr>
      </w:pPr>
      <w:r>
        <w:rPr>
          <w:noProof/>
        </w:rPr>
        <w:t>Recomandarea CGPM/37/2013/2 de stabilire a unui set de standarde minime pentru pescuitul de calcan utilizând setci fixe de fund și pentru conservarea cetaceelor din Marea Neagră, adoptată de Comisia Generală pentru Pescuit în Marea Mediterană (CGPM) în cadrul celei de-a 37-a sesiuni (Split, mai 2013).</w:t>
      </w:r>
    </w:p>
    <w:p>
      <w:pPr>
        <w:pStyle w:val="Tiret0"/>
        <w:rPr>
          <w:noProof/>
        </w:rPr>
      </w:pPr>
      <w:r>
        <w:rPr>
          <w:noProof/>
        </w:rPr>
        <w:lastRenderedPageBreak/>
        <w:t>Recomandarea CGPM/39/2015/3 de stabilire a unui set de măsuri pentru prevenirea, descurajarea și eliminarea pescuitului ilegal, nedeclarat și nereglementat de calcan în Marea Neagră, adoptată de Comisia Generală pentru Pescuit în Marea Mediterană (CGPM) în cadrul celei de-a 39-a sesiuni (Milano, mai 2015).</w:t>
      </w:r>
    </w:p>
    <w:p>
      <w:pPr>
        <w:pStyle w:val="Tiret0"/>
        <w:rPr>
          <w:noProof/>
        </w:rPr>
      </w:pPr>
      <w:r>
        <w:rPr>
          <w:noProof/>
        </w:rPr>
        <w:t>Recomandarea CGPM/41/2017/4 referitoare la un plan multianual de gestionare a pescuitului de calcan în Marea Neagră (subzona geografică 29), adoptată de Comisia Generală pentru Pescuit în Marea Mediterană (CGPM) în cadrul celei de-a 41-a sesiuni (Budva, octombrie 2017).</w:t>
      </w:r>
    </w:p>
    <w:p>
      <w:pPr>
        <w:pStyle w:val="Tiret0"/>
        <w:rPr>
          <w:noProof/>
        </w:rPr>
      </w:pPr>
      <w:r>
        <w:rPr>
          <w:noProof/>
        </w:rPr>
        <w:t>Declarația de la București</w:t>
      </w:r>
      <w:r>
        <w:rPr>
          <w:rStyle w:val="FootnoteReference"/>
          <w:noProof/>
        </w:rPr>
        <w:footnoteReference w:id="5"/>
      </w:r>
      <w:r>
        <w:rPr>
          <w:noProof/>
        </w:rPr>
        <w:t xml:space="preserve"> aprobată în contextul unei reuniuni la nivel înalt organizate de CGPM în octombrie 2016 pe tema guvernanței în domeniul pescuitului în Marea Neagră. Participanții la conferință au adoptat această declarație, care subliniază necesitatea unor abordări comune, bazate pe colaborare în rândul statelor riverane, cu scopul de a îmbunătăți sustenabilitatea pescuitului în Marea Neagră. </w:t>
      </w:r>
    </w:p>
    <w:p>
      <w:pPr>
        <w:pStyle w:val="Tiret0"/>
        <w:rPr>
          <w:noProof/>
        </w:rPr>
      </w:pPr>
      <w:r>
        <w:rPr>
          <w:noProof/>
        </w:rPr>
        <w:t>Declarația ministerială de la Sofia</w:t>
      </w:r>
      <w:r>
        <w:rPr>
          <w:rStyle w:val="FootnoteReference"/>
          <w:noProof/>
        </w:rPr>
        <w:footnoteReference w:id="6"/>
      </w:r>
      <w:r>
        <w:rPr>
          <w:noProof/>
        </w:rPr>
        <w:t xml:space="preserve">, semnată la 7 iunie 2018 în cadrul unei conferințe la nivel înalt privind pescuitul și acvacultura în Marea Neagră, care concretizează angajamentele asumate în declarația de la București și stabilește un plan de acțiune specific pentru următorii 10 ani pentru sustenabilitatea pescuitului din Marea Neagră. </w:t>
      </w:r>
    </w:p>
    <w:p>
      <w:pPr>
        <w:pStyle w:val="Tiret0"/>
        <w:rPr>
          <w:noProof/>
        </w:rPr>
      </w:pPr>
      <w:r>
        <w:rPr>
          <w:noProof/>
        </w:rPr>
        <w:t>Strategia pe termen mediu a CGPM pentru perioada 2017-2020 în vederea asigurării sustenabilității pescuitului din Marea Mediterană și Marea Neagră</w:t>
      </w:r>
      <w:r>
        <w:rPr>
          <w:rStyle w:val="FootnoteReference"/>
          <w:noProof/>
        </w:rPr>
        <w:footnoteReference w:id="7"/>
      </w:r>
      <w:r>
        <w:rPr>
          <w:noProof/>
        </w:rPr>
        <w:t xml:space="preserve">, care a adoptat, printre altele, un set de acțiuni pentru consolidarea, la nivel multilateral, a guvernanței în domeniul pescuitului în Marea Neagră. </w:t>
      </w:r>
    </w:p>
    <w:p>
      <w:pPr>
        <w:pStyle w:val="Tiret0"/>
        <w:rPr>
          <w:noProof/>
        </w:rPr>
      </w:pPr>
      <w:r>
        <w:rPr>
          <w:noProof/>
        </w:rPr>
        <w:t>Bulgaria și România au sprijinit și au participat activ la punerea în aplicare a proiectului-pilot al CGPM pentru controlul și inspecția pescuitului de calcan, instituit prin recomandarea CGPM/41/2017/4. Proiectul-pilot al CGPM a fost dezvoltat de Agenția Europeană pentru Controlul Pescuitului (EFCA), cu care Bulgaria și România au colaborat în mod activ, permițând ca operațiunea comună să aibă loc în zonele lor economice exclusive (ZEE).</w:t>
      </w:r>
    </w:p>
    <w:p>
      <w:pPr>
        <w:pStyle w:val="Tiret0"/>
        <w:rPr>
          <w:noProof/>
        </w:rPr>
      </w:pPr>
      <w:r>
        <w:rPr>
          <w:noProof/>
        </w:rPr>
        <w:t>Implementarea angajamentelor asumate de Bulgaria și România în decembrie 2017, în contextul regulamentului privind posibilitățile de pescuit pentru 2018, în vederea îmbunătățirii gestionării stocurilor de calcan și de câine de mare în 2018 prin implementarea unei serii de măsuri, a îmbunătățirii controlului, a combaterii pescuitului INN și a îmbunătățirii colectării datelor, este eficientă. Atât Bulgaria, cât și România au pus în aplicare o serie de acțiuni, în special pentru a reduce riscul de capturi nedeclarate, prin înregistrarea tuturor capturilor de calcan și de câine de mare (chiar și pentru cantități mai mici de 50 kg), pentru a intensifica frecvența inspecțiilor (pe mare, pe piețe, pe uscat, inspecții comune) și pentru a sprijini și a continua îmbunătățirea avizelor științifice în ceea ce privește activitățile de pescuit și datele biologice referitoare la stocurile de pește din Marea Neagră.</w:t>
      </w:r>
    </w:p>
    <w:p>
      <w:pPr>
        <w:pStyle w:val="ListBullet"/>
        <w:rPr>
          <w:b/>
          <w:noProof/>
        </w:rPr>
      </w:pPr>
      <w:r>
        <w:rPr>
          <w:b/>
          <w:noProof/>
        </w:rPr>
        <w:t>Coerența cu alte politici și obiective ale Uniunii</w:t>
      </w:r>
    </w:p>
    <w:p>
      <w:pPr>
        <w:rPr>
          <w:noProof/>
        </w:rPr>
      </w:pPr>
      <w:r>
        <w:rPr>
          <w:noProof/>
        </w:rPr>
        <w:t>Măsurile propuse sunt conforme cu obiectivele și normele politicii comune în domeniul pescuitului și cu politica de dezvoltare durabilă a Uniunii.</w:t>
      </w:r>
    </w:p>
    <w:p>
      <w:pPr>
        <w:pStyle w:val="ManualHeading1"/>
        <w:rPr>
          <w:noProof/>
        </w:rPr>
      </w:pPr>
      <w:r>
        <w:rPr>
          <w:noProof/>
        </w:rPr>
        <w:lastRenderedPageBreak/>
        <w:t>2.</w:t>
      </w:r>
      <w:r>
        <w:rPr>
          <w:noProof/>
        </w:rPr>
        <w:tab/>
        <w:t>REZULTATELE CONSULTĂRILOR CU PĂRȚILE INTERESATE ȘI ALE EVALUĂRII IMPACTULUI</w:t>
      </w:r>
    </w:p>
    <w:p>
      <w:pPr>
        <w:pStyle w:val="ListBullet"/>
        <w:rPr>
          <w:noProof/>
          <w:color w:val="000000"/>
        </w:rPr>
      </w:pPr>
      <w:r>
        <w:rPr>
          <w:b/>
          <w:noProof/>
          <w:color w:val="000000"/>
        </w:rPr>
        <w:t>Obținerea și utilizarea expertizei</w:t>
      </w:r>
    </w:p>
    <w:p>
      <w:pPr>
        <w:rPr>
          <w:noProof/>
        </w:rPr>
      </w:pPr>
      <w:r>
        <w:rPr>
          <w:noProof/>
        </w:rPr>
        <w:t>Organizațiile științifice consultate sunt Comitetul științific, tehnic și economic pentru pescuit (CSTEP) și grupul de lucru privind Marea Neagră al Comisiei Generale pentru Pescuit în Marea Mediterană (CGPM).</w:t>
      </w:r>
    </w:p>
    <w:p>
      <w:pPr>
        <w:rPr>
          <w:noProof/>
          <w:color w:val="000000"/>
        </w:rPr>
      </w:pPr>
      <w:r>
        <w:rPr>
          <w:noProof/>
          <w:color w:val="000000"/>
        </w:rPr>
        <w:t>Uniunea solicită avize științifice din partea CSTEP în legătură cu situația stocurilor de pește importante. CSTEP formulează avize conform mandatului primit din partea Comisiei. La momentul discutării acestei propuneri în cadrul Consiliului vor fi disponibile avize recente și exacte privind stocurile de pește din Marea Neagră pentru care sunt propuse cote.</w:t>
      </w:r>
    </w:p>
    <w:p>
      <w:pPr>
        <w:rPr>
          <w:noProof/>
          <w:color w:val="000000"/>
        </w:rPr>
      </w:pPr>
      <w:r>
        <w:rPr>
          <w:noProof/>
          <w:color w:val="000000"/>
        </w:rPr>
        <w:t xml:space="preserve">Obiectivul final este aducerea și menținerea stocurilor la niveluri care să permită o producție maximă durabilă (MSY). Acest obiectiv a fost inclus în mod expres în Regulamentul de bază privind PCP, în care se precizează, la articolul 2 alineatul (2), că el „trebuie să fie îndeplinit până în 2015, acolo unde este posibil, și [...] până cel târziu în 2020 pentru toate stocurile”. Această dispoziție reflectă angajamentul asumat de Uniune în raport cu concluziile Summitului mondial privind dezvoltarea durabilă desfășurat în 2002 la Johannesburg și cu planul de implementare propus cu acest prilej. </w:t>
      </w:r>
    </w:p>
    <w:p>
      <w:pPr>
        <w:pStyle w:val="ListBullet"/>
        <w:rPr>
          <w:b/>
          <w:noProof/>
          <w:color w:val="000000"/>
        </w:rPr>
      </w:pPr>
      <w:r>
        <w:rPr>
          <w:b/>
          <w:noProof/>
        </w:rPr>
        <w:t>Consultarea părților interesate</w:t>
      </w:r>
    </w:p>
    <w:p>
      <w:pPr>
        <w:rPr>
          <w:noProof/>
          <w:color w:val="000000"/>
        </w:rPr>
      </w:pPr>
      <w:r>
        <w:rPr>
          <w:noProof/>
          <w:color w:val="000000"/>
        </w:rPr>
        <w:t>Părțile interesate au fost consultate prin intermediul Comunicării Comisiei către Parlamentul European și Consiliu privind situația actuală a politicii comune în domeniul pescuitului și consultarea referitoare la posibilitățile de pescuit pentru 2019 [COM(2018) 452 final din 11.6.2018]. Fundamentul științific al propunerii este furnizat de CSTEP. Toate rapoartele CSTEP sunt disponibile pe site-ul DG MARE.</w:t>
      </w:r>
    </w:p>
    <w:p>
      <w:pPr>
        <w:pStyle w:val="ListBullet"/>
        <w:rPr>
          <w:b/>
          <w:noProof/>
        </w:rPr>
      </w:pPr>
      <w:r>
        <w:rPr>
          <w:b/>
          <w:noProof/>
        </w:rPr>
        <w:t>Evaluarea impactului</w:t>
      </w:r>
    </w:p>
    <w:p>
      <w:pPr>
        <w:rPr>
          <w:noProof/>
          <w:color w:val="000000"/>
        </w:rPr>
      </w:pPr>
      <w:r>
        <w:rPr>
          <w:noProof/>
          <w:color w:val="000000"/>
        </w:rPr>
        <w:t xml:space="preserve">La nivelul UE, riscul unui impact negativ asupra refacerii stocului de calcan este limitat prin măsuri de înregistrare, de control și de monitorizare suplimentare introduse și puse în aplicare de România și de Bulgaria, în conformitate cu angajamentele asumate de aceste state membre în contextul adoptării regulamentului de stabilire, pentru 2018, a posibilităților de pescuit pentru anumite stocuri de pește în Marea Neagră. </w:t>
      </w:r>
    </w:p>
    <w:p>
      <w:pPr>
        <w:rPr>
          <w:noProof/>
          <w:color w:val="000000"/>
        </w:rPr>
      </w:pPr>
      <w:r>
        <w:rPr>
          <w:noProof/>
          <w:color w:val="000000"/>
        </w:rPr>
        <w:t xml:space="preserve">La nivel multilateral, riscul unui impact negativ asupra refacerii stocului este redus de o serie de acțiuni noi: 1) declarația ministerială de la Sofia, semnată la 7 iunie, care confirmă angajamentul țărilor cu ieșire la Marea Neagră de a acționa în mod colectiv, pe baza unui plan de acțiune concret, pentru sustenabilitatea pescuitului din Marea Neagră; 2) adoptarea, în cadrul celei de-a 41-a sesiuni anuale a CGPM, și punerea în aplicare ulterioară a Planului de acțiune regional al CGPM pentru combaterea pescuitului INN; 3) punerea în aplicare, la nivel multilateral, a proiectului CGPM „BlackSea4Fish” bazat pe cooperarea regională în materie de date, de studii și de evaluări științifice; 4) adoptarea, în cadrul celei de-a 41-a sesiuni anuale a CGPM, și punerea în aplicare ulterioară a planului multianual de gestionare a pescuitului de calcan în Marea Neagră (GSA 29). Planul a stabilit o captură totală admisibilă multilaterală și alocarea sa temporară către țările cu ieșire la Marea Neagră pentru anii 2018 și 2019. Un element substanțial al planului de gestionare multianual este punerea în aplicare a proiectului-pilot comun de inspecție și de control pe mare. Clauzele de revizuire incluse în plan vor permite reevaluarea TAC și a cotelor, în cazul în care avizele științifice nu confirmă continuarea evoluției constructive a mortalității prin pescuit. În plus, planul prevede un sistem de alocare permanentă a TAC și un program permanent de inspecție până în 2020. Acest plan </w:t>
      </w:r>
      <w:r>
        <w:rPr>
          <w:noProof/>
          <w:color w:val="000000"/>
        </w:rPr>
        <w:lastRenderedPageBreak/>
        <w:t xml:space="preserve">va contribui la combaterea eficientă a activităților INN și la gestionarea adecvată a stocurilor de calcan la nivel regional. </w:t>
      </w:r>
    </w:p>
    <w:p>
      <w:pPr>
        <w:rPr>
          <w:noProof/>
          <w:color w:val="000000"/>
        </w:rPr>
      </w:pPr>
      <w:r>
        <w:rPr>
          <w:noProof/>
          <w:color w:val="000000"/>
        </w:rPr>
        <w:t>Propunerea nu reflectă numai preocupările pe termen scurt, ci face parte și dintr-o abordare pe termen mai lung, care urmărește adaptarea treptată a pescuitului la niveluri sustenabile pe termen lung.</w:t>
      </w:r>
    </w:p>
    <w:p>
      <w:pPr>
        <w:rPr>
          <w:noProof/>
          <w:color w:val="000000"/>
        </w:rPr>
      </w:pPr>
      <w:r>
        <w:rPr>
          <w:noProof/>
          <w:color w:val="000000"/>
        </w:rPr>
        <w:t>În consecință, abordarea urmărită în propunere poate determina, pe termen mediu, o reducere a efortului de pescuit, dar și cote stabile sau în creștere pe termen lung. Se așteaptă ca, pe termen lung, abordarea să aibă drept efect un impact redus asupra mediului, ca urmare a adaptării efortului de pescuit și a posibilităților de pescuit. Pe termen lung, sustenabilitatea activităților de pescuit va crește.</w:t>
      </w:r>
    </w:p>
    <w:p>
      <w:pPr>
        <w:pStyle w:val="ManualHeading1"/>
        <w:rPr>
          <w:noProof/>
        </w:rPr>
      </w:pPr>
      <w:r>
        <w:rPr>
          <w:noProof/>
        </w:rPr>
        <w:t>3.</w:t>
      </w:r>
      <w:r>
        <w:rPr>
          <w:noProof/>
        </w:rPr>
        <w:tab/>
        <w:t>ELEMENTELE JURIDICE ALE PROPUNERII</w:t>
      </w:r>
    </w:p>
    <w:p>
      <w:pPr>
        <w:pStyle w:val="ListBullet"/>
        <w:rPr>
          <w:b/>
          <w:noProof/>
        </w:rPr>
      </w:pPr>
      <w:r>
        <w:rPr>
          <w:b/>
          <w:noProof/>
        </w:rPr>
        <w:t>Rezumatul acțiunii propuse</w:t>
      </w:r>
    </w:p>
    <w:p>
      <w:pPr>
        <w:rPr>
          <w:b/>
          <w:noProof/>
        </w:rPr>
      </w:pPr>
      <w:r>
        <w:rPr>
          <w:noProof/>
        </w:rPr>
        <w:t>Propunerea stabilește limitele de captură aplicabile în Marea Neagră activităților de pescuit ale Uniunii, în scopul realizării obiectivului politicii comune în domeniul pescuitului de garantare a unor niveluri ale activităților de pescuit care să fie sustenabile din punct de vedere biologic, economic și social.</w:t>
      </w:r>
    </w:p>
    <w:p>
      <w:pPr>
        <w:pStyle w:val="ListBullet"/>
        <w:rPr>
          <w:b/>
          <w:noProof/>
        </w:rPr>
      </w:pPr>
      <w:r>
        <w:rPr>
          <w:b/>
          <w:noProof/>
        </w:rPr>
        <w:t>Temei juridic</w:t>
      </w:r>
    </w:p>
    <w:p>
      <w:pPr>
        <w:rPr>
          <w:noProof/>
        </w:rPr>
      </w:pPr>
      <w:r>
        <w:rPr>
          <w:noProof/>
        </w:rPr>
        <w:t>Temeiul juridic al prezentei propuneri îl constituie articolul 43 alineatul (3) din Tratatul privind funcționarea Uniunii Europene.</w:t>
      </w:r>
    </w:p>
    <w:p>
      <w:pPr>
        <w:rPr>
          <w:noProof/>
        </w:rPr>
      </w:pPr>
      <w:r>
        <w:rPr>
          <w:noProof/>
        </w:rPr>
        <w:t>Obligațiile Uniunii în ceea ce privește exploatarea sustenabilă a resurselor acvatice vii decurg din obligațiile prevăzute la articolul 2 din regulamentul de bază al PCP.</w:t>
      </w:r>
    </w:p>
    <w:p>
      <w:pPr>
        <w:pStyle w:val="ListBullet"/>
        <w:rPr>
          <w:b/>
          <w:noProof/>
        </w:rPr>
      </w:pPr>
      <w:r>
        <w:rPr>
          <w:b/>
          <w:noProof/>
        </w:rPr>
        <w:t>Principiul subsidiarității</w:t>
      </w:r>
    </w:p>
    <w:p>
      <w:pPr>
        <w:rPr>
          <w:noProof/>
        </w:rPr>
      </w:pPr>
      <w:r>
        <w:rPr>
          <w:noProof/>
        </w:rPr>
        <w:t>Propunerea este de competența exclusivă a Uniunii, în conformitate cu articolul 3 alineatul (1) litera (d) din Tratatul privind funcționarea Uniunii Europene. În consecință, principiul subsidiarității nu se aplică.</w:t>
      </w:r>
    </w:p>
    <w:p>
      <w:pPr>
        <w:pStyle w:val="ListBullet"/>
        <w:rPr>
          <w:b/>
          <w:bCs/>
          <w:noProof/>
        </w:rPr>
      </w:pPr>
      <w:r>
        <w:rPr>
          <w:b/>
          <w:noProof/>
        </w:rPr>
        <w:t>Principiul proporționalității</w:t>
      </w:r>
    </w:p>
    <w:p>
      <w:pPr>
        <w:rPr>
          <w:noProof/>
        </w:rPr>
      </w:pPr>
      <w:r>
        <w:rPr>
          <w:noProof/>
        </w:rPr>
        <w:t>Propunerea respectă principiul proporționalității din următorul motiv.</w:t>
      </w:r>
    </w:p>
    <w:p>
      <w:pPr>
        <w:rPr>
          <w:noProof/>
        </w:rPr>
      </w:pPr>
      <w:r>
        <w:rPr>
          <w:noProof/>
        </w:rPr>
        <w:t>Politica comună în domeniul pescuitului este o politică comună. În conformitate cu articolul 43 alineatul (3) din TFUE, Consiliului îi revine obligația de a adopta măsurile privind stabilirea și alocarea posibilităților de pescuit.</w:t>
      </w:r>
    </w:p>
    <w:p>
      <w:pPr>
        <w:rPr>
          <w:noProof/>
        </w:rPr>
      </w:pPr>
      <w:r>
        <w:rPr>
          <w:noProof/>
        </w:rPr>
        <w:t>Propunerea de regulament al Consiliului alocă posibilități de pescuit statelor membre. În conformitate cu articolul 16 alineatele (6) și (7) și cu articolul 17 din Regulamentul (UE) nr. 1380/2013, statele membre au libertatea de a aloca aceste posibilități navelor care le arborează pavilionul după cum consideră oportun. Prin urmare, statele membre dispun de o marjă de manevră semnificativă în luarea deciziilor legate de modelele sociale și economice pe care le aleg pentru exploatarea posibilităților de pescuit care le sunt alocate.</w:t>
      </w:r>
    </w:p>
    <w:p>
      <w:pPr>
        <w:rPr>
          <w:noProof/>
        </w:rPr>
      </w:pPr>
      <w:r>
        <w:rPr>
          <w:noProof/>
        </w:rPr>
        <w:t>Propunerea nu are implicații financiare noi pentru statele membre. Acest regulament este adoptat anual de Consiliu, iar mijloacele publice și private necesare pentru punerea sa în aplicare există deja.</w:t>
      </w:r>
    </w:p>
    <w:p>
      <w:pPr>
        <w:rPr>
          <w:noProof/>
        </w:rPr>
      </w:pPr>
    </w:p>
    <w:p>
      <w:pPr>
        <w:pStyle w:val="ListBullet"/>
        <w:rPr>
          <w:b/>
          <w:bCs/>
          <w:noProof/>
        </w:rPr>
      </w:pPr>
      <w:r>
        <w:rPr>
          <w:b/>
          <w:noProof/>
        </w:rPr>
        <w:t>Alegerea instrumentelor</w:t>
      </w:r>
    </w:p>
    <w:p>
      <w:pPr>
        <w:rPr>
          <w:noProof/>
        </w:rPr>
      </w:pPr>
      <w:r>
        <w:rPr>
          <w:noProof/>
        </w:rPr>
        <w:t>Instrumente propuse: regulament.</w:t>
      </w:r>
    </w:p>
    <w:p>
      <w:pPr>
        <w:rPr>
          <w:noProof/>
        </w:rPr>
      </w:pPr>
      <w:r>
        <w:rPr>
          <w:noProof/>
        </w:rPr>
        <w:lastRenderedPageBreak/>
        <w:t>Prezentul document este o propunere referitoare la gestionarea activităților de pescuit în temeiul articolului 43 alineatul (3) din TFUE și în conformitate cu articolul 16 din Regulamentul (UE) nr. 1380/2013.</w:t>
      </w:r>
    </w:p>
    <w:p>
      <w:pPr>
        <w:pStyle w:val="ManualHeading1"/>
        <w:rPr>
          <w:noProof/>
        </w:rPr>
      </w:pPr>
      <w:r>
        <w:rPr>
          <w:noProof/>
        </w:rPr>
        <w:t>4.</w:t>
      </w:r>
      <w:r>
        <w:rPr>
          <w:noProof/>
        </w:rPr>
        <w:tab/>
        <w:t>IMPLICAȚII BUGETARE</w:t>
      </w:r>
    </w:p>
    <w:p>
      <w:pPr>
        <w:rPr>
          <w:noProof/>
        </w:rPr>
      </w:pPr>
      <w:r>
        <w:rPr>
          <w:noProof/>
        </w:rPr>
        <w:t>Propunerea nu are implicații asupra bugetului Uniunii.</w:t>
      </w:r>
    </w:p>
    <w:p>
      <w:pPr>
        <w:rPr>
          <w:noProof/>
        </w:rPr>
        <w:sectPr>
          <w:footerReference w:type="default" r:id="rId15"/>
          <w:footerReference w:type="first" r:id="rId16"/>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2018/0365 (NLE)</w:t>
      </w:r>
    </w:p>
    <w:p>
      <w:pPr>
        <w:pStyle w:val="Statut"/>
        <w:rPr>
          <w:noProof/>
        </w:rPr>
      </w:pPr>
      <w:r>
        <w:rPr>
          <w:noProof/>
        </w:rPr>
        <w:t>Propunere de</w:t>
      </w:r>
    </w:p>
    <w:p>
      <w:pPr>
        <w:pStyle w:val="Typedudocument"/>
        <w:rPr>
          <w:noProof/>
        </w:rPr>
      </w:pPr>
      <w:r>
        <w:rPr>
          <w:noProof/>
        </w:rPr>
        <w:t>REGULAMENT AL CONSILIULUI</w:t>
      </w:r>
    </w:p>
    <w:p>
      <w:pPr>
        <w:pStyle w:val="Titreobjet"/>
        <w:rPr>
          <w:noProof/>
        </w:rPr>
      </w:pPr>
      <w:r>
        <w:rPr>
          <w:noProof/>
        </w:rPr>
        <w:t>de stabilire, pentru 2019, a posibilităților de pescuit pentru anumite stocuri de pește și grupuri de stocuri de pește din Marea Neagră</w:t>
      </w:r>
    </w:p>
    <w:p>
      <w:pPr>
        <w:pStyle w:val="Institutionquiagit"/>
        <w:rPr>
          <w:noProof/>
        </w:rPr>
      </w:pPr>
      <w:r>
        <w:rPr>
          <w:noProof/>
        </w:rPr>
        <w:t>CONSILIUL UNIUNII EUROPENE,</w:t>
      </w:r>
    </w:p>
    <w:p>
      <w:pPr>
        <w:rPr>
          <w:noProof/>
        </w:rPr>
      </w:pPr>
      <w:r>
        <w:rPr>
          <w:noProof/>
        </w:rPr>
        <w:t>având în vedere Tratatul privind funcționarea Uniunii Europene, în special articolul 43 alineatul (3),</w:t>
      </w:r>
    </w:p>
    <w:p>
      <w:pPr>
        <w:rPr>
          <w:noProof/>
        </w:rPr>
      </w:pPr>
      <w:r>
        <w:rPr>
          <w:noProof/>
        </w:rPr>
        <w:t>având în vedere propunerea Comisiei Europene,</w:t>
      </w:r>
    </w:p>
    <w:p>
      <w:pPr>
        <w:rPr>
          <w:noProof/>
        </w:rPr>
      </w:pPr>
      <w:r>
        <w:rPr>
          <w:noProof/>
        </w:rPr>
        <w:t>întrucât:</w:t>
      </w:r>
    </w:p>
    <w:p>
      <w:pPr>
        <w:pStyle w:val="ManualConsidrant"/>
        <w:rPr>
          <w:noProof/>
        </w:rPr>
      </w:pPr>
      <w:r>
        <w:rPr>
          <w:noProof/>
        </w:rPr>
        <w:t>(1)</w:t>
      </w:r>
      <w:r>
        <w:rPr>
          <w:noProof/>
        </w:rPr>
        <w:tab/>
        <w:t>În conformitate cu articolul 43 alineatul (3) din tratat, Consiliul, la propunerea Comisiei, adoptă măsuri privind stabilirea și alocarea posibilităților de pescuit.</w:t>
      </w:r>
    </w:p>
    <w:p>
      <w:pPr>
        <w:pStyle w:val="ManualConsidrant"/>
        <w:rPr>
          <w:noProof/>
        </w:rPr>
      </w:pPr>
      <w:r>
        <w:rPr>
          <w:noProof/>
        </w:rPr>
        <w:t>(2)</w:t>
      </w:r>
      <w:r>
        <w:rPr>
          <w:noProof/>
        </w:rPr>
        <w:tab/>
        <w:t>Regulamentul (UE) nr. 1380/2013 al Parlamentului European și al Consiliului</w:t>
      </w:r>
      <w:r>
        <w:rPr>
          <w:rStyle w:val="FootnoteReference"/>
          <w:noProof/>
        </w:rPr>
        <w:footnoteReference w:id="8"/>
      </w:r>
      <w:r>
        <w:rPr>
          <w:noProof/>
        </w:rPr>
        <w:t xml:space="preserve"> prevede că măsurile de conservare se adoptă ținând seama de avizele științifice, tehnice și economice disponibile, inclusiv, atunci când este cazul, de rapoartele elaborate de Comitetul științific, tehnic și economic pentru pescuit (CSTEP).</w:t>
      </w:r>
    </w:p>
    <w:p>
      <w:pPr>
        <w:pStyle w:val="ManualConsidrant"/>
        <w:rPr>
          <w:noProof/>
        </w:rPr>
      </w:pPr>
      <w:r>
        <w:rPr>
          <w:noProof/>
        </w:rPr>
        <w:t>(3)</w:t>
      </w:r>
      <w:r>
        <w:rPr>
          <w:noProof/>
        </w:rPr>
        <w:tab/>
        <w:t xml:space="preserve">Consiliului îi revine sarcina de a adopta măsuri privind stabilirea și alocarea posibilităților de pescuit pe resurse halieutice sau grupe de resurse halieutice din Marea Neagră, inclusiv, atunci când este cazul, anumite condiții legate funcțional de acestea. Articolul 16 alineatul (4) din Regulamentul (UE) nr. 1380/2013 prevede că posibilitățile de pescuit ar trebui să fie stabilite în conformitate cu obiectivele politicii comune în domeniul pescuitului (PCP) prevăzute la articolul 2 alineatul (2) din regulamentul menționat. Articolul 16 alineatul (1) din Regulamentul (UE) nr. 1380/2013 prevede că posibilitățile de pescuit trebuie alocate statelor membre în așa fel încât să asigure relativa stabilitate a activităților de pescuit desfășurate de fiecare stat membru pentru fiecare stoc de pește sau tip de pescuit. </w:t>
      </w:r>
    </w:p>
    <w:p>
      <w:pPr>
        <w:pStyle w:val="ManualConsidrant"/>
        <w:rPr>
          <w:noProof/>
        </w:rPr>
      </w:pPr>
      <w:r>
        <w:rPr>
          <w:noProof/>
        </w:rPr>
        <w:t>(4)</w:t>
      </w:r>
      <w:r>
        <w:rPr>
          <w:noProof/>
        </w:rPr>
        <w:tab/>
        <w:t xml:space="preserve">La cea de a 41-a reuniune anuală a sa, în 2017, Comisia Generală pentru Pescuit în Marea Mediterană a adoptat recomandarea CGPM/40/2017/4 privind un plan multianual de gestionare a pescuitului de calcan în subzona geografică 29 (Marea Neagră). Recomandarea stabilește nivelul capturii totale admisibile (TAC) pentru calcan pentru o perioadă de doi ani (2018-2019), cu o alocare temporară de cote. Măsura respectivă ar trebui să fie transpusă în dreptul Uniunii. </w:t>
      </w:r>
    </w:p>
    <w:p>
      <w:pPr>
        <w:pStyle w:val="ManualConsidrant"/>
        <w:rPr>
          <w:noProof/>
        </w:rPr>
      </w:pPr>
      <w:r>
        <w:rPr>
          <w:noProof/>
        </w:rPr>
        <w:t>(5)</w:t>
      </w:r>
      <w:r>
        <w:rPr>
          <w:noProof/>
        </w:rPr>
        <w:tab/>
        <w:t>Posibilitățile de pescuit ar trebui stabilite pe baza avizelor științifice disponibile, luându-se în considerare aspectele biologice și socio-economice și asigurându-se totodată un tratament echitabil pentru toate sectoarele de pescuit, precum și pe baza opiniilor exprimate cu ocazia consultării părților interesate.</w:t>
      </w:r>
    </w:p>
    <w:p>
      <w:pPr>
        <w:pStyle w:val="ManualConsidrant"/>
        <w:rPr>
          <w:noProof/>
        </w:rPr>
      </w:pPr>
      <w:r>
        <w:rPr>
          <w:noProof/>
        </w:rPr>
        <w:lastRenderedPageBreak/>
        <w:t>(6)</w:t>
      </w:r>
      <w:r>
        <w:rPr>
          <w:noProof/>
        </w:rPr>
        <w:tab/>
        <w:t xml:space="preserve">În conformitate cu avizele științifice furnizate de CSTEP, este necesar să se mențină nivelul actual al mortalității prin pescuit, pentru a se asigura sustenabilitatea stocurilor de șprot din Marea Neagră. </w:t>
      </w:r>
    </w:p>
    <w:p>
      <w:pPr>
        <w:pStyle w:val="ManualConsidrant"/>
        <w:rPr>
          <w:noProof/>
        </w:rPr>
      </w:pPr>
      <w:r>
        <w:rPr>
          <w:noProof/>
        </w:rPr>
        <w:t>(7)</w:t>
      </w:r>
      <w:r>
        <w:rPr>
          <w:noProof/>
        </w:rPr>
        <w:tab/>
        <w:t>Utilizarea posibilităților de pescuit prevăzute în prezentul regulament face obiectul Regulamentului (CE) nr. 1224/2009 al Consiliului</w:t>
      </w:r>
      <w:r>
        <w:rPr>
          <w:rStyle w:val="FootnoteReference"/>
          <w:noProof/>
        </w:rPr>
        <w:footnoteReference w:id="9"/>
      </w:r>
      <w:r>
        <w:rPr>
          <w:noProof/>
        </w:rPr>
        <w:t xml:space="preserve"> și în special al articolelor 33 și 34 referitoare la înregistrarea capturilor și la transmiterea datelor privind epuizarea posibilităților de pescuit. Prin urmare, este necesar să se precizeze codurile care trebuie utilizate de statele membre atunci când transmit Comisiei date cu privire la debarcarea stocurilor care fac obiectul prezentului regulament.</w:t>
      </w:r>
    </w:p>
    <w:p>
      <w:pPr>
        <w:pStyle w:val="ManualConsidrant"/>
        <w:rPr>
          <w:noProof/>
        </w:rPr>
      </w:pPr>
      <w:r>
        <w:rPr>
          <w:noProof/>
        </w:rPr>
        <w:t>(8)</w:t>
      </w:r>
      <w:r>
        <w:rPr>
          <w:noProof/>
        </w:rPr>
        <w:tab/>
        <w:t>În conformitate cu articolul 2 din Regulamentul (CE) nr. 847/96 al Consiliului</w:t>
      </w:r>
      <w:r>
        <w:rPr>
          <w:rStyle w:val="FootnoteReference"/>
          <w:noProof/>
        </w:rPr>
        <w:footnoteReference w:id="10"/>
      </w:r>
      <w:r>
        <w:rPr>
          <w:noProof/>
        </w:rPr>
        <w:t>, trebuie identificate stocurile care fac obiectul diferitelor măsuri prevăzute de acesta.</w:t>
      </w:r>
    </w:p>
    <w:p>
      <w:pPr>
        <w:pStyle w:val="ManualConsidrant"/>
        <w:rPr>
          <w:noProof/>
        </w:rPr>
      </w:pPr>
      <w:r>
        <w:rPr>
          <w:noProof/>
        </w:rPr>
        <w:t>(9)</w:t>
      </w:r>
      <w:r>
        <w:rPr>
          <w:noProof/>
        </w:rPr>
        <w:tab/>
        <w:t xml:space="preserve">În ceea ce privește stocurile de calcan, ar trebui luate măsuri de conservare suplimentare. Prin menținerea perioadei de interdicție de două luni aplicabile în prezent între 15 aprilie și 15 iunie, s-ar asigura în continuare protecția stocurilor pe durata sezonului de reproducere a calcanului. Gestionarea efortului de pescuit și limitarea zilelor de pescuit la 180 pe an ar avea un impact pozitiv asupra conservării stocurilor de calcan. </w:t>
      </w:r>
    </w:p>
    <w:p>
      <w:pPr>
        <w:pStyle w:val="ManualConsidrant"/>
        <w:rPr>
          <w:noProof/>
        </w:rPr>
      </w:pPr>
      <w:r>
        <w:rPr>
          <w:noProof/>
        </w:rPr>
        <w:t>(10)</w:t>
      </w:r>
      <w:r>
        <w:rPr>
          <w:noProof/>
        </w:rPr>
        <w:tab/>
        <w:t>Pentru a evita întreruperea activităților de pescuit și pentru a asigura mijloacele de subzistență ale pescarilor din Uniune, este important ca respectivele activități de pescuit din Marea Neagră să fie deschise de la 1 ianuarie 2019. Din motive de urgență, prezentul regulament ar trebui să intre în vigoare imediat după publicarea sa.</w:t>
      </w:r>
    </w:p>
    <w:p>
      <w:pPr>
        <w:pStyle w:val="ManualConsidrant"/>
        <w:rPr>
          <w:noProof/>
        </w:rPr>
      </w:pPr>
      <w:r>
        <w:rPr>
          <w:noProof/>
        </w:rPr>
        <w:t>(11)</w:t>
      </w:r>
      <w:r>
        <w:rPr>
          <w:noProof/>
        </w:rPr>
        <w:tab/>
        <w:t>Posibilitățile de pescuit ar trebui utilizate în deplină conformitate cu dreptul aplicabil al Uniunii,</w:t>
      </w:r>
    </w:p>
    <w:p>
      <w:pPr>
        <w:pStyle w:val="Formuledadoption"/>
        <w:rPr>
          <w:noProof/>
        </w:rPr>
      </w:pPr>
      <w:r>
        <w:rPr>
          <w:noProof/>
        </w:rPr>
        <w:t>ADOPTĂ PREZENTUL REGULAMENT:</w:t>
      </w:r>
    </w:p>
    <w:p>
      <w:pPr>
        <w:pStyle w:val="ChapterTitle"/>
        <w:spacing w:before="360"/>
        <w:rPr>
          <w:noProof/>
        </w:rPr>
      </w:pPr>
      <w:r>
        <w:rPr>
          <w:noProof/>
        </w:rPr>
        <w:t>CAPITOLUL I</w:t>
      </w:r>
      <w:r>
        <w:rPr>
          <w:noProof/>
        </w:rPr>
        <w:br/>
        <w:t>Obiect, domeniu de aplicare și definiții</w:t>
      </w:r>
    </w:p>
    <w:p>
      <w:pPr>
        <w:pStyle w:val="Titrearticle"/>
        <w:rPr>
          <w:b/>
          <w:i w:val="0"/>
          <w:noProof/>
          <w:u w:val="single"/>
        </w:rPr>
      </w:pPr>
      <w:r>
        <w:rPr>
          <w:i w:val="0"/>
          <w:noProof/>
        </w:rPr>
        <w:t>Articolul 1</w:t>
      </w:r>
      <w:r>
        <w:rPr>
          <w:i w:val="0"/>
          <w:noProof/>
        </w:rPr>
        <w:br/>
      </w:r>
      <w:r>
        <w:rPr>
          <w:b/>
          <w:i w:val="0"/>
          <w:noProof/>
        </w:rPr>
        <w:t>Obiect</w:t>
      </w:r>
    </w:p>
    <w:p>
      <w:pPr>
        <w:rPr>
          <w:noProof/>
        </w:rPr>
      </w:pPr>
      <w:r>
        <w:rPr>
          <w:noProof/>
        </w:rPr>
        <w:t>Prezentul regulament stabilește, pentru 2019, posibilitățile de pescuit disponibile pentru navele de pescuit ale Uniunii care arborează pavilioanele Bulgariei și României pentru următoarele stocuri:</w:t>
      </w:r>
    </w:p>
    <w:p>
      <w:pPr>
        <w:rPr>
          <w:noProof/>
        </w:rPr>
      </w:pPr>
      <w:r>
        <w:rPr>
          <w:noProof/>
        </w:rPr>
        <w:t>(a) șprot (</w:t>
      </w:r>
      <w:r>
        <w:rPr>
          <w:i/>
          <w:noProof/>
        </w:rPr>
        <w:t>Sprattus sprattus</w:t>
      </w:r>
      <w:r>
        <w:rPr>
          <w:noProof/>
        </w:rPr>
        <w:t>) în Marea Neagră;</w:t>
      </w:r>
    </w:p>
    <w:p>
      <w:pPr>
        <w:rPr>
          <w:noProof/>
        </w:rPr>
      </w:pPr>
      <w:r>
        <w:rPr>
          <w:noProof/>
        </w:rPr>
        <w:t>(b) calcan (</w:t>
      </w:r>
      <w:r>
        <w:rPr>
          <w:i/>
          <w:noProof/>
        </w:rPr>
        <w:t>Psetta maxima</w:t>
      </w:r>
      <w:r>
        <w:rPr>
          <w:noProof/>
        </w:rPr>
        <w:t>) în Marea Neagră.</w:t>
      </w:r>
    </w:p>
    <w:p>
      <w:pPr>
        <w:pStyle w:val="Titrearticle"/>
        <w:rPr>
          <w:i w:val="0"/>
          <w:noProof/>
        </w:rPr>
      </w:pPr>
      <w:r>
        <w:rPr>
          <w:i w:val="0"/>
          <w:noProof/>
        </w:rPr>
        <w:lastRenderedPageBreak/>
        <w:t>Articolul 2</w:t>
      </w:r>
      <w:r>
        <w:rPr>
          <w:i w:val="0"/>
          <w:noProof/>
        </w:rPr>
        <w:br/>
      </w:r>
      <w:r>
        <w:rPr>
          <w:b/>
          <w:i w:val="0"/>
          <w:noProof/>
        </w:rPr>
        <w:t>Domeniul de aplicare</w:t>
      </w:r>
    </w:p>
    <w:p>
      <w:pPr>
        <w:rPr>
          <w:noProof/>
        </w:rPr>
      </w:pPr>
      <w:r>
        <w:rPr>
          <w:noProof/>
        </w:rPr>
        <w:t>Prezentul regulament se aplică navelor de pescuit ale Uniunii care arborează pavilioanele Bulgariei și României și care își desfășoară activitatea în Marea Neagră.</w:t>
      </w:r>
    </w:p>
    <w:p>
      <w:pPr>
        <w:pStyle w:val="Titrearticle"/>
        <w:rPr>
          <w:b/>
          <w:i w:val="0"/>
          <w:noProof/>
        </w:rPr>
      </w:pPr>
      <w:r>
        <w:rPr>
          <w:i w:val="0"/>
          <w:noProof/>
        </w:rPr>
        <w:t>Articolul 3</w:t>
      </w:r>
      <w:r>
        <w:rPr>
          <w:i w:val="0"/>
          <w:noProof/>
        </w:rPr>
        <w:br/>
      </w:r>
      <w:r>
        <w:rPr>
          <w:b/>
          <w:i w:val="0"/>
          <w:noProof/>
        </w:rPr>
        <w:t>Definiții</w:t>
      </w:r>
    </w:p>
    <w:p>
      <w:pPr>
        <w:rPr>
          <w:noProof/>
        </w:rPr>
      </w:pPr>
      <w:r>
        <w:rPr>
          <w:noProof/>
        </w:rPr>
        <w:t>În sensul prezentului regulament, se aplică următoarele definiții:</w:t>
      </w:r>
    </w:p>
    <w:p>
      <w:pPr>
        <w:pStyle w:val="Point0letter"/>
        <w:numPr>
          <w:ilvl w:val="1"/>
          <w:numId w:val="10"/>
        </w:numPr>
        <w:rPr>
          <w:noProof/>
        </w:rPr>
      </w:pPr>
      <w:r>
        <w:rPr>
          <w:noProof/>
        </w:rPr>
        <w:t>„CGPM” înseamnă Comisia Generală pentru Pescuit în Marea Mediterană;</w:t>
      </w:r>
    </w:p>
    <w:p>
      <w:pPr>
        <w:pStyle w:val="Point0letter"/>
        <w:rPr>
          <w:noProof/>
        </w:rPr>
      </w:pPr>
      <w:r>
        <w:rPr>
          <w:noProof/>
        </w:rPr>
        <w:t>„Marea Neagră” constituie subzona geografică 29, astfel cum este definită în anexa I la Regulamentul (UE) nr. 1343/2011 al Parlamentului European și al Consiliului</w:t>
      </w:r>
      <w:r>
        <w:rPr>
          <w:rStyle w:val="FootnoteReference"/>
          <w:noProof/>
        </w:rPr>
        <w:footnoteReference w:id="11"/>
      </w:r>
      <w:r>
        <w:rPr>
          <w:noProof/>
        </w:rPr>
        <w:t>;</w:t>
      </w:r>
    </w:p>
    <w:p>
      <w:pPr>
        <w:pStyle w:val="Point0letter"/>
        <w:rPr>
          <w:noProof/>
          <w:szCs w:val="24"/>
        </w:rPr>
      </w:pPr>
      <w:r>
        <w:rPr>
          <w:noProof/>
        </w:rPr>
        <w:t>„navă de pescuit” înseamnă orice navă echipată pentru exploatarea comercială a resurselor biologice marine;</w:t>
      </w:r>
    </w:p>
    <w:p>
      <w:pPr>
        <w:pStyle w:val="Point0letter"/>
        <w:rPr>
          <w:noProof/>
        </w:rPr>
      </w:pPr>
      <w:r>
        <w:rPr>
          <w:noProof/>
        </w:rPr>
        <w:t xml:space="preserve">„navă de pescuit a Uniunii” înseamnă o navă de pescuit care arborează pavilionul unui stat membru și care este înmatriculată în Uniune; </w:t>
      </w:r>
    </w:p>
    <w:p>
      <w:pPr>
        <w:pStyle w:val="Point0letter"/>
        <w:rPr>
          <w:noProof/>
          <w:szCs w:val="24"/>
        </w:rPr>
      </w:pPr>
      <w:r>
        <w:rPr>
          <w:noProof/>
        </w:rPr>
        <w:t>„stoc” înseamnă o resursă biologică marină existentă într-o anumită zonă de gestionare;</w:t>
      </w:r>
    </w:p>
    <w:p>
      <w:pPr>
        <w:pStyle w:val="Point0letter"/>
        <w:rPr>
          <w:noProof/>
        </w:rPr>
      </w:pPr>
      <w:r>
        <w:rPr>
          <w:noProof/>
        </w:rPr>
        <w:t xml:space="preserve">„captură totală admisibilă” (TAC) înseamnă cantitatea din fiecare stoc care poate fi capturată pe durata unui an; </w:t>
      </w:r>
    </w:p>
    <w:p>
      <w:pPr>
        <w:pStyle w:val="Point0letter"/>
        <w:rPr>
          <w:noProof/>
        </w:rPr>
      </w:pPr>
      <w:r>
        <w:rPr>
          <w:noProof/>
        </w:rPr>
        <w:t xml:space="preserve"> „cotă autonomă a Uniunii” înseamnă o limită a capturilor alocată în mod autonom navelor de pescuit ale Uniunii în lipsa unui acord asupra unei TAC; </w:t>
      </w:r>
    </w:p>
    <w:p>
      <w:pPr>
        <w:pStyle w:val="Point0letter"/>
        <w:rPr>
          <w:noProof/>
        </w:rPr>
      </w:pPr>
      <w:r>
        <w:rPr>
          <w:noProof/>
        </w:rPr>
        <w:t>„cotă analitică” înseamnă o cotă autonomă a Uniunii pentru care este disponibilă o evaluare analitică;</w:t>
      </w:r>
    </w:p>
    <w:p>
      <w:pPr>
        <w:pStyle w:val="Point0letter"/>
        <w:rPr>
          <w:noProof/>
        </w:rPr>
      </w:pPr>
      <w:r>
        <w:rPr>
          <w:noProof/>
        </w:rPr>
        <w:t xml:space="preserve"> „evaluare analitică” înseamnă o evaluare cantitativă a tendințelor unui anumit stoc, bazată pe date privind biologia și exploatarea stocului și despre care s-a stabilit printr-o analiză științifică că are o calitate suficientă pentru a servi drept bază pentru avize științifice privind opțiunile viitoare în materie de capturi.</w:t>
      </w:r>
    </w:p>
    <w:p>
      <w:pPr>
        <w:pStyle w:val="ChapterTitle"/>
        <w:spacing w:before="360"/>
        <w:rPr>
          <w:noProof/>
        </w:rPr>
      </w:pPr>
      <w:r>
        <w:rPr>
          <w:noProof/>
        </w:rPr>
        <w:t>CAPITOLUL II</w:t>
      </w:r>
      <w:r>
        <w:rPr>
          <w:noProof/>
        </w:rPr>
        <w:br/>
        <w:t xml:space="preserve">Posibilități de pescuit </w:t>
      </w:r>
    </w:p>
    <w:p>
      <w:pPr>
        <w:pStyle w:val="Titrearticle"/>
        <w:rPr>
          <w:b/>
          <w:i w:val="0"/>
          <w:noProof/>
        </w:rPr>
      </w:pPr>
      <w:r>
        <w:rPr>
          <w:i w:val="0"/>
          <w:noProof/>
        </w:rPr>
        <w:t>Articolul 4</w:t>
      </w:r>
      <w:r>
        <w:rPr>
          <w:i w:val="0"/>
          <w:noProof/>
        </w:rPr>
        <w:br/>
      </w:r>
      <w:r>
        <w:rPr>
          <w:b/>
          <w:i w:val="0"/>
          <w:noProof/>
        </w:rPr>
        <w:t>Alocarea posibilităților de pescuit</w:t>
      </w:r>
    </w:p>
    <w:p>
      <w:pPr>
        <w:shd w:val="clear" w:color="auto" w:fill="FFFFFF"/>
        <w:rPr>
          <w:noProof/>
        </w:rPr>
      </w:pPr>
      <w:r>
        <w:rPr>
          <w:noProof/>
        </w:rPr>
        <w:t xml:space="preserve">(1) Cota autonomă a Uniunii pentru șprot, alocarea acestei cote între statele membre și, atunci când este cazul, condițiile legate funcțional de aceasta sunt stabilite în anexă. </w:t>
      </w:r>
    </w:p>
    <w:p>
      <w:pPr>
        <w:rPr>
          <w:noProof/>
        </w:rPr>
      </w:pPr>
      <w:r>
        <w:rPr>
          <w:noProof/>
        </w:rPr>
        <w:t xml:space="preserve">(2) TAC pentru calcan, aplicabilă în apele Uniunii și pentru navele de pescuit ale Uniunii, precum și alocarea TAC între statele membre și, acolo unde este cazul, condițiile legate funcțional de aceasta sunt stabilite în anexă. </w:t>
      </w:r>
    </w:p>
    <w:p>
      <w:pPr>
        <w:rPr>
          <w:noProof/>
        </w:rPr>
      </w:pPr>
    </w:p>
    <w:p>
      <w:pPr>
        <w:pStyle w:val="Titrearticle"/>
        <w:rPr>
          <w:i w:val="0"/>
          <w:noProof/>
        </w:rPr>
      </w:pPr>
      <w:r>
        <w:rPr>
          <w:i w:val="0"/>
          <w:noProof/>
        </w:rPr>
        <w:t>Articolul 5</w:t>
      </w:r>
      <w:r>
        <w:rPr>
          <w:i w:val="0"/>
          <w:noProof/>
        </w:rPr>
        <w:br/>
      </w:r>
      <w:r>
        <w:rPr>
          <w:b/>
          <w:i w:val="0"/>
          <w:noProof/>
        </w:rPr>
        <w:t>Dispoziții speciale privind alocarea</w:t>
      </w:r>
    </w:p>
    <w:p>
      <w:pPr>
        <w:rPr>
          <w:noProof/>
        </w:rPr>
      </w:pPr>
      <w:r>
        <w:rPr>
          <w:noProof/>
        </w:rPr>
        <w:t>Alocarea posibilităților de pescuit între statele membre conform prezentului regulament nu aduce atingere:</w:t>
      </w:r>
    </w:p>
    <w:p>
      <w:pPr>
        <w:pStyle w:val="Point0"/>
        <w:rPr>
          <w:noProof/>
        </w:rPr>
      </w:pPr>
      <w:r>
        <w:rPr>
          <w:noProof/>
        </w:rPr>
        <w:t>(a)</w:t>
      </w:r>
      <w:r>
        <w:rPr>
          <w:noProof/>
        </w:rPr>
        <w:tab/>
        <w:t>schimburilor efectuate în temeiul articolului 16 alineatul (8) din Regulamentul (UE) nr. 1380/2013;</w:t>
      </w:r>
    </w:p>
    <w:p>
      <w:pPr>
        <w:pStyle w:val="Point0"/>
        <w:rPr>
          <w:i/>
          <w:noProof/>
        </w:rPr>
      </w:pPr>
      <w:r>
        <w:rPr>
          <w:noProof/>
        </w:rPr>
        <w:t>(b)</w:t>
      </w:r>
      <w:r>
        <w:rPr>
          <w:noProof/>
        </w:rPr>
        <w:tab/>
        <w:t>deducerilor și realocărilor efectuate în temeiul articolului 37 din Regulamentul (CE) nr. 1224/2009;</w:t>
      </w:r>
    </w:p>
    <w:p>
      <w:pPr>
        <w:pStyle w:val="Point0"/>
        <w:rPr>
          <w:noProof/>
        </w:rPr>
      </w:pPr>
      <w:r>
        <w:rPr>
          <w:noProof/>
        </w:rPr>
        <w:t>(c)</w:t>
      </w:r>
      <w:r>
        <w:rPr>
          <w:noProof/>
        </w:rPr>
        <w:tab/>
        <w:t>deducerilor efectuate în temeiul articolelor 105 și 107 din Regulamentul (CE) nr. 1224/2009.</w:t>
      </w:r>
    </w:p>
    <w:p>
      <w:pPr>
        <w:pStyle w:val="Point0"/>
        <w:rPr>
          <w:noProof/>
        </w:rPr>
      </w:pPr>
    </w:p>
    <w:p>
      <w:pPr>
        <w:spacing w:before="0" w:after="0"/>
        <w:jc w:val="center"/>
        <w:rPr>
          <w:noProof/>
        </w:rPr>
      </w:pPr>
    </w:p>
    <w:p>
      <w:pPr>
        <w:spacing w:before="0" w:after="0"/>
        <w:jc w:val="center"/>
        <w:rPr>
          <w:noProof/>
        </w:rPr>
      </w:pPr>
      <w:r>
        <w:rPr>
          <w:noProof/>
        </w:rPr>
        <w:t>Articolul 6</w:t>
      </w:r>
    </w:p>
    <w:p>
      <w:pPr>
        <w:spacing w:before="0" w:after="0"/>
        <w:jc w:val="center"/>
        <w:rPr>
          <w:b/>
          <w:noProof/>
        </w:rPr>
      </w:pPr>
      <w:r>
        <w:rPr>
          <w:b/>
          <w:noProof/>
        </w:rPr>
        <w:t>Gestionarea efortului de pescuit pentru calcan</w:t>
      </w:r>
    </w:p>
    <w:p>
      <w:pPr>
        <w:spacing w:before="0" w:after="0"/>
        <w:jc w:val="left"/>
        <w:rPr>
          <w:b/>
          <w:noProof/>
        </w:rPr>
      </w:pPr>
    </w:p>
    <w:p>
      <w:pPr>
        <w:spacing w:before="0" w:after="0"/>
        <w:rPr>
          <w:noProof/>
        </w:rPr>
      </w:pPr>
      <w:r>
        <w:rPr>
          <w:noProof/>
        </w:rPr>
        <w:t>Navele de pescuit ale Uniunii autorizate să pescuiască calcan în Marea Neagră, indiferent de lungimea lor maximă, nu depășesc 180 de zile de pescuit pe an.</w:t>
      </w:r>
    </w:p>
    <w:p>
      <w:pPr>
        <w:spacing w:before="0" w:after="0"/>
        <w:rPr>
          <w:noProof/>
        </w:rPr>
      </w:pPr>
    </w:p>
    <w:p>
      <w:pPr>
        <w:rPr>
          <w:b/>
          <w:noProof/>
        </w:rPr>
      </w:pPr>
    </w:p>
    <w:p>
      <w:pPr>
        <w:pStyle w:val="ChapterTitle"/>
        <w:spacing w:before="360"/>
        <w:rPr>
          <w:noProof/>
        </w:rPr>
      </w:pPr>
      <w:r>
        <w:rPr>
          <w:noProof/>
        </w:rPr>
        <w:t>CAPITOLUL III</w:t>
      </w:r>
      <w:r>
        <w:rPr>
          <w:noProof/>
        </w:rPr>
        <w:br/>
        <w:t>Dispoziții finale</w:t>
      </w:r>
    </w:p>
    <w:p>
      <w:pPr>
        <w:pStyle w:val="Titrearticle"/>
        <w:rPr>
          <w:i w:val="0"/>
          <w:noProof/>
        </w:rPr>
      </w:pPr>
      <w:r>
        <w:rPr>
          <w:i w:val="0"/>
          <w:noProof/>
        </w:rPr>
        <w:t>Articolul 7</w:t>
      </w:r>
      <w:r>
        <w:rPr>
          <w:i w:val="0"/>
          <w:noProof/>
        </w:rPr>
        <w:br/>
      </w:r>
      <w:r>
        <w:rPr>
          <w:b/>
          <w:i w:val="0"/>
          <w:noProof/>
        </w:rPr>
        <w:t>Transmiterea datelor</w:t>
      </w:r>
    </w:p>
    <w:p>
      <w:pPr>
        <w:rPr>
          <w:noProof/>
        </w:rPr>
      </w:pPr>
      <w:r>
        <w:rPr>
          <w:noProof/>
        </w:rPr>
        <w:t>Atunci când, în temeiul articolelor 33 și 34 din Regulamentul (CE) nr. 1224/2009, statele membre transmit Comisiei date privind cantitățile debarcate din stocurile de pește capturate, ele utilizează codurile stocurilor prevăzute în anexa la prezentul regulament.</w:t>
      </w:r>
    </w:p>
    <w:p>
      <w:pPr>
        <w:rPr>
          <w:noProof/>
        </w:rPr>
      </w:pPr>
    </w:p>
    <w:p>
      <w:pPr>
        <w:pStyle w:val="Titrearticle"/>
        <w:rPr>
          <w:b/>
          <w:i w:val="0"/>
          <w:noProof/>
        </w:rPr>
      </w:pPr>
      <w:r>
        <w:rPr>
          <w:i w:val="0"/>
          <w:noProof/>
        </w:rPr>
        <w:t>Articolul 8</w:t>
      </w:r>
      <w:r>
        <w:rPr>
          <w:i w:val="0"/>
          <w:noProof/>
          <w:u w:val="single"/>
        </w:rPr>
        <w:br/>
      </w:r>
      <w:r>
        <w:rPr>
          <w:b/>
          <w:i w:val="0"/>
          <w:noProof/>
        </w:rPr>
        <w:t>Intrarea în vigoare</w:t>
      </w:r>
    </w:p>
    <w:p>
      <w:pPr>
        <w:rPr>
          <w:noProof/>
        </w:rPr>
      </w:pPr>
      <w:r>
        <w:rPr>
          <w:noProof/>
        </w:rPr>
        <w:t xml:space="preserve">Prezentul regulament intră în vigoare în ziua următoare datei publicării în </w:t>
      </w:r>
      <w:r>
        <w:rPr>
          <w:i/>
          <w:noProof/>
        </w:rPr>
        <w:t>Jurnalul Oficial al Uniunii Europene</w:t>
      </w:r>
      <w:r>
        <w:rPr>
          <w:noProof/>
        </w:rPr>
        <w:t>.</w:t>
      </w:r>
    </w:p>
    <w:p>
      <w:pPr>
        <w:rPr>
          <w:noProof/>
        </w:rPr>
      </w:pPr>
      <w:r>
        <w:rPr>
          <w:noProof/>
        </w:rPr>
        <w:t>Se aplică de la 1 ianuarie 2019.</w:t>
      </w:r>
    </w:p>
    <w:p>
      <w:pPr>
        <w:pStyle w:val="Applicationdirecte"/>
        <w:keepNext/>
        <w:keepLines/>
        <w:rPr>
          <w:noProof/>
        </w:rPr>
      </w:pPr>
      <w:r>
        <w:rPr>
          <w:noProof/>
        </w:rPr>
        <w:t>Prezentul regulament este obligatoriu în toate elementele sale și se aplică direct în statele membre.</w:t>
      </w:r>
    </w:p>
    <w:p>
      <w:pPr>
        <w:pStyle w:val="Fait"/>
        <w:rPr>
          <w:noProof/>
        </w:rPr>
      </w:pPr>
      <w:r>
        <w:lastRenderedPageBreak/>
        <w:t>Adoptat la Bruxelles,</w:t>
      </w:r>
    </w:p>
    <w:p>
      <w:pPr>
        <w:pStyle w:val="Institutionquisigne"/>
        <w:rPr>
          <w:i w:val="0"/>
          <w:noProof/>
        </w:rPr>
      </w:pPr>
      <w:r>
        <w:rPr>
          <w:noProof/>
        </w:rPr>
        <w:tab/>
        <w:t>Pentru Consiliu,</w:t>
      </w:r>
    </w:p>
    <w:p>
      <w:pPr>
        <w:pStyle w:val="Personnequisigne"/>
        <w:rPr>
          <w:noProof/>
        </w:rPr>
      </w:pPr>
      <w:r>
        <w:rPr>
          <w:noProof/>
        </w:rPr>
        <w:tab/>
        <w:t>Președintele</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rdia New">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11</w:t>
    </w:r>
    <w:r>
      <w:fldChar w:fldCharType="end"/>
    </w:r>
    <w:r>
      <w:tab/>
    </w:r>
    <w:r>
      <w:tab/>
    </w:r>
    <w:r>
      <w:rPr>
        <w:rFonts w:ascii="Arial" w:hAnsi="Arial" w:cs="Arial"/>
        <w:b/>
        <w:sz w:val="48"/>
      </w:rPr>
      <w:t>RO</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Regulamentul (CE) nr. 847/96 al Consiliului din 6 mai 1996 privind introducerea unor condiții suplimentare pentru gestionarea interanuală a totalurilor admise de captură (TAC) și a cotelor de pescuit (JO L 115, 9.5.1996, p. 3).</w:t>
      </w:r>
    </w:p>
  </w:footnote>
  <w:footnote w:id="2">
    <w:p>
      <w:pPr>
        <w:pStyle w:val="FootnoteText"/>
      </w:pPr>
      <w:r>
        <w:rPr>
          <w:rStyle w:val="FootnoteReference"/>
        </w:rPr>
        <w:footnoteRef/>
      </w:r>
      <w:r>
        <w:tab/>
        <w:t>JO L 337, 19.12.2017, p. 1.</w:t>
      </w:r>
    </w:p>
  </w:footnote>
  <w:footnote w:id="3">
    <w:p>
      <w:pPr>
        <w:pStyle w:val="FootnoteText"/>
      </w:pPr>
      <w:r>
        <w:rPr>
          <w:rStyle w:val="FootnoteReference"/>
        </w:rPr>
        <w:footnoteRef/>
      </w:r>
      <w:r>
        <w:tab/>
        <w:t xml:space="preserve">COM(2018) 143 final din 22 martie 2018. </w:t>
      </w:r>
    </w:p>
  </w:footnote>
  <w:footnote w:id="4">
    <w:p>
      <w:pPr>
        <w:pStyle w:val="FootnoteText"/>
      </w:pPr>
      <w:r>
        <w:rPr>
          <w:rStyle w:val="FootnoteReference"/>
        </w:rPr>
        <w:footnoteRef/>
      </w:r>
      <w:r>
        <w:tab/>
        <w:t>JO L 78, 20.3.2013, p. 1.</w:t>
      </w:r>
    </w:p>
  </w:footnote>
  <w:footnote w:id="5">
    <w:p>
      <w:pPr>
        <w:pStyle w:val="FootnoteText"/>
      </w:pPr>
      <w:r>
        <w:rPr>
          <w:rStyle w:val="FootnoteReference"/>
        </w:rPr>
        <w:footnoteRef/>
      </w:r>
      <w:r>
        <w:tab/>
        <w:t>A se vedea: http://www.fao.org/gfcm/meetings/blackseaconference2016/en/</w:t>
      </w:r>
    </w:p>
  </w:footnote>
  <w:footnote w:id="6">
    <w:p>
      <w:pPr>
        <w:pStyle w:val="FootnoteText"/>
        <w:jc w:val="left"/>
      </w:pPr>
      <w:r>
        <w:rPr>
          <w:rStyle w:val="FootnoteReference"/>
        </w:rPr>
        <w:footnoteRef/>
      </w:r>
      <w:r>
        <w:tab/>
        <w:t>A se vedea: https://ec.europa.eu/fisheries/black-sea-countries-pledge-promote-sustainable-fisheries-and-aquaculture_en</w:t>
      </w:r>
    </w:p>
  </w:footnote>
  <w:footnote w:id="7">
    <w:p>
      <w:pPr>
        <w:pStyle w:val="FootnoteText"/>
      </w:pPr>
      <w:r>
        <w:rPr>
          <w:rStyle w:val="FootnoteReference"/>
        </w:rPr>
        <w:footnoteRef/>
      </w:r>
      <w:r>
        <w:tab/>
        <w:t>A se vedea: http://www.fao.org/gfcm/reports/statutory-meetings/detail/en/c/454522/</w:t>
      </w:r>
    </w:p>
  </w:footnote>
  <w:footnote w:id="8">
    <w:p>
      <w:pPr>
        <w:pStyle w:val="FootnoteText"/>
      </w:pPr>
      <w:r>
        <w:rPr>
          <w:rStyle w:val="FootnoteReference"/>
        </w:rPr>
        <w:footnoteRef/>
      </w:r>
      <w:r>
        <w:tab/>
        <w:t>Regulamentul (UE) nr. 1380/2013 al Parlamentului European și al Consiliului din 11 decembrie 2013 privind politica comună în domeniul pescuitului, de modificare a Regulamentelor (CE) nr. 1954/2003 și (CE) nr. 1224/2009 ale Consiliului și de abrogare a Regulamentelor (CE) nr. 2371/2002 și (CE) nr. 639/2004 ale Consiliului și a Deciziei 2004/585/CE a Consiliului (JO L 354, 28.12.2013, p. 22).</w:t>
      </w:r>
    </w:p>
  </w:footnote>
  <w:footnote w:id="9">
    <w:p>
      <w:pPr>
        <w:pStyle w:val="FootnoteText"/>
      </w:pPr>
      <w:r>
        <w:rPr>
          <w:rStyle w:val="FootnoteReference"/>
        </w:rPr>
        <w:footnoteRef/>
      </w:r>
      <w:r>
        <w:tab/>
        <w:t>Regulamentul (CE) nr. 1224/2009 al Consiliului din 20 noiembrie 2009 de stabilire a unui sistem comunitar de control pentru asigurarea respectării normelor politicii comune în domeniul pescuitului, de modificare a Regulamentelor (CE) nr. 847/96, (CE) nr. 2371/2002, (CE) nr. 811/2004, (CE) nr. 768/2005, (CE) nr. 2115/2005, (CE) nr. 2166/2005, (CE) nr. 388/2006, (CE) nr. 509/2007, (CE) nr. 676/2007, (CE) nr. 1098/2007, (CE) nr. 1300/2008, (CE) nr. 1342/2008 și de abrogare a Regulamentelor (CEE) nr. 2847/93, (CE) nr. 1627/94 și (CE) nr. 1966/2006 (JO L 343, 22.12.2009, p. 1).</w:t>
      </w:r>
    </w:p>
  </w:footnote>
  <w:footnote w:id="10">
    <w:p>
      <w:pPr>
        <w:pStyle w:val="FootnoteText"/>
      </w:pPr>
      <w:r>
        <w:rPr>
          <w:rStyle w:val="FootnoteReference"/>
        </w:rPr>
        <w:footnoteRef/>
      </w:r>
      <w:r>
        <w:tab/>
        <w:t>Regulamentul (CE) nr. 847/96 al Consiliului din 6 mai 1996 privind introducerea unor condiții suplimentare pentru gestionarea interanuală a totalurilor admise de captură (TAC) și a cotelor de pescuit (JO L 115, 9.5.1996, p. 3).</w:t>
      </w:r>
    </w:p>
  </w:footnote>
  <w:footnote w:id="11">
    <w:p>
      <w:pPr>
        <w:pStyle w:val="FootnoteText"/>
      </w:pPr>
      <w:r>
        <w:rPr>
          <w:rStyle w:val="FootnoteReference"/>
        </w:rPr>
        <w:footnoteRef/>
      </w:r>
      <w:r>
        <w:tab/>
        <w:t>Regulamentul (UE) nr. 1343/2011 al Parlamentului European și al Consiliului din 13 decembrie 2011 privind unele dispoziții referitoare la pescuitul în zona Acordului CGPM (Comisia Generală pentru Pescuit în Marea Mediterană) și de modificare a Regulamentului (CE) nr. 1967/2006 al Consiliului privind măsurile de gestionare pentru exploatarea durabilă a resurselor halieutice în Marea Mediterană (JO L 347, 30.12.2011, p. 44).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9418D066"/>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F86616CA"/>
    <w:lvl w:ilvl="0">
      <w:start w:val="1"/>
      <w:numFmt w:val="decimal"/>
      <w:pStyle w:val="ListNumber3"/>
      <w:lvlText w:val="%1."/>
      <w:lvlJc w:val="left"/>
      <w:pPr>
        <w:tabs>
          <w:tab w:val="num" w:pos="926"/>
        </w:tabs>
        <w:ind w:left="926" w:hanging="360"/>
      </w:pPr>
    </w:lvl>
  </w:abstractNum>
  <w:abstractNum w:abstractNumId="2">
    <w:nsid w:val="FFFFFF7F"/>
    <w:multiLevelType w:val="singleLevel"/>
    <w:tmpl w:val="6F407724"/>
    <w:lvl w:ilvl="0">
      <w:start w:val="1"/>
      <w:numFmt w:val="decimal"/>
      <w:pStyle w:val="ListNumber2"/>
      <w:lvlText w:val="%1."/>
      <w:lvlJc w:val="left"/>
      <w:pPr>
        <w:tabs>
          <w:tab w:val="num" w:pos="643"/>
        </w:tabs>
        <w:ind w:left="643" w:hanging="360"/>
      </w:pPr>
    </w:lvl>
  </w:abstractNum>
  <w:abstractNum w:abstractNumId="3">
    <w:nsid w:val="FFFFFF81"/>
    <w:multiLevelType w:val="singleLevel"/>
    <w:tmpl w:val="F6E08034"/>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296EC95A"/>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7B701516"/>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18D86EA6"/>
    <w:lvl w:ilvl="0">
      <w:start w:val="1"/>
      <w:numFmt w:val="decimal"/>
      <w:pStyle w:val="ListNumber"/>
      <w:lvlText w:val="%1."/>
      <w:lvlJc w:val="left"/>
      <w:pPr>
        <w:tabs>
          <w:tab w:val="num" w:pos="360"/>
        </w:tabs>
        <w:ind w:left="360" w:hanging="360"/>
      </w:pPr>
    </w:lvl>
  </w:abstractNum>
  <w:abstractNum w:abstractNumId="7">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1">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2">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3">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4">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5">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6">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7">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8">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0">
    <w:nsid w:val="6D2B5511"/>
    <w:multiLevelType w:val="singleLevel"/>
    <w:tmpl w:val="74A09970"/>
    <w:name w:val="0,1019207"/>
    <w:lvl w:ilvl="0">
      <w:start w:val="1"/>
      <w:numFmt w:val="bullet"/>
      <w:lvlRestart w:val="0"/>
      <w:pStyle w:val="ListBullet"/>
      <w:lvlText w:val=""/>
      <w:lvlJc w:val="left"/>
      <w:pPr>
        <w:tabs>
          <w:tab w:val="num" w:pos="283"/>
        </w:tabs>
        <w:ind w:left="283" w:hanging="283"/>
      </w:pPr>
      <w:rPr>
        <w:rFonts w:ascii="Symbol" w:hAnsi="Symbol" w:hint="default"/>
      </w:r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0"/>
  </w:num>
  <w:num w:numId="2">
    <w:abstractNumId w:val="2"/>
  </w:num>
  <w:num w:numId="3">
    <w:abstractNumId w:val="17"/>
    <w:lvlOverride w:ilvl="0">
      <w:startOverride w:val="1"/>
    </w:lvlOverride>
  </w:num>
  <w:num w:numId="4">
    <w:abstractNumId w:val="5"/>
  </w:num>
  <w:num w:numId="5">
    <w:abstractNumId w:val="4"/>
  </w:num>
  <w:num w:numId="6">
    <w:abstractNumId w:val="3"/>
  </w:num>
  <w:num w:numId="7">
    <w:abstractNumId w:val="6"/>
  </w:num>
  <w:num w:numId="8">
    <w:abstractNumId w:val="1"/>
  </w:num>
  <w:num w:numId="9">
    <w:abstractNumId w:val="0"/>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num>
  <w:num w:numId="12">
    <w:abstractNumId w:val="11"/>
  </w:num>
  <w:num w:numId="13">
    <w:abstractNumId w:val="19"/>
  </w:num>
  <w:num w:numId="14">
    <w:abstractNumId w:val="10"/>
  </w:num>
  <w:num w:numId="15">
    <w:abstractNumId w:val="12"/>
  </w:num>
  <w:num w:numId="16">
    <w:abstractNumId w:val="8"/>
  </w:num>
  <w:num w:numId="17">
    <w:abstractNumId w:val="18"/>
  </w:num>
  <w:num w:numId="18">
    <w:abstractNumId w:val="7"/>
  </w:num>
  <w:num w:numId="19">
    <w:abstractNumId w:val="13"/>
  </w:num>
  <w:num w:numId="20">
    <w:abstractNumId w:val="15"/>
  </w:num>
  <w:num w:numId="21">
    <w:abstractNumId w:val="16"/>
  </w:num>
  <w:num w:numId="22">
    <w:abstractNumId w:val="9"/>
  </w:num>
  <w:num w:numId="23">
    <w:abstractNumId w:val="14"/>
  </w:num>
  <w:num w:numId="24">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hideSpellingErrors/>
  <w:hideGrammaticalErrors/>
  <w:attachedTemplate r:id="rId1"/>
  <w:revisionView w:markup="0"/>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10-24 09:40:13"/>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10"/>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454E9AFD-85C7-4258-A19F-7124B80ABC30"/>
    <w:docVar w:name="LW_COVERPAGE_TYPE" w:val="1"/>
    <w:docVar w:name="LW_CROSSREFERENCE" w:val="&lt;UNUSED&gt;"/>
    <w:docVar w:name="LW_DocType" w:val="COM"/>
    <w:docVar w:name="LW_EMISSION" w:val="24.10.2018"/>
    <w:docVar w:name="LW_EMISSION_ISODATE" w:val="2018-10-24"/>
    <w:docVar w:name="LW_EMISSION_LOCATION" w:val="BRX"/>
    <w:docVar w:name="LW_EMISSION_PREFIX" w:val="Bruxelles, "/>
    <w:docVar w:name="LW_EMISSION_SUFFIX" w:val=" "/>
    <w:docVar w:name="LW_ID_DOCMODEL" w:val="SJ-016"/>
    <w:docVar w:name="LW_ID_DOCSIGNATURE" w:val="SJ-016"/>
    <w:docVar w:name="LW_ID_DOCSTRUCTURE" w:val="COM/PL/ORG"/>
    <w:docVar w:name="LW_ID_DOCTYPE" w:val="SJ-016"/>
    <w:docVar w:name="LW_ID_EXP.MOTIFS.NEW" w:val="EM_PL_"/>
    <w:docVar w:name="LW_ID_STATUT" w:val="SJ-016"/>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365"/>
    <w:docVar w:name="LW_REF.II.NEW.CP_YEAR" w:val="2018"/>
    <w:docVar w:name="LW_REF.INST.NEW" w:val="COM"/>
    <w:docVar w:name="LW_REF.INST.NEW_ADOPTED" w:val="final"/>
    <w:docVar w:name="LW_REF.INST.NEW_TEXT" w:val="(2018) 71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Propunere de"/>
    <w:docVar w:name="LW_SUPERTITRE" w:val="&lt;UNUSED&gt;"/>
    <w:docVar w:name="LW_TITRE.OBJ.CP" w:val="de stabilire, pentru 2019, a posibilit\u259?\u539?ilor de pescuit pentru anumite stocuri de pe\u537?te \u537?i grupuri de stocuri de pe\u537?te din Marea Neagr\u259?"/>
    <w:docVar w:name="LW_TYPE.DOC.CP" w:val="REGULAMENT AL CONSILIULUI"/>
  </w:docVar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Number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style>
  <w:style w:type="paragraph" w:styleId="ListNumber2">
    <w:name w:val="List Number 2"/>
    <w:basedOn w:val="Normal"/>
    <w:pPr>
      <w:numPr>
        <w:numId w:val="2"/>
      </w:numPr>
      <w:contextualSpacing/>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paragraph" w:styleId="ListNumber">
    <w:name w:val="List Number"/>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Number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style>
  <w:style w:type="paragraph" w:styleId="ListNumber2">
    <w:name w:val="List Number 2"/>
    <w:basedOn w:val="Normal"/>
    <w:pPr>
      <w:numPr>
        <w:numId w:val="2"/>
      </w:numPr>
      <w:contextualSpacing/>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paragraph" w:styleId="ListNumber">
    <w:name w:val="List Number"/>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1</TotalTime>
  <Pages>12</Pages>
  <Words>3608</Words>
  <Characters>21184</Characters>
  <Application>Microsoft Office Word</Application>
  <DocSecurity>0</DocSecurity>
  <Lines>365</Lines>
  <Paragraphs>138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WES PDFC Administrator</cp:lastModifiedBy>
  <cp:revision>18</cp:revision>
  <dcterms:created xsi:type="dcterms:W3CDTF">2018-10-15T10:59:00Z</dcterms:created>
  <dcterms:modified xsi:type="dcterms:W3CDTF">2018-10-24T07:40:00Z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6.0.100.0</vt:lpwstr>
  </property>
  <property fmtid="{D5CDD505-2E9C-101B-9397-08002B2CF9AE}" pid="4" name="Last edited using">
    <vt:lpwstr>LW 6.0.1, Build 20180503</vt:lpwstr>
  </property>
  <property fmtid="{D5CDD505-2E9C-101B-9397-08002B2CF9AE}" pid="5" name="Created using">
    <vt:lpwstr>LW 6.0.1, Build 20180503</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SJ-016</vt:lpwstr>
  </property>
  <property fmtid="{D5CDD505-2E9C-101B-9397-08002B2CF9AE}" pid="10" name="DQCStatus">
    <vt:lpwstr>Green (DQC version 03)</vt:lpwstr>
  </property>
</Properties>
</file>