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6EB476B-7C71-413F-A63B-F8EC9065E95D" style="width:450.45pt;height:320.3pt">
            <v:imagedata r:id="rId9" o:title=""/>
          </v:shape>
        </w:pict>
      </w:r>
    </w:p>
    <w:bookmarkEnd w:id="0"/>
    <w:p>
      <w:pPr>
        <w:rPr>
          <w:rFonts w:ascii="Times New Roman" w:hAnsi="Times New Roman" w:cs="Times New Roman"/>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spacing w:before="360" w:after="120" w:line="240" w:lineRule="auto"/>
        <w:rPr>
          <w:rFonts w:cs="Times New Roman"/>
          <w:noProof/>
          <w:sz w:val="24"/>
          <w:szCs w:val="24"/>
        </w:rPr>
      </w:pPr>
      <w:bookmarkStart w:id="1" w:name="_GoBack"/>
      <w:bookmarkEnd w:id="1"/>
      <w:r>
        <w:rPr>
          <w:noProof/>
          <w:sz w:val="24"/>
        </w:rPr>
        <w:lastRenderedPageBreak/>
        <w:t>INTRODUCERE</w:t>
      </w:r>
    </w:p>
    <w:p>
      <w:pPr>
        <w:spacing w:after="120" w:line="240" w:lineRule="auto"/>
        <w:jc w:val="both"/>
        <w:rPr>
          <w:rFonts w:ascii="Times New Roman" w:hAnsi="Times New Roman" w:cs="Times New Roman"/>
          <w:noProof/>
          <w:sz w:val="24"/>
          <w:szCs w:val="24"/>
        </w:rPr>
      </w:pPr>
      <w:r>
        <w:rPr>
          <w:rFonts w:ascii="Times New Roman" w:hAnsi="Times New Roman"/>
          <w:noProof/>
          <w:sz w:val="24"/>
        </w:rPr>
        <w:t>Perturbatorii endocrini sunt substanțe chimice care afectează funcționarea sistemului endocrin și au un impact negativ asupra sănătății oamenilor și a animalelor. Ei sunt de origine fie sintetică, fie naturală. Expunerea la perturbatori endocrini poate apărea din diferite surse, cum ar fi reziduurile de pesticide sau produsele de consum utilizate sau prezente în viața noastră de zi cu zi.</w:t>
      </w:r>
    </w:p>
    <w:p>
      <w:pPr>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hAnsi="Times New Roman" w:cs="Times New Roman"/>
          <w:b/>
          <w:i/>
          <w:noProof/>
          <w:sz w:val="24"/>
          <w:szCs w:val="24"/>
        </w:rPr>
      </w:pPr>
      <w:r>
        <w:rPr>
          <w:rFonts w:ascii="Times New Roman" w:hAnsi="Times New Roman"/>
          <w:b/>
          <w:i/>
          <w:noProof/>
          <w:sz w:val="24"/>
        </w:rPr>
        <w:t>Ce este sistemul endocrin?</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noProof/>
          <w:sz w:val="24"/>
          <w:szCs w:val="24"/>
        </w:rPr>
      </w:pPr>
      <w:r>
        <w:rPr>
          <w:rFonts w:ascii="Times New Roman" w:hAnsi="Times New Roman"/>
          <w:i/>
          <w:noProof/>
          <w:sz w:val="24"/>
        </w:rPr>
        <w:t>Sistemul endocrin este un sistem de mesageri care activează în cadrul organismului. El utilizează hormoni, care sunt molecule de semnalizare care circulă prin fluxul sanguin, ca mijloc de comunicare, producând efecte la distanță în celule, țesuturi și organe. Hormonii sunt esențiali pentru controlul unui număr mare de procese în organism, de la unele timpurii, ca de exemplu dezvoltarea embrionului și formarea organelor, la controlul funcțiilor țesuturilor și organelor la vârsta adultă.</w:t>
      </w:r>
    </w:p>
    <w:p>
      <w:pPr>
        <w:spacing w:after="120" w:line="240" w:lineRule="auto"/>
        <w:jc w:val="both"/>
        <w:rPr>
          <w:rFonts w:ascii="Times New Roman" w:hAnsi="Times New Roman" w:cs="Times New Roman"/>
          <w:noProof/>
          <w:sz w:val="24"/>
          <w:szCs w:val="24"/>
        </w:rPr>
      </w:pPr>
      <w:r>
        <w:rPr>
          <w:rFonts w:ascii="Times New Roman" w:hAnsi="Times New Roman"/>
          <w:noProof/>
          <w:sz w:val="24"/>
        </w:rPr>
        <w:t>Preocupările legate de perturbatorii endocrini s-au accentuat după 1990</w:t>
      </w:r>
      <w:r>
        <w:rPr>
          <w:rStyle w:val="FootnoteReference"/>
          <w:rFonts w:ascii="Times New Roman" w:hAnsi="Times New Roman"/>
          <w:noProof/>
          <w:sz w:val="24"/>
        </w:rPr>
        <w:footnoteReference w:id="2"/>
      </w:r>
      <w:r>
        <w:rPr>
          <w:rFonts w:ascii="Times New Roman" w:hAnsi="Times New Roman"/>
          <w:noProof/>
          <w:sz w:val="24"/>
        </w:rPr>
        <w:t>. În urma adoptării de către Parlamentul European a unei rezoluții referitoare la perturbatorii endocrini în 1998</w:t>
      </w:r>
      <w:r>
        <w:rPr>
          <w:rStyle w:val="FootnoteReference"/>
          <w:rFonts w:ascii="Times New Roman" w:hAnsi="Times New Roman"/>
          <w:noProof/>
          <w:sz w:val="24"/>
        </w:rPr>
        <w:footnoteReference w:id="3"/>
      </w:r>
      <w:r>
        <w:rPr>
          <w:rFonts w:ascii="Times New Roman" w:hAnsi="Times New Roman"/>
          <w:noProof/>
          <w:sz w:val="24"/>
        </w:rPr>
        <w:t>, Comisia a adoptat, în decembrie 1999, Strategia comunitară pentru perturbatorii endocrini</w:t>
      </w:r>
      <w:r>
        <w:rPr>
          <w:rStyle w:val="FootnoteReference"/>
          <w:rFonts w:ascii="Times New Roman" w:hAnsi="Times New Roman"/>
          <w:noProof/>
          <w:sz w:val="24"/>
        </w:rPr>
        <w:footnoteReference w:id="4"/>
      </w:r>
      <w:r>
        <w:rPr>
          <w:rFonts w:ascii="Times New Roman" w:hAnsi="Times New Roman"/>
          <w:noProof/>
          <w:sz w:val="24"/>
        </w:rPr>
        <w:t>, care s-a materializat de atunci prin acțiuni în domeniile cercetării, reglementării și cooperării internaționale.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Au fost realizate progrese semnificative în ceea ce privește înțelegerea și reglementarea perturbatorilor endocrini, iar UE este, în prezent, recunoscută ca fiind unul dintre liderii mondiali în ceea ce privește abordarea acestor substanțe chimice. În același timp, preocupările societății rămân importante.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Comisia a fost întotdeauna și va rămâne angajată în protejarea cetățenilor UE și a mediului de toate substanțele chimice periculoase. În acest context, la aproape douăzeci de ani de la adoptarea strategiei comunitare, în 1999, este necesar să se actualizeze abordarea UE a perturbatorilor endocrini, astfel încât aceasta să rămână la nivel de vârf și să continue să vizeze în mod coerent aceste substanțe în diferite domenii, în baza unui volum de cunoștințe mai voluminos, a rezultatelor obținute și a experienței câștigate. În acest scop, Comisia prezintă astăzi abordarea sa strategică a perturbatorilor endocrini pentru anii următori, obiectivul general ultim fiind de a asigura un nivel înalt de protecție a cetățenilor UE și a mediului și, în același timp, de a menține o piață internă în folosul consumatorilor și în cadrul căreia toate întreprinderile din UE să poată prospera.</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Prezenta comunicare abordează solicitările formulate de Parlamentul European și de Consiliu</w:t>
      </w:r>
      <w:r>
        <w:rPr>
          <w:rStyle w:val="FootnoteReference"/>
          <w:rFonts w:ascii="Times New Roman" w:hAnsi="Times New Roman"/>
          <w:noProof/>
          <w:sz w:val="24"/>
        </w:rPr>
        <w:footnoteReference w:id="5"/>
      </w:r>
      <w:r>
        <w:rPr>
          <w:rFonts w:ascii="Times New Roman" w:hAnsi="Times New Roman"/>
          <w:noProof/>
          <w:sz w:val="24"/>
        </w:rPr>
        <w:t>, este o consecință a celui de-al 7-lea Program de acțiune pentru mediu</w:t>
      </w:r>
      <w:r>
        <w:rPr>
          <w:rStyle w:val="FootnoteReference"/>
          <w:rFonts w:ascii="Times New Roman" w:hAnsi="Times New Roman"/>
          <w:noProof/>
          <w:sz w:val="24"/>
        </w:rPr>
        <w:footnoteReference w:id="6"/>
      </w:r>
      <w:r>
        <w:rPr>
          <w:rFonts w:ascii="Times New Roman" w:hAnsi="Times New Roman"/>
          <w:noProof/>
          <w:sz w:val="24"/>
        </w:rPr>
        <w:t xml:space="preserve"> și este </w:t>
      </w:r>
      <w:r>
        <w:rPr>
          <w:rFonts w:ascii="Times New Roman" w:hAnsi="Times New Roman"/>
          <w:noProof/>
          <w:sz w:val="24"/>
        </w:rPr>
        <w:lastRenderedPageBreak/>
        <w:t>încadrată de angajamentele internaționale de a acționa în domeniul substanțelor chimice periculoase</w:t>
      </w:r>
      <w:r>
        <w:rPr>
          <w:rStyle w:val="FootnoteReference"/>
          <w:rFonts w:ascii="Times New Roman" w:hAnsi="Times New Roman"/>
          <w:noProof/>
          <w:sz w:val="24"/>
        </w:rPr>
        <w:footnoteReference w:id="7"/>
      </w:r>
      <w:r>
        <w:rPr>
          <w:rFonts w:ascii="Times New Roman" w:hAnsi="Times New Roman"/>
          <w:noProof/>
          <w:sz w:val="24"/>
        </w:rPr>
        <w:t>.</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Secțiunea 1 descrie progresele științifice realizate în domeniul perturbatorilor endocrini în ultimii douăzeci de ani. Secțiunea 2 sintetizează acțiunile pe care UE le-a întreprins până în prezent, iar secțiunea 3 schițează abordarea propusă de Comisie de a continua în mod efectiv în viitor politica UE privind perturbatorii endocrini.</w:t>
      </w:r>
    </w:p>
    <w:p>
      <w:pPr>
        <w:pStyle w:val="Heading1"/>
        <w:spacing w:before="360" w:after="120" w:line="240" w:lineRule="auto"/>
        <w:rPr>
          <w:rFonts w:cs="Times New Roman"/>
          <w:noProof/>
          <w:sz w:val="24"/>
          <w:szCs w:val="24"/>
        </w:rPr>
      </w:pPr>
      <w:r>
        <w:rPr>
          <w:noProof/>
          <w:sz w:val="24"/>
        </w:rPr>
        <w:t>1. CUNOȘTINȚELE ȘTIINȚIFICE ÎN DOMENIUL PERTURBATORILOR ENDOCRINI</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ultimele decenii,</w:t>
      </w:r>
      <w:r>
        <w:rPr>
          <w:rFonts w:ascii="Times New Roman" w:hAnsi="Times New Roman"/>
          <w:b/>
          <w:noProof/>
          <w:sz w:val="24"/>
        </w:rPr>
        <w:t xml:space="preserve"> </w:t>
      </w:r>
      <w:r>
        <w:rPr>
          <w:rFonts w:ascii="Times New Roman" w:hAnsi="Times New Roman"/>
          <w:noProof/>
          <w:sz w:val="24"/>
        </w:rPr>
        <w:t xml:space="preserve">cunoștințele științifice privind fenomenul de perturbare a sistemului endocrin au avansat în mod semnificativ. Multe mii de publicațiile științifice evaluate </w:t>
      </w:r>
      <w:r>
        <w:rPr>
          <w:rFonts w:ascii="Times New Roman" w:hAnsi="Times New Roman"/>
          <w:i/>
          <w:noProof/>
          <w:sz w:val="24"/>
        </w:rPr>
        <w:t>inter pares</w:t>
      </w:r>
      <w:r>
        <w:rPr>
          <w:rFonts w:ascii="Times New Roman" w:hAnsi="Times New Roman"/>
          <w:noProof/>
          <w:sz w:val="24"/>
        </w:rPr>
        <w:t xml:space="preserve"> au devenit disponibile după adoptarea strategiei comunitare, în 1999, în care se descriu investigații ale naturii fenomenului de perturbare a sistemului endocrin, ale cauzelor sale și ale consecințelor sale asupra sănătății umane și asupra faunei. De asemenea, s-au raportat progrese în publicații ale Comisiei Europene, ale agențiilor UE sau în contextul unor activități coordonate de Comisie.</w:t>
      </w:r>
    </w:p>
    <w:p>
      <w:pPr>
        <w:spacing w:after="120" w:line="240" w:lineRule="auto"/>
        <w:jc w:val="both"/>
        <w:rPr>
          <w:rFonts w:ascii="Times New Roman" w:eastAsia="Times New Roman" w:hAnsi="Times New Roman" w:cs="Times New Roman"/>
          <w:iCs/>
          <w:noProof/>
          <w:sz w:val="24"/>
          <w:szCs w:val="24"/>
        </w:rPr>
      </w:pPr>
      <w:r>
        <w:rPr>
          <w:rFonts w:ascii="Times New Roman" w:hAnsi="Times New Roman"/>
          <w:noProof/>
          <w:sz w:val="24"/>
        </w:rPr>
        <w:t xml:space="preserve">Din 1999, </w:t>
      </w:r>
      <w:r>
        <w:rPr>
          <w:rFonts w:ascii="Times New Roman" w:hAnsi="Times New Roman"/>
          <w:b/>
          <w:noProof/>
          <w:sz w:val="24"/>
        </w:rPr>
        <w:t>dovezile științifice care fac legătura între expunerea la perturbatori endocrini și boli umane sau impacturi negative asupra faunei au devenit mai puternice</w:t>
      </w:r>
      <w:r>
        <w:rPr>
          <w:rFonts w:ascii="Times New Roman" w:hAnsi="Times New Roman"/>
          <w:noProof/>
          <w:sz w:val="24"/>
        </w:rPr>
        <w:t xml:space="preserve">. În plus, progresele științifice au condus la un acord cu privire la o serie de aspecte care sunt relevante pentru a înțelege fenomenul de perturbare a sistemului endocrin. În prezent există un consens larg cu privire la </w:t>
      </w:r>
      <w:r>
        <w:rPr>
          <w:rFonts w:ascii="Times New Roman" w:hAnsi="Times New Roman"/>
          <w:b/>
          <w:noProof/>
          <w:sz w:val="24"/>
        </w:rPr>
        <w:t>definiția</w:t>
      </w:r>
      <w:r>
        <w:rPr>
          <w:rFonts w:ascii="Times New Roman" w:hAnsi="Times New Roman"/>
          <w:noProof/>
          <w:sz w:val="24"/>
        </w:rPr>
        <w:t xml:space="preserve"> pusă la dispoziție în 2002 în Programul internațional pentru securitate chimică, program desfășurat în comun de diferite agenții ale ONU, printre care Organizația Mondială a Sănătății, conform căreia un perturbator endocrin este „</w:t>
      </w:r>
      <w:r>
        <w:rPr>
          <w:rFonts w:ascii="Times New Roman" w:hAnsi="Times New Roman"/>
          <w:i/>
          <w:noProof/>
          <w:sz w:val="24"/>
        </w:rPr>
        <w:t>o substanță exogenă sau un amestec exogen care afectează una sau mai multe funcții ale sistemului endocrin și, prin urmare, produce efecte negative asupra sănătății unui organism intact, a descendenților acestuia sau a unor (sub)populații</w:t>
      </w:r>
      <w:r>
        <w:rPr>
          <w:rFonts w:ascii="Times New Roman" w:hAnsi="Times New Roman"/>
          <w:noProof/>
          <w:sz w:val="24"/>
        </w:rPr>
        <w:t>”</w:t>
      </w:r>
      <w:r>
        <w:rPr>
          <w:rStyle w:val="FootnoteReference"/>
          <w:rFonts w:ascii="Times New Roman" w:hAnsi="Times New Roman"/>
          <w:noProof/>
          <w:sz w:val="24"/>
        </w:rPr>
        <w:footnoteReference w:id="8"/>
      </w:r>
      <w:r>
        <w:rPr>
          <w:rFonts w:ascii="Times New Roman" w:hAnsi="Times New Roman"/>
          <w:noProof/>
          <w:sz w:val="24"/>
        </w:rPr>
        <w:t>.</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De asemenea, există un consens cu privire la faptul că </w:t>
      </w:r>
      <w:r>
        <w:rPr>
          <w:rFonts w:ascii="Times New Roman" w:hAnsi="Times New Roman"/>
          <w:b/>
          <w:noProof/>
          <w:sz w:val="24"/>
        </w:rPr>
        <w:t>cea mai sensibilă fereastră a expunerii</w:t>
      </w:r>
      <w:r>
        <w:rPr>
          <w:rFonts w:ascii="Times New Roman" w:hAnsi="Times New Roman"/>
          <w:noProof/>
          <w:sz w:val="24"/>
        </w:rPr>
        <w:t xml:space="preserve"> la perturbatori endocrini este în cursul unor perioade importante de dezvoltare, cum ar fi dezvoltarea fetală și pubertatea</w:t>
      </w:r>
      <w:r>
        <w:rPr>
          <w:rStyle w:val="FootnoteReference"/>
          <w:rFonts w:ascii="Times New Roman" w:hAnsi="Times New Roman"/>
          <w:noProof/>
          <w:sz w:val="24"/>
        </w:rPr>
        <w:footnoteReference w:id="9"/>
      </w:r>
      <w:r>
        <w:rPr>
          <w:rFonts w:ascii="Times New Roman" w:hAnsi="Times New Roman"/>
          <w:noProof/>
          <w:sz w:val="24"/>
        </w:rPr>
        <w:t xml:space="preserve">. Expunerea la perturbatori endocrini în cursul acestor perioade poate cauza efecte permanente și poate conduce la creșterea riscului de îmbolnăvire mai târziu în viață. De asemenea, este general recunoscut faptul că </w:t>
      </w:r>
      <w:r>
        <w:rPr>
          <w:rFonts w:ascii="Times New Roman" w:hAnsi="Times New Roman"/>
          <w:b/>
          <w:noProof/>
          <w:sz w:val="24"/>
        </w:rPr>
        <w:t>perturbatorii endocrini pot să interfereze cu sistemul endocrin în moduri diferite</w:t>
      </w:r>
      <w:r>
        <w:rPr>
          <w:rFonts w:ascii="Times New Roman" w:hAnsi="Times New Roman"/>
          <w:noProof/>
          <w:sz w:val="24"/>
        </w:rPr>
        <w:t>. Până în prezent, știința s-a concentrat în principal asupra unui număr limitat de modalități endocrine</w:t>
      </w:r>
      <w:r>
        <w:rPr>
          <w:rStyle w:val="FootnoteReference"/>
          <w:rFonts w:ascii="Times New Roman" w:hAnsi="Times New Roman"/>
          <w:noProof/>
          <w:sz w:val="24"/>
        </w:rPr>
        <w:footnoteReference w:id="10"/>
      </w:r>
      <w:r>
        <w:rPr>
          <w:rFonts w:ascii="Times New Roman" w:hAnsi="Times New Roman"/>
          <w:noProof/>
          <w:sz w:val="24"/>
        </w:rPr>
        <w:t>. Totuși, în ultimii ani, s-a demonstrat că și alte aspecte ale sistemului endocrin pot fi sensibile la perturbatorii endocrini. De asemenea, există tot mai multe dovezi care indică faptul că perturbatorii endocrini pot acționa sinergic pentru a produce efecte aditive („</w:t>
      </w:r>
      <w:r>
        <w:rPr>
          <w:rFonts w:ascii="Times New Roman" w:hAnsi="Times New Roman"/>
          <w:b/>
          <w:noProof/>
          <w:sz w:val="24"/>
        </w:rPr>
        <w:t>efecte de amestec</w:t>
      </w:r>
      <w:r>
        <w:rPr>
          <w:rFonts w:ascii="Times New Roman" w:hAnsi="Times New Roman"/>
          <w:noProof/>
          <w:sz w:val="24"/>
        </w:rPr>
        <w:t>” sau „</w:t>
      </w:r>
      <w:r>
        <w:rPr>
          <w:rFonts w:ascii="Times New Roman" w:hAnsi="Times New Roman"/>
          <w:b/>
          <w:noProof/>
          <w:sz w:val="24"/>
        </w:rPr>
        <w:t>efect de cocktail</w:t>
      </w:r>
      <w:r>
        <w:rPr>
          <w:rFonts w:ascii="Times New Roman" w:hAnsi="Times New Roman"/>
          <w:noProof/>
          <w:sz w:val="24"/>
        </w:rPr>
        <w:t>”), astfel încât expunerea la o combinație de perturbatori endocrini poate produce un efect advers la concentrații la care nu a fost observat niciun efect al componentelor individuale</w:t>
      </w:r>
      <w:r>
        <w:rPr>
          <w:rStyle w:val="FootnoteReference"/>
          <w:rFonts w:ascii="Times New Roman" w:hAnsi="Times New Roman"/>
          <w:noProof/>
          <w:sz w:val="24"/>
        </w:rPr>
        <w:footnoteReference w:id="11"/>
      </w:r>
      <w:r>
        <w:rPr>
          <w:rFonts w:ascii="Times New Roman" w:hAnsi="Times New Roman"/>
          <w:noProof/>
          <w:sz w:val="24"/>
        </w:rPr>
        <w:t xml:space="preserve"> (chiar dacă acest efect nu este specific perturbatorilor endocrini)</w:t>
      </w:r>
      <w:r>
        <w:rPr>
          <w:rStyle w:val="FootnoteReference"/>
          <w:rFonts w:ascii="Times New Roman" w:hAnsi="Times New Roman"/>
          <w:noProof/>
          <w:sz w:val="24"/>
        </w:rPr>
        <w:footnoteReference w:id="12"/>
      </w:r>
      <w:r>
        <w:rPr>
          <w:rFonts w:ascii="Times New Roman" w:hAnsi="Times New Roman"/>
          <w:noProof/>
          <w:sz w:val="24"/>
        </w:rPr>
        <w:t>.</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Cu toate acestea, </w:t>
      </w:r>
      <w:r>
        <w:rPr>
          <w:rFonts w:ascii="Times New Roman" w:hAnsi="Times New Roman"/>
          <w:b/>
          <w:noProof/>
          <w:sz w:val="24"/>
        </w:rPr>
        <w:t>cunoștințele în domeniu continuă să fie deficitare</w:t>
      </w:r>
      <w:r>
        <w:rPr>
          <w:rFonts w:ascii="Times New Roman" w:hAnsi="Times New Roman"/>
          <w:noProof/>
          <w:sz w:val="24"/>
        </w:rPr>
        <w:t>. Acestea se referă în special la:</w:t>
      </w:r>
    </w:p>
    <w:p>
      <w:pPr>
        <w:pStyle w:val="ListParagraph"/>
        <w:numPr>
          <w:ilvl w:val="0"/>
          <w:numId w:val="35"/>
        </w:num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impactul pe care </w:t>
      </w:r>
      <w:r>
        <w:rPr>
          <w:rFonts w:ascii="Times New Roman" w:hAnsi="Times New Roman"/>
          <w:b/>
          <w:noProof/>
          <w:sz w:val="24"/>
        </w:rPr>
        <w:t>expunerea</w:t>
      </w:r>
      <w:r>
        <w:rPr>
          <w:rFonts w:ascii="Times New Roman" w:hAnsi="Times New Roman"/>
          <w:noProof/>
          <w:sz w:val="24"/>
        </w:rPr>
        <w:t xml:space="preserve"> </w:t>
      </w:r>
      <w:r>
        <w:rPr>
          <w:rFonts w:ascii="Times New Roman" w:hAnsi="Times New Roman"/>
          <w:b/>
          <w:noProof/>
          <w:sz w:val="24"/>
        </w:rPr>
        <w:t>la</w:t>
      </w:r>
      <w:r>
        <w:rPr>
          <w:rFonts w:ascii="Times New Roman" w:hAnsi="Times New Roman"/>
          <w:noProof/>
          <w:sz w:val="24"/>
        </w:rPr>
        <w:t xml:space="preserve"> </w:t>
      </w:r>
      <w:r>
        <w:rPr>
          <w:rFonts w:ascii="Times New Roman" w:hAnsi="Times New Roman"/>
          <w:b/>
          <w:noProof/>
          <w:sz w:val="24"/>
        </w:rPr>
        <w:t>perturbatori endocrini o are asupra evoluției bolilor și asupra vieții sălbatice</w:t>
      </w:r>
      <w:r>
        <w:rPr>
          <w:rFonts w:ascii="Times New Roman" w:hAnsi="Times New Roman"/>
          <w:noProof/>
          <w:sz w:val="24"/>
        </w:rPr>
        <w:t>. În acest context, există o înțelegere limitată a contribuției specifice a expunerii la substanțe chimice și a modului de a o separa de alte posibile cauze ale impacturilor negative care fac obiectul studiului. În apariția unor astfel de tulburări endocrine există și alți factori care joacă un anumit rol (cum ar fi genetici, nutriționali, stilul de viață sau alți factori de mediu) sau care au efecte asupra faunei (de exemplu, supraexploatarea, schimbările climatice);</w:t>
      </w:r>
    </w:p>
    <w:p>
      <w:pPr>
        <w:pStyle w:val="ListParagraph"/>
        <w:numPr>
          <w:ilvl w:val="0"/>
          <w:numId w:val="35"/>
        </w:numPr>
        <w:spacing w:before="120" w:after="120" w:line="240" w:lineRule="auto"/>
        <w:jc w:val="both"/>
        <w:rPr>
          <w:rFonts w:ascii="Times New Roman" w:hAnsi="Times New Roman" w:cs="Times New Roman"/>
          <w:noProof/>
          <w:sz w:val="24"/>
          <w:szCs w:val="24"/>
        </w:rPr>
      </w:pPr>
      <w:r>
        <w:rPr>
          <w:rFonts w:ascii="Times New Roman" w:hAnsi="Times New Roman"/>
          <w:b/>
          <w:noProof/>
          <w:sz w:val="24"/>
        </w:rPr>
        <w:t>controversa existentă cu privire la întrebarea dacă și în ce mod anumite principii toxicologice, cum ar fi principiul „pragului de siguranță”</w:t>
      </w:r>
      <w:r>
        <w:rPr>
          <w:rFonts w:ascii="Times New Roman" w:hAnsi="Times New Roman"/>
          <w:noProof/>
          <w:sz w:val="24"/>
        </w:rPr>
        <w:t xml:space="preserve">, adică doza sub care se estimează că nu apare niciun efect advers, </w:t>
      </w:r>
      <w:r>
        <w:rPr>
          <w:rFonts w:ascii="Times New Roman" w:hAnsi="Times New Roman"/>
          <w:b/>
          <w:noProof/>
          <w:sz w:val="24"/>
        </w:rPr>
        <w:t>sunt aplicabile pentru evaluarea siguranței perturbatorilor endocrini</w:t>
      </w:r>
      <w:r>
        <w:rPr>
          <w:rStyle w:val="FootnoteReference"/>
          <w:rFonts w:ascii="Times New Roman" w:hAnsi="Times New Roman"/>
          <w:noProof/>
          <w:sz w:val="24"/>
        </w:rPr>
        <w:footnoteReference w:id="13"/>
      </w:r>
      <w:r>
        <w:rPr>
          <w:rFonts w:ascii="Times New Roman" w:hAnsi="Times New Roman"/>
          <w:noProof/>
          <w:sz w:val="24"/>
        </w:rPr>
        <w:t xml:space="preserve">. O parte a oamenilor de știință este de părere că nu se poate stabili un prag de siguranță pentru perturbatorii endocrini; </w:t>
      </w:r>
    </w:p>
    <w:p>
      <w:pPr>
        <w:pStyle w:val="ListParagraph"/>
        <w:numPr>
          <w:ilvl w:val="0"/>
          <w:numId w:val="35"/>
        </w:numPr>
        <w:spacing w:before="120" w:after="120" w:line="240" w:lineRule="auto"/>
        <w:jc w:val="both"/>
        <w:rPr>
          <w:rFonts w:ascii="Times New Roman" w:hAnsi="Times New Roman" w:cs="Times New Roman"/>
          <w:noProof/>
          <w:sz w:val="24"/>
          <w:szCs w:val="24"/>
        </w:rPr>
      </w:pPr>
      <w:r>
        <w:rPr>
          <w:rFonts w:ascii="Times New Roman" w:hAnsi="Times New Roman"/>
          <w:b/>
          <w:noProof/>
          <w:sz w:val="24"/>
        </w:rPr>
        <w:t>înțelegerea pe deplin a expunerii combinate</w:t>
      </w:r>
      <w:r>
        <w:rPr>
          <w:noProof/>
        </w:rPr>
        <w:t xml:space="preserve"> </w:t>
      </w:r>
      <w:r>
        <w:rPr>
          <w:rFonts w:ascii="Times New Roman" w:hAnsi="Times New Roman"/>
          <w:noProof/>
          <w:sz w:val="24"/>
        </w:rPr>
        <w:t>(„efectul de amestec/de cocktail”);</w:t>
      </w:r>
    </w:p>
    <w:p>
      <w:pPr>
        <w:pStyle w:val="ListParagraph"/>
        <w:numPr>
          <w:ilvl w:val="0"/>
          <w:numId w:val="35"/>
        </w:numPr>
        <w:spacing w:before="120" w:after="120" w:line="240" w:lineRule="auto"/>
        <w:jc w:val="both"/>
        <w:rPr>
          <w:rFonts w:ascii="Times New Roman" w:hAnsi="Times New Roman" w:cs="Times New Roman"/>
          <w:noProof/>
          <w:sz w:val="24"/>
          <w:szCs w:val="24"/>
        </w:rPr>
      </w:pPr>
      <w:r>
        <w:rPr>
          <w:rFonts w:ascii="Times New Roman" w:hAnsi="Times New Roman"/>
          <w:b/>
          <w:noProof/>
          <w:sz w:val="24"/>
        </w:rPr>
        <w:t>dezvoltarea de alternative mai sigure</w:t>
      </w:r>
      <w:r>
        <w:rPr>
          <w:rFonts w:ascii="Times New Roman" w:hAnsi="Times New Roman"/>
          <w:noProof/>
          <w:sz w:val="24"/>
        </w:rPr>
        <w:t xml:space="preserve"> (inclusiv abordări nechimice) pentru a înlocui perturbatorii endocrini;</w:t>
      </w:r>
    </w:p>
    <w:p>
      <w:pPr>
        <w:pStyle w:val="ListParagraph"/>
        <w:numPr>
          <w:ilvl w:val="0"/>
          <w:numId w:val="35"/>
        </w:numPr>
        <w:spacing w:before="120" w:after="120" w:line="240" w:lineRule="auto"/>
        <w:ind w:left="714" w:hanging="357"/>
        <w:jc w:val="both"/>
        <w:rPr>
          <w:rFonts w:ascii="Times New Roman" w:hAnsi="Times New Roman" w:cs="Times New Roman"/>
          <w:noProof/>
          <w:sz w:val="24"/>
          <w:szCs w:val="24"/>
        </w:rPr>
      </w:pPr>
      <w:r>
        <w:rPr>
          <w:rFonts w:ascii="Times New Roman" w:hAnsi="Times New Roman"/>
          <w:b/>
          <w:noProof/>
          <w:sz w:val="24"/>
        </w:rPr>
        <w:t>mecanismul</w:t>
      </w:r>
      <w:r>
        <w:rPr>
          <w:rFonts w:ascii="Times New Roman" w:hAnsi="Times New Roman"/>
          <w:noProof/>
          <w:sz w:val="24"/>
        </w:rPr>
        <w:t xml:space="preserve"> perturbării endocrine.</w:t>
      </w:r>
    </w:p>
    <w:p>
      <w:pPr>
        <w:pStyle w:val="Heading2"/>
        <w:spacing w:before="0" w:line="240" w:lineRule="auto"/>
        <w:rPr>
          <w:rFonts w:cs="Times New Roman"/>
          <w:noProof/>
          <w:szCs w:val="24"/>
        </w:rPr>
      </w:pPr>
      <w:r>
        <w:rPr>
          <w:noProof/>
        </w:rPr>
        <w:t xml:space="preserve">Testarea și măsura în care știința poate să pună la dispoziție informații autorităților de reglementare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Un alt domeniu în care știința a progresat în mod semnificativ, dar în care este nevoie de progrese suplimentare, este cel al </w:t>
      </w:r>
      <w:r>
        <w:rPr>
          <w:rFonts w:ascii="Times New Roman" w:hAnsi="Times New Roman"/>
          <w:b/>
          <w:noProof/>
          <w:sz w:val="24"/>
        </w:rPr>
        <w:t>dezvoltării și validării metodelor de testare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Testarea fiabilă este cu adevărat necesară pentru identificarea perturbatorilor endocrini, ținând seama de diferitele moduri în care perturbatorii endocrini pot să interfereze cu sistemul endocrin, și pentru a-i gestiona în mod adecvat. Organizația pentru Cooperare și Dezvoltare Economică este principalul organism recunoscut pentru elaborarea de orientări privind testarea convenite la nivel internațional</w:t>
      </w:r>
      <w:r>
        <w:rPr>
          <w:rStyle w:val="FootnoteReference"/>
          <w:rFonts w:ascii="Times New Roman" w:hAnsi="Times New Roman"/>
          <w:noProof/>
          <w:sz w:val="24"/>
        </w:rPr>
        <w:footnoteReference w:id="14"/>
      </w:r>
      <w:r>
        <w:rPr>
          <w:rFonts w:ascii="Times New Roman" w:hAnsi="Times New Roman"/>
          <w:noProof/>
          <w:sz w:val="24"/>
        </w:rPr>
        <w:t>, care sunt transpuse în legislația UE relevantă, după caz. Autoritatea Europeană pentru Siguranța Alimentară a analizat orientările privind testarea existente în cazul perturbatorilor endocrini în 2013. Ea a concluzionat</w:t>
      </w:r>
      <w:r>
        <w:rPr>
          <w:rStyle w:val="FootnoteReference"/>
          <w:rFonts w:ascii="Times New Roman" w:hAnsi="Times New Roman"/>
          <w:noProof/>
          <w:sz w:val="24"/>
        </w:rPr>
        <w:footnoteReference w:id="15"/>
      </w:r>
      <w:r>
        <w:rPr>
          <w:rFonts w:ascii="Times New Roman" w:hAnsi="Times New Roman"/>
          <w:noProof/>
          <w:sz w:val="24"/>
        </w:rPr>
        <w:t xml:space="preserve"> că o serie de teste au fost (sau vor fi în curând) disponibile pentru anumite modalități endocrine care pot fi afectate de perturbatori endocrini</w:t>
      </w:r>
      <w:r>
        <w:rPr>
          <w:rStyle w:val="FootnoteReference"/>
          <w:rFonts w:ascii="Times New Roman" w:hAnsi="Times New Roman"/>
          <w:noProof/>
          <w:sz w:val="24"/>
        </w:rPr>
        <w:footnoteReference w:id="16"/>
      </w:r>
      <w:r>
        <w:rPr>
          <w:rFonts w:ascii="Times New Roman" w:hAnsi="Times New Roman"/>
          <w:noProof/>
          <w:sz w:val="24"/>
        </w:rPr>
        <w:t xml:space="preserve"> la mamifere și la pești, cu un număr mai mic de teste disponibile pentru păsări și amfibieni. Autoritatea a constatat, de asemenea, că: testele care vizează alte aspecte ale sistemului endocrin sau alte grupuri de animale trebuie încă să fie dezvoltate și/sau validate; nu există modele predictive adecvate pentru unele boli endocrine, precum anumite forme de cancere hormonale sau boli metabolice/obezitate și că nu există niciun studiu care să evalueze efectele expunerii mamiferelor pe durata ciclului complet de viață</w:t>
      </w:r>
      <w:r>
        <w:rPr>
          <w:rStyle w:val="FootnoteReference"/>
          <w:rFonts w:ascii="Times New Roman" w:hAnsi="Times New Roman"/>
          <w:noProof/>
          <w:sz w:val="24"/>
        </w:rPr>
        <w:footnoteReference w:id="17"/>
      </w:r>
      <w:r>
        <w:rPr>
          <w:rFonts w:ascii="Times New Roman" w:hAnsi="Times New Roman"/>
          <w:noProof/>
          <w:sz w:val="24"/>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În plus, la fel ca în alte domenii ale cercetării științifice, și în cazul perturbatorilor endocrini, există necesitatea de a face progrese în găsirea unor alternative la testările pe animale: acest lucru ar presupune o mai bună utilizare a datelor existente (și utilizarea suplimentară a tehnicilor de extrapolare</w:t>
      </w:r>
      <w:r>
        <w:rPr>
          <w:rStyle w:val="FootnoteReference"/>
          <w:rFonts w:ascii="Times New Roman" w:hAnsi="Times New Roman"/>
          <w:noProof/>
          <w:sz w:val="24"/>
        </w:rPr>
        <w:footnoteReference w:id="18"/>
      </w:r>
      <w:r>
        <w:rPr>
          <w:rFonts w:ascii="Times New Roman" w:hAnsi="Times New Roman"/>
          <w:noProof/>
          <w:sz w:val="24"/>
        </w:rPr>
        <w:t xml:space="preserve">) și punerea unui accent mai mare pe modelarea matematică și pe noile metode </w:t>
      </w:r>
      <w:r>
        <w:rPr>
          <w:rFonts w:ascii="Times New Roman" w:hAnsi="Times New Roman"/>
          <w:i/>
          <w:noProof/>
          <w:sz w:val="24"/>
        </w:rPr>
        <w:t>in vitro</w:t>
      </w:r>
      <w:r>
        <w:rPr>
          <w:rFonts w:ascii="Times New Roman" w:hAnsi="Times New Roman"/>
          <w:noProof/>
          <w:sz w:val="24"/>
        </w:rPr>
        <w:t>.</w:t>
      </w:r>
    </w:p>
    <w:p>
      <w:pPr>
        <w:pStyle w:val="Heading1"/>
        <w:spacing w:before="360" w:after="120" w:line="240" w:lineRule="auto"/>
        <w:rPr>
          <w:rFonts w:cs="Times New Roman"/>
          <w:caps/>
          <w:noProof/>
          <w:sz w:val="24"/>
          <w:szCs w:val="24"/>
        </w:rPr>
      </w:pPr>
      <w:r>
        <w:rPr>
          <w:caps/>
          <w:noProof/>
          <w:sz w:val="24"/>
        </w:rPr>
        <w:t>2. Politica UE și REGLEMENTAREA de către UE a perturbatorilor endocrini PÂNĂ ÎN PREZENT</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urma strategiei comunitare din 1999, UE a elaborat o politică de răspuns în materie de perturbatori endocrini care se concentrează pe </w:t>
      </w:r>
      <w:r>
        <w:rPr>
          <w:rFonts w:ascii="Times New Roman" w:hAnsi="Times New Roman"/>
          <w:b/>
          <w:noProof/>
          <w:sz w:val="24"/>
        </w:rPr>
        <w:t>promovarea cercetărilor științifice</w:t>
      </w:r>
      <w:r>
        <w:rPr>
          <w:rFonts w:ascii="Times New Roman" w:hAnsi="Times New Roman"/>
          <w:noProof/>
          <w:sz w:val="24"/>
        </w:rPr>
        <w:t xml:space="preserve">, pe </w:t>
      </w:r>
      <w:r>
        <w:rPr>
          <w:rFonts w:ascii="Times New Roman" w:hAnsi="Times New Roman"/>
          <w:b/>
          <w:noProof/>
          <w:sz w:val="24"/>
        </w:rPr>
        <w:t>reglementarea</w:t>
      </w:r>
      <w:r>
        <w:rPr>
          <w:rFonts w:ascii="Times New Roman" w:hAnsi="Times New Roman"/>
          <w:noProof/>
          <w:sz w:val="24"/>
        </w:rPr>
        <w:t xml:space="preserve"> eficientă a </w:t>
      </w:r>
      <w:r>
        <w:rPr>
          <w:rFonts w:ascii="Times New Roman" w:hAnsi="Times New Roman"/>
          <w:b/>
          <w:noProof/>
          <w:sz w:val="24"/>
        </w:rPr>
        <w:t>perturbatorilor endocrini</w:t>
      </w:r>
      <w:r>
        <w:rPr>
          <w:rFonts w:ascii="Times New Roman" w:hAnsi="Times New Roman"/>
          <w:noProof/>
          <w:sz w:val="24"/>
        </w:rPr>
        <w:t xml:space="preserve">, precum și pe dezvoltarea </w:t>
      </w:r>
      <w:r>
        <w:rPr>
          <w:rFonts w:ascii="Times New Roman" w:hAnsi="Times New Roman"/>
          <w:b/>
          <w:noProof/>
          <w:sz w:val="24"/>
        </w:rPr>
        <w:t>cooperării internaționale</w:t>
      </w:r>
      <w:r>
        <w:rPr>
          <w:rFonts w:ascii="Times New Roman" w:hAnsi="Times New Roman"/>
          <w:noProof/>
          <w:sz w:val="24"/>
        </w:rPr>
        <w:t xml:space="preserve"> în domeniu.</w:t>
      </w:r>
    </w:p>
    <w:p>
      <w:pPr>
        <w:pStyle w:val="Heading2"/>
        <w:spacing w:before="0" w:after="120" w:line="240" w:lineRule="auto"/>
        <w:rPr>
          <w:rFonts w:cs="Times New Roman"/>
          <w:noProof/>
          <w:szCs w:val="24"/>
        </w:rPr>
      </w:pPr>
      <w:r>
        <w:rPr>
          <w:noProof/>
        </w:rPr>
        <w:t>Cercetarea în UE și elaborarea în UE a unor orientări privind perturbatorii endocrini</w:t>
      </w:r>
    </w:p>
    <w:p>
      <w:pPr>
        <w:spacing w:after="120" w:line="240" w:lineRule="auto"/>
        <w:jc w:val="both"/>
        <w:rPr>
          <w:rFonts w:ascii="Times New Roman" w:hAnsi="Times New Roman" w:cs="Times New Roman"/>
          <w:noProof/>
          <w:sz w:val="24"/>
          <w:szCs w:val="24"/>
        </w:rPr>
      </w:pPr>
      <w:r>
        <w:rPr>
          <w:rFonts w:ascii="Times New Roman" w:hAnsi="Times New Roman"/>
          <w:noProof/>
          <w:sz w:val="24"/>
        </w:rPr>
        <w:t>Începând cu 1999, programele-cadru ale Uniunii Europene pentru cercetare și dezvoltare tehnologică au constituit instrumente fundamentale esențiale pentru a sprijini progresul științific în domeniul perturbatorilor endocrini. Au fost finanțate peste 50 de proiecte multinaționale derulate în colaborare, care au beneficiat de peste 150 de milioane EUR din partea UE. Aceste proiecte vizează îmbunătățirea înțelegerii mecanismelor de acțiune endocrine, identificarea efectelor adverse asupra sănătății umane și a faunei determinate de expunerea la perturbatori endocrini, și elaborarea unor instrumente pentru identificarea perturbatorilor endocrini și evaluarea expunerii la aceștia. Alte 52 de milioane EUR au fost alocate în cadrul programului Orizont 2020 pentru proiecte vizând noi metode de testare a perturbatorilor endocrini, care urmează să fie atribuite până la sfârșitul anului.</w:t>
      </w:r>
    </w:p>
    <w:p>
      <w:pPr>
        <w:spacing w:after="120" w:line="240" w:lineRule="auto"/>
        <w:jc w:val="both"/>
        <w:rPr>
          <w:rFonts w:ascii="Times New Roman" w:hAnsi="Times New Roman" w:cs="Times New Roman"/>
          <w:noProof/>
          <w:sz w:val="24"/>
          <w:szCs w:val="24"/>
        </w:rPr>
      </w:pPr>
      <w:r>
        <w:rPr>
          <w:rFonts w:ascii="Times New Roman" w:hAnsi="Times New Roman"/>
          <w:noProof/>
          <w:sz w:val="24"/>
        </w:rPr>
        <w:t>Pe lângă activitățile de cercetare finanțate în cadrul programului Orizont 2020, au fost depuse eforturi speciale în ultimii ani pentru a spori și mai mult disponibilitatea unor orientări privind testarea în scopul identificării perturbatorilor endocrini și pentru a aborda deficiențele de testare la nivelul UE și la nivel internațional, sub auspiciile Organizației pentru Cooperare și Dezvoltare Economică. O testarea mai autoritară este un mijloc important de îmbunătățire a eficienței controlului. Comisia Europeană a finanțat mai multe activități axate pe identificarea lacunelor orientărilor privind testarea, pe identificarea posibilelor modalități de completare a acestor lacune, pe stabilirea priorităților pentru perfecționarea orientărilor privind testarea și pe îmbunătățirea orientărilor existente privind testarea sau pe elaborarea unor orientări noi</w:t>
      </w:r>
      <w:r>
        <w:rPr>
          <w:rStyle w:val="FootnoteReference"/>
          <w:rFonts w:ascii="Times New Roman" w:hAnsi="Times New Roman"/>
          <w:noProof/>
          <w:sz w:val="24"/>
        </w:rPr>
        <w:footnoteReference w:id="19"/>
      </w:r>
      <w:r>
        <w:rPr>
          <w:rFonts w:ascii="Times New Roman" w:hAnsi="Times New Roman"/>
          <w:noProof/>
          <w:sz w:val="24"/>
        </w:rPr>
        <w:t>.</w:t>
      </w:r>
    </w:p>
    <w:p>
      <w:pPr>
        <w:pStyle w:val="Heading2"/>
        <w:spacing w:before="0" w:after="120" w:line="240" w:lineRule="auto"/>
        <w:rPr>
          <w:rFonts w:cs="Times New Roman"/>
          <w:noProof/>
          <w:szCs w:val="24"/>
        </w:rPr>
      </w:pPr>
      <w:r>
        <w:rPr>
          <w:noProof/>
        </w:rPr>
        <w:t xml:space="preserve">Modul în care legislația UE vizează perturbatorii endocrini </w:t>
      </w:r>
    </w:p>
    <w:p>
      <w:pPr>
        <w:spacing w:after="120" w:line="240" w:lineRule="auto"/>
        <w:jc w:val="both"/>
        <w:rPr>
          <w:rFonts w:ascii="Times New Roman" w:eastAsia="Times New Roman" w:hAnsi="Times New Roman" w:cs="Times New Roman"/>
          <w:iCs/>
          <w:noProof/>
          <w:sz w:val="24"/>
          <w:szCs w:val="24"/>
        </w:rPr>
      </w:pPr>
      <w:r>
        <w:rPr>
          <w:rFonts w:ascii="Times New Roman" w:hAnsi="Times New Roman"/>
          <w:noProof/>
          <w:sz w:val="24"/>
        </w:rPr>
        <w:t>În paralel cu progresele științifice, în ultimele decenii, UE și-a actualizat treptat corpul de acte legislative care reglementează substanțele chimice, cu scopul de a asigura un nivel înalt de protecție a sănătății umane, a sănătății animale și a mediului, asigurând în același timp o bună funcționare a pieței interne. Legislația UE este recunoscută în prezent ca fiind printre cele mai protectoare din lume și se aplică tuturor substanțelor chimice, inclusiv celor cu proprietăți de perturbare a sistemului endocrin.</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Abordarea UE se bazează pe avize științifice de înalt nivel emise de organismele UE relevante care se ocupă cu evaluarea riscurilor, cum ar fi Agenția Europeană pentru Produse Chimice, Autoritatea Europeană pentru Siguranța Alimentară sau Comitetul științific pentru siguranța consumatorilor, precum și pe deciziile vizând gestionarea riscurilor luate de Comisie, de comun acord cu statele membre. Atunci când evaluarea științifică nu poate stabili concluzii cu o certitudine suficientă, Comisia este ghidată de așa-numitul </w:t>
      </w:r>
      <w:r>
        <w:rPr>
          <w:rFonts w:ascii="Times New Roman" w:hAnsi="Times New Roman"/>
          <w:i/>
          <w:noProof/>
          <w:sz w:val="24"/>
        </w:rPr>
        <w:t>principiu al precauției</w:t>
      </w:r>
      <w:r>
        <w:rPr>
          <w:rFonts w:ascii="Times New Roman" w:hAnsi="Times New Roman"/>
          <w:noProof/>
          <w:sz w:val="24"/>
        </w:rPr>
        <w:t xml:space="preserve"> atunci când ia măsuri de protecție a cetățenilor și a mediului înconjurător. Asigurarea respectării legislației este realizată de către statele membre, iar Comisia facilitează schimbul de informații între autoritățile competente naționale, pentru a le îmbunătăți activitățile de asigurare a respectării legislației</w:t>
      </w:r>
      <w:r>
        <w:rPr>
          <w:rStyle w:val="FootnoteReference"/>
          <w:rFonts w:ascii="Times New Roman" w:hAnsi="Times New Roman"/>
          <w:noProof/>
          <w:sz w:val="24"/>
        </w:rPr>
        <w:footnoteReference w:id="20"/>
      </w:r>
      <w:r>
        <w:rPr>
          <w:rFonts w:ascii="Times New Roman" w:hAnsi="Times New Roman"/>
          <w:noProof/>
          <w:sz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În ultimii ani, Comisia a luat măsuri împotriva perturbatorilor endocrini în conformitate cu diferitele cerințe prevăzute în legislația relevantă. Dispoziții specifice cu privire la modul de abordare a perturbatorilor endocrini sunt în prezent incluse în legislația privind pesticidele</w:t>
      </w:r>
      <w:r>
        <w:rPr>
          <w:rStyle w:val="FootnoteReference"/>
          <w:rFonts w:ascii="Times New Roman" w:hAnsi="Times New Roman"/>
          <w:noProof/>
          <w:sz w:val="24"/>
        </w:rPr>
        <w:footnoteReference w:id="21"/>
      </w:r>
      <w:r>
        <w:rPr>
          <w:rFonts w:ascii="Times New Roman" w:hAnsi="Times New Roman"/>
          <w:noProof/>
          <w:sz w:val="24"/>
        </w:rPr>
        <w:t xml:space="preserve"> și biocidele</w:t>
      </w:r>
      <w:r>
        <w:rPr>
          <w:rStyle w:val="FootnoteReference"/>
          <w:rFonts w:ascii="Times New Roman" w:hAnsi="Times New Roman"/>
          <w:noProof/>
          <w:sz w:val="24"/>
        </w:rPr>
        <w:footnoteReference w:id="22"/>
      </w:r>
      <w:r>
        <w:rPr>
          <w:rFonts w:ascii="Times New Roman" w:hAnsi="Times New Roman"/>
          <w:noProof/>
          <w:sz w:val="24"/>
        </w:rPr>
        <w:t>, substanțele chimice în general („Regulamentul REACH”)</w:t>
      </w:r>
      <w:r>
        <w:rPr>
          <w:rStyle w:val="FootnoteReference"/>
          <w:rFonts w:ascii="Times New Roman" w:hAnsi="Times New Roman"/>
          <w:noProof/>
          <w:sz w:val="24"/>
        </w:rPr>
        <w:footnoteReference w:id="23"/>
      </w:r>
      <w:r>
        <w:rPr>
          <w:rFonts w:ascii="Times New Roman" w:hAnsi="Times New Roman"/>
          <w:noProof/>
          <w:sz w:val="24"/>
        </w:rPr>
        <w:t>, dispozitivele medicale</w:t>
      </w:r>
      <w:r>
        <w:rPr>
          <w:rStyle w:val="FootnoteReference"/>
          <w:rFonts w:ascii="Times New Roman" w:hAnsi="Times New Roman"/>
          <w:noProof/>
          <w:sz w:val="24"/>
        </w:rPr>
        <w:footnoteReference w:id="24"/>
      </w:r>
      <w:r>
        <w:rPr>
          <w:rFonts w:ascii="Times New Roman" w:hAnsi="Times New Roman"/>
          <w:noProof/>
          <w:sz w:val="24"/>
        </w:rPr>
        <w:t xml:space="preserve"> și apa</w:t>
      </w:r>
      <w:r>
        <w:rPr>
          <w:rStyle w:val="FootnoteReference"/>
          <w:rFonts w:ascii="Times New Roman" w:hAnsi="Times New Roman"/>
          <w:noProof/>
          <w:sz w:val="24"/>
        </w:rPr>
        <w:footnoteReference w:id="25"/>
      </w:r>
      <w:r>
        <w:rPr>
          <w:rFonts w:ascii="Times New Roman" w:hAnsi="Times New Roman"/>
          <w:noProof/>
          <w:sz w:val="24"/>
        </w:rPr>
        <w:t>. Aceste cerințe variază în funcție de legislația specifică. Alte acte legislative, cum ar fi cele privind materialele care intră în contact cu alimentele</w:t>
      </w:r>
      <w:r>
        <w:rPr>
          <w:rStyle w:val="FootnoteReference"/>
          <w:rFonts w:ascii="Times New Roman" w:hAnsi="Times New Roman"/>
          <w:noProof/>
          <w:sz w:val="24"/>
        </w:rPr>
        <w:footnoteReference w:id="26"/>
      </w:r>
      <w:r>
        <w:rPr>
          <w:rFonts w:ascii="Times New Roman" w:hAnsi="Times New Roman"/>
          <w:noProof/>
          <w:sz w:val="24"/>
        </w:rPr>
        <w:t>, cosmeticele</w:t>
      </w:r>
      <w:r>
        <w:rPr>
          <w:rStyle w:val="FootnoteReference"/>
          <w:rFonts w:ascii="Times New Roman" w:hAnsi="Times New Roman"/>
          <w:noProof/>
          <w:sz w:val="24"/>
        </w:rPr>
        <w:footnoteReference w:id="27"/>
      </w:r>
      <w:r>
        <w:rPr>
          <w:rFonts w:ascii="Times New Roman" w:hAnsi="Times New Roman"/>
          <w:noProof/>
          <w:sz w:val="24"/>
        </w:rPr>
        <w:t>, jucăriile</w:t>
      </w:r>
      <w:r>
        <w:rPr>
          <w:rStyle w:val="FootnoteReference"/>
          <w:rFonts w:ascii="Times New Roman" w:hAnsi="Times New Roman"/>
          <w:noProof/>
          <w:sz w:val="24"/>
        </w:rPr>
        <w:footnoteReference w:id="28"/>
      </w:r>
      <w:r>
        <w:rPr>
          <w:rFonts w:ascii="Times New Roman" w:hAnsi="Times New Roman"/>
          <w:noProof/>
          <w:sz w:val="24"/>
        </w:rPr>
        <w:t xml:space="preserve"> sau cele privind protecția lucrătorilor la locul de muncă</w:t>
      </w:r>
      <w:r>
        <w:rPr>
          <w:rStyle w:val="FootnoteReference"/>
          <w:rFonts w:ascii="Times New Roman" w:hAnsi="Times New Roman"/>
          <w:noProof/>
          <w:sz w:val="24"/>
        </w:rPr>
        <w:footnoteReference w:id="29"/>
      </w:r>
      <w:r>
        <w:rPr>
          <w:rFonts w:ascii="Times New Roman" w:hAnsi="Times New Roman"/>
          <w:noProof/>
          <w:sz w:val="24"/>
        </w:rPr>
        <w:t>, nu conțin dispoziții specifice cu privire la perturbatorii endocrini. Cu toate acestea, substanțele cu proprietăți perturbatoare endocrine sunt supuse unor măsuri de reglementare de la caz la caz, în funcție de cerințele generale ale legislației.</w:t>
      </w:r>
    </w:p>
    <w:p>
      <w:pPr>
        <w:spacing w:before="120" w:after="120" w:line="240" w:lineRule="auto"/>
        <w:jc w:val="center"/>
        <w:rPr>
          <w:rFonts w:ascii="Times New Roman" w:hAnsi="Times New Roman" w:cs="Times New Roman"/>
          <w:b/>
          <w:i/>
          <w:noProof/>
          <w:sz w:val="24"/>
          <w:szCs w:val="24"/>
        </w:rPr>
      </w:pPr>
      <w:r>
        <w:rPr>
          <w:rFonts w:ascii="Times New Roman" w:hAnsi="Times New Roman" w:cs="Times New Roman"/>
          <w:noProof/>
          <w:sz w:val="24"/>
          <w:szCs w:val="24"/>
          <w:lang w:val="en-GB" w:eastAsia="en-GB" w:bidi="ar-SA"/>
        </w:rPr>
        <mc:AlternateContent>
          <mc:Choice Requires="wps">
            <w:drawing>
              <wp:anchor distT="0" distB="0" distL="114300" distR="114300" simplePos="0" relativeHeight="251659264" behindDoc="1" locked="0" layoutInCell="1" allowOverlap="1">
                <wp:simplePos x="0" y="0"/>
                <wp:positionH relativeFrom="column">
                  <wp:posOffset>2882</wp:posOffset>
                </wp:positionH>
                <wp:positionV relativeFrom="paragraph">
                  <wp:posOffset>-22323</wp:posOffset>
                </wp:positionV>
                <wp:extent cx="5908431" cy="2766646"/>
                <wp:effectExtent l="0" t="0" r="16510" b="15240"/>
                <wp:wrapNone/>
                <wp:docPr id="2" name="Rectangle 2"/>
                <wp:cNvGraphicFramePr/>
                <a:graphic xmlns:a="http://schemas.openxmlformats.org/drawingml/2006/main">
                  <a:graphicData uri="http://schemas.microsoft.com/office/word/2010/wordprocessingShape">
                    <wps:wsp>
                      <wps:cNvSpPr/>
                      <wps:spPr>
                        <a:xfrm>
                          <a:off x="0" y="0"/>
                          <a:ext cx="5908431" cy="2766646"/>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25pt;margin-top:-1.75pt;width:465.25pt;height:217.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" fillcolor="white [3212]" strokecolor="black [3213]" strokeweight="1pt"/>
            </w:pict>
          </mc:Fallback>
        </mc:AlternateContent>
      </w:r>
      <w:r>
        <w:rPr>
          <w:rFonts w:ascii="Times New Roman" w:hAnsi="Times New Roman"/>
          <w:b/>
          <w:i/>
          <w:noProof/>
          <w:sz w:val="24"/>
        </w:rPr>
        <w:t>Reglementarea perturbatorilor endocrini: câteva exemple</w:t>
      </w:r>
    </w:p>
    <w:p>
      <w:pPr>
        <w:pStyle w:val="ListParagraph"/>
        <w:numPr>
          <w:ilvl w:val="0"/>
          <w:numId w:val="49"/>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Recent, Comisia a stabilit </w:t>
      </w:r>
      <w:r>
        <w:rPr>
          <w:rFonts w:ascii="Times New Roman" w:hAnsi="Times New Roman"/>
          <w:b/>
          <w:noProof/>
          <w:sz w:val="24"/>
        </w:rPr>
        <w:t>criterii de identificare a perturbatorilor endocrini în legislația privind pesticidele și biocidele</w:t>
      </w:r>
      <w:r>
        <w:rPr>
          <w:rFonts w:ascii="Times New Roman" w:hAnsi="Times New Roman"/>
          <w:noProof/>
          <w:sz w:val="24"/>
        </w:rPr>
        <w:t>, în conformitate cu definiția Organizației Mondiale a Sănătății</w:t>
      </w:r>
      <w:r>
        <w:rPr>
          <w:rStyle w:val="FootnoteReference"/>
          <w:rFonts w:ascii="Times New Roman" w:hAnsi="Times New Roman"/>
          <w:noProof/>
          <w:sz w:val="24"/>
        </w:rPr>
        <w:footnoteReference w:id="30"/>
      </w:r>
      <w:r>
        <w:rPr>
          <w:rFonts w:ascii="Times New Roman" w:hAnsi="Times New Roman"/>
          <w:noProof/>
          <w:sz w:val="24"/>
        </w:rPr>
        <w:t>. Acest lucru reprezintă o etapă importantă, întrucât până în prezent nu au fost niciodată stabilite criterii de identificare a perturbatorilor endocrini într-un context normativ. În principiu, în viitor nu va fi permisă utilizarea în aceste categorii de produse a niciunui perturbator endocrin, cu excepția cazului în care se aplică derogări foarte limitate.</w:t>
      </w:r>
    </w:p>
    <w:p>
      <w:pPr>
        <w:pStyle w:val="ListParagraph"/>
        <w:numPr>
          <w:ilvl w:val="0"/>
          <w:numId w:val="49"/>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În temeiul </w:t>
      </w:r>
      <w:r>
        <w:rPr>
          <w:rFonts w:ascii="Times New Roman" w:hAnsi="Times New Roman"/>
          <w:b/>
          <w:noProof/>
          <w:sz w:val="24"/>
        </w:rPr>
        <w:t>REACH</w:t>
      </w:r>
      <w:r>
        <w:rPr>
          <w:rFonts w:ascii="Times New Roman" w:hAnsi="Times New Roman"/>
          <w:noProof/>
          <w:sz w:val="24"/>
        </w:rPr>
        <w:t xml:space="preserve">, </w:t>
      </w:r>
      <w:r>
        <w:rPr>
          <w:rFonts w:ascii="Times New Roman" w:hAnsi="Times New Roman"/>
          <w:noProof/>
          <w:color w:val="000000" w:themeColor="text1"/>
          <w:sz w:val="24"/>
        </w:rPr>
        <w:t>doi perturbatori endocrini au fost introduși în lista substanțelor care necesită o autorizație specifică pentru a fi introduse pe piață</w:t>
      </w:r>
      <w:r>
        <w:rPr>
          <w:rStyle w:val="FootnoteReference"/>
          <w:rFonts w:ascii="Times New Roman" w:hAnsi="Times New Roman"/>
          <w:noProof/>
          <w:sz w:val="24"/>
        </w:rPr>
        <w:footnoteReference w:id="31"/>
      </w:r>
      <w:r>
        <w:rPr>
          <w:rFonts w:ascii="Times New Roman" w:hAnsi="Times New Roman"/>
          <w:noProof/>
          <w:sz w:val="24"/>
        </w:rPr>
        <w:t>.</w:t>
      </w:r>
      <w:r>
        <w:rPr>
          <w:rFonts w:ascii="Times New Roman" w:hAnsi="Times New Roman"/>
          <w:noProof/>
          <w:color w:val="000000" w:themeColor="text1"/>
          <w:sz w:val="24"/>
        </w:rPr>
        <w:t xml:space="preserve"> Alte 13 substanțe au fost identificate drept perturbatori endocrini și sunt incluse în </w:t>
      </w:r>
      <w:r>
        <w:rPr>
          <w:rFonts w:ascii="Times New Roman" w:hAnsi="Times New Roman"/>
          <w:i/>
          <w:noProof/>
          <w:color w:val="000000" w:themeColor="text1"/>
          <w:sz w:val="24"/>
        </w:rPr>
        <w:t>lista substanțelor candidate</w:t>
      </w:r>
      <w:r>
        <w:rPr>
          <w:rFonts w:ascii="Times New Roman" w:hAnsi="Times New Roman"/>
          <w:noProof/>
          <w:color w:val="000000" w:themeColor="text1"/>
          <w:sz w:val="24"/>
        </w:rPr>
        <w:t xml:space="preserve"> pentru eventuala includere în lista substanțelor autorizate în viitor</w:t>
      </w:r>
      <w:r>
        <w:rPr>
          <w:rStyle w:val="FootnoteReference"/>
          <w:rFonts w:ascii="Times New Roman" w:hAnsi="Times New Roman"/>
          <w:noProof/>
          <w:color w:val="000000" w:themeColor="text1"/>
          <w:sz w:val="24"/>
        </w:rPr>
        <w:footnoteReference w:id="32"/>
      </w:r>
      <w:r>
        <w:rPr>
          <w:rFonts w:ascii="Times New Roman" w:hAnsi="Times New Roman"/>
          <w:noProof/>
          <w:color w:val="000000" w:themeColor="text1"/>
          <w:sz w:val="24"/>
        </w:rPr>
        <w:t>. Substanțele cu</w:t>
      </w:r>
      <w:r>
        <w:rPr>
          <w:rFonts w:ascii="Times New Roman" w:hAnsi="Times New Roman"/>
          <w:noProof/>
          <w:sz w:val="24"/>
        </w:rPr>
        <w:t xml:space="preserve"> proprietăți perturbatoare endocrine sunt, de asemenea, supuse unor restricții</w:t>
      </w:r>
      <w:r>
        <w:rPr>
          <w:rStyle w:val="FootnoteReference"/>
          <w:rFonts w:ascii="Times New Roman" w:hAnsi="Times New Roman"/>
          <w:noProof/>
          <w:color w:val="000000" w:themeColor="text1"/>
          <w:sz w:val="24"/>
        </w:rPr>
        <w:footnoteReference w:id="33"/>
      </w:r>
      <w:r>
        <w:rPr>
          <w:rFonts w:ascii="Times New Roman" w:hAnsi="Times New Roman"/>
          <w:noProof/>
          <w:sz w:val="24"/>
        </w:rPr>
        <w:t>.</w:t>
      </w:r>
      <w:r>
        <w:rPr>
          <w:rFonts w:ascii="Times New Roman" w:hAnsi="Times New Roman"/>
          <w:noProof/>
          <w:color w:val="000000" w:themeColor="text1"/>
          <w:sz w:val="24"/>
        </w:rPr>
        <w:t xml:space="preserve"> De exemplu,</w:t>
      </w:r>
      <w:r>
        <w:rPr>
          <w:rFonts w:ascii="Times New Roman" w:hAnsi="Times New Roman"/>
          <w:noProof/>
          <w:sz w:val="24"/>
        </w:rPr>
        <w:t xml:space="preserve"> recent, Comisia a obținut sprijinul statelor membre</w:t>
      </w:r>
      <w:r>
        <w:rPr>
          <w:rStyle w:val="FootnoteReference"/>
          <w:rFonts w:ascii="Times New Roman" w:hAnsi="Times New Roman"/>
          <w:noProof/>
          <w:sz w:val="24"/>
        </w:rPr>
        <w:footnoteReference w:id="34"/>
      </w:r>
      <w:r>
        <w:rPr>
          <w:rFonts w:ascii="Times New Roman" w:hAnsi="Times New Roman"/>
          <w:noProof/>
          <w:sz w:val="24"/>
        </w:rPr>
        <w:t xml:space="preserve"> cu privire la o propunere de a </w:t>
      </w:r>
      <w:r>
        <w:rPr>
          <w:rFonts w:ascii="Times New Roman" w:hAnsi="Times New Roman"/>
          <w:b/>
          <w:noProof/>
          <w:sz w:val="24"/>
        </w:rPr>
        <w:t>interzice prezența a patru ftalați</w:t>
      </w:r>
      <w:r>
        <w:rPr>
          <w:rFonts w:ascii="Times New Roman" w:hAnsi="Times New Roman"/>
          <w:noProof/>
          <w:sz w:val="24"/>
        </w:rPr>
        <w:t xml:space="preserve"> – </w:t>
      </w:r>
      <w:r>
        <w:rPr>
          <w:rFonts w:ascii="Times New Roman" w:hAnsi="Times New Roman"/>
          <w:noProof/>
          <w:color w:val="000000" w:themeColor="text1"/>
          <w:sz w:val="24"/>
        </w:rPr>
        <w:t>substanțe chimice utilizate pe scară largă pentru a face ca materialele plastice să fie mai moi</w:t>
      </w:r>
      <w:r>
        <w:rPr>
          <w:rStyle w:val="FootnoteReference"/>
          <w:rFonts w:ascii="Times New Roman" w:hAnsi="Times New Roman"/>
          <w:noProof/>
          <w:color w:val="000000" w:themeColor="text1"/>
          <w:sz w:val="24"/>
        </w:rPr>
        <w:footnoteReference w:id="35"/>
      </w:r>
      <w:r>
        <w:rPr>
          <w:rFonts w:ascii="Times New Roman" w:hAnsi="Times New Roman"/>
          <w:noProof/>
          <w:sz w:val="24"/>
        </w:rPr>
        <w:t xml:space="preserve"> – </w:t>
      </w:r>
      <w:r>
        <w:rPr>
          <w:rFonts w:ascii="Times New Roman" w:hAnsi="Times New Roman"/>
          <w:noProof/>
          <w:color w:val="000000" w:themeColor="text1"/>
          <w:sz w:val="24"/>
        </w:rPr>
        <w:t>în diverse produse de uz cotidian la niveluri de 0,1 % sau mai mari</w:t>
      </w:r>
      <w:r>
        <w:rPr>
          <w:rFonts w:ascii="Times New Roman" w:hAnsi="Times New Roman"/>
          <w:noProof/>
          <w:sz w:val="24"/>
        </w:rPr>
        <w:t>.</w:t>
      </w:r>
      <w:r>
        <w:rPr>
          <w:rFonts w:ascii="Times New Roman" w:hAnsi="Times New Roman"/>
          <w:noProof/>
          <w:color w:val="000000" w:themeColor="text1"/>
          <w:sz w:val="24"/>
        </w:rPr>
        <w:t xml:space="preserve"> În plus,</w:t>
      </w:r>
      <w:r>
        <w:rPr>
          <w:rFonts w:ascii="Times New Roman" w:hAnsi="Times New Roman"/>
          <w:noProof/>
          <w:sz w:val="24"/>
        </w:rPr>
        <w:t xml:space="preserve"> peste 80 de substanțe chimice sunt supuse în prezent unei evaluări din cauza preocupărilor cu privire la proprietățile lor potențiale de perturbare a sistemului endocrin.</w:t>
      </w:r>
    </w:p>
    <w:p>
      <w:pPr>
        <w:pStyle w:val="ListParagraph"/>
        <w:numPr>
          <w:ilvl w:val="0"/>
          <w:numId w:val="49"/>
        </w:num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eastAsia="en-GB" w:bidi="ar-SA"/>
        </w:rPr>
        <mc:AlternateContent>
          <mc:Choice Requires="wps">
            <w:drawing>
              <wp:anchor distT="0" distB="0" distL="114300" distR="114300" simplePos="0" relativeHeight="251661312" behindDoc="1" locked="0" layoutInCell="1" allowOverlap="1">
                <wp:simplePos x="0" y="0"/>
                <wp:positionH relativeFrom="column">
                  <wp:posOffset>38051</wp:posOffset>
                </wp:positionH>
                <wp:positionV relativeFrom="paragraph">
                  <wp:posOffset>-698158</wp:posOffset>
                </wp:positionV>
                <wp:extent cx="5861539" cy="4232031"/>
                <wp:effectExtent l="0" t="0" r="25400" b="16510"/>
                <wp:wrapNone/>
                <wp:docPr id="5" name="Rectangle 5"/>
                <wp:cNvGraphicFramePr/>
                <a:graphic xmlns:a="http://schemas.openxmlformats.org/drawingml/2006/main">
                  <a:graphicData uri="http://schemas.microsoft.com/office/word/2010/wordprocessingShape">
                    <wps:wsp>
                      <wps:cNvSpPr/>
                      <wps:spPr>
                        <a:xfrm>
                          <a:off x="0" y="0"/>
                          <a:ext cx="5861539" cy="4232031"/>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3pt;margin-top:-54.95pt;width:461.55pt;height:333.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" fillcolor="white [3212]" strokecolor="black [3213]" strokeweight="1pt"/>
            </w:pict>
          </mc:Fallback>
        </mc:AlternateContent>
      </w:r>
      <w:r>
        <w:rPr>
          <w:rFonts w:ascii="Times New Roman" w:hAnsi="Times New Roman"/>
          <w:noProof/>
          <w:sz w:val="24"/>
        </w:rPr>
        <w:t xml:space="preserve">În temeiul legislației privind </w:t>
      </w:r>
      <w:r>
        <w:rPr>
          <w:rFonts w:ascii="Times New Roman" w:hAnsi="Times New Roman"/>
          <w:b/>
          <w:noProof/>
          <w:sz w:val="24"/>
        </w:rPr>
        <w:t>apa</w:t>
      </w:r>
      <w:r>
        <w:rPr>
          <w:rFonts w:ascii="Times New Roman" w:hAnsi="Times New Roman"/>
          <w:noProof/>
          <w:sz w:val="24"/>
        </w:rPr>
        <w:t xml:space="preserve">, Comisia a inclus </w:t>
      </w:r>
      <w:r>
        <w:rPr>
          <w:rFonts w:ascii="Times New Roman" w:hAnsi="Times New Roman"/>
          <w:b/>
          <w:noProof/>
          <w:sz w:val="24"/>
        </w:rPr>
        <w:t>mai mulți perturbatori endocrini</w:t>
      </w:r>
      <w:r>
        <w:rPr>
          <w:rStyle w:val="FootnoteReference"/>
          <w:rFonts w:ascii="Times New Roman" w:hAnsi="Times New Roman"/>
          <w:b/>
          <w:noProof/>
          <w:sz w:val="24"/>
        </w:rPr>
        <w:footnoteReference w:id="36"/>
      </w:r>
      <w:r>
        <w:rPr>
          <w:rFonts w:ascii="Times New Roman" w:hAnsi="Times New Roman"/>
          <w:b/>
          <w:noProof/>
          <w:sz w:val="24"/>
        </w:rPr>
        <w:t xml:space="preserve"> în lista de substanțe prioritare care constituie un motiv deosebit de îngrijorare</w:t>
      </w:r>
      <w:r>
        <w:rPr>
          <w:rStyle w:val="FootnoteReference"/>
          <w:rFonts w:ascii="Times New Roman" w:hAnsi="Times New Roman"/>
          <w:noProof/>
          <w:sz w:val="24"/>
        </w:rPr>
        <w:footnoteReference w:id="37"/>
      </w:r>
      <w:r>
        <w:rPr>
          <w:rFonts w:ascii="Times New Roman" w:hAnsi="Times New Roman"/>
          <w:noProof/>
          <w:sz w:val="24"/>
        </w:rPr>
        <w:t xml:space="preserve"> pentru care se aplică standarde de calitate a mediului și controale ale emisiilor. În plus, Comisia a inclus trei perturbatori endocrini în „lista substanțelor de supravegheat” în cazul cărora la nivelul Uniunii ar trebui colectate date de monitorizare</w:t>
      </w:r>
      <w:r>
        <w:rPr>
          <w:rStyle w:val="FootnoteReference"/>
          <w:rFonts w:ascii="Times New Roman" w:hAnsi="Times New Roman"/>
          <w:noProof/>
          <w:sz w:val="24"/>
        </w:rPr>
        <w:footnoteReference w:id="38"/>
      </w:r>
      <w:r>
        <w:rPr>
          <w:rFonts w:ascii="Times New Roman" w:hAnsi="Times New Roman"/>
          <w:noProof/>
          <w:sz w:val="24"/>
        </w:rPr>
        <w:t>.</w:t>
      </w:r>
    </w:p>
    <w:p>
      <w:pPr>
        <w:pStyle w:val="ListParagraph"/>
        <w:numPr>
          <w:ilvl w:val="0"/>
          <w:numId w:val="49"/>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Din cauza unor preocupări legate de perturbarea sistemului endocrin, substanța chimică </w:t>
      </w:r>
      <w:r>
        <w:rPr>
          <w:rFonts w:ascii="Times New Roman" w:hAnsi="Times New Roman"/>
          <w:b/>
          <w:noProof/>
          <w:sz w:val="24"/>
        </w:rPr>
        <w:t>bisfenol A este interzisă în biberoane și în alte recipiente alimentare destinate sugarilor și copiilor cu vârste mici</w:t>
      </w:r>
      <w:r>
        <w:rPr>
          <w:rFonts w:ascii="Times New Roman" w:hAnsi="Times New Roman"/>
          <w:noProof/>
          <w:sz w:val="24"/>
        </w:rPr>
        <w:t>, iar pentru alte materiale care intră în contact cu alimentele sunt stabilite limite de migrare foarte mici</w:t>
      </w:r>
      <w:r>
        <w:rPr>
          <w:rStyle w:val="FootnoteReference"/>
          <w:rFonts w:ascii="Times New Roman" w:hAnsi="Times New Roman"/>
          <w:noProof/>
          <w:sz w:val="24"/>
        </w:rPr>
        <w:footnoteReference w:id="39"/>
      </w:r>
      <w:r>
        <w:rPr>
          <w:rFonts w:ascii="Times New Roman" w:hAnsi="Times New Roman"/>
          <w:noProof/>
          <w:sz w:val="24"/>
        </w:rPr>
        <w:t xml:space="preserve">. Bisfenolul A este, de asemenea, </w:t>
      </w:r>
      <w:r>
        <w:rPr>
          <w:rFonts w:ascii="Times New Roman" w:hAnsi="Times New Roman"/>
          <w:b/>
          <w:noProof/>
          <w:sz w:val="24"/>
        </w:rPr>
        <w:t>suspus unor valori-limită în jucării</w:t>
      </w:r>
      <w:r>
        <w:rPr>
          <w:rFonts w:ascii="Times New Roman" w:hAnsi="Times New Roman"/>
          <w:noProof/>
          <w:sz w:val="24"/>
        </w:rPr>
        <w:t xml:space="preserve"> destinate copiilor mai mici de 36 de luni sau destinate să fie introduse în gură</w:t>
      </w:r>
      <w:r>
        <w:rPr>
          <w:rStyle w:val="FootnoteReference"/>
          <w:rFonts w:ascii="Times New Roman" w:hAnsi="Times New Roman"/>
          <w:noProof/>
          <w:sz w:val="24"/>
        </w:rPr>
        <w:footnoteReference w:id="40"/>
      </w:r>
      <w:r>
        <w:rPr>
          <w:rFonts w:ascii="Times New Roman" w:hAnsi="Times New Roman"/>
          <w:noProof/>
          <w:sz w:val="24"/>
        </w:rPr>
        <w:t xml:space="preserve"> și în </w:t>
      </w:r>
      <w:r>
        <w:rPr>
          <w:rFonts w:ascii="Times New Roman" w:hAnsi="Times New Roman"/>
          <w:b/>
          <w:noProof/>
          <w:sz w:val="24"/>
        </w:rPr>
        <w:t>hârtia</w:t>
      </w:r>
      <w:r>
        <w:rPr>
          <w:rFonts w:ascii="Times New Roman" w:hAnsi="Times New Roman"/>
          <w:noProof/>
          <w:sz w:val="24"/>
        </w:rPr>
        <w:t xml:space="preserve"> utilizată în chitanțe</w:t>
      </w:r>
      <w:r>
        <w:rPr>
          <w:rStyle w:val="FootnoteReference"/>
          <w:rFonts w:ascii="Times New Roman" w:hAnsi="Times New Roman"/>
          <w:noProof/>
          <w:sz w:val="24"/>
        </w:rPr>
        <w:footnoteReference w:id="41"/>
      </w:r>
      <w:r>
        <w:rPr>
          <w:rFonts w:ascii="Times New Roman" w:hAnsi="Times New Roman"/>
          <w:noProof/>
          <w:sz w:val="24"/>
        </w:rPr>
        <w:t>.</w:t>
      </w:r>
      <w:r>
        <w:rPr>
          <w:rFonts w:ascii="Times New Roman" w:hAnsi="Times New Roman"/>
          <w:noProof/>
          <w:color w:val="000000"/>
          <w:sz w:val="24"/>
        </w:rPr>
        <w:t xml:space="preserve"> Limite foarte mici</w:t>
      </w:r>
      <w:r>
        <w:rPr>
          <w:rFonts w:ascii="Times New Roman" w:hAnsi="Times New Roman"/>
          <w:noProof/>
          <w:sz w:val="24"/>
        </w:rPr>
        <w:t xml:space="preserve"> pentru bisfenolul A au fost, de asemenea, stabilite cu scopul de a </w:t>
      </w:r>
      <w:r>
        <w:rPr>
          <w:rFonts w:ascii="Times New Roman" w:hAnsi="Times New Roman"/>
          <w:b/>
          <w:noProof/>
          <w:sz w:val="24"/>
        </w:rPr>
        <w:t>proteja lucrătorii de expunerea</w:t>
      </w:r>
      <w:r>
        <w:rPr>
          <w:rFonts w:ascii="Times New Roman" w:hAnsi="Times New Roman"/>
          <w:noProof/>
          <w:sz w:val="24"/>
        </w:rPr>
        <w:t xml:space="preserve"> prin intermediul pulberilor inhalabile</w:t>
      </w:r>
      <w:r>
        <w:rPr>
          <w:rStyle w:val="FootnoteReference"/>
          <w:rFonts w:ascii="Times New Roman" w:hAnsi="Times New Roman"/>
          <w:noProof/>
          <w:sz w:val="24"/>
        </w:rPr>
        <w:footnoteReference w:id="42"/>
      </w:r>
      <w:r>
        <w:rPr>
          <w:rFonts w:ascii="Times New Roman" w:hAnsi="Times New Roman"/>
          <w:noProof/>
          <w:sz w:val="24"/>
        </w:rPr>
        <w:t xml:space="preserve">. </w:t>
      </w:r>
    </w:p>
    <w:p>
      <w:pPr>
        <w:pStyle w:val="ListParagraph"/>
        <w:numPr>
          <w:ilvl w:val="0"/>
          <w:numId w:val="49"/>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În temeiul legislației privind </w:t>
      </w:r>
      <w:r>
        <w:rPr>
          <w:rFonts w:ascii="Times New Roman" w:hAnsi="Times New Roman"/>
          <w:b/>
          <w:noProof/>
          <w:sz w:val="24"/>
        </w:rPr>
        <w:t>produsele cosmetice</w:t>
      </w:r>
      <w:r>
        <w:rPr>
          <w:rFonts w:ascii="Times New Roman" w:hAnsi="Times New Roman"/>
          <w:noProof/>
          <w:sz w:val="24"/>
        </w:rPr>
        <w:t>, anumite restricții sau interdicții au fost stabilite pentru un număr de conservanți cu proprietăți de perturbare a sistemului endocrin, în special în scopul protejării sugarilor și a copiilor cu vârste mici</w:t>
      </w:r>
      <w:r>
        <w:rPr>
          <w:rStyle w:val="FootnoteReference"/>
          <w:rFonts w:ascii="Times New Roman" w:hAnsi="Times New Roman"/>
          <w:noProof/>
          <w:sz w:val="24"/>
        </w:rPr>
        <w:footnoteReference w:id="43"/>
      </w:r>
      <w:r>
        <w:rPr>
          <w:rFonts w:ascii="Times New Roman" w:hAnsi="Times New Roman"/>
          <w:noProof/>
          <w:sz w:val="24"/>
        </w:rPr>
        <w:t xml:space="preserve">. În plus, o substanță utilizată în produsele de protecție solară ca </w:t>
      </w:r>
      <w:r>
        <w:rPr>
          <w:rFonts w:ascii="Times New Roman" w:hAnsi="Times New Roman"/>
          <w:b/>
          <w:noProof/>
          <w:sz w:val="24"/>
        </w:rPr>
        <w:t>filtru pentru radiațiile ultraviolete</w:t>
      </w:r>
      <w:r>
        <w:rPr>
          <w:rFonts w:ascii="Times New Roman" w:hAnsi="Times New Roman"/>
          <w:noProof/>
          <w:sz w:val="24"/>
        </w:rPr>
        <w:t xml:space="preserve"> </w:t>
      </w:r>
      <w:r>
        <w:rPr>
          <w:rFonts w:ascii="Times New Roman" w:hAnsi="Times New Roman"/>
          <w:b/>
          <w:noProof/>
          <w:sz w:val="24"/>
        </w:rPr>
        <w:t>a fost, de asemenea, interzisă</w:t>
      </w:r>
      <w:r>
        <w:rPr>
          <w:rStyle w:val="FootnoteReference"/>
          <w:rFonts w:ascii="Times New Roman" w:hAnsi="Times New Roman"/>
          <w:noProof/>
          <w:sz w:val="24"/>
        </w:rPr>
        <w:footnoteReference w:id="44"/>
      </w:r>
      <w:r>
        <w:rPr>
          <w:rFonts w:ascii="Times New Roman" w:hAnsi="Times New Roman"/>
          <w:noProof/>
          <w:sz w:val="24"/>
        </w:rPr>
        <w:t xml:space="preserve">, ținând seama în special de proprietățile potențial generatoare de perturbări endocrine.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Pentru a valorifica întregul potențial al legislației UE care este relevantă pentru perturbatorii endocrini, Comisia lucrează în prezent la o serie de acțiuni în mai multe domenii. Acestea includ:</w:t>
      </w:r>
    </w:p>
    <w:p>
      <w:pPr>
        <w:pStyle w:val="ListParagraph"/>
        <w:numPr>
          <w:ilvl w:val="0"/>
          <w:numId w:val="47"/>
        </w:numPr>
        <w:spacing w:after="120" w:line="240" w:lineRule="auto"/>
        <w:ind w:left="714" w:hanging="357"/>
        <w:jc w:val="both"/>
        <w:rPr>
          <w:rFonts w:ascii="Times New Roman" w:eastAsiaTheme="majorEastAsia" w:hAnsi="Times New Roman" w:cs="Times New Roman"/>
          <w:b/>
          <w:bCs/>
          <w:noProof/>
          <w:sz w:val="24"/>
          <w:szCs w:val="24"/>
          <w:u w:val="single"/>
        </w:rPr>
      </w:pPr>
      <w:r>
        <w:rPr>
          <w:rFonts w:ascii="Times New Roman" w:hAnsi="Times New Roman"/>
          <w:noProof/>
          <w:sz w:val="24"/>
        </w:rPr>
        <w:t xml:space="preserve">elaborarea unei abordări orizontale pentru identificarea perturbatorilor endocrini în legislația UE pe baza criteriilor elaborate pentru pesticide și biocide; </w:t>
      </w:r>
    </w:p>
    <w:p>
      <w:pPr>
        <w:pStyle w:val="ListParagraph"/>
        <w:numPr>
          <w:ilvl w:val="0"/>
          <w:numId w:val="47"/>
        </w:numPr>
        <w:spacing w:after="120" w:line="240" w:lineRule="auto"/>
        <w:jc w:val="both"/>
        <w:rPr>
          <w:rFonts w:ascii="Times New Roman" w:eastAsiaTheme="majorEastAsia" w:hAnsi="Times New Roman" w:cs="Times New Roman"/>
          <w:b/>
          <w:bCs/>
          <w:noProof/>
          <w:sz w:val="24"/>
          <w:szCs w:val="24"/>
          <w:u w:val="single"/>
        </w:rPr>
      </w:pPr>
      <w:r>
        <w:rPr>
          <w:rFonts w:ascii="Times New Roman" w:hAnsi="Times New Roman"/>
          <w:noProof/>
          <w:sz w:val="24"/>
        </w:rPr>
        <w:t>actualizarea cerințelor privind datele în diferitele cadre legislative pentru a îmbunătăți identificarea perturbatorilor endocrini;</w:t>
      </w:r>
    </w:p>
    <w:p>
      <w:pPr>
        <w:pStyle w:val="ListParagraph"/>
        <w:numPr>
          <w:ilvl w:val="0"/>
          <w:numId w:val="47"/>
        </w:numPr>
        <w:spacing w:after="120" w:line="240" w:lineRule="auto"/>
        <w:jc w:val="both"/>
        <w:rPr>
          <w:rFonts w:ascii="Times New Roman" w:eastAsiaTheme="majorEastAsia" w:hAnsi="Times New Roman" w:cs="Times New Roman"/>
          <w:bCs/>
          <w:noProof/>
          <w:sz w:val="24"/>
          <w:szCs w:val="24"/>
        </w:rPr>
      </w:pPr>
      <w:r>
        <w:rPr>
          <w:rFonts w:ascii="Times New Roman" w:eastAsiaTheme="majorEastAsia" w:hAnsi="Times New Roman"/>
          <w:noProof/>
          <w:sz w:val="24"/>
        </w:rPr>
        <w:t>evaluarea modalităților de îmbunătățire a comunicării la nivelul întregului lanț de aprovizionare pentru perturbatorii endocrini în baza REACH în contextul acțiunilor privind fișele cu date de securitate</w:t>
      </w:r>
      <w:r>
        <w:rPr>
          <w:rStyle w:val="FootnoteReference"/>
          <w:rFonts w:ascii="Times New Roman" w:eastAsiaTheme="majorEastAsia" w:hAnsi="Times New Roman"/>
          <w:noProof/>
          <w:sz w:val="24"/>
        </w:rPr>
        <w:footnoteReference w:id="45"/>
      </w:r>
      <w:r>
        <w:rPr>
          <w:rFonts w:ascii="Times New Roman" w:eastAsiaTheme="majorEastAsia" w:hAnsi="Times New Roman"/>
          <w:noProof/>
          <w:sz w:val="24"/>
        </w:rPr>
        <w:t>;</w:t>
      </w:r>
    </w:p>
    <w:p>
      <w:pPr>
        <w:pStyle w:val="ListParagraph"/>
        <w:numPr>
          <w:ilvl w:val="0"/>
          <w:numId w:val="47"/>
        </w:numPr>
        <w:spacing w:after="120" w:line="240" w:lineRule="auto"/>
        <w:jc w:val="both"/>
        <w:rPr>
          <w:rFonts w:ascii="Times New Roman" w:eastAsiaTheme="majorEastAsia" w:hAnsi="Times New Roman" w:cs="Times New Roman"/>
          <w:b/>
          <w:bCs/>
          <w:noProof/>
          <w:sz w:val="24"/>
          <w:szCs w:val="24"/>
          <w:u w:val="single"/>
        </w:rPr>
      </w:pPr>
      <w:r>
        <w:rPr>
          <w:rFonts w:ascii="Times New Roman" w:hAnsi="Times New Roman"/>
          <w:noProof/>
          <w:sz w:val="24"/>
        </w:rPr>
        <w:t xml:space="preserve">realizarea de progrese în ceea ce privește evaluarea științifică a perturbatorilor endocrini în vederea luării de măsuri de reglementare suplimentare; </w:t>
      </w:r>
    </w:p>
    <w:p>
      <w:pPr>
        <w:pStyle w:val="ListParagraph"/>
        <w:numPr>
          <w:ilvl w:val="0"/>
          <w:numId w:val="47"/>
        </w:numPr>
        <w:spacing w:after="120" w:line="240" w:lineRule="auto"/>
        <w:jc w:val="both"/>
        <w:rPr>
          <w:rFonts w:ascii="Times New Roman" w:eastAsiaTheme="majorEastAsia" w:hAnsi="Times New Roman" w:cs="Times New Roman"/>
          <w:b/>
          <w:bCs/>
          <w:noProof/>
          <w:sz w:val="24"/>
          <w:szCs w:val="24"/>
          <w:u w:val="single"/>
        </w:rPr>
      </w:pPr>
      <w:r>
        <w:rPr>
          <w:rFonts w:ascii="Times New Roman" w:hAnsi="Times New Roman"/>
          <w:noProof/>
          <w:sz w:val="24"/>
        </w:rPr>
        <w:t xml:space="preserve">susținerea schimbului de date și a activităților de monitorizare; </w:t>
      </w:r>
    </w:p>
    <w:p>
      <w:pPr>
        <w:pStyle w:val="ListParagraph"/>
        <w:numPr>
          <w:ilvl w:val="0"/>
          <w:numId w:val="47"/>
        </w:numPr>
        <w:spacing w:after="120" w:line="240" w:lineRule="auto"/>
        <w:jc w:val="both"/>
        <w:rPr>
          <w:rFonts w:ascii="Times New Roman" w:eastAsiaTheme="majorEastAsia" w:hAnsi="Times New Roman" w:cs="Times New Roman"/>
          <w:b/>
          <w:bCs/>
          <w:noProof/>
          <w:sz w:val="24"/>
          <w:szCs w:val="24"/>
          <w:u w:val="single"/>
        </w:rPr>
      </w:pPr>
      <w:r>
        <w:rPr>
          <w:rFonts w:ascii="Times New Roman" w:hAnsi="Times New Roman"/>
          <w:noProof/>
          <w:sz w:val="24"/>
        </w:rPr>
        <w:t xml:space="preserve">elaborarea de documente de orientare și de rapoarte; </w:t>
      </w:r>
    </w:p>
    <w:p>
      <w:pPr>
        <w:pStyle w:val="ListParagraph"/>
        <w:numPr>
          <w:ilvl w:val="0"/>
          <w:numId w:val="47"/>
        </w:numPr>
        <w:spacing w:after="120" w:line="240" w:lineRule="auto"/>
        <w:jc w:val="both"/>
        <w:rPr>
          <w:rFonts w:ascii="Times New Roman" w:eastAsiaTheme="majorEastAsia" w:hAnsi="Times New Roman" w:cs="Times New Roman"/>
          <w:b/>
          <w:bCs/>
          <w:noProof/>
          <w:sz w:val="24"/>
          <w:szCs w:val="24"/>
          <w:u w:val="single"/>
        </w:rPr>
      </w:pPr>
      <w:r>
        <w:rPr>
          <w:rFonts w:ascii="Times New Roman" w:hAnsi="Times New Roman"/>
          <w:noProof/>
          <w:sz w:val="24"/>
        </w:rPr>
        <w:t xml:space="preserve">și organizarea de formări profesionale pentru evaluatorii și gestionarii riscurilor. </w:t>
      </w:r>
    </w:p>
    <w:p>
      <w:pPr>
        <w:spacing w:before="120" w:after="120" w:line="240" w:lineRule="auto"/>
        <w:jc w:val="both"/>
        <w:rPr>
          <w:rFonts w:ascii="Times New Roman" w:eastAsia="Times New Roman" w:hAnsi="Times New Roman" w:cs="Times New Roman"/>
          <w:iCs/>
          <w:noProof/>
          <w:sz w:val="24"/>
          <w:szCs w:val="24"/>
        </w:rPr>
      </w:pPr>
      <w:r>
        <w:rPr>
          <w:rFonts w:ascii="Times New Roman" w:hAnsi="Times New Roman"/>
          <w:noProof/>
          <w:sz w:val="24"/>
        </w:rPr>
        <w:t xml:space="preserve">În plus, o serie de inițiative în curs de derulare ale Comisiei care sunt examinate în prezent de către Parlamentul European și Consiliu sau în curs de a fi puse în aplicare, vor oferi instrumente suplimentare care să vizeze perturbatorii endocrini de îndată ce vor fi pe deplin funcționale. Acestea includ: </w:t>
      </w:r>
    </w:p>
    <w:p>
      <w:pPr>
        <w:pStyle w:val="ListParagraph"/>
        <w:numPr>
          <w:ilvl w:val="0"/>
          <w:numId w:val="46"/>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propunerea de Regulament privind </w:t>
      </w:r>
      <w:r>
        <w:rPr>
          <w:rFonts w:ascii="Times New Roman" w:hAnsi="Times New Roman"/>
          <w:b/>
          <w:noProof/>
          <w:sz w:val="24"/>
        </w:rPr>
        <w:t>transparența și sustenabilitatea evaluării riscurilor</w:t>
      </w:r>
      <w:r>
        <w:rPr>
          <w:rFonts w:ascii="Times New Roman" w:hAnsi="Times New Roman"/>
          <w:noProof/>
          <w:sz w:val="24"/>
        </w:rPr>
        <w:t xml:space="preserve"> în cadrul legislației UE în domeniul alimentar</w:t>
      </w:r>
      <w:r>
        <w:rPr>
          <w:rStyle w:val="FootnoteReference"/>
          <w:rFonts w:ascii="Times New Roman" w:hAnsi="Times New Roman"/>
          <w:noProof/>
          <w:sz w:val="24"/>
        </w:rPr>
        <w:footnoteReference w:id="46"/>
      </w:r>
      <w:r>
        <w:rPr>
          <w:rFonts w:ascii="Times New Roman" w:hAnsi="Times New Roman"/>
          <w:noProof/>
          <w:sz w:val="24"/>
        </w:rPr>
        <w:t xml:space="preserve">, care are ca obiectiv creșterea încrederii în procesul de reglementare, inclusiv pentru evaluarea substanțelor susceptibile a fi perturbatori endocrini; </w:t>
      </w:r>
    </w:p>
    <w:p>
      <w:pPr>
        <w:pStyle w:val="ListParagraph"/>
        <w:numPr>
          <w:ilvl w:val="0"/>
          <w:numId w:val="46"/>
        </w:numPr>
        <w:spacing w:before="120" w:after="120" w:line="240" w:lineRule="auto"/>
        <w:jc w:val="both"/>
        <w:rPr>
          <w:rFonts w:ascii="Times New Roman" w:hAnsi="Times New Roman" w:cs="Times New Roman"/>
          <w:noProof/>
          <w:sz w:val="24"/>
          <w:szCs w:val="24"/>
        </w:rPr>
      </w:pPr>
      <w:r>
        <w:rPr>
          <w:rFonts w:ascii="Times New Roman" w:hAnsi="Times New Roman"/>
          <w:b/>
          <w:noProof/>
          <w:sz w:val="24"/>
        </w:rPr>
        <w:t>Strategia europeană privind materialele plastice</w:t>
      </w:r>
      <w:r>
        <w:rPr>
          <w:rStyle w:val="FootnoteReference"/>
          <w:rFonts w:ascii="Times New Roman" w:hAnsi="Times New Roman"/>
          <w:noProof/>
          <w:sz w:val="24"/>
        </w:rPr>
        <w:footnoteReference w:id="47"/>
      </w:r>
      <w:r>
        <w:rPr>
          <w:rFonts w:ascii="Times New Roman" w:hAnsi="Times New Roman"/>
          <w:noProof/>
          <w:sz w:val="24"/>
        </w:rPr>
        <w:t>, al cărui obiectiv este de a accelera înlocuirea substanțelor care prezintă motive de îngrijorare, inclusiv a perturbatorilor endocrini, pentru a promova reciclarea;</w:t>
      </w:r>
    </w:p>
    <w:p>
      <w:pPr>
        <w:pStyle w:val="ListParagraph"/>
        <w:numPr>
          <w:ilvl w:val="0"/>
          <w:numId w:val="46"/>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propunerea de revizuire a </w:t>
      </w:r>
      <w:r>
        <w:rPr>
          <w:rFonts w:ascii="Times New Roman" w:hAnsi="Times New Roman"/>
          <w:b/>
          <w:noProof/>
          <w:sz w:val="24"/>
        </w:rPr>
        <w:t>Directivei privind apa potabilă</w:t>
      </w:r>
      <w:r>
        <w:rPr>
          <w:rStyle w:val="FootnoteReference"/>
          <w:rFonts w:ascii="Times New Roman" w:hAnsi="Times New Roman"/>
          <w:noProof/>
          <w:sz w:val="24"/>
        </w:rPr>
        <w:footnoteReference w:id="48"/>
      </w:r>
      <w:r>
        <w:rPr>
          <w:rFonts w:ascii="Times New Roman" w:hAnsi="Times New Roman"/>
          <w:noProof/>
          <w:sz w:val="24"/>
        </w:rPr>
        <w:t>, care adaugă trei perturbatori endocrini</w:t>
      </w:r>
      <w:r>
        <w:rPr>
          <w:rStyle w:val="FootnoteReference"/>
          <w:rFonts w:ascii="Times New Roman" w:hAnsi="Times New Roman"/>
          <w:noProof/>
          <w:sz w:val="24"/>
        </w:rPr>
        <w:footnoteReference w:id="49"/>
      </w:r>
      <w:r>
        <w:rPr>
          <w:rFonts w:ascii="Times New Roman" w:hAnsi="Times New Roman"/>
          <w:noProof/>
          <w:sz w:val="24"/>
        </w:rPr>
        <w:t xml:space="preserve"> la lista de parametri pentru a stabili siguranța apei potabile;</w:t>
      </w:r>
    </w:p>
    <w:p>
      <w:pPr>
        <w:pStyle w:val="ListParagraph"/>
        <w:numPr>
          <w:ilvl w:val="0"/>
          <w:numId w:val="46"/>
        </w:numPr>
        <w:spacing w:before="120" w:after="120" w:line="240" w:lineRule="auto"/>
        <w:jc w:val="both"/>
        <w:rPr>
          <w:rFonts w:ascii="Times New Roman" w:hAnsi="Times New Roman" w:cs="Times New Roman"/>
          <w:noProof/>
          <w:sz w:val="24"/>
          <w:szCs w:val="24"/>
        </w:rPr>
      </w:pPr>
      <w:r>
        <w:rPr>
          <w:rFonts w:ascii="Times New Roman" w:hAnsi="Times New Roman"/>
          <w:b/>
          <w:noProof/>
          <w:sz w:val="24"/>
        </w:rPr>
        <w:t>Noile avantaje pentru consumatori</w:t>
      </w:r>
      <w:r>
        <w:rPr>
          <w:rStyle w:val="FootnoteReference"/>
          <w:rFonts w:ascii="Times New Roman" w:hAnsi="Times New Roman"/>
          <w:b/>
          <w:noProof/>
          <w:sz w:val="24"/>
        </w:rPr>
        <w:footnoteReference w:id="50"/>
      </w:r>
      <w:r>
        <w:rPr>
          <w:rFonts w:ascii="Times New Roman" w:hAnsi="Times New Roman"/>
          <w:noProof/>
          <w:sz w:val="24"/>
        </w:rPr>
        <w:t xml:space="preserve"> și </w:t>
      </w:r>
      <w:r>
        <w:rPr>
          <w:rFonts w:ascii="Times New Roman" w:hAnsi="Times New Roman"/>
          <w:b/>
          <w:noProof/>
          <w:sz w:val="24"/>
        </w:rPr>
        <w:t>pachetul privind mărfurile</w:t>
      </w:r>
      <w:r>
        <w:rPr>
          <w:rStyle w:val="FootnoteReference"/>
          <w:rFonts w:ascii="Times New Roman" w:hAnsi="Times New Roman"/>
          <w:noProof/>
          <w:sz w:val="24"/>
        </w:rPr>
        <w:footnoteReference w:id="51"/>
      </w:r>
      <w:r>
        <w:rPr>
          <w:rFonts w:ascii="Times New Roman" w:hAnsi="Times New Roman"/>
          <w:noProof/>
          <w:sz w:val="24"/>
        </w:rPr>
        <w:t>, care vor îmbunătăți asigurarea respectării cerințelor privind siguranța produselor și vor aborda problema prezenței ilegale a perturbatorilor endocrini într-o gamă largă de produse</w:t>
      </w:r>
      <w:r>
        <w:rPr>
          <w:rStyle w:val="FootnoteReference"/>
          <w:rFonts w:ascii="Times New Roman" w:hAnsi="Times New Roman"/>
          <w:noProof/>
          <w:sz w:val="24"/>
        </w:rPr>
        <w:footnoteReference w:id="52"/>
      </w:r>
      <w:r>
        <w:rPr>
          <w:rFonts w:ascii="Times New Roman" w:hAnsi="Times New Roman"/>
          <w:noProof/>
          <w:sz w:val="24"/>
        </w:rPr>
        <w:t xml:space="preserve">; </w:t>
      </w:r>
    </w:p>
    <w:p>
      <w:pPr>
        <w:pStyle w:val="ListParagraph"/>
        <w:numPr>
          <w:ilvl w:val="0"/>
          <w:numId w:val="46"/>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și actualizarea cadrului juridic existent privind </w:t>
      </w:r>
      <w:r>
        <w:rPr>
          <w:rFonts w:ascii="Times New Roman" w:hAnsi="Times New Roman"/>
          <w:b/>
          <w:noProof/>
          <w:sz w:val="24"/>
        </w:rPr>
        <w:t>securitatea și sănătatea în muncă</w:t>
      </w:r>
      <w:r>
        <w:rPr>
          <w:rFonts w:ascii="Times New Roman" w:hAnsi="Times New Roman"/>
          <w:noProof/>
          <w:sz w:val="24"/>
        </w:rPr>
        <w:t>, pe baza unor recomandări științifice solide de protecție a lucrătorilor expuși la substanțe chimice periculoase, dintre care unele au proprietăți perturbatoare endocrine.</w:t>
      </w:r>
    </w:p>
    <w:p>
      <w:pPr>
        <w:keepNext/>
        <w:autoSpaceDE w:val="0"/>
        <w:autoSpaceDN w:val="0"/>
        <w:adjustRightInd w:val="0"/>
        <w:spacing w:after="120" w:line="240" w:lineRule="auto"/>
        <w:jc w:val="both"/>
        <w:rPr>
          <w:rFonts w:ascii="Times New Roman" w:eastAsiaTheme="majorEastAsia" w:hAnsi="Times New Roman" w:cs="Times New Roman"/>
          <w:b/>
          <w:bCs/>
          <w:noProof/>
          <w:sz w:val="24"/>
          <w:szCs w:val="24"/>
          <w:u w:val="single"/>
        </w:rPr>
      </w:pPr>
      <w:r>
        <w:rPr>
          <w:rFonts w:ascii="Times New Roman" w:eastAsiaTheme="majorEastAsia" w:hAnsi="Times New Roman"/>
          <w:b/>
          <w:noProof/>
          <w:sz w:val="24"/>
          <w:u w:val="single"/>
        </w:rPr>
        <w:t>Cooperarea internațională vizând perturbatorii endocrini</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Comisia și statele membre participă în mod activ la lucrările Organizației pentru Cooperare și Dezvoltare Economică, contribuind astfel la eforturile în curs ale organizației de elaborare a unor orientări privind testarea convenite la nivel internațional vizând perturbatorii endocrini și de îmbunătățire a coordonării la nivel internațional.</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Comisia și statele membre sprijină activitatea Organizației Mondiale a Sănătății</w:t>
      </w:r>
      <w:r>
        <w:rPr>
          <w:rStyle w:val="FootnoteReference"/>
          <w:rFonts w:ascii="Times New Roman" w:hAnsi="Times New Roman"/>
          <w:noProof/>
          <w:sz w:val="24"/>
        </w:rPr>
        <w:footnoteReference w:id="53"/>
      </w:r>
      <w:r>
        <w:rPr>
          <w:rFonts w:ascii="Times New Roman" w:hAnsi="Times New Roman"/>
          <w:noProof/>
          <w:sz w:val="24"/>
        </w:rPr>
        <w:t>, Abordarea strategică a gestionării internaționale a substanțelor chimice și Programul Organizației Națiunilor Unite pentru Mediu. Comisia și statele membre cooperează și fac schimb de informații cu partenerii internaționali și în cadrul Organizației Mondiale a Comerțului în ceea ce privește evoluțiile reglementărilor UE care ar putea afecta comerțul</w:t>
      </w:r>
      <w:r>
        <w:rPr>
          <w:rStyle w:val="FootnoteReference"/>
          <w:rFonts w:ascii="Times New Roman" w:hAnsi="Times New Roman"/>
          <w:noProof/>
          <w:sz w:val="24"/>
        </w:rPr>
        <w:footnoteReference w:id="54"/>
      </w:r>
      <w:r>
        <w:rPr>
          <w:rFonts w:ascii="Times New Roman" w:hAnsi="Times New Roman"/>
          <w:noProof/>
          <w:sz w:val="24"/>
        </w:rPr>
        <w:t>. În plus, pe o bază bilaterală, au avut loc schimburi de informații cu parteneri internaționali, în special cu Statele Unite, Canada, Japonia și, recent, în China. Deși au abordări diferite cu privire la modul de abordare a perturbatorilor endocrini, toți partenerii sunt de acord cu privire la importanța de a aborda această chestiune în mod prioritar</w:t>
      </w:r>
      <w:r>
        <w:rPr>
          <w:rStyle w:val="FootnoteReference"/>
          <w:rFonts w:ascii="Times New Roman" w:hAnsi="Times New Roman"/>
          <w:noProof/>
          <w:sz w:val="24"/>
        </w:rPr>
        <w:footnoteReference w:id="55"/>
      </w:r>
      <w:r>
        <w:rPr>
          <w:rFonts w:ascii="Times New Roman" w:hAnsi="Times New Roman"/>
          <w:noProof/>
          <w:sz w:val="24"/>
        </w:rPr>
        <w:t xml:space="preserve">. Acordurile de cooperare bilaterală cu parteneri comerciali au inclus, de asemenea, organizarea unor discuții cu privire la chestiuni legate de perturbatorii endocrini. </w:t>
      </w:r>
    </w:p>
    <w:p>
      <w:pPr>
        <w:pStyle w:val="Heading1"/>
        <w:spacing w:before="360" w:after="120" w:line="240" w:lineRule="auto"/>
        <w:rPr>
          <w:rFonts w:cs="Times New Roman"/>
          <w:caps/>
          <w:noProof/>
          <w:sz w:val="24"/>
          <w:szCs w:val="24"/>
        </w:rPr>
      </w:pPr>
      <w:r>
        <w:rPr>
          <w:caps/>
          <w:noProof/>
          <w:sz w:val="24"/>
        </w:rPr>
        <w:t>3. Continuarea politicii UE în materie de perturbatori endocrini</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Comisia a fost întotdeauna și va rămâne angajată să asigure un nivel înalt de protecție a cetățenilor UE și a mediului în relație cu perturbatorii endocrini și, în același timp, să mențină o piață internă în folosul consumatorilor și în cadrul căreia toate întreprinderile din UE să poată prospera.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Punerea în aplicare a strategiei comunitare din 1999 a plasat UE într-o poziție fruntașă în înțelegerea și reglementarea acestor substanțe chimice periculoase. Dar, în vederea înregistrării de progrese suplimentare și pentru a menține nivelul înalt de protecție preconizat, este important să se asigure faptul că perturbatorii endocrini din diverse domenii continuă să fie abordați în mod coerent în cadrul UE.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Abordarea strategică a UE privind perturbatorii endocrini pentru anii următori ar trebui să se bazeze pe principiul precauției și să urmărească:</w:t>
      </w:r>
    </w:p>
    <w:p>
      <w:pPr>
        <w:pStyle w:val="ListParagraph"/>
        <w:numPr>
          <w:ilvl w:val="0"/>
          <w:numId w:val="39"/>
        </w:numPr>
        <w:spacing w:before="120" w:after="120" w:line="240" w:lineRule="auto"/>
        <w:jc w:val="both"/>
        <w:rPr>
          <w:rFonts w:ascii="Times New Roman" w:hAnsi="Times New Roman" w:cs="Times New Roman"/>
          <w:noProof/>
          <w:sz w:val="24"/>
          <w:szCs w:val="24"/>
        </w:rPr>
      </w:pPr>
      <w:r>
        <w:rPr>
          <w:rFonts w:ascii="Times New Roman" w:hAnsi="Times New Roman"/>
          <w:b/>
          <w:noProof/>
          <w:sz w:val="24"/>
        </w:rPr>
        <w:t>reducerea la minimum a expunerii globale</w:t>
      </w:r>
      <w:r>
        <w:rPr>
          <w:noProof/>
        </w:rPr>
        <w:t xml:space="preserve"> </w:t>
      </w:r>
      <w:r>
        <w:rPr>
          <w:rFonts w:ascii="Times New Roman" w:hAnsi="Times New Roman"/>
          <w:noProof/>
          <w:sz w:val="24"/>
        </w:rPr>
        <w:t>a oamenilor și a mediului la perturbatori endocrini, acordând o atenție deosebită expunerilor în perioade importante de dezvoltare a unui organism, cum ar fi dezvoltarea fetală și pubertatea;</w:t>
      </w:r>
    </w:p>
    <w:p>
      <w:pPr>
        <w:pStyle w:val="ListParagraph"/>
        <w:numPr>
          <w:ilvl w:val="0"/>
          <w:numId w:val="39"/>
        </w:numPr>
        <w:spacing w:before="120" w:after="120" w:line="240" w:lineRule="auto"/>
        <w:jc w:val="both"/>
        <w:rPr>
          <w:rFonts w:ascii="Times New Roman" w:hAnsi="Times New Roman" w:cs="Times New Roman"/>
          <w:noProof/>
          <w:sz w:val="24"/>
          <w:szCs w:val="24"/>
        </w:rPr>
      </w:pPr>
      <w:r>
        <w:rPr>
          <w:rFonts w:ascii="Times New Roman" w:hAnsi="Times New Roman"/>
          <w:b/>
          <w:noProof/>
          <w:sz w:val="24"/>
        </w:rPr>
        <w:t>accelerarea dezvoltării unei baze de cercetare minuțioase</w:t>
      </w:r>
      <w:r>
        <w:rPr>
          <w:noProof/>
        </w:rPr>
        <w:t xml:space="preserve"> </w:t>
      </w:r>
      <w:r>
        <w:rPr>
          <w:rFonts w:ascii="Times New Roman" w:hAnsi="Times New Roman"/>
          <w:noProof/>
          <w:sz w:val="24"/>
        </w:rPr>
        <w:t>în vederea luării unor decizii eficiente și orientate spre viitor</w:t>
      </w:r>
    </w:p>
    <w:p>
      <w:pPr>
        <w:pStyle w:val="ListParagraph"/>
        <w:numPr>
          <w:ilvl w:val="0"/>
          <w:numId w:val="39"/>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și </w:t>
      </w:r>
      <w:r>
        <w:rPr>
          <w:rFonts w:ascii="Times New Roman" w:hAnsi="Times New Roman"/>
          <w:b/>
          <w:noProof/>
          <w:sz w:val="24"/>
        </w:rPr>
        <w:t>promovarea unui dialog activ</w:t>
      </w:r>
      <w:r>
        <w:rPr>
          <w:rFonts w:ascii="Times New Roman" w:hAnsi="Times New Roman"/>
          <w:noProof/>
          <w:sz w:val="24"/>
        </w:rPr>
        <w:t xml:space="preserve"> care să permită tuturor părților interesate să fie ascultate și să conlucreze.</w:t>
      </w:r>
    </w:p>
    <w:p>
      <w:pPr>
        <w:pStyle w:val="Heading2"/>
        <w:spacing w:before="0" w:after="120" w:line="240" w:lineRule="auto"/>
        <w:rPr>
          <w:rFonts w:cs="Times New Roman"/>
          <w:noProof/>
          <w:szCs w:val="24"/>
        </w:rPr>
      </w:pPr>
      <w:r>
        <w:rPr>
          <w:noProof/>
        </w:rPr>
        <w:t>O abordare care este coerentă în materie de reglementare a perturbatorilor endocrini</w:t>
      </w:r>
    </w:p>
    <w:p>
      <w:pPr>
        <w:pStyle w:val="NormalWeb"/>
        <w:spacing w:before="0" w:beforeAutospacing="0" w:after="120" w:afterAutospacing="0"/>
        <w:jc w:val="both"/>
        <w:rPr>
          <w:noProof/>
        </w:rPr>
      </w:pPr>
      <w:r>
        <w:rPr>
          <w:noProof/>
        </w:rPr>
        <w:t>Măsurile legislative care constituie cadrul juridic al UE prin care se reglementează substanțele chimice au fost elaborate la momente diferite în timp și, în anumite cazuri, au obiective diferite. Acest fapt a dus la abordări diferite în ceea ce privește perturbatorii endocrini, în funcție de sectoarele reglementate, și a ridicat întrebări cu privire la suficiența coerenței cadrului juridic al UE care reglementează perturbatorii endocrini. În special două puncte necesită o atenție specială:</w:t>
      </w:r>
    </w:p>
    <w:p>
      <w:pPr>
        <w:pStyle w:val="NormalWeb"/>
        <w:spacing w:before="120" w:beforeAutospacing="0" w:after="120" w:afterAutospacing="0"/>
        <w:jc w:val="both"/>
        <w:rPr>
          <w:noProof/>
        </w:rPr>
      </w:pPr>
      <w:r>
        <w:rPr>
          <w:b/>
          <w:noProof/>
        </w:rPr>
        <w:t>Abordarea orizontală pentru identificarea perturbatorilor endocrini</w:t>
      </w:r>
      <w:r>
        <w:rPr>
          <w:noProof/>
        </w:rPr>
        <w:t>:</w:t>
      </w:r>
      <w:r>
        <w:rPr>
          <w:b/>
          <w:noProof/>
        </w:rPr>
        <w:t xml:space="preserve"> </w:t>
      </w:r>
      <w:r>
        <w:rPr>
          <w:noProof/>
        </w:rPr>
        <w:t xml:space="preserve">Comisia consideră că ar trebui să existe o abordare coerentă pentru identificarea perturbatorilor endocrini în toate actele legislative relevante ale Uniunii, pe baza definiției general acceptate a Organizației Mondiale a Sănătății. </w:t>
      </w:r>
    </w:p>
    <w:p>
      <w:pPr>
        <w:pStyle w:val="NormalWeb"/>
        <w:spacing w:before="120" w:beforeAutospacing="0" w:after="120" w:afterAutospacing="0"/>
        <w:jc w:val="both"/>
        <w:rPr>
          <w:noProof/>
        </w:rPr>
      </w:pPr>
      <w:r>
        <w:rPr>
          <w:noProof/>
        </w:rPr>
        <w:t>Recent stabilitele criterii pentru pesticide și biocide constituie un prim pas în acea direcție, dar legislația UE în alte domenii nu conține astfel de criterii.</w:t>
      </w:r>
    </w:p>
    <w:p>
      <w:pPr>
        <w:pStyle w:val="NormalWeb"/>
        <w:spacing w:before="120" w:beforeAutospacing="0" w:after="120" w:afterAutospacing="0"/>
        <w:jc w:val="both"/>
        <w:rPr>
          <w:noProof/>
        </w:rPr>
      </w:pPr>
    </w:p>
    <w:p>
      <w:pPr>
        <w:pStyle w:val="NormalWeb"/>
        <w:spacing w:before="120" w:beforeAutospacing="0" w:after="120" w:afterAutospacing="0"/>
        <w:jc w:val="both"/>
        <w:rPr>
          <w:noProof/>
        </w:rPr>
      </w:pPr>
      <w:r>
        <w:rPr>
          <w:noProof/>
        </w:rPr>
        <w:t xml:space="preserve">S-a afirmat că ar trebui să fie prevăzute în legislație criterii orizontale de identificare a perturbatorilor endocrini, din motive de securitate juridică și pentru a evita riscul potențial ca o substanță să fie identificată ca perturbator endocrin într-un act legislativ, dar nu într-un alt act. Această chestiune ar trebui examinată suplimentar. </w:t>
      </w:r>
    </w:p>
    <w:p>
      <w:pPr>
        <w:pStyle w:val="NormalWeb"/>
        <w:spacing w:before="120" w:beforeAutospacing="0" w:after="120" w:afterAutospacing="0"/>
        <w:jc w:val="both"/>
        <w:rPr>
          <w:noProof/>
        </w:rPr>
      </w:pPr>
      <w:r>
        <w:rPr>
          <w:b/>
          <w:noProof/>
        </w:rPr>
        <w:t xml:space="preserve">Consecințele în materie de reglementare pentru perturbatorii endocrini: </w:t>
      </w:r>
      <w:r>
        <w:rPr>
          <w:noProof/>
        </w:rPr>
        <w:t xml:space="preserve">există diferite abordări în materie de reglementare în diverse acte legislative pentru substanțele identificate drept perturbatori endocrini. </w:t>
      </w:r>
    </w:p>
    <w:p>
      <w:pPr>
        <w:pStyle w:val="NormalWeb"/>
        <w:spacing w:before="120" w:beforeAutospacing="0" w:after="120" w:afterAutospacing="0"/>
        <w:jc w:val="both"/>
        <w:rPr>
          <w:noProof/>
        </w:rPr>
      </w:pPr>
      <w:r>
        <w:rPr>
          <w:noProof/>
        </w:rPr>
        <w:t>Pentru pesticide și biocide, colegiuitorii au adoptat dispoziții specifice „</w:t>
      </w:r>
      <w:r>
        <w:rPr>
          <w:i/>
          <w:noProof/>
        </w:rPr>
        <w:t>bazate pe principiul precauției</w:t>
      </w:r>
      <w:r>
        <w:rPr>
          <w:noProof/>
        </w:rPr>
        <w:t>”</w:t>
      </w:r>
      <w:r>
        <w:rPr>
          <w:rStyle w:val="FootnoteReference"/>
          <w:noProof/>
        </w:rPr>
        <w:footnoteReference w:id="56"/>
      </w:r>
      <w:r>
        <w:rPr>
          <w:noProof/>
        </w:rPr>
        <w:t xml:space="preserve"> și pe o serie de considerații. Luând în considerare, de exemplu, caracterul specific al produselor în cauză, faptul că perturbatorii endocrini sunt substanțe deosebit de preocupante și că persistă incertitudini științifice în ceea ce privește evaluarea lor (de exemplu, în ceea ce privește existența unei limite sigure de expunere), ei au decis că, odată ce s-a dovedit că o substanță este un perturbator endocrin, utilizarea acestei substanțe nu poate fi autorizată, în principiu. Există foarte puține posibilități de derogare. </w:t>
      </w:r>
    </w:p>
    <w:p>
      <w:pPr>
        <w:pStyle w:val="NormalWeb"/>
        <w:spacing w:before="120" w:beforeAutospacing="0" w:after="120" w:afterAutospacing="0"/>
        <w:jc w:val="both"/>
        <w:rPr>
          <w:noProof/>
        </w:rPr>
      </w:pPr>
      <w:r>
        <w:rPr>
          <w:noProof/>
        </w:rPr>
        <w:t>În temeiul REACH, perturbatorii endocrini sunt menționați în mod specific drept substanțe care pot fi identificate ca prezentând motive de îngrijorare deosebită și, în cazul în care li se acordă prioritate, sunt supuse cerințelor de autorizare. Restricții se pot aplica și în cazul perturbatorilor endocrini.</w:t>
      </w:r>
    </w:p>
    <w:p>
      <w:pPr>
        <w:pStyle w:val="NormalWeb"/>
        <w:spacing w:before="120" w:beforeAutospacing="0" w:after="120" w:afterAutospacing="0"/>
        <w:jc w:val="both"/>
        <w:rPr>
          <w:noProof/>
        </w:rPr>
      </w:pPr>
      <w:r>
        <w:rPr>
          <w:noProof/>
        </w:rPr>
        <w:t>Alte instrumente legislative, ca de exemplu Regulamentul privind produsele cosmetice, deși nu menționează în mod specific perturbatorii endocrini, le consideră ca fiind alte substanțe care pot afecta sănătatea umană.</w:t>
      </w:r>
    </w:p>
    <w:p>
      <w:pPr>
        <w:pStyle w:val="NormalWeb"/>
        <w:spacing w:before="120" w:beforeAutospacing="0" w:after="120" w:afterAutospacing="0"/>
        <w:jc w:val="both"/>
        <w:rPr>
          <w:b/>
          <w:noProof/>
        </w:rPr>
      </w:pPr>
      <w:r>
        <w:rPr>
          <w:noProof/>
        </w:rPr>
        <w:t>Unele părți interesate au susținut că, în unele domenii, legislația UE nu prevede metode de reglementare corespunzătoare pentru a aborda perturbatorii endocrini în mod eficient. Acest subiect merită o examinare mai atentă.</w:t>
      </w:r>
    </w:p>
    <w:p>
      <w:pPr>
        <w:pStyle w:val="NormalWeb"/>
        <w:spacing w:before="0" w:beforeAutospacing="0" w:after="120" w:afterAutospacing="0"/>
        <w:jc w:val="both"/>
        <w:rPr>
          <w:noProof/>
        </w:rPr>
      </w:pPr>
      <w:r>
        <w:rPr>
          <w:noProof/>
        </w:rPr>
        <w:t>În conformitate cu Agenda Comisiei pentru o mai bună reglementare și cu angajamentul de a se asigura faptul că legislația UE rămâne adecvată scopului, au fost efectuate sau sunt în curs de desfășurare diverse evaluări care sunt relevante, în grade diferite, pentru tematica perturbatorilor endocrini</w:t>
      </w:r>
      <w:r>
        <w:rPr>
          <w:rStyle w:val="FootnoteReference"/>
          <w:noProof/>
        </w:rPr>
        <w:footnoteReference w:id="57"/>
      </w:r>
      <w:r>
        <w:rPr>
          <w:noProof/>
        </w:rPr>
        <w:t xml:space="preserve">. Cu toate acestea, nicio evaluare nu a acoperit până în prezent toate diversele aspectele orizontale și verticale în materie de perturbatori endocrini. </w:t>
      </w:r>
    </w:p>
    <w:p>
      <w:pPr>
        <w:pStyle w:val="NormalWeb"/>
        <w:keepLines/>
        <w:pBdr>
          <w:top w:val="single" w:sz="4" w:space="1" w:color="auto"/>
          <w:left w:val="single" w:sz="4" w:space="4" w:color="auto"/>
          <w:bottom w:val="single" w:sz="4" w:space="1" w:color="auto"/>
          <w:right w:val="single" w:sz="4" w:space="4" w:color="auto"/>
        </w:pBdr>
        <w:spacing w:before="120" w:beforeAutospacing="0" w:after="120" w:afterAutospacing="0"/>
        <w:jc w:val="both"/>
        <w:rPr>
          <w:b/>
          <w:noProof/>
        </w:rPr>
      </w:pPr>
      <w:r>
        <w:rPr>
          <w:noProof/>
        </w:rPr>
        <w:sym w:font="Wingdings" w:char="F0E8"/>
      </w:r>
      <w:r>
        <w:rPr>
          <w:noProof/>
        </w:rPr>
        <w:t xml:space="preserve"> Comisia va </w:t>
      </w:r>
      <w:r>
        <w:rPr>
          <w:b/>
          <w:noProof/>
        </w:rPr>
        <w:t>lansa o verificare a adecvării</w:t>
      </w:r>
      <w:r>
        <w:rPr>
          <w:noProof/>
        </w:rPr>
        <w:t xml:space="preserve"> pentru a evalua dacă legislația UE relevantă privind perturbatorii endocrini își îndeplinește obiectivul general de protejare a sănătății umane și a mediului prin reducerea la minimum a expunerii la aceste substanțe.</w:t>
      </w:r>
      <w:r>
        <w:rPr>
          <w:b/>
          <w:noProof/>
        </w:rPr>
        <w:t xml:space="preserve"> </w:t>
      </w:r>
    </w:p>
    <w:p>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noProof/>
        </w:rPr>
      </w:pPr>
      <w:r>
        <w:rPr>
          <w:noProof/>
        </w:rPr>
        <w:t xml:space="preserve">Verificarea adecvării va </w:t>
      </w:r>
      <w:r>
        <w:rPr>
          <w:b/>
          <w:noProof/>
        </w:rPr>
        <w:t>examina pentru prima dată în amănunt perturbatorii endocrini</w:t>
      </w:r>
      <w:r>
        <w:rPr>
          <w:noProof/>
        </w:rPr>
        <w:t xml:space="preserve">, pe baza dovezilor științifice și a cantității semnificative de date deja colectate și analizate în contextul evaluărilor finalizate și a celor în curs de desfășurare. Ea va permite o analiză a modului în care interacționează diferitele dispoziții/abordări vizând perturbatorii endocrini, va identifica eventualele lacune, inconsecvențe sau sinergii și va evalua impactul lor colectiv în ceea ce privește costurile și beneficiile pentru sănătatea umană și mediu, competitivitatea fermierilor din UE și industria și comerțul internațional. Ea va acorda o atenție specială domeniilor în care legislația nu conține dispoziții specifice vizând perturbatorii endocrini, cum ar fi jucăriile, produsele cosmetice și materialele care intră în contact cu alimentele. </w:t>
      </w:r>
    </w:p>
    <w:p>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b/>
          <w:noProof/>
        </w:rPr>
      </w:pPr>
      <w:r>
        <w:rPr>
          <w:noProof/>
        </w:rPr>
        <w:t xml:space="preserve">Se va acorda o </w:t>
      </w:r>
      <w:r>
        <w:rPr>
          <w:b/>
          <w:noProof/>
        </w:rPr>
        <w:t>atenție specială coerenței și intensității acțiunilor</w:t>
      </w:r>
      <w:r>
        <w:rPr>
          <w:noProof/>
        </w:rPr>
        <w:t xml:space="preserve"> pentru a proteja grupurile vulnerabile ale populației care sunt deosebit de sensibile la perturbatorii endocrini, cum ar fi fetușii sau adolescenți. Verificarea adecvării va permite o consultare cuprinzătoare a cetățenilor UE și a părților interesate din UE, inclusiv prin intermediul unei consultări publice. În general, ea va contribui la evaluarea adecvării legislației la scopul propus în conformitate cu cerințele privind o mai bună legiferare și va pune la dispoziții informații pentru a stabili dacă sunt necesare modificări legislative.</w:t>
      </w:r>
    </w:p>
    <w:p>
      <w:pPr>
        <w:pStyle w:val="Heading2"/>
        <w:keepLines w:val="0"/>
        <w:spacing w:before="240" w:after="120" w:line="240" w:lineRule="auto"/>
        <w:rPr>
          <w:rFonts w:cs="Times New Roman"/>
          <w:b w:val="0"/>
          <w:noProof/>
          <w:szCs w:val="24"/>
        </w:rPr>
      </w:pPr>
      <w:r>
        <w:rPr>
          <w:noProof/>
        </w:rPr>
        <w:t>O abordare bazată pe cele mai recente dovezi științifice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Procesul decizional al UE se bazează pe dovezi. Sprijinirea continuă a cercetării este, prin urmare, esențială dacă UE dorește să aprofundeze și mai mult înțelegerea perturbatorilor endocrini și constituie o bază solidă pentru elaborarea de politici eficace. </w:t>
      </w:r>
    </w:p>
    <w:p>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sym w:font="Wingdings" w:char="F0E8"/>
      </w:r>
      <w:r>
        <w:rPr>
          <w:rFonts w:ascii="Times New Roman" w:hAnsi="Times New Roman"/>
          <w:noProof/>
          <w:sz w:val="24"/>
        </w:rPr>
        <w:t>În viitorul ei program-cadru pentru cercetare și inovare, Orizont Europa</w:t>
      </w:r>
      <w:r>
        <w:rPr>
          <w:rStyle w:val="FootnoteReference"/>
          <w:rFonts w:ascii="Times New Roman" w:hAnsi="Times New Roman"/>
          <w:noProof/>
          <w:sz w:val="24"/>
        </w:rPr>
        <w:footnoteReference w:id="58"/>
      </w:r>
      <w:r>
        <w:rPr>
          <w:rFonts w:ascii="Times New Roman" w:hAnsi="Times New Roman"/>
          <w:noProof/>
          <w:sz w:val="24"/>
        </w:rPr>
        <w:t xml:space="preserve">, Comisia va continua să asigure </w:t>
      </w:r>
      <w:r>
        <w:rPr>
          <w:rFonts w:ascii="Times New Roman" w:hAnsi="Times New Roman"/>
          <w:b/>
          <w:noProof/>
          <w:sz w:val="24"/>
        </w:rPr>
        <w:t>sprijinul necesar cercetărilor cu privire la protecția cetățenilor și a mediului față de expunerea la substanțe chimice periculoase, inclusiv la perturbatori endocrini</w:t>
      </w:r>
      <w:r>
        <w:rPr>
          <w:rFonts w:ascii="Times New Roman" w:hAnsi="Times New Roman"/>
          <w:noProof/>
          <w:sz w:val="24"/>
        </w:rPr>
        <w:t>, continuând activitatea desfășurată în contextul actualului program-cadru, Orizont 2020.</w:t>
      </w:r>
    </w:p>
    <w:p>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O atenție deosebită ar trebui acordată domeniilor în care persistă lacune în materie de cunoștințe privind perturbatorii endocrini, după cum se menționează în secțiunea 1, și în cazul cărora mai multe dovezi științifice pot sprijini cel mai bine politici îmbunătățite. </w:t>
      </w:r>
    </w:p>
    <w:p>
      <w:pPr>
        <w:spacing w:before="120"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Mai multe direcții de cercetare propuse în cadrul programului Orizont Europa sunt foarte relevante pentru perturbatorii endocrini. Acestea includ: </w:t>
      </w:r>
    </w:p>
    <w:p>
      <w:pPr>
        <w:pStyle w:val="ListParagraph"/>
        <w:numPr>
          <w:ilvl w:val="0"/>
          <w:numId w:val="38"/>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activități de cercetare pentru dezvoltarea suplimentară a evaluării pericolelor, a evaluării riscurilor și a gestionării substanțelor chimice, inclusiv în ceea ce privește efectele de cocktail, și pentru colectarea, partajarea și combinarea datelor necesare; </w:t>
      </w:r>
    </w:p>
    <w:p>
      <w:pPr>
        <w:pStyle w:val="ListParagraph"/>
        <w:numPr>
          <w:ilvl w:val="0"/>
          <w:numId w:val="36"/>
        </w:numPr>
        <w:spacing w:before="120" w:after="0" w:line="240" w:lineRule="auto"/>
        <w:jc w:val="both"/>
        <w:rPr>
          <w:rFonts w:ascii="Times New Roman" w:eastAsia="Times New Roman" w:hAnsi="Times New Roman" w:cs="Times New Roman"/>
          <w:noProof/>
          <w:sz w:val="24"/>
          <w:szCs w:val="24"/>
        </w:rPr>
      </w:pPr>
      <w:r>
        <w:rPr>
          <w:rFonts w:ascii="Times New Roman" w:hAnsi="Times New Roman"/>
          <w:noProof/>
          <w:sz w:val="24"/>
        </w:rPr>
        <w:t>activități de cercetare privind eliminarea substanțelor care prezintă motive de îngrijorare în fazele de producție și de scoatere din uz; sprijin pentru dezvoltarea de substitute sigure și de tehnologii de producție care să fie sigure și eficiente din punctul de vedere al costurilor;</w:t>
      </w:r>
    </w:p>
    <w:p>
      <w:pPr>
        <w:pStyle w:val="ListParagraph"/>
        <w:numPr>
          <w:ilvl w:val="0"/>
          <w:numId w:val="36"/>
        </w:numPr>
        <w:spacing w:before="120" w:after="120" w:line="240" w:lineRule="auto"/>
        <w:ind w:left="714" w:hanging="357"/>
        <w:jc w:val="both"/>
        <w:rPr>
          <w:rFonts w:ascii="Times New Roman" w:eastAsia="Times New Roman" w:hAnsi="Times New Roman" w:cs="Times New Roman"/>
          <w:noProof/>
          <w:sz w:val="24"/>
          <w:szCs w:val="24"/>
        </w:rPr>
      </w:pPr>
      <w:r>
        <w:rPr>
          <w:rFonts w:ascii="Times New Roman" w:hAnsi="Times New Roman"/>
          <w:noProof/>
          <w:sz w:val="24"/>
        </w:rPr>
        <w:t>cercetare în domeniul ecoinovării pentru prevenirea și remedierea poluării mediului cu substanțe periculoase și cu substanțe chimice care determină preocupări emergente; luarea în considerare și a interfeței dintre substanțe chimice, produse și deșeuri.</w:t>
      </w:r>
    </w:p>
    <w:p>
      <w:pPr>
        <w:pStyle w:val="Heading2"/>
        <w:spacing w:before="120" w:after="120" w:line="240" w:lineRule="auto"/>
        <w:rPr>
          <w:rFonts w:cs="Times New Roman"/>
          <w:noProof/>
          <w:szCs w:val="24"/>
        </w:rPr>
      </w:pPr>
      <w:r>
        <w:rPr>
          <w:noProof/>
        </w:rPr>
        <w:t xml:space="preserve">O abordare incluzivă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Pentru a fi în măsură să progreseze în abordarea cu eficacitate a perturbatorilor endocrini, Comisia va urma o abordare incluzivă, care este deschisă, transparentă și reunește toate părțile interesate. Comisia este pregătită să asculte cu atenție, să dialogheze într-un mod cooperant și să comunice proactiv. </w:t>
      </w:r>
    </w:p>
    <w:p>
      <w:pPr>
        <w:spacing w:after="120" w:line="240" w:lineRule="auto"/>
        <w:jc w:val="both"/>
        <w:rPr>
          <w:rFonts w:ascii="Times New Roman" w:hAnsi="Times New Roman" w:cs="Times New Roman"/>
          <w:noProof/>
          <w:sz w:val="24"/>
          <w:szCs w:val="24"/>
        </w:rPr>
      </w:pPr>
      <w:r>
        <w:rPr>
          <w:rFonts w:ascii="Times New Roman" w:hAnsi="Times New Roman"/>
          <w:noProof/>
          <w:sz w:val="24"/>
        </w:rPr>
        <w:t>Acest lucru este, de asemenea, relevant pentru cooperarea internațională cu parteneri din afara UE, pentru a ține pasul cu rezultatele activităților de cercetare, pentru a asigura utilizarea eficientă a resurselor la nivel mondial, pentru a garanta coerența în materie de reglementare care reduce barierele din calea comerțului și pentru a asigura menținerea poziției de lider mondial a UE.</w:t>
      </w:r>
    </w:p>
    <w:p>
      <w:pPr>
        <w:spacing w:after="120" w:line="240" w:lineRule="auto"/>
        <w:jc w:val="both"/>
        <w:rPr>
          <w:rFonts w:ascii="Times New Roman" w:hAnsi="Times New Roman" w:cs="Times New Roman"/>
          <w:noProof/>
          <w:sz w:val="24"/>
          <w:szCs w:val="24"/>
        </w:rPr>
      </w:pPr>
    </w:p>
    <w:p>
      <w:pPr>
        <w:spacing w:after="12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highlight w:val="yellow"/>
        </w:rPr>
      </w:pPr>
      <w:r>
        <w:rPr>
          <w:rFonts w:ascii="Times New Roman" w:hAnsi="Times New Roman" w:cs="Times New Roman"/>
          <w:noProof/>
          <w:sz w:val="24"/>
          <w:szCs w:val="24"/>
        </w:rPr>
        <w:sym w:font="Wingdings" w:char="F0E8"/>
      </w:r>
      <w:r>
        <w:rPr>
          <w:rFonts w:ascii="Times New Roman" w:hAnsi="Times New Roman"/>
          <w:noProof/>
          <w:sz w:val="24"/>
        </w:rPr>
        <w:t xml:space="preserve">Comisia va organiza anual un </w:t>
      </w:r>
      <w:r>
        <w:rPr>
          <w:rFonts w:ascii="Times New Roman" w:hAnsi="Times New Roman"/>
          <w:b/>
          <w:noProof/>
          <w:sz w:val="24"/>
        </w:rPr>
        <w:t>Forum privind perturbatorii endocrini</w:t>
      </w:r>
      <w:r>
        <w:rPr>
          <w:rFonts w:ascii="Times New Roman" w:hAnsi="Times New Roman"/>
          <w:noProof/>
          <w:sz w:val="24"/>
        </w:rPr>
        <w:t>. Forumul va permite oamenilor de știință și părților interesate din sectorul public și privat cu vaste cunoștințe de specialitate despre perturbatorii endocrini să se reunească pentru a face schimb de informații și de cele mai bune practici, pentru a identifica provocări și a crea sinergii, cu scopul de a furniza informații pentru procesul de reflecție desfășurat în cadrul Comisiei.</w:t>
      </w:r>
    </w:p>
    <w:p>
      <w:pPr>
        <w:pBdr>
          <w:top w:val="single" w:sz="4" w:space="1" w:color="auto"/>
          <w:left w:val="single" w:sz="4" w:space="4" w:color="auto"/>
          <w:bottom w:val="single" w:sz="4" w:space="1" w:color="auto"/>
          <w:right w:val="single" w:sz="4" w:space="4" w:color="auto"/>
          <w:bar w:val="single" w:sz="4" w:color="auto"/>
        </w:pBd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sym w:font="Wingdings" w:char="F0E8"/>
      </w:r>
      <w:r>
        <w:rPr>
          <w:rFonts w:ascii="Times New Roman" w:hAnsi="Times New Roman"/>
          <w:noProof/>
          <w:sz w:val="24"/>
        </w:rPr>
        <w:t xml:space="preserve">Comisia își va </w:t>
      </w:r>
      <w:r>
        <w:rPr>
          <w:rFonts w:ascii="Times New Roman" w:hAnsi="Times New Roman"/>
          <w:b/>
          <w:noProof/>
          <w:sz w:val="24"/>
        </w:rPr>
        <w:t>intensifica</w:t>
      </w:r>
      <w:r>
        <w:rPr>
          <w:rFonts w:ascii="Times New Roman" w:hAnsi="Times New Roman"/>
          <w:noProof/>
          <w:sz w:val="24"/>
        </w:rPr>
        <w:t xml:space="preserve"> </w:t>
      </w:r>
      <w:r>
        <w:rPr>
          <w:rFonts w:ascii="Times New Roman" w:hAnsi="Times New Roman"/>
          <w:b/>
          <w:noProof/>
          <w:sz w:val="24"/>
        </w:rPr>
        <w:t>sprijinul acordat activităților</w:t>
      </w:r>
      <w:r>
        <w:rPr>
          <w:rFonts w:ascii="Times New Roman" w:hAnsi="Times New Roman"/>
          <w:noProof/>
          <w:sz w:val="24"/>
        </w:rPr>
        <w:t xml:space="preserve"> </w:t>
      </w:r>
      <w:r>
        <w:rPr>
          <w:rFonts w:ascii="Times New Roman" w:hAnsi="Times New Roman"/>
          <w:b/>
          <w:noProof/>
          <w:sz w:val="24"/>
        </w:rPr>
        <w:t>organizațiilor internaționale relevante</w:t>
      </w:r>
      <w:r>
        <w:rPr>
          <w:rFonts w:ascii="Times New Roman" w:hAnsi="Times New Roman"/>
          <w:noProof/>
          <w:sz w:val="24"/>
        </w:rPr>
        <w:t xml:space="preserve"> și încurajează statele membre să facă același lucru. Deosebit de importantă este necesitatea de a oferi Organizației pentru Cooperare și Dezvoltare Economică sprijinul necesar pentru a avansa în direcția elaborării unor orientări privind testarea convenite la nivel internațional. </w:t>
      </w:r>
    </w:p>
    <w:p>
      <w:pPr>
        <w:pBdr>
          <w:top w:val="single" w:sz="4" w:space="1" w:color="auto"/>
          <w:left w:val="single" w:sz="4" w:space="4" w:color="auto"/>
          <w:bottom w:val="single" w:sz="4" w:space="1" w:color="auto"/>
          <w:right w:val="single" w:sz="4" w:space="4" w:color="auto"/>
          <w:bar w:val="single" w:sz="4" w:color="auto"/>
        </w:pBdr>
        <w:spacing w:before="120"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sym w:font="Wingdings" w:char="F0E8"/>
      </w:r>
      <w:r>
        <w:rPr>
          <w:rFonts w:ascii="Times New Roman" w:hAnsi="Times New Roman"/>
          <w:noProof/>
          <w:sz w:val="24"/>
        </w:rPr>
        <w:t>De asemenea, Comisia</w:t>
      </w:r>
      <w:r>
        <w:rPr>
          <w:rFonts w:ascii="Times New Roman" w:hAnsi="Times New Roman"/>
          <w:b/>
          <w:noProof/>
          <w:sz w:val="24"/>
        </w:rPr>
        <w:t xml:space="preserve"> </w:t>
      </w:r>
      <w:r>
        <w:rPr>
          <w:rFonts w:ascii="Times New Roman" w:hAnsi="Times New Roman"/>
          <w:noProof/>
          <w:sz w:val="24"/>
        </w:rPr>
        <w:t xml:space="preserve">va analiza posibilitățile de includere a perturbatorilor endocrini în actualul </w:t>
      </w:r>
      <w:r>
        <w:rPr>
          <w:rFonts w:ascii="Times New Roman" w:hAnsi="Times New Roman"/>
          <w:b/>
          <w:noProof/>
          <w:sz w:val="24"/>
        </w:rPr>
        <w:t>sistem internațional de clasificare a substanțelor chimice</w:t>
      </w:r>
      <w:r>
        <w:rPr>
          <w:rFonts w:ascii="Times New Roman" w:hAnsi="Times New Roman"/>
          <w:noProof/>
          <w:sz w:val="24"/>
        </w:rPr>
        <w:t>. Acest lucru ar atrage după sine o soluție globală pentru identificarea perturbatorilor endocrini (în mod similar cu ceea ce există deja pentru alte clase de pericol cum ar fi agenții mutageni și cancerigeni și substanțele toxice pentru reproducere).</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heme="majorEastAsia" w:hAnsi="Times New Roman" w:cs="Times New Roman"/>
          <w:b/>
          <w:bCs/>
          <w:noProof/>
          <w:sz w:val="24"/>
          <w:szCs w:val="24"/>
        </w:rPr>
      </w:pPr>
      <w:r>
        <w:rPr>
          <w:rFonts w:ascii="Times New Roman" w:hAnsi="Times New Roman" w:cs="Times New Roman"/>
          <w:noProof/>
          <w:sz w:val="24"/>
          <w:szCs w:val="24"/>
        </w:rPr>
        <w:sym w:font="Wingdings" w:char="F0E8"/>
      </w:r>
      <w:r>
        <w:rPr>
          <w:rFonts w:ascii="Times New Roman" w:hAnsi="Times New Roman"/>
          <w:noProof/>
          <w:sz w:val="24"/>
        </w:rPr>
        <w:t>Pentru a le oferi cetățenilor UE informații clare și cuprinzătoare pe care să se poată baza, Comisia</w:t>
      </w:r>
      <w:r>
        <w:rPr>
          <w:rFonts w:ascii="Times New Roman" w:hAnsi="Times New Roman"/>
          <w:b/>
          <w:noProof/>
          <w:sz w:val="24"/>
        </w:rPr>
        <w:t xml:space="preserve"> </w:t>
      </w:r>
      <w:r>
        <w:rPr>
          <w:rFonts w:ascii="Times New Roman" w:hAnsi="Times New Roman"/>
          <w:noProof/>
          <w:sz w:val="24"/>
        </w:rPr>
        <w:t xml:space="preserve">va lansa </w:t>
      </w:r>
      <w:r>
        <w:rPr>
          <w:rFonts w:ascii="Times New Roman" w:hAnsi="Times New Roman"/>
          <w:b/>
          <w:noProof/>
          <w:sz w:val="24"/>
        </w:rPr>
        <w:t>un portal de internet de tip „ghișeu unic” privind perturbatorii endocrini</w:t>
      </w:r>
      <w:r>
        <w:rPr>
          <w:rFonts w:ascii="Times New Roman" w:hAnsi="Times New Roman"/>
          <w:noProof/>
          <w:sz w:val="24"/>
        </w:rPr>
        <w:t xml:space="preserve">. Portalul va consolida și va raționaliza toate informațiile referitoare la perturbatorii endocrini aflate pe diferite site-uri de internet gestionate de Comisie și de agențiile UE. Prin urmare, el va constitui un punct unic de acces la informații privind perturbatorii endocrini și va face mai ușoară și mai transparentă ținerea la curent a cetățenilor și a părților interesate pe această temă. În conformitate cu aspectele de subsidiaritate, </w:t>
      </w:r>
      <w:r>
        <w:rPr>
          <w:rFonts w:ascii="Times New Roman" w:hAnsi="Times New Roman"/>
          <w:b/>
          <w:noProof/>
          <w:sz w:val="24"/>
        </w:rPr>
        <w:t>Comisia</w:t>
      </w:r>
      <w:r>
        <w:rPr>
          <w:rFonts w:ascii="Times New Roman" w:hAnsi="Times New Roman"/>
          <w:noProof/>
          <w:sz w:val="24"/>
        </w:rPr>
        <w:t xml:space="preserve"> va </w:t>
      </w:r>
      <w:r>
        <w:rPr>
          <w:rFonts w:ascii="Times New Roman" w:hAnsi="Times New Roman"/>
          <w:b/>
          <w:noProof/>
          <w:sz w:val="24"/>
        </w:rPr>
        <w:t>încuraja statele membre care consideră că acest lucru este necesar să elaboreze campanii de informare și de educare specifice</w:t>
      </w:r>
      <w:r>
        <w:rPr>
          <w:rFonts w:ascii="Times New Roman" w:hAnsi="Times New Roman"/>
          <w:noProof/>
          <w:sz w:val="24"/>
        </w:rPr>
        <w:t xml:space="preserve"> privind perturbatorii endocrini pentru publicul larg și grupurile vulnerabile. </w:t>
      </w:r>
    </w:p>
    <w:p>
      <w:pPr>
        <w:pStyle w:val="Heading1"/>
        <w:spacing w:before="360" w:after="120" w:line="240" w:lineRule="auto"/>
        <w:rPr>
          <w:rFonts w:cs="Times New Roman"/>
          <w:noProof/>
          <w:sz w:val="24"/>
          <w:szCs w:val="24"/>
        </w:rPr>
      </w:pPr>
      <w:r>
        <w:rPr>
          <w:noProof/>
          <w:sz w:val="24"/>
        </w:rPr>
        <w:t>4. CONCLUZIE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La aproape douăzeci de ani de când Strategia comunitară privind perturbatorii endocrini a fost elaborată, în 1999, fenomenul de perturbare a sistemului endocrin rămâne o provocare globală și o sursă de îngrijorare pentru mulți cetățeni ai UE. Deși s-au realizat progrese semnificative în ultimele două decenii în înțelegerea și gestionarea mai bună a problemei perturbatorilor endocrini, este important ca eforturile UE să fie intensificate.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Comisia își menține angajamentul de a proteja cetățenii UE și mediul de perturbatorii endocrini. În acest scop, abordarea strategică descrisă mai sus urmărește să asigure un nivel înalt de protecție a cetățenilor UE și a mediului și, în același timp, să mențină o piață internă în folosul consumatorilor și în cadrul căreia întreprinderile să poată prospera.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În conformitate cu Agenda Comisiei pentru o mai bună reglementare și cu angajamentul de a se asigura faptul că legislația UE rămâne adecvată scopului, Comisia </w:t>
      </w:r>
      <w:r>
        <w:rPr>
          <w:rFonts w:ascii="Times New Roman" w:hAnsi="Times New Roman"/>
          <w:b/>
          <w:noProof/>
          <w:sz w:val="24"/>
        </w:rPr>
        <w:t>lansează o examinare aprofundată a cadrului legislativ existent privind perturbatorii endocrini</w:t>
      </w:r>
      <w:r>
        <w:rPr>
          <w:rFonts w:ascii="Times New Roman" w:hAnsi="Times New Roman"/>
          <w:noProof/>
          <w:sz w:val="24"/>
        </w:rPr>
        <w:t>. Acest exercițiu de reflecție va permite o evaluare pentru a stabili dacă legislația UE privind perturbatorii endocrini își îndeplinește obiectivele generale de protejare a sănătății umane și a mediului. El va asigura implicarea cetățenilor și participarea părților interesate, inclusiv prin intermediul unei consultări publice, și va sprijini Comisia în ceea ce privește continuarea dezbaterii și în a decide dacă sunt necesare modificări ale cadrului legislativ.</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În plus, inițiativele anunțate în prezenta comunicare vor </w:t>
      </w:r>
      <w:r>
        <w:rPr>
          <w:rFonts w:ascii="Times New Roman" w:hAnsi="Times New Roman"/>
          <w:b/>
          <w:noProof/>
          <w:sz w:val="24"/>
        </w:rPr>
        <w:t>sprijini progresul continuu al cercetărilor științifice relevante</w:t>
      </w:r>
      <w:r>
        <w:rPr>
          <w:rFonts w:ascii="Times New Roman" w:hAnsi="Times New Roman"/>
          <w:noProof/>
          <w:sz w:val="24"/>
        </w:rPr>
        <w:t xml:space="preserve">, </w:t>
      </w:r>
      <w:r>
        <w:rPr>
          <w:rFonts w:ascii="Times New Roman" w:hAnsi="Times New Roman"/>
          <w:b/>
          <w:noProof/>
          <w:sz w:val="24"/>
        </w:rPr>
        <w:t>vor încuraja un dialog incluziv</w:t>
      </w:r>
      <w:r>
        <w:rPr>
          <w:rFonts w:ascii="Times New Roman" w:hAnsi="Times New Roman"/>
          <w:noProof/>
          <w:sz w:val="24"/>
        </w:rPr>
        <w:t xml:space="preserve"> și cooperarea cu toate părțile interesate și vor permite </w:t>
      </w:r>
      <w:r>
        <w:rPr>
          <w:rFonts w:ascii="Times New Roman" w:hAnsi="Times New Roman"/>
          <w:b/>
          <w:noProof/>
          <w:sz w:val="24"/>
        </w:rPr>
        <w:t>accelerarea punerii în aplicare a politicilor existente</w:t>
      </w:r>
      <w:r>
        <w:rPr>
          <w:rFonts w:ascii="Times New Roman" w:hAnsi="Times New Roman"/>
          <w:noProof/>
          <w:sz w:val="24"/>
        </w:rPr>
        <w:t xml:space="preserve"> în materie de perturbatori endocrini.</w:t>
      </w:r>
    </w:p>
    <w:p>
      <w:pPr>
        <w:spacing w:after="0" w:line="240" w:lineRule="auto"/>
        <w:jc w:val="both"/>
        <w:rPr>
          <w:rFonts w:ascii="Times New Roman" w:hAnsi="Times New Roman" w:cs="Times New Roman"/>
          <w:noProof/>
          <w:sz w:val="24"/>
          <w:szCs w:val="24"/>
        </w:rPr>
      </w:pPr>
      <w:r>
        <w:rPr>
          <w:rFonts w:ascii="Times New Roman" w:hAnsi="Times New Roman"/>
          <w:noProof/>
          <w:sz w:val="24"/>
        </w:rPr>
        <w:t>Comisia invită Parlamentul și Consiliul să sprijine inițiativele descrise în prezenta comunicare și să aducă propria lor contribuție la această dezbatere și, de asemenea, invită Comitetul Economic și Social European și Comitetul Regiunilor să prezinte contribuții.</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8193091"/>
      <w:docPartObj>
        <w:docPartGallery w:val="Page Numbers (Bottom of Page)"/>
        <w:docPartUnique/>
      </w:docPartObj>
    </w:sdtPr>
    <w:sdtEndPr>
      <w:rPr>
        <w:rFonts w:ascii="Times New Roman" w:hAnsi="Times New Roman" w:cs="Times New Roman"/>
        <w:noProof/>
        <w:sz w:val="24"/>
      </w:rPr>
    </w:sdtEndPr>
    <w:sdtContent>
      <w:p>
        <w:pPr>
          <w:pStyle w:val="Footer"/>
          <w:jc w:val="right"/>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noProof/>
            <w:sz w:val="24"/>
          </w:rPr>
          <w:t>1</w:t>
        </w:r>
        <w:r>
          <w:rPr>
            <w:rFonts w:ascii="Times New Roman" w:hAnsi="Times New Roman" w:cs="Times New Roman"/>
            <w:noProof/>
            <w:sz w:val="24"/>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de exemplu, atelierul de lucru desfășurat în 1996, Impactul perturbatorilor endocrini asupra sănătății umane și asupra faunei</w:t>
      </w:r>
      <w:r>
        <w:t xml:space="preserve"> </w:t>
      </w:r>
      <w:hyperlink r:id="rId1">
        <w:r>
          <w:rPr>
            <w:rStyle w:val="Hyperlink"/>
            <w:rFonts w:ascii="Times New Roman" w:hAnsi="Times New Roman"/>
            <w:i/>
          </w:rPr>
          <w:t>(The Impact of Endocrine Disruptors on Human Health and Wildlife)</w:t>
        </w:r>
      </w:hyperlink>
      <w:r>
        <w:rPr>
          <w:rFonts w:ascii="Times New Roman" w:hAnsi="Times New Roman"/>
        </w:rPr>
        <w:t>, cu sprijin din partea Comisiei Europene.</w:t>
      </w:r>
    </w:p>
  </w:footnote>
  <w:footnote w:id="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JO C 341, 9.11.1998, p. 37.</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COM(1999) 706. </w:t>
      </w:r>
    </w:p>
  </w:footnote>
  <w:footnote w:id="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de exemplu, rezoluțiile Parlamentului European din 14 martie 2013 [P7_TA(2013)0091] și din 8 iunie 2016 [P8_TA(2016)0270] și Concluziile Consiliului privind protecția sănătății umane și a mediului prin buna gestionare a substanțelor chimice (19.12.2016).</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Decizia nr. 1386/2013/UE a Parlamentului European și a Consiliului din 20 noiembrie 2013 privind un Program general al Uniunii de acțiune pentru mediu până în 2020 (JO L 354, 28.12.2013, p. 171).</w:t>
      </w:r>
    </w:p>
  </w:footnote>
  <w:footnote w:id="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mai ales: </w:t>
      </w:r>
      <w:hyperlink r:id="rId2">
        <w:r>
          <w:rPr>
            <w:rStyle w:val="Hyperlink"/>
            <w:rFonts w:ascii="Times New Roman" w:hAnsi="Times New Roman"/>
          </w:rPr>
          <w:t>Agenda 2030 a Organizației Națiunilor Unite pentru dezvoltare sustenabilă</w:t>
        </w:r>
      </w:hyperlink>
      <w:r>
        <w:t xml:space="preserve"> </w:t>
      </w:r>
      <w:r>
        <w:rPr>
          <w:rFonts w:ascii="Times New Roman" w:hAnsi="Times New Roman"/>
        </w:rPr>
        <w:t>(2015),</w:t>
      </w:r>
      <w:r>
        <w:t xml:space="preserve"> </w:t>
      </w:r>
      <w:hyperlink r:id="rId3">
        <w:r>
          <w:rPr>
            <w:rStyle w:val="Hyperlink"/>
            <w:rFonts w:ascii="Times New Roman" w:hAnsi="Times New Roman"/>
          </w:rPr>
          <w:t>Declarația de la Parma</w:t>
        </w:r>
      </w:hyperlink>
      <w:r>
        <w:t xml:space="preserve"> </w:t>
      </w:r>
      <w:r>
        <w:rPr>
          <w:rFonts w:ascii="Times New Roman" w:hAnsi="Times New Roman"/>
        </w:rPr>
        <w:t>(2010) și</w:t>
      </w:r>
      <w:r>
        <w:t xml:space="preserve"> </w:t>
      </w:r>
      <w:hyperlink r:id="rId4">
        <w:r>
          <w:rPr>
            <w:rStyle w:val="Hyperlink"/>
            <w:rFonts w:ascii="Times New Roman" w:hAnsi="Times New Roman"/>
          </w:rPr>
          <w:t>Declarația de la Ostrava</w:t>
        </w:r>
      </w:hyperlink>
      <w:r>
        <w:t xml:space="preserve"> </w:t>
      </w:r>
      <w:r>
        <w:rPr>
          <w:rFonts w:ascii="Times New Roman" w:hAnsi="Times New Roman"/>
        </w:rPr>
        <w:t>(2017) ale țărilor din regiunea europeană a Organizației Mondiale a Sănătății (în particular, în declarația de la Parma, perturbatorii endocrini au fost incluși printre „</w:t>
      </w:r>
      <w:r>
        <w:rPr>
          <w:rFonts w:ascii="Times New Roman" w:hAnsi="Times New Roman"/>
          <w:i/>
        </w:rPr>
        <w:t>principalele provocări ale epocii actuale pentru mediu și sănătate</w:t>
      </w:r>
      <w:r>
        <w:rPr>
          <w:rFonts w:ascii="Times New Roman" w:hAnsi="Times New Roman"/>
        </w:rPr>
        <w:t>”) și concluziile celei de a treia și a celei de a patra sesiuni a</w:t>
      </w:r>
      <w:r>
        <w:t xml:space="preserve"> </w:t>
      </w:r>
      <w:hyperlink r:id="rId5">
        <w:r>
          <w:rPr>
            <w:rStyle w:val="Hyperlink"/>
            <w:rFonts w:ascii="Times New Roman" w:hAnsi="Times New Roman"/>
          </w:rPr>
          <w:t>Conferinței internaționale privind gestionarea substanțelor chimice</w:t>
        </w:r>
      </w:hyperlink>
      <w:r>
        <w:rPr>
          <w:rFonts w:ascii="Times New Roman" w:hAnsi="Times New Roman"/>
        </w:rPr>
        <w:t>.</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Programul internațional pentru securitate chimică (</w:t>
      </w:r>
      <w:r>
        <w:rPr>
          <w:rFonts w:ascii="Times New Roman" w:hAnsi="Times New Roman"/>
          <w:i/>
        </w:rPr>
        <w:t>International Programme on Chemical Safety</w:t>
      </w:r>
      <w:r>
        <w:rPr>
          <w:rFonts w:ascii="Times New Roman" w:hAnsi="Times New Roman"/>
        </w:rPr>
        <w:t xml:space="preserve"> – IPCS) (2002), Evaluare globală a situației actuale a cunoștințelor științifice despre perturbatorii endocrini</w:t>
      </w:r>
      <w:r>
        <w:t xml:space="preserve"> </w:t>
      </w:r>
      <w:hyperlink r:id="rId6">
        <w:r>
          <w:rPr>
            <w:rStyle w:val="Hyperlink"/>
            <w:rFonts w:ascii="Times New Roman" w:hAnsi="Times New Roman"/>
            <w:i/>
          </w:rPr>
          <w:t>(Global Assessment of the state-of-the-science of Endocrine Disruptor)</w:t>
        </w:r>
      </w:hyperlink>
      <w:r>
        <w:rPr>
          <w:rFonts w:ascii="Times New Roman" w:hAnsi="Times New Roman"/>
        </w:rPr>
        <w:t>.</w:t>
      </w:r>
    </w:p>
  </w:footnote>
  <w:footnote w:id="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Programul Organizației Națiunilor Unite pentru Mediu (</w:t>
      </w:r>
      <w:r>
        <w:rPr>
          <w:rFonts w:ascii="Times New Roman" w:hAnsi="Times New Roman"/>
          <w:i/>
        </w:rPr>
        <w:t>United Nations Environment Programme</w:t>
      </w:r>
      <w:r>
        <w:rPr>
          <w:rFonts w:ascii="Times New Roman" w:hAnsi="Times New Roman"/>
        </w:rPr>
        <w:t xml:space="preserve"> – UNEP), Organizația Mondială a Sănătății (OMS) (2012), Situația cunoștințelor științifice despre substanțele chimice cu rol de perturbator endocrin</w:t>
      </w:r>
      <w:r>
        <w:t xml:space="preserve"> </w:t>
      </w:r>
      <w:hyperlink r:id="rId7">
        <w:r>
          <w:rPr>
            <w:rStyle w:val="Hyperlink"/>
            <w:rFonts w:ascii="Times New Roman" w:hAnsi="Times New Roman"/>
            <w:i/>
          </w:rPr>
          <w:t>(State of the science of endocrine disrupting chemicals)</w:t>
        </w:r>
      </w:hyperlink>
      <w:r>
        <w:rPr>
          <w:rFonts w:ascii="Times New Roman" w:hAnsi="Times New Roman"/>
        </w:rPr>
        <w:t>.</w:t>
      </w:r>
    </w:p>
  </w:footnote>
  <w:footnote w:id="1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Hormoni estrogeni, androgeni, tiroidieni sau steroidogeneza (</w:t>
      </w:r>
      <w:r>
        <w:rPr>
          <w:rFonts w:ascii="Times New Roman" w:hAnsi="Times New Roman"/>
          <w:i/>
        </w:rPr>
        <w:t>Oestrogen, androgen, thyroid hormone or steroidogenesis</w:t>
      </w:r>
      <w:r>
        <w:rPr>
          <w:rFonts w:ascii="Times New Roman" w:hAnsi="Times New Roman"/>
        </w:rPr>
        <w:t xml:space="preserve"> – EATS).</w:t>
      </w:r>
    </w:p>
  </w:footnote>
  <w:footnote w:id="1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UNEP / OMS (2012). A se vedea, de exemplu, și Thrupp TJ și alții (2018), Consecințele expunerii la amestecuri de substanțe chimice: ceva din „nimic” și „mult din puțin” în situația în care peștii sunt expuși la hormoni steroizi (</w:t>
      </w:r>
      <w:r>
        <w:rPr>
          <w:rFonts w:ascii="Times New Roman" w:hAnsi="Times New Roman"/>
          <w:i/>
        </w:rPr>
        <w:t>The consequences of exposure to mixtures of chemicals: Something from ‘nothing’ and ‘a lot from a little’ when fish are exposed to steroid hormones,</w:t>
      </w:r>
      <w:r>
        <w:rPr>
          <w:rFonts w:ascii="Times New Roman" w:hAnsi="Times New Roman"/>
        </w:rPr>
        <w:t>) Știința mediului întreg (</w:t>
      </w:r>
      <w:r>
        <w:rPr>
          <w:rFonts w:ascii="Times New Roman" w:hAnsi="Times New Roman"/>
          <w:i/>
        </w:rPr>
        <w:t>Science of the total environment</w:t>
      </w:r>
      <w:r>
        <w:rPr>
          <w:rFonts w:ascii="Times New Roman" w:hAnsi="Times New Roman"/>
        </w:rPr>
        <w:t>), volumele 619 – 620, 1 aprilie 2018, paginile 1482 – 1492.</w:t>
      </w:r>
    </w:p>
  </w:footnote>
  <w:footnote w:id="1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Autoritatea Europeană pentru Siguranța Alimentară este în curs de a pregăti </w:t>
      </w:r>
      <w:hyperlink r:id="rId8">
        <w:r>
          <w:rPr>
            <w:rStyle w:val="Hyperlink"/>
            <w:rFonts w:ascii="Times New Roman" w:hAnsi="Times New Roman"/>
          </w:rPr>
          <w:t>orientări</w:t>
        </w:r>
      </w:hyperlink>
      <w:r>
        <w:rPr>
          <w:rFonts w:ascii="Times New Roman" w:hAnsi="Times New Roman"/>
        </w:rPr>
        <w:t xml:space="preserve"> privind metodologii armonizate de evaluare a riscurilor pentru sănătatea umană, sănătatea animală și de evaluare a riscurilor ecologice determinate de expunerea combinată la substanțe chimice multiple; Autoritatea Europeană pentru Siguranța Alimentară (EFSA) (2013), Aviz științific privind identificarea pesticidelor care urmează să fie incluse în grupuri de evaluare cumulativă în funcție de profilul lor toxicologic</w:t>
      </w:r>
      <w:r>
        <w:t xml:space="preserve"> </w:t>
      </w:r>
      <w:hyperlink r:id="rId9">
        <w:r>
          <w:rPr>
            <w:rStyle w:val="Hyperlink"/>
            <w:rFonts w:ascii="Times New Roman" w:hAnsi="Times New Roman"/>
            <w:i/>
          </w:rPr>
          <w:t>(Scientific Opinion on the identification of pesticides to be included in cumulative assessment groups on the basis of their toxicological profile)</w:t>
        </w:r>
      </w:hyperlink>
      <w:r>
        <w:rPr>
          <w:rFonts w:ascii="Times New Roman" w:hAnsi="Times New Roman"/>
          <w:i/>
        </w:rPr>
        <w:t>.</w:t>
      </w:r>
    </w:p>
  </w:footnote>
  <w:footnote w:id="1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Un alt exemplu îl constituie relația doză-răspuns pentru perturbatorii endocrini. Cu privire la toate aceste aspecte, a se vedea în special: Centrul Comun de Cercetare (2013), Aspecte științifice esențiale care sunt relevante pentru identificarea și caracterizarea substanțelor cu rol perturbator endocrin – Raport al Grupului consultativ de experți în domeniul perturbatorilor endocrini </w:t>
      </w:r>
      <w:hyperlink r:id="rId10">
        <w:r>
          <w:rPr>
            <w:rStyle w:val="Hyperlink"/>
            <w:rFonts w:ascii="Times New Roman" w:hAnsi="Times New Roman"/>
            <w:i/>
          </w:rPr>
          <w:t>Key scientific issues relevant to the identification and characterisation of endocrine disrupting substances - Report of the Endocrine Disrupters Expert Advisory Group</w:t>
        </w:r>
      </w:hyperlink>
      <w:r>
        <w:rPr>
          <w:rStyle w:val="Hyperlink"/>
          <w:rFonts w:ascii="Times New Roman" w:hAnsi="Times New Roman"/>
          <w:i/>
        </w:rPr>
        <w:t xml:space="preserve">; </w:t>
      </w:r>
      <w:r>
        <w:rPr>
          <w:rFonts w:ascii="Times New Roman" w:hAnsi="Times New Roman"/>
        </w:rPr>
        <w:t>CCC (2013), Praguri pentru perturbatorii endocrini și incertitudinile conexe – Raport al Grupului consultativ de experți privind perturbatorii endocrini</w:t>
      </w:r>
      <w:r>
        <w:t xml:space="preserve"> </w:t>
      </w:r>
      <w:hyperlink r:id="rId11">
        <w:r>
          <w:rPr>
            <w:rStyle w:val="Hyperlink"/>
            <w:rFonts w:ascii="Times New Roman" w:hAnsi="Times New Roman"/>
            <w:i/>
          </w:rPr>
          <w:t>(Thresholds for Endocrine Disrupters and Related Uncertainties - Report of the Endocrine Disrupters Expert Advisory Group)</w:t>
        </w:r>
      </w:hyperlink>
      <w:r>
        <w:rPr>
          <w:rFonts w:ascii="Times New Roman" w:hAnsi="Times New Roman"/>
        </w:rPr>
        <w:t>; Beausoleil et al. (2016), Revizuirea relațiilor nemonotone doză-răspuns ale substanțelor în scopul evaluării riscurilor pentru oameni</w:t>
      </w:r>
      <w:r>
        <w:t xml:space="preserve"> </w:t>
      </w:r>
      <w:hyperlink r:id="rId12">
        <w:r>
          <w:rPr>
            <w:rStyle w:val="Hyperlink"/>
            <w:rFonts w:ascii="Times New Roman" w:hAnsi="Times New Roman"/>
            <w:i/>
          </w:rPr>
          <w:t>Review of non-monotonic dose-responses of substances for human risk assessment</w:t>
        </w:r>
      </w:hyperlink>
      <w:r>
        <w:rPr>
          <w:rStyle w:val="Hyperlink"/>
          <w:rFonts w:ascii="Times New Roman" w:hAnsi="Times New Roman"/>
          <w:color w:val="auto"/>
          <w:u w:val="none"/>
        </w:rPr>
        <w:t>;</w:t>
      </w:r>
      <w:r>
        <w:rPr>
          <w:rFonts w:ascii="Times New Roman" w:hAnsi="Times New Roman"/>
        </w:rPr>
        <w:t xml:space="preserve"> Solecki et al. (2017), Principii științifice pentru identificarea substanțelor chimice cu rol de perturbatori endocrini: o poziție de consens </w:t>
      </w:r>
      <w:hyperlink r:id="rId13">
        <w:r>
          <w:rPr>
            <w:rStyle w:val="Hyperlink"/>
            <w:rFonts w:ascii="Times New Roman" w:hAnsi="Times New Roman"/>
            <w:i/>
          </w:rPr>
          <w:t>Scientific principles for the identification of endocrine-disrupting chemicals: a consensus statement</w:t>
        </w:r>
      </w:hyperlink>
      <w:r>
        <w:rPr>
          <w:rFonts w:ascii="Times New Roman" w:hAnsi="Times New Roman"/>
        </w:rPr>
        <w:t>.</w:t>
      </w:r>
      <w:r>
        <w:rPr>
          <w:rFonts w:ascii="Times New Roman" w:hAnsi="Times New Roman"/>
          <w:i/>
        </w:rPr>
        <w:t xml:space="preserve"> </w:t>
      </w:r>
    </w:p>
  </w:footnote>
  <w:footnote w:id="1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Orientările privind testarea relevante pentru perturbatorii endocrini sunt enumerate în</w:t>
      </w:r>
      <w:r>
        <w:t xml:space="preserve"> </w:t>
      </w:r>
      <w:hyperlink r:id="rId14">
        <w:r>
          <w:rPr>
            <w:rStyle w:val="Hyperlink"/>
            <w:rFonts w:ascii="Times New Roman" w:hAnsi="Times New Roman"/>
          </w:rPr>
          <w:t>Cadrul conceptual pentru testarea și evaluarea perturbatorilor endocrini</w:t>
        </w:r>
      </w:hyperlink>
      <w:r>
        <w:rPr>
          <w:rStyle w:val="Hyperlink"/>
          <w:rFonts w:ascii="Times New Roman" w:hAnsi="Times New Roman"/>
        </w:rPr>
        <w:t>.</w:t>
      </w:r>
    </w:p>
  </w:footnote>
  <w:footnote w:id="1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EFSA (2013), Aviz științific privind evaluarea pericolelor reprezentate de perturbatorii endocrini: criterii științifice pentru identificarea perturbatorilor endocrini și caracterul adecvat al metodelor de testare existente pentru evaluarea efectelor mediate de aceste substanțe asupra sănătății umane și asupra mediului </w:t>
      </w:r>
      <w:hyperlink r:id="rId15">
        <w:r>
          <w:rPr>
            <w:rStyle w:val="Hyperlink"/>
            <w:rFonts w:ascii="Times New Roman" w:hAnsi="Times New Roman"/>
            <w:i/>
          </w:rPr>
          <w:t>(Scientific Opinion on the hazard assessment of endocrine disruptors: Scientific criteria for identification of endocrine disruptors and appropriateness of existing test methods for assessing effects mediated by these substances on human health and the environment)</w:t>
        </w:r>
      </w:hyperlink>
      <w:r>
        <w:rPr>
          <w:rFonts w:ascii="Times New Roman" w:hAnsi="Times New Roman"/>
        </w:rPr>
        <w:t>.</w:t>
      </w:r>
    </w:p>
  </w:footnote>
  <w:footnote w:id="1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Hormoni estrogeni, androgeni, tiroidieni sau steroidogeneza (</w:t>
      </w:r>
      <w:r>
        <w:rPr>
          <w:rFonts w:ascii="Times New Roman" w:hAnsi="Times New Roman"/>
          <w:i/>
        </w:rPr>
        <w:t>Oestrogen, androgen, thyroid hormone or steroidogenesis</w:t>
      </w:r>
      <w:r>
        <w:rPr>
          <w:rFonts w:ascii="Times New Roman" w:hAnsi="Times New Roman"/>
        </w:rPr>
        <w:t xml:space="preserve"> – EATS). </w:t>
      </w:r>
    </w:p>
  </w:footnote>
  <w:footnote w:id="1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Există orientări științifice cu privire la modul de interpretare a rezultatelor testelor individuale și la compilarea tuturor dovezilor disponibile privind o substanță pentru a-i evalua aportul la fenomenul de perturbare endocrină. La nivel internațional, referința este reprezentată de documentul OCDE (2012) intitulat „Document de orientare conținând orientările privind testarea standardizată în scopul evaluării substanțelor chimice în relație cu fenomenul de perturbare endocrină”, </w:t>
      </w:r>
      <w:hyperlink r:id="rId16">
        <w:r>
          <w:rPr>
            <w:rStyle w:val="Hyperlink"/>
            <w:rFonts w:ascii="Times New Roman" w:hAnsi="Times New Roman"/>
            <w:i/>
          </w:rPr>
          <w:t>Guidance Document on Standardised Test Guidelines for Evaluating Chemicals for Endocrine Disruption</w:t>
        </w:r>
      </w:hyperlink>
      <w:r>
        <w:rPr>
          <w:rStyle w:val="Hyperlink"/>
          <w:rFonts w:ascii="Times New Roman" w:hAnsi="Times New Roman"/>
          <w:i/>
          <w:u w:val="none"/>
        </w:rPr>
        <w:t xml:space="preserve">. </w:t>
      </w:r>
      <w:r>
        <w:rPr>
          <w:rFonts w:ascii="Times New Roman" w:hAnsi="Times New Roman"/>
        </w:rPr>
        <w:t>La nivelul UE, există orientări specifice în contextul unor cadre juridice diferite.</w:t>
      </w:r>
    </w:p>
  </w:footnote>
  <w:footnote w:id="1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Un exemplu ar fi „analogia (</w:t>
      </w:r>
      <w:r>
        <w:rPr>
          <w:rFonts w:ascii="Times New Roman" w:hAnsi="Times New Roman"/>
          <w:i/>
        </w:rPr>
        <w:t>read-across</w:t>
      </w:r>
      <w:r>
        <w:rPr>
          <w:rFonts w:ascii="Times New Roman" w:hAnsi="Times New Roman"/>
        </w:rPr>
        <w:t>)”, care permite să se prevadă informații pentru o substanță utilizând date de la o alta.</w:t>
      </w:r>
    </w:p>
  </w:footnote>
  <w:footnote w:id="1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Exemplele includ: stabilirea priorităților pentru dezvoltarea în continuare și validarea unor metode de testare și a unor modalități de testare pentru evaluarea perturbatorilor endocrini (2018)</w:t>
      </w:r>
      <w:r>
        <w:t xml:space="preserve"> </w:t>
      </w:r>
      <w:hyperlink r:id="rId17">
        <w:r>
          <w:rPr>
            <w:rStyle w:val="Hyperlink"/>
            <w:rFonts w:ascii="Times New Roman" w:hAnsi="Times New Roman"/>
            <w:i/>
          </w:rPr>
          <w:t>Setting priorities for further development and validation of test methods and testing approaches for evaluating endocrine disruptors</w:t>
        </w:r>
        <w:r>
          <w:rPr>
            <w:rStyle w:val="Hyperlink"/>
            <w:rFonts w:ascii="Times New Roman" w:hAnsi="Times New Roman"/>
            <w:i/>
            <w:u w:val="none"/>
          </w:rPr>
          <w:t xml:space="preserve"> </w:t>
        </w:r>
        <w:r>
          <w:rPr>
            <w:rStyle w:val="Hyperlink"/>
            <w:rFonts w:ascii="Times New Roman" w:hAnsi="Times New Roman"/>
            <w:color w:val="auto"/>
            <w:u w:val="none"/>
          </w:rPr>
          <w:t>(2018)</w:t>
        </w:r>
      </w:hyperlink>
      <w:r>
        <w:rPr>
          <w:rFonts w:ascii="Times New Roman" w:hAnsi="Times New Roman"/>
        </w:rPr>
        <w:t xml:space="preserve">; dezvoltarea unui protocol de studiu pentru testarea perturbatorilor tiroidieni în sistemul mamiferelor </w:t>
      </w:r>
      <w:r>
        <w:rPr>
          <w:rFonts w:ascii="Times New Roman" w:hAnsi="Times New Roman"/>
          <w:i/>
        </w:rPr>
        <w:t>(Development of a study protocol for thyroid disruptor testing in the mammalian system)</w:t>
      </w:r>
      <w:r>
        <w:rPr>
          <w:rFonts w:ascii="Times New Roman" w:hAnsi="Times New Roman"/>
        </w:rPr>
        <w:t xml:space="preserve"> (care urmează a fi finalizat în 2019); studiu de validare a pentru a evalua metodele </w:t>
      </w:r>
      <w:r>
        <w:rPr>
          <w:rFonts w:ascii="Times New Roman" w:hAnsi="Times New Roman"/>
          <w:i/>
        </w:rPr>
        <w:t>in vitro</w:t>
      </w:r>
      <w:r>
        <w:rPr>
          <w:rFonts w:ascii="Times New Roman" w:hAnsi="Times New Roman"/>
        </w:rPr>
        <w:t xml:space="preserve"> vizând perturbatorii tiroidieni</w:t>
      </w:r>
      <w:r>
        <w:t xml:space="preserve"> </w:t>
      </w:r>
      <w:hyperlink r:id="rId18">
        <w:r>
          <w:rPr>
            <w:rStyle w:val="Hyperlink"/>
            <w:rFonts w:ascii="Times New Roman" w:hAnsi="Times New Roman"/>
            <w:i/>
          </w:rPr>
          <w:t>Validation study to assess in vitro methods for thyroid disruptors</w:t>
        </w:r>
      </w:hyperlink>
      <w:r>
        <w:t xml:space="preserve"> </w:t>
      </w:r>
      <w:r>
        <w:rPr>
          <w:rFonts w:ascii="Times New Roman" w:hAnsi="Times New Roman"/>
        </w:rPr>
        <w:t>(lansat în 2017, în curs de derulare).</w:t>
      </w:r>
    </w:p>
  </w:footnote>
  <w:footnote w:id="2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 exemplu, prin intermediul</w:t>
      </w:r>
      <w:r>
        <w:t xml:space="preserve"> </w:t>
      </w:r>
      <w:hyperlink r:id="rId19">
        <w:r>
          <w:rPr>
            <w:rStyle w:val="Hyperlink"/>
            <w:rFonts w:ascii="Times New Roman" w:hAnsi="Times New Roman"/>
          </w:rPr>
          <w:t>Sistemului de alertă rapidă pentru produse nealimentare periculoase</w:t>
        </w:r>
      </w:hyperlink>
      <w:r>
        <w:rPr>
          <w:rFonts w:ascii="Times New Roman" w:hAnsi="Times New Roman"/>
        </w:rPr>
        <w:t>.</w:t>
      </w:r>
    </w:p>
  </w:footnote>
  <w:footnote w:id="2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Regulamentul (CE) nr. 1107/2009 al Parlamentului European și al Consiliului din 21 octombrie 2009 privind introducerea pe piață a produselor fitosanitare (JO L 309, 24.11.2009, p. 1).</w:t>
      </w:r>
    </w:p>
  </w:footnote>
  <w:footnote w:id="2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Biocidele sunt utilizate pentru a controla organismele dăunătoare (precum dezinfectantele, de exemplu) – Regulamentul (UE) nr. 528/2012 al Parlamentului European și al Consiliului din 22 mai 2012 privind punerea la dispoziție pe piață și utilizarea produselor biocide (JO L 167, 27.6.2012, p. 1).</w:t>
      </w:r>
    </w:p>
  </w:footnote>
  <w:footnote w:id="2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Regulamentul (CE) nr. 1907/2006 al Parlamentului European și al Consiliului din 18 decembrie 2006 privind înregistrarea, evaluarea, autorizarea și restricționarea substanțelor chimice (REACH) (JO L 396, 30.12.2006, p. 1).</w:t>
      </w:r>
    </w:p>
  </w:footnote>
  <w:footnote w:id="2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Regulamentul (UE) 2017/745 al Parlamentului European și al Consiliului din 5 aprilie 2017 privind dispozitivele medicale (JO L 117, 5.5.2017, p. 1).</w:t>
      </w:r>
    </w:p>
  </w:footnote>
  <w:footnote w:id="25">
    <w:p>
      <w:pPr>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Directiva 2000/60/CE a Parlamentului European și a Consiliului din 23 octombrie 2000 de stabilire a unui cadru de politică comunitară în domeniul apei (JO L 327, 22.12.2000, p. 1).</w:t>
      </w:r>
    </w:p>
  </w:footnote>
  <w:footnote w:id="2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Regulamentul (CE) nr. 1935/2004 al Parlamentului European și al Consiliului din 27 octombrie 2004 privind materialele și obiectele destinate să vină în contact cu produsele alimentare (JO L 338, 13.11.2004, p. 4).</w:t>
      </w:r>
    </w:p>
  </w:footnote>
  <w:footnote w:id="2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Regulamentul (CE) nr. 1223/2009 al Parlamentului European și al Consiliului din 30 noiembrie 2009 privind produsele cosmetice (JO L 342 22.12.2009, p. 59).</w:t>
      </w:r>
    </w:p>
  </w:footnote>
  <w:footnote w:id="2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Directiva 2009/48/CE a Parlamentului European și a Consiliului din 18 iunie 2009 privind siguranța jucăriilor (JO L 170, 30.6.2009, p. 1).</w:t>
      </w:r>
    </w:p>
  </w:footnote>
  <w:footnote w:id="2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în particular Directiva 98/24/CE a Consiliului din 7 aprilie 1998 privind protecția sănătății și securității lucrătorilor împotriva riscurilor legate de prezența agenților chimici la locul de muncă (JO L 131, 5.5.1998, p. 11) și Directiva 2004/37/CE a Parlamentului European și a Consiliului din 29 aprilie 2004 privind protecția lucrătorilor împotriva riscurilor legate de expunerea la agenți cancerigeni sau mutageni la locul de muncă (JO L 158, 30.4.2004, p. 50).</w:t>
      </w:r>
    </w:p>
  </w:footnote>
  <w:footnote w:id="3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Regulamentul delegat (UE) 2017/2100 al Comisiei (JO L 301, 17.11.17, p.1) și Regulamentul (UE) 2018/605 al Comisiei (JO L 101, 20.4.2018, p. 33).</w:t>
      </w:r>
    </w:p>
  </w:footnote>
  <w:footnote w:id="3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i/>
        </w:rPr>
        <w:t>Lista substanțelor autorizate</w:t>
      </w:r>
      <w:r>
        <w:rPr>
          <w:rFonts w:ascii="Times New Roman" w:hAnsi="Times New Roman"/>
        </w:rPr>
        <w:t xml:space="preserve"> din anexa XIV la REACH – substanțele în cauză sunt, de exemplu, anumiți ftalați, etoxilați de nonilfenol și de octilfenol.</w:t>
      </w:r>
    </w:p>
  </w:footnote>
  <w:footnote w:id="3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Mai multe informații privind </w:t>
      </w:r>
      <w:r>
        <w:rPr>
          <w:rFonts w:ascii="Times New Roman" w:hAnsi="Times New Roman"/>
          <w:i/>
        </w:rPr>
        <w:t>lista substanțelor candidate</w:t>
      </w:r>
      <w:r>
        <w:rPr>
          <w:rFonts w:ascii="Times New Roman" w:hAnsi="Times New Roman"/>
        </w:rPr>
        <w:t xml:space="preserve"> sunt disponibile pe</w:t>
      </w:r>
      <w:r>
        <w:t xml:space="preserve"> </w:t>
      </w:r>
      <w:hyperlink r:id="rId20">
        <w:r>
          <w:rPr>
            <w:rStyle w:val="Hyperlink"/>
            <w:rFonts w:ascii="Times New Roman" w:hAnsi="Times New Roman"/>
          </w:rPr>
          <w:t>site-ul de internet</w:t>
        </w:r>
      </w:hyperlink>
      <w:r>
        <w:t xml:space="preserve"> </w:t>
      </w:r>
      <w:r>
        <w:rPr>
          <w:rFonts w:ascii="Times New Roman" w:hAnsi="Times New Roman"/>
        </w:rPr>
        <w:t>al Agenției Europene pentru Produse Chimice.</w:t>
      </w:r>
    </w:p>
  </w:footnote>
  <w:footnote w:id="3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anexa XVII la REACH.</w:t>
      </w:r>
    </w:p>
  </w:footnote>
  <w:footnote w:id="3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Comitetul REACH, compus din experți din partea tuturor statelor membre,</w:t>
      </w:r>
      <w:r>
        <w:t xml:space="preserve"> </w:t>
      </w:r>
      <w:hyperlink r:id="rId21">
        <w:r>
          <w:rPr>
            <w:rStyle w:val="Hyperlink"/>
            <w:rFonts w:ascii="Times New Roman" w:hAnsi="Times New Roman"/>
          </w:rPr>
          <w:t>a susținut</w:t>
        </w:r>
      </w:hyperlink>
      <w:r>
        <w:t xml:space="preserve"> </w:t>
      </w:r>
      <w:r>
        <w:rPr>
          <w:rFonts w:ascii="Times New Roman" w:hAnsi="Times New Roman"/>
        </w:rPr>
        <w:t xml:space="preserve">propunerea de măsuri în unanimitate, la 11 iulie 2018. </w:t>
      </w:r>
    </w:p>
  </w:footnote>
  <w:footnote w:id="3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Bis(2-etilhexil) ftalat, </w:t>
      </w:r>
      <w:hyperlink r:id="rId22">
        <w:r>
          <w:rPr>
            <w:rFonts w:ascii="Times New Roman" w:hAnsi="Times New Roman"/>
          </w:rPr>
          <w:t>benzil butil ftalat</w:t>
        </w:r>
      </w:hyperlink>
      <w:r>
        <w:rPr>
          <w:rFonts w:ascii="Times New Roman" w:hAnsi="Times New Roman"/>
        </w:rPr>
        <w:t>, di-n-butilftalat, di-izo-butilftalat.</w:t>
      </w:r>
    </w:p>
  </w:footnote>
  <w:footnote w:id="3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Cum ar fi difenileter bromurat, bis-(2-etilhexil) ftalat și compuși de tributilstaniu.</w:t>
      </w:r>
    </w:p>
  </w:footnote>
  <w:footnote w:id="3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Directiva 2013/39/UE a Parlamentului European și a Consiliului din 12 august 2013 de modificare a Directivelor 2000/60/CE și 2008/105/CE în ceea ce privește substanțele prioritare din domeniul politicii apei (JO L 226, 24.8.2013, p. 1).</w:t>
      </w:r>
    </w:p>
  </w:footnote>
  <w:footnote w:id="3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Style w:val="Strong"/>
          <w:rFonts w:ascii="Times New Roman" w:hAnsi="Times New Roman"/>
          <w:b w:val="0"/>
        </w:rPr>
        <w:t xml:space="preserve">Decizia de punere în aplicare (UE) 2018/840 a Comisiei (JO L 141, 7.6.2018, p. 9). Substanțele sunt: </w:t>
      </w:r>
      <w:r>
        <w:rPr>
          <w:rFonts w:ascii="Times New Roman" w:hAnsi="Times New Roman"/>
        </w:rPr>
        <w:t>17-alfa-etinilestradiol (EE2), 17-beta-estradiol (E2) și estronă (E1).</w:t>
      </w:r>
      <w:r>
        <w:rPr>
          <w:rStyle w:val="Strong"/>
          <w:rFonts w:ascii="Times New Roman" w:hAnsi="Times New Roman"/>
          <w:b w:val="0"/>
        </w:rPr>
        <w:t xml:space="preserve"> </w:t>
      </w:r>
    </w:p>
  </w:footnote>
  <w:footnote w:id="3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Regulamentul (UE) nr. 10/2011 al Comisiei (JO L 12, 15.1.2011, p. 1) și Regulamentul (UE) 2018/213 al Comisiei (JO L 41, 14.2.2018, p. 6).</w:t>
      </w:r>
    </w:p>
  </w:footnote>
  <w:footnote w:id="4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Directiva (UE) 2017/898 a Comisiei (JO L 138, 25.5.2017, p. 128).</w:t>
      </w:r>
    </w:p>
  </w:footnote>
  <w:footnote w:id="4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Regulamentul (UE) 2016/2235 al Comisiei (JO L 337, 13.12.2016, p. 3).</w:t>
      </w:r>
    </w:p>
  </w:footnote>
  <w:footnote w:id="4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Directivele 2009/161/UE (JO L 338, 19.12.2009, p. 87) și (UE) 2017/164 (JO L 27, 1.2.2017, p. 115) ale Comisiei. Cea mai recentă revizuire se bazează pe recomandarea din 2014 a Comitetului științific pentru stabilirea valorilor-limită de expunere profesională la agenți chimici (SCOEL/SUM/113).</w:t>
      </w:r>
    </w:p>
  </w:footnote>
  <w:footnote w:id="4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Unii dintre așa-numiții „parabeni”, prin Regulamentul (UE) nr. 358/2014 al Comisiei (JO L 107, 10.4.2014, p. 5) și prin Regulamentul (UE) nr. 1004/2014 al Comisiei (JO L 282, 26.9.2014, p. 5).</w:t>
      </w:r>
    </w:p>
  </w:footnote>
  <w:footnote w:id="4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3-Benziliden camfor – Regulamentul (UE) 2015/1298 al Comisiei (JO L 199, 29.7.2015, p. 22), în urma avizului Comitetului științific pentru siguranța consumatorilor SCCS/1513/13.</w:t>
      </w:r>
    </w:p>
  </w:footnote>
  <w:footnote w:id="4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Fișele cu date de securitate sunt documente furnizate utilizatorilor din aval care includ informații referitoare la proprietățile substanțelor și ale amestecurilor. A se vedea revizuirea Regulamentului REACH [COM (2018)116].</w:t>
      </w:r>
    </w:p>
  </w:footnote>
  <w:footnote w:id="4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COM(2018) 179. </w:t>
      </w:r>
    </w:p>
  </w:footnote>
  <w:footnote w:id="4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COM(2018) 28 și COM(2018) 32 – consecutivă Planului de acțiune al UE pentru economia circulară COM(2015) 614.</w:t>
      </w:r>
    </w:p>
  </w:footnote>
  <w:footnote w:id="48">
    <w:p>
      <w:pPr>
        <w:pStyle w:val="FootnoteText"/>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COM(2017) 753. </w:t>
      </w:r>
    </w:p>
  </w:footnote>
  <w:footnote w:id="49">
    <w:p>
      <w:pPr>
        <w:pStyle w:val="FootnoteText"/>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Beta-estradiol; nonilfenol; bisfenol A.</w:t>
      </w:r>
    </w:p>
  </w:footnote>
  <w:footnote w:id="5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COM(2018) 183.</w:t>
      </w:r>
    </w:p>
  </w:footnote>
  <w:footnote w:id="5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particular, propunerea Comisiei de Regulament privind respectarea și asigurarea aplicării legislației [COM (2017)795].</w:t>
      </w:r>
    </w:p>
  </w:footnote>
  <w:footnote w:id="5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 acțiune de supraveghere a pieței coordonată de Forumul de asigurare a respectării legislației al Agenției Europene pentru Produse Chimice din 2018 (Proiect de raport Forum REF-4 –</w:t>
      </w:r>
      <w:r>
        <w:t xml:space="preserve"> </w:t>
      </w:r>
      <w:hyperlink r:id="rId23">
        <w:r>
          <w:rPr>
            <w:rStyle w:val="Hyperlink"/>
            <w:rFonts w:ascii="Times New Roman" w:hAnsi="Times New Roman"/>
          </w:rPr>
          <w:t>Proiect de asigurare armonizată a respectării legislației în ceea ce privește restricțiile</w:t>
        </w:r>
      </w:hyperlink>
      <w:r>
        <w:t xml:space="preserve"> </w:t>
      </w:r>
      <w:r>
        <w:rPr>
          <w:rFonts w:ascii="Times New Roman" w:hAnsi="Times New Roman"/>
        </w:rPr>
        <w:t xml:space="preserve">ECHA-18-R-03-EN) a relevat că 19,7 % dintre jucăriile inspectate și 3,6 % dintre articolele de îngrijire a copiilor inspectate (în principal provenite din afara Spațiului Economic European sau de origine necunoscută) conțineau niveluri de ftalați care nu respectau legislația. În 2017, peste 170 de notificări referitoare la produse neconforme în ceea ce privește ftalații au fost schimbate între statele membre prin intermediul Sistemului de alertă rapidă pentru produse nealimentare periculoase. </w:t>
      </w:r>
    </w:p>
  </w:footnote>
  <w:footnote w:id="5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Potrivit celor menționate mai sus, criteriile de identificare a perturbatorilor endocrini în conformitate cu legislația privind pesticidele și biocidele se bazează pe definiția stabilită de Organizația Mondială a Sănătății.</w:t>
      </w:r>
    </w:p>
  </w:footnote>
  <w:footnote w:id="5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Acesta a fost, de exemplu, cazul atunci când au fost elaborate criterii de identificare a perturbatorilor endocrini în temeiul legislației privind pesticidele și biocidele.</w:t>
      </w:r>
    </w:p>
  </w:footnote>
  <w:footnote w:id="5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SUA, Agenția de Protecție a Mediului derulează programul de depistare a perturbatorilor endocrini. În Japonia, Ministerul Sănătății, Muncii și Bunăstării a instituit un Comitet pentru efectele asupra sănătății ale perturbatorilor endocrini.</w:t>
      </w:r>
    </w:p>
  </w:footnote>
  <w:footnote w:id="5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Articolul 1 alineatul (4) din Regulamentul (CE) nr. 1107/2009 și articolul 1 alineatul (1) din Regulamentul (UE) nr. 528/2012.</w:t>
      </w:r>
    </w:p>
  </w:footnote>
  <w:footnote w:id="5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Cum ar fi </w:t>
      </w:r>
      <w:hyperlink r:id="rId24">
        <w:r>
          <w:rPr>
            <w:rStyle w:val="Hyperlink"/>
            <w:rFonts w:ascii="Times New Roman" w:hAnsi="Times New Roman"/>
          </w:rPr>
          <w:t>evaluarea REACH REFIT</w:t>
        </w:r>
      </w:hyperlink>
      <w:r>
        <w:rPr>
          <w:rFonts w:ascii="Times New Roman" w:hAnsi="Times New Roman"/>
        </w:rPr>
        <w:t xml:space="preserve">, </w:t>
      </w:r>
      <w:hyperlink r:id="rId25">
        <w:r>
          <w:rPr>
            <w:rStyle w:val="Hyperlink"/>
            <w:rFonts w:ascii="Times New Roman" w:hAnsi="Times New Roman"/>
          </w:rPr>
          <w:t>revizuirea REACH în ceea ce privește calea de autorizare a substanțelor cu proprietăți de perturbare a sistemului endocrin în conformitate cu articolul 138 alineatul (7) din REACH,</w:t>
        </w:r>
      </w:hyperlink>
      <w:r>
        <w:rPr>
          <w:rFonts w:ascii="Times New Roman" w:hAnsi="Times New Roman"/>
        </w:rPr>
        <w:t xml:space="preserve"> </w:t>
      </w:r>
      <w:hyperlink r:id="rId26">
        <w:r>
          <w:rPr>
            <w:rStyle w:val="Hyperlink"/>
            <w:rFonts w:ascii="Times New Roman" w:hAnsi="Times New Roman"/>
          </w:rPr>
          <w:t>verificarea adecvării legislației privind substanțele chimice</w:t>
        </w:r>
      </w:hyperlink>
      <w:r>
        <w:rPr>
          <w:rFonts w:ascii="Times New Roman" w:hAnsi="Times New Roman"/>
        </w:rPr>
        <w:t xml:space="preserve">, </w:t>
      </w:r>
      <w:hyperlink r:id="rId27">
        <w:r>
          <w:rPr>
            <w:rStyle w:val="Hyperlink"/>
            <w:rFonts w:ascii="Times New Roman" w:hAnsi="Times New Roman"/>
          </w:rPr>
          <w:t>evaluarea cadrului juridic privind pesticidele</w:t>
        </w:r>
      </w:hyperlink>
      <w:r>
        <w:rPr>
          <w:rFonts w:ascii="Times New Roman" w:hAnsi="Times New Roman"/>
        </w:rPr>
        <w:t xml:space="preserve">, </w:t>
      </w:r>
      <w:hyperlink r:id="rId28">
        <w:r>
          <w:rPr>
            <w:rStyle w:val="Hyperlink"/>
            <w:rFonts w:ascii="Times New Roman" w:hAnsi="Times New Roman"/>
          </w:rPr>
          <w:t>evaluarea celui de-al 7-lea Program de acțiune privind mediul</w:t>
        </w:r>
      </w:hyperlink>
      <w:r>
        <w:rPr>
          <w:rStyle w:val="Hyperlink"/>
          <w:rFonts w:ascii="Times New Roman" w:hAnsi="Times New Roman"/>
        </w:rPr>
        <w:t xml:space="preserve">, </w:t>
      </w:r>
      <w:hyperlink r:id="rId29" w:anchor="scope_of_the_fitness_check">
        <w:r>
          <w:rPr>
            <w:rStyle w:val="Hyperlink"/>
            <w:rFonts w:ascii="Times New Roman" w:hAnsi="Times New Roman"/>
          </w:rPr>
          <w:t>verificarea adecvării legislației privind apa</w:t>
        </w:r>
      </w:hyperlink>
      <w:r>
        <w:rPr>
          <w:rFonts w:ascii="Times New Roman" w:hAnsi="Times New Roman"/>
        </w:rPr>
        <w:t xml:space="preserve">, </w:t>
      </w:r>
      <w:hyperlink r:id="rId30">
        <w:r>
          <w:rPr>
            <w:rStyle w:val="Hyperlink"/>
            <w:rFonts w:ascii="Times New Roman" w:hAnsi="Times New Roman"/>
          </w:rPr>
          <w:t>evaluarea legislației privind materialele care intră în contact cu alimentele</w:t>
        </w:r>
      </w:hyperlink>
      <w:r>
        <w:rPr>
          <w:rStyle w:val="Hyperlink"/>
          <w:rFonts w:ascii="Times New Roman" w:hAnsi="Times New Roman"/>
          <w:u w:val="none"/>
        </w:rPr>
        <w:t xml:space="preserve"> </w:t>
      </w:r>
      <w:r>
        <w:rPr>
          <w:rFonts w:ascii="Times New Roman" w:hAnsi="Times New Roman"/>
        </w:rPr>
        <w:t>și</w:t>
      </w:r>
      <w:r>
        <w:rPr>
          <w:rStyle w:val="Hyperlink"/>
          <w:rFonts w:ascii="Times New Roman" w:hAnsi="Times New Roman"/>
          <w:u w:val="none"/>
        </w:rPr>
        <w:t xml:space="preserve"> </w:t>
      </w:r>
      <w:hyperlink r:id="rId31">
        <w:r>
          <w:rPr>
            <w:rStyle w:val="Hyperlink"/>
            <w:rFonts w:ascii="Times New Roman" w:hAnsi="Times New Roman"/>
          </w:rPr>
          <w:t>evaluarea legislației privind siguranța jucăriilor</w:t>
        </w:r>
      </w:hyperlink>
      <w:r>
        <w:rPr>
          <w:rStyle w:val="Hyperlink"/>
          <w:rFonts w:ascii="Times New Roman" w:hAnsi="Times New Roman"/>
          <w:color w:val="auto"/>
          <w:u w:val="none"/>
        </w:rPr>
        <w:t>.</w:t>
      </w:r>
    </w:p>
  </w:footnote>
  <w:footnote w:id="5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COM(2018) 435 și COM(2018) 436 – a se vedea în particular, în al doilea pilon intitulat „Provocările globale și competitivitatea industrială”, clusterul „Sănătate” (cu un buget propus de 7,7 miliarde EUR) și clusterul „Acțiuni nenucleare directe ale Centrului Comun de Cercetare ” (cu un buget propus de 2,2 miliarde EUR).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87EFB"/>
    <w:multiLevelType w:val="hybridMultilevel"/>
    <w:tmpl w:val="54DE3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674308"/>
    <w:multiLevelType w:val="hybridMultilevel"/>
    <w:tmpl w:val="923473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5AB0FCE"/>
    <w:multiLevelType w:val="hybridMultilevel"/>
    <w:tmpl w:val="21869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9D47D0"/>
    <w:multiLevelType w:val="hybridMultilevel"/>
    <w:tmpl w:val="9758A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B453E2"/>
    <w:multiLevelType w:val="hybridMultilevel"/>
    <w:tmpl w:val="0FD84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0E43A7"/>
    <w:multiLevelType w:val="hybridMultilevel"/>
    <w:tmpl w:val="34CE3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284A8B"/>
    <w:multiLevelType w:val="hybridMultilevel"/>
    <w:tmpl w:val="D316A51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03053C"/>
    <w:multiLevelType w:val="hybridMultilevel"/>
    <w:tmpl w:val="DB96C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76E1813"/>
    <w:multiLevelType w:val="hybridMultilevel"/>
    <w:tmpl w:val="9A02C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1B398A"/>
    <w:multiLevelType w:val="hybridMultilevel"/>
    <w:tmpl w:val="45F40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F192AD9"/>
    <w:multiLevelType w:val="hybridMultilevel"/>
    <w:tmpl w:val="E2E05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751032F"/>
    <w:multiLevelType w:val="hybridMultilevel"/>
    <w:tmpl w:val="ACACE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88F3ACB"/>
    <w:multiLevelType w:val="hybridMultilevel"/>
    <w:tmpl w:val="70527EBE"/>
    <w:lvl w:ilvl="0" w:tplc="AAA4D3A6">
      <w:start w:val="1"/>
      <w:numFmt w:val="bullet"/>
      <w:lvlText w:val=""/>
      <w:lvlJc w:val="left"/>
      <w:pPr>
        <w:tabs>
          <w:tab w:val="num" w:pos="720"/>
        </w:tabs>
        <w:ind w:left="720" w:hanging="360"/>
      </w:pPr>
      <w:rPr>
        <w:rFonts w:ascii="Wingdings" w:hAnsi="Wingdings" w:hint="default"/>
      </w:rPr>
    </w:lvl>
    <w:lvl w:ilvl="1" w:tplc="3462086C">
      <w:start w:val="1470"/>
      <w:numFmt w:val="bullet"/>
      <w:lvlText w:val=""/>
      <w:lvlJc w:val="left"/>
      <w:pPr>
        <w:tabs>
          <w:tab w:val="num" w:pos="1440"/>
        </w:tabs>
        <w:ind w:left="1440" w:hanging="360"/>
      </w:pPr>
      <w:rPr>
        <w:rFonts w:ascii="Wingdings" w:hAnsi="Wingdings" w:hint="default"/>
      </w:rPr>
    </w:lvl>
    <w:lvl w:ilvl="2" w:tplc="6B949A7A" w:tentative="1">
      <w:start w:val="1"/>
      <w:numFmt w:val="bullet"/>
      <w:lvlText w:val=""/>
      <w:lvlJc w:val="left"/>
      <w:pPr>
        <w:tabs>
          <w:tab w:val="num" w:pos="2160"/>
        </w:tabs>
        <w:ind w:left="2160" w:hanging="360"/>
      </w:pPr>
      <w:rPr>
        <w:rFonts w:ascii="Wingdings" w:hAnsi="Wingdings" w:hint="default"/>
      </w:rPr>
    </w:lvl>
    <w:lvl w:ilvl="3" w:tplc="DED2A64E" w:tentative="1">
      <w:start w:val="1"/>
      <w:numFmt w:val="bullet"/>
      <w:lvlText w:val=""/>
      <w:lvlJc w:val="left"/>
      <w:pPr>
        <w:tabs>
          <w:tab w:val="num" w:pos="2880"/>
        </w:tabs>
        <w:ind w:left="2880" w:hanging="360"/>
      </w:pPr>
      <w:rPr>
        <w:rFonts w:ascii="Wingdings" w:hAnsi="Wingdings" w:hint="default"/>
      </w:rPr>
    </w:lvl>
    <w:lvl w:ilvl="4" w:tplc="AF967F94" w:tentative="1">
      <w:start w:val="1"/>
      <w:numFmt w:val="bullet"/>
      <w:lvlText w:val=""/>
      <w:lvlJc w:val="left"/>
      <w:pPr>
        <w:tabs>
          <w:tab w:val="num" w:pos="3600"/>
        </w:tabs>
        <w:ind w:left="3600" w:hanging="360"/>
      </w:pPr>
      <w:rPr>
        <w:rFonts w:ascii="Wingdings" w:hAnsi="Wingdings" w:hint="default"/>
      </w:rPr>
    </w:lvl>
    <w:lvl w:ilvl="5" w:tplc="CBDAEC8A" w:tentative="1">
      <w:start w:val="1"/>
      <w:numFmt w:val="bullet"/>
      <w:lvlText w:val=""/>
      <w:lvlJc w:val="left"/>
      <w:pPr>
        <w:tabs>
          <w:tab w:val="num" w:pos="4320"/>
        </w:tabs>
        <w:ind w:left="4320" w:hanging="360"/>
      </w:pPr>
      <w:rPr>
        <w:rFonts w:ascii="Wingdings" w:hAnsi="Wingdings" w:hint="default"/>
      </w:rPr>
    </w:lvl>
    <w:lvl w:ilvl="6" w:tplc="1BAC0308" w:tentative="1">
      <w:start w:val="1"/>
      <w:numFmt w:val="bullet"/>
      <w:lvlText w:val=""/>
      <w:lvlJc w:val="left"/>
      <w:pPr>
        <w:tabs>
          <w:tab w:val="num" w:pos="5040"/>
        </w:tabs>
        <w:ind w:left="5040" w:hanging="360"/>
      </w:pPr>
      <w:rPr>
        <w:rFonts w:ascii="Wingdings" w:hAnsi="Wingdings" w:hint="default"/>
      </w:rPr>
    </w:lvl>
    <w:lvl w:ilvl="7" w:tplc="B1164B5E" w:tentative="1">
      <w:start w:val="1"/>
      <w:numFmt w:val="bullet"/>
      <w:lvlText w:val=""/>
      <w:lvlJc w:val="left"/>
      <w:pPr>
        <w:tabs>
          <w:tab w:val="num" w:pos="5760"/>
        </w:tabs>
        <w:ind w:left="5760" w:hanging="360"/>
      </w:pPr>
      <w:rPr>
        <w:rFonts w:ascii="Wingdings" w:hAnsi="Wingdings" w:hint="default"/>
      </w:rPr>
    </w:lvl>
    <w:lvl w:ilvl="8" w:tplc="EA58D078" w:tentative="1">
      <w:start w:val="1"/>
      <w:numFmt w:val="bullet"/>
      <w:lvlText w:val=""/>
      <w:lvlJc w:val="left"/>
      <w:pPr>
        <w:tabs>
          <w:tab w:val="num" w:pos="6480"/>
        </w:tabs>
        <w:ind w:left="6480" w:hanging="360"/>
      </w:pPr>
      <w:rPr>
        <w:rFonts w:ascii="Wingdings" w:hAnsi="Wingdings" w:hint="default"/>
      </w:rPr>
    </w:lvl>
  </w:abstractNum>
  <w:abstractNum w:abstractNumId="13">
    <w:nsid w:val="2B627953"/>
    <w:multiLevelType w:val="hybridMultilevel"/>
    <w:tmpl w:val="275A2A5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30D47568"/>
    <w:multiLevelType w:val="hybridMultilevel"/>
    <w:tmpl w:val="F4027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15252C2"/>
    <w:multiLevelType w:val="hybridMultilevel"/>
    <w:tmpl w:val="C3148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21B03FF"/>
    <w:multiLevelType w:val="hybridMultilevel"/>
    <w:tmpl w:val="EEF49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2A816BE"/>
    <w:multiLevelType w:val="hybridMultilevel"/>
    <w:tmpl w:val="3ADC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8670DED"/>
    <w:multiLevelType w:val="hybridMultilevel"/>
    <w:tmpl w:val="30DA83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9">
    <w:nsid w:val="397E6284"/>
    <w:multiLevelType w:val="hybridMultilevel"/>
    <w:tmpl w:val="62A851A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nsid w:val="40D15103"/>
    <w:multiLevelType w:val="hybridMultilevel"/>
    <w:tmpl w:val="71D0AF8C"/>
    <w:lvl w:ilvl="0" w:tplc="804EC7E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18D736E"/>
    <w:multiLevelType w:val="hybridMultilevel"/>
    <w:tmpl w:val="0DACD3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52569CB"/>
    <w:multiLevelType w:val="hybridMultilevel"/>
    <w:tmpl w:val="E2243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C4E7F41"/>
    <w:multiLevelType w:val="hybridMultilevel"/>
    <w:tmpl w:val="4AA06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E9D2DC0"/>
    <w:multiLevelType w:val="hybridMultilevel"/>
    <w:tmpl w:val="B2005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FEA1A03"/>
    <w:multiLevelType w:val="hybridMultilevel"/>
    <w:tmpl w:val="8084B1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0FE712C"/>
    <w:multiLevelType w:val="hybridMultilevel"/>
    <w:tmpl w:val="096A6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1184BAD"/>
    <w:multiLevelType w:val="hybridMultilevel"/>
    <w:tmpl w:val="E4760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3843070"/>
    <w:multiLevelType w:val="hybridMultilevel"/>
    <w:tmpl w:val="E042D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52D74C5"/>
    <w:multiLevelType w:val="hybridMultilevel"/>
    <w:tmpl w:val="0ACCA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566665F"/>
    <w:multiLevelType w:val="hybridMultilevel"/>
    <w:tmpl w:val="48F2F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C672B21"/>
    <w:multiLevelType w:val="hybridMultilevel"/>
    <w:tmpl w:val="74CE6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CD81625"/>
    <w:multiLevelType w:val="hybridMultilevel"/>
    <w:tmpl w:val="731C8FDC"/>
    <w:lvl w:ilvl="0" w:tplc="164810D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D512D82"/>
    <w:multiLevelType w:val="multilevel"/>
    <w:tmpl w:val="E2602438"/>
    <w:lvl w:ilvl="0">
      <w:numFmt w:val="bullet"/>
      <w:lvlText w:val="•"/>
      <w:lvlJc w:val="left"/>
      <w:pPr>
        <w:ind w:left="720" w:hanging="360"/>
      </w:pPr>
      <w:rPr>
        <w:rFonts w:ascii="Times New Roman" w:eastAsiaTheme="minorHAns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5F272443"/>
    <w:multiLevelType w:val="hybridMultilevel"/>
    <w:tmpl w:val="B8D20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FC1398A"/>
    <w:multiLevelType w:val="hybridMultilevel"/>
    <w:tmpl w:val="3030F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0AA3151"/>
    <w:multiLevelType w:val="multilevel"/>
    <w:tmpl w:val="4A4A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47E00AB"/>
    <w:multiLevelType w:val="hybridMultilevel"/>
    <w:tmpl w:val="BD7E1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6965F2D"/>
    <w:multiLevelType w:val="hybridMultilevel"/>
    <w:tmpl w:val="0A384E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8D87945"/>
    <w:multiLevelType w:val="hybridMultilevel"/>
    <w:tmpl w:val="59A6D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A883456"/>
    <w:multiLevelType w:val="hybridMultilevel"/>
    <w:tmpl w:val="EAE4B724"/>
    <w:lvl w:ilvl="0" w:tplc="08090005">
      <w:start w:val="1"/>
      <w:numFmt w:val="bullet"/>
      <w:lvlText w:val=""/>
      <w:lvlJc w:val="left"/>
      <w:pPr>
        <w:ind w:left="2880" w:hanging="360"/>
      </w:pPr>
      <w:rPr>
        <w:rFonts w:ascii="Wingdings" w:hAnsi="Wingdings"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1">
    <w:nsid w:val="7042762F"/>
    <w:multiLevelType w:val="hybridMultilevel"/>
    <w:tmpl w:val="6C3CDA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nsid w:val="74A408AE"/>
    <w:multiLevelType w:val="hybridMultilevel"/>
    <w:tmpl w:val="44B8B4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nsid w:val="764B79B6"/>
    <w:multiLevelType w:val="hybridMultilevel"/>
    <w:tmpl w:val="2FE82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8C332FF"/>
    <w:multiLevelType w:val="hybridMultilevel"/>
    <w:tmpl w:val="4640786A"/>
    <w:lvl w:ilvl="0" w:tplc="08090003">
      <w:start w:val="1"/>
      <w:numFmt w:val="bullet"/>
      <w:lvlText w:val="o"/>
      <w:lvlJc w:val="left"/>
      <w:pPr>
        <w:ind w:left="1440" w:hanging="360"/>
      </w:pPr>
      <w:rPr>
        <w:rFonts w:ascii="Courier New" w:hAnsi="Courier New" w:cs="Courier New" w:hint="default"/>
      </w:rPr>
    </w:lvl>
    <w:lvl w:ilvl="1" w:tplc="08090005">
      <w:start w:val="1"/>
      <w:numFmt w:val="bullet"/>
      <w:lvlText w:val=""/>
      <w:lvlJc w:val="left"/>
      <w:pPr>
        <w:ind w:left="2160" w:hanging="360"/>
      </w:pPr>
      <w:rPr>
        <w:rFonts w:ascii="Wingdings" w:hAnsi="Wingdings"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nsid w:val="7D4C2FBA"/>
    <w:multiLevelType w:val="hybridMultilevel"/>
    <w:tmpl w:val="F356B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D89447D"/>
    <w:multiLevelType w:val="hybridMultilevel"/>
    <w:tmpl w:val="9166A0E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nsid w:val="7DF60C94"/>
    <w:multiLevelType w:val="hybridMultilevel"/>
    <w:tmpl w:val="B7746B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nsid w:val="7F890063"/>
    <w:multiLevelType w:val="hybridMultilevel"/>
    <w:tmpl w:val="EE54B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5"/>
  </w:num>
  <w:num w:numId="2">
    <w:abstractNumId w:val="41"/>
  </w:num>
  <w:num w:numId="3">
    <w:abstractNumId w:val="42"/>
  </w:num>
  <w:num w:numId="4">
    <w:abstractNumId w:val="5"/>
  </w:num>
  <w:num w:numId="5">
    <w:abstractNumId w:val="23"/>
  </w:num>
  <w:num w:numId="6">
    <w:abstractNumId w:val="38"/>
  </w:num>
  <w:num w:numId="7">
    <w:abstractNumId w:val="18"/>
  </w:num>
  <w:num w:numId="8">
    <w:abstractNumId w:val="46"/>
  </w:num>
  <w:num w:numId="9">
    <w:abstractNumId w:val="16"/>
  </w:num>
  <w:num w:numId="10">
    <w:abstractNumId w:val="4"/>
  </w:num>
  <w:num w:numId="11">
    <w:abstractNumId w:val="44"/>
  </w:num>
  <w:num w:numId="12">
    <w:abstractNumId w:val="29"/>
  </w:num>
  <w:num w:numId="13">
    <w:abstractNumId w:val="12"/>
  </w:num>
  <w:num w:numId="14">
    <w:abstractNumId w:val="39"/>
  </w:num>
  <w:num w:numId="15">
    <w:abstractNumId w:val="10"/>
  </w:num>
  <w:num w:numId="16">
    <w:abstractNumId w:val="17"/>
  </w:num>
  <w:num w:numId="17">
    <w:abstractNumId w:val="20"/>
  </w:num>
  <w:num w:numId="18">
    <w:abstractNumId w:val="45"/>
  </w:num>
  <w:num w:numId="19">
    <w:abstractNumId w:val="11"/>
  </w:num>
  <w:num w:numId="20">
    <w:abstractNumId w:val="1"/>
  </w:num>
  <w:num w:numId="21">
    <w:abstractNumId w:val="40"/>
  </w:num>
  <w:num w:numId="22">
    <w:abstractNumId w:val="6"/>
  </w:num>
  <w:num w:numId="23">
    <w:abstractNumId w:val="15"/>
  </w:num>
  <w:num w:numId="24">
    <w:abstractNumId w:val="34"/>
  </w:num>
  <w:num w:numId="25">
    <w:abstractNumId w:val="36"/>
  </w:num>
  <w:num w:numId="26">
    <w:abstractNumId w:val="48"/>
  </w:num>
  <w:num w:numId="27">
    <w:abstractNumId w:val="21"/>
  </w:num>
  <w:num w:numId="28">
    <w:abstractNumId w:val="30"/>
  </w:num>
  <w:num w:numId="29">
    <w:abstractNumId w:val="33"/>
  </w:num>
  <w:num w:numId="30">
    <w:abstractNumId w:val="9"/>
  </w:num>
  <w:num w:numId="31">
    <w:abstractNumId w:val="8"/>
  </w:num>
  <w:num w:numId="32">
    <w:abstractNumId w:val="22"/>
  </w:num>
  <w:num w:numId="33">
    <w:abstractNumId w:val="3"/>
  </w:num>
  <w:num w:numId="34">
    <w:abstractNumId w:val="14"/>
  </w:num>
  <w:num w:numId="35">
    <w:abstractNumId w:val="24"/>
  </w:num>
  <w:num w:numId="36">
    <w:abstractNumId w:val="37"/>
  </w:num>
  <w:num w:numId="37">
    <w:abstractNumId w:val="28"/>
  </w:num>
  <w:num w:numId="38">
    <w:abstractNumId w:val="43"/>
  </w:num>
  <w:num w:numId="39">
    <w:abstractNumId w:val="0"/>
  </w:num>
  <w:num w:numId="40">
    <w:abstractNumId w:val="35"/>
  </w:num>
  <w:num w:numId="41">
    <w:abstractNumId w:val="26"/>
  </w:num>
  <w:num w:numId="42">
    <w:abstractNumId w:val="31"/>
  </w:num>
  <w:num w:numId="43">
    <w:abstractNumId w:val="32"/>
  </w:num>
  <w:num w:numId="44">
    <w:abstractNumId w:val="13"/>
  </w:num>
  <w:num w:numId="45">
    <w:abstractNumId w:val="19"/>
  </w:num>
  <w:num w:numId="46">
    <w:abstractNumId w:val="2"/>
  </w:num>
  <w:num w:numId="47">
    <w:abstractNumId w:val="7"/>
  </w:num>
  <w:num w:numId="48">
    <w:abstractNumId w:val="47"/>
  </w:num>
  <w:num w:numId="49">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RLUCCI Francesco Felice (SG)">
    <w15:presenceInfo w15:providerId="None" w15:userId="CARLUCCI Francesco Felice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hideSpellingErrors/>
  <w:hideGrammaticalErrors/>
  <w:revisionView w:markup="0"/>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16EB476B-7C71-413F-A63B-F8EC9065E95D"/>
    <w:docVar w:name="LW_COVERPAGE_TYPE" w:val="1"/>
    <w:docVar w:name="LW_CROSSREFERENCE" w:val="&lt;UNUSED&gt;"/>
    <w:docVar w:name="LW_DATE.ADOPT.CP_ISODATE" w:val="&lt;EMPTY&gt;"/>
    <w:docVar w:name="LW_DocType" w:val="NORMAL"/>
    <w:docVar w:name="LW_EMISSION" w:val="7.11.2018"/>
    <w:docVar w:name="LW_EMISSION_ISODATE" w:val="2018-11-07"/>
    <w:docVar w:name="LW_EMISSION_LOCATION" w:val="BRX"/>
    <w:docVar w:name="LW_EMISSION_PREFIX" w:val="Bruxelles, "/>
    <w:docVar w:name="LW_EMISSION_SUFFIX" w:val=" "/>
    <w:docVar w:name="LW_ID_DOCTYPE_NONLW" w:val="CP-014"/>
    <w:docVar w:name="LW_INTERETEEE.CP" w:val="&lt;UNUSED&gt;"/>
    <w:docVar w:name="LW_LANGUE" w:val="RO"/>
    <w:docVar w:name="LW_LANGUESFAISANTFOI.CP" w:val="&lt;UNUSED&gt;"/>
    <w:docVar w:name="LW_LEVEL_OF_SENSITIVITY" w:val="Standard treatment"/>
    <w:docVar w:name="LW_NOM.INST" w:val="COMISIA EUROPEAN\u258?"/>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7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Spre un cadru european mai cuprinz\u259?tor privind perturbatorii endocrini"/>
    <w:docVar w:name="LW_TYPE.DOC.CP" w:val="COMUNICARE A COMISIEI C\u258?TRE PARLAMENTUL EUROPEAN, CONSILIU, COMITETUL ECONOMIC \u536?I SOCIAL EUROPEAN \u536?I COMITETUL REGIUNILOR"/>
    <w:docVar w:name="LW_TYPE.DOC.CP.USERTEXT" w:val="&lt;EMPTY&gt;"/>
    <w:docVar w:name="LW_TYPEACTEPRINCIPAL.CP" w:val="&lt;UNUSED&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heme="majorBidi"/>
      <w:b/>
      <w:bCs/>
      <w:sz w:val="24"/>
      <w:szCs w:val="26"/>
      <w:u w:val="single"/>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Char"/>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Pr>
      <w:sz w:val="20"/>
      <w:szCs w:val="20"/>
    </w:r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Ref,FR"/>
    <w:basedOn w:val="DefaultParagraphFont"/>
    <w:uiPriority w:val="99"/>
    <w:unhideWhenUsed/>
    <w:qFormat/>
    <w:rPr>
      <w:vertAlign w:val="superscript"/>
    </w:rPr>
  </w:style>
  <w:style w:type="character" w:styleId="Hyperlink">
    <w:name w:val="Hyperlink"/>
    <w:uiPriority w:val="99"/>
    <w:rPr>
      <w:rFonts w:cs="Times New Roman"/>
      <w:color w:val="0000FF"/>
      <w:u w:val="single"/>
      <w:shd w:val="clear" w:color="auto" w:fill="auto"/>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Bullet">
    <w:name w:val="List Bullet"/>
    <w:basedOn w:val="Normal"/>
    <w:pPr>
      <w:tabs>
        <w:tab w:val="num" w:pos="283"/>
      </w:tabs>
      <w:spacing w:after="240" w:line="240" w:lineRule="auto"/>
      <w:ind w:left="283" w:hanging="283"/>
      <w:jc w:val="both"/>
    </w:pPr>
    <w:rPr>
      <w:rFonts w:ascii="Times New Roman" w:eastAsia="Times New Roman" w:hAnsi="Times New Roman" w:cs="Times New Roman"/>
      <w:sz w:val="24"/>
      <w:szCs w:val="20"/>
    </w:rPr>
  </w:style>
  <w:style w:type="paragraph" w:customStyle="1" w:styleId="FootnoteReferneceChar1">
    <w:name w:val="Footnote Refernece Char1"/>
    <w:aliases w:val="Footnotes refss Char,4_G Char,callout Char,Footnote Reference Superscript Char,Appel note de bas de p. Char,Footnote Reference Number Char,BVI fnr Char,ftref Char,Footnote text Char,16 Point Char"/>
    <w:basedOn w:val="Normal"/>
    <w:uiPriority w:val="99"/>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after="160" w:line="240" w:lineRule="exact"/>
      <w:jc w:val="both"/>
    </w:pPr>
    <w:rPr>
      <w:vertAlign w:val="superscript"/>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ro-RO"/>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Pr>
      <w:rFonts w:ascii="Times New Roman" w:eastAsiaTheme="majorEastAsia" w:hAnsi="Times New Roman" w:cstheme="majorBidi"/>
      <w:b/>
      <w:bCs/>
      <w:sz w:val="24"/>
      <w:szCs w:val="26"/>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st">
    <w:name w:val="st"/>
    <w:basedOn w:val="DefaultParagraphFont"/>
  </w:style>
  <w:style w:type="character" w:styleId="Emphasis">
    <w:name w:val="Emphasis"/>
    <w:basedOn w:val="DefaultParagraphFont"/>
    <w:uiPriority w:val="20"/>
    <w:qFormat/>
    <w:rPr>
      <w:i/>
      <w:i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Strong">
    <w:name w:val="Strong"/>
    <w:basedOn w:val="DefaultParagraphFont"/>
    <w:uiPriority w:val="22"/>
    <w:qFormat/>
    <w:rPr>
      <w:b/>
      <w:bCs/>
    </w:rPr>
  </w:style>
  <w:style w:type="paragraph" w:styleId="Revision">
    <w:name w:val="Revision"/>
    <w:hidden/>
    <w:uiPriority w:val="99"/>
    <w:semiHidden/>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heme="majorBidi"/>
      <w:b/>
      <w:bCs/>
      <w:sz w:val="24"/>
      <w:szCs w:val="26"/>
      <w:u w:val="single"/>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Char"/>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Pr>
      <w:sz w:val="20"/>
      <w:szCs w:val="20"/>
    </w:r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Ref,FR"/>
    <w:basedOn w:val="DefaultParagraphFont"/>
    <w:uiPriority w:val="99"/>
    <w:unhideWhenUsed/>
    <w:qFormat/>
    <w:rPr>
      <w:vertAlign w:val="superscript"/>
    </w:rPr>
  </w:style>
  <w:style w:type="character" w:styleId="Hyperlink">
    <w:name w:val="Hyperlink"/>
    <w:uiPriority w:val="99"/>
    <w:rPr>
      <w:rFonts w:cs="Times New Roman"/>
      <w:color w:val="0000FF"/>
      <w:u w:val="single"/>
      <w:shd w:val="clear" w:color="auto" w:fill="auto"/>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Bullet">
    <w:name w:val="List Bullet"/>
    <w:basedOn w:val="Normal"/>
    <w:pPr>
      <w:tabs>
        <w:tab w:val="num" w:pos="283"/>
      </w:tabs>
      <w:spacing w:after="240" w:line="240" w:lineRule="auto"/>
      <w:ind w:left="283" w:hanging="283"/>
      <w:jc w:val="both"/>
    </w:pPr>
    <w:rPr>
      <w:rFonts w:ascii="Times New Roman" w:eastAsia="Times New Roman" w:hAnsi="Times New Roman" w:cs="Times New Roman"/>
      <w:sz w:val="24"/>
      <w:szCs w:val="20"/>
    </w:rPr>
  </w:style>
  <w:style w:type="paragraph" w:customStyle="1" w:styleId="FootnoteReferneceChar1">
    <w:name w:val="Footnote Refernece Char1"/>
    <w:aliases w:val="Footnotes refss Char,4_G Char,callout Char,Footnote Reference Superscript Char,Appel note de bas de p. Char,Footnote Reference Number Char,BVI fnr Char,ftref Char,Footnote text Char,16 Point Char"/>
    <w:basedOn w:val="Normal"/>
    <w:uiPriority w:val="99"/>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after="160" w:line="240" w:lineRule="exact"/>
      <w:jc w:val="both"/>
    </w:pPr>
    <w:rPr>
      <w:vertAlign w:val="superscript"/>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ro-RO"/>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Pr>
      <w:rFonts w:ascii="Times New Roman" w:eastAsiaTheme="majorEastAsia" w:hAnsi="Times New Roman" w:cstheme="majorBidi"/>
      <w:b/>
      <w:bCs/>
      <w:sz w:val="24"/>
      <w:szCs w:val="26"/>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st">
    <w:name w:val="st"/>
    <w:basedOn w:val="DefaultParagraphFont"/>
  </w:style>
  <w:style w:type="character" w:styleId="Emphasis">
    <w:name w:val="Emphasis"/>
    <w:basedOn w:val="DefaultParagraphFont"/>
    <w:uiPriority w:val="20"/>
    <w:qFormat/>
    <w:rPr>
      <w:i/>
      <w:i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Strong">
    <w:name w:val="Strong"/>
    <w:basedOn w:val="DefaultParagraphFont"/>
    <w:uiPriority w:val="22"/>
    <w:qFormat/>
    <w:rPr>
      <w:b/>
      <w:bCs/>
    </w:rPr>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4309">
      <w:bodyDiv w:val="1"/>
      <w:marLeft w:val="0"/>
      <w:marRight w:val="0"/>
      <w:marTop w:val="0"/>
      <w:marBottom w:val="0"/>
      <w:divBdr>
        <w:top w:val="none" w:sz="0" w:space="0" w:color="auto"/>
        <w:left w:val="none" w:sz="0" w:space="0" w:color="auto"/>
        <w:bottom w:val="none" w:sz="0" w:space="0" w:color="auto"/>
        <w:right w:val="none" w:sz="0" w:space="0" w:color="auto"/>
      </w:divBdr>
      <w:divsChild>
        <w:div w:id="1101030620">
          <w:marLeft w:val="0"/>
          <w:marRight w:val="0"/>
          <w:marTop w:val="0"/>
          <w:marBottom w:val="0"/>
          <w:divBdr>
            <w:top w:val="none" w:sz="0" w:space="0" w:color="auto"/>
            <w:left w:val="none" w:sz="0" w:space="0" w:color="auto"/>
            <w:bottom w:val="none" w:sz="0" w:space="0" w:color="auto"/>
            <w:right w:val="none" w:sz="0" w:space="0" w:color="auto"/>
          </w:divBdr>
        </w:div>
        <w:div w:id="2082094174">
          <w:marLeft w:val="0"/>
          <w:marRight w:val="0"/>
          <w:marTop w:val="0"/>
          <w:marBottom w:val="0"/>
          <w:divBdr>
            <w:top w:val="none" w:sz="0" w:space="0" w:color="auto"/>
            <w:left w:val="none" w:sz="0" w:space="0" w:color="auto"/>
            <w:bottom w:val="none" w:sz="0" w:space="0" w:color="auto"/>
            <w:right w:val="none" w:sz="0" w:space="0" w:color="auto"/>
          </w:divBdr>
        </w:div>
        <w:div w:id="2132896917">
          <w:marLeft w:val="0"/>
          <w:marRight w:val="0"/>
          <w:marTop w:val="0"/>
          <w:marBottom w:val="0"/>
          <w:divBdr>
            <w:top w:val="none" w:sz="0" w:space="0" w:color="auto"/>
            <w:left w:val="none" w:sz="0" w:space="0" w:color="auto"/>
            <w:bottom w:val="none" w:sz="0" w:space="0" w:color="auto"/>
            <w:right w:val="none" w:sz="0" w:space="0" w:color="auto"/>
          </w:divBdr>
        </w:div>
        <w:div w:id="1044410135">
          <w:marLeft w:val="0"/>
          <w:marRight w:val="0"/>
          <w:marTop w:val="0"/>
          <w:marBottom w:val="0"/>
          <w:divBdr>
            <w:top w:val="none" w:sz="0" w:space="0" w:color="auto"/>
            <w:left w:val="none" w:sz="0" w:space="0" w:color="auto"/>
            <w:bottom w:val="none" w:sz="0" w:space="0" w:color="auto"/>
            <w:right w:val="none" w:sz="0" w:space="0" w:color="auto"/>
          </w:divBdr>
        </w:div>
      </w:divsChild>
    </w:div>
    <w:div w:id="49622753">
      <w:bodyDiv w:val="1"/>
      <w:marLeft w:val="0"/>
      <w:marRight w:val="0"/>
      <w:marTop w:val="0"/>
      <w:marBottom w:val="0"/>
      <w:divBdr>
        <w:top w:val="none" w:sz="0" w:space="0" w:color="auto"/>
        <w:left w:val="none" w:sz="0" w:space="0" w:color="auto"/>
        <w:bottom w:val="none" w:sz="0" w:space="0" w:color="auto"/>
        <w:right w:val="none" w:sz="0" w:space="0" w:color="auto"/>
      </w:divBdr>
      <w:divsChild>
        <w:div w:id="1171068604">
          <w:marLeft w:val="0"/>
          <w:marRight w:val="0"/>
          <w:marTop w:val="0"/>
          <w:marBottom w:val="0"/>
          <w:divBdr>
            <w:top w:val="none" w:sz="0" w:space="0" w:color="auto"/>
            <w:left w:val="none" w:sz="0" w:space="0" w:color="auto"/>
            <w:bottom w:val="none" w:sz="0" w:space="0" w:color="auto"/>
            <w:right w:val="none" w:sz="0" w:space="0" w:color="auto"/>
          </w:divBdr>
          <w:divsChild>
            <w:div w:id="60014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284">
      <w:bodyDiv w:val="1"/>
      <w:marLeft w:val="0"/>
      <w:marRight w:val="0"/>
      <w:marTop w:val="0"/>
      <w:marBottom w:val="0"/>
      <w:divBdr>
        <w:top w:val="none" w:sz="0" w:space="0" w:color="auto"/>
        <w:left w:val="none" w:sz="0" w:space="0" w:color="auto"/>
        <w:bottom w:val="none" w:sz="0" w:space="0" w:color="auto"/>
        <w:right w:val="none" w:sz="0" w:space="0" w:color="auto"/>
      </w:divBdr>
    </w:div>
    <w:div w:id="104035532">
      <w:bodyDiv w:val="1"/>
      <w:marLeft w:val="0"/>
      <w:marRight w:val="0"/>
      <w:marTop w:val="0"/>
      <w:marBottom w:val="0"/>
      <w:divBdr>
        <w:top w:val="none" w:sz="0" w:space="0" w:color="auto"/>
        <w:left w:val="none" w:sz="0" w:space="0" w:color="auto"/>
        <w:bottom w:val="none" w:sz="0" w:space="0" w:color="auto"/>
        <w:right w:val="none" w:sz="0" w:space="0" w:color="auto"/>
      </w:divBdr>
    </w:div>
    <w:div w:id="259799394">
      <w:bodyDiv w:val="1"/>
      <w:marLeft w:val="0"/>
      <w:marRight w:val="0"/>
      <w:marTop w:val="0"/>
      <w:marBottom w:val="0"/>
      <w:divBdr>
        <w:top w:val="none" w:sz="0" w:space="0" w:color="auto"/>
        <w:left w:val="none" w:sz="0" w:space="0" w:color="auto"/>
        <w:bottom w:val="none" w:sz="0" w:space="0" w:color="auto"/>
        <w:right w:val="none" w:sz="0" w:space="0" w:color="auto"/>
      </w:divBdr>
    </w:div>
    <w:div w:id="260535104">
      <w:bodyDiv w:val="1"/>
      <w:marLeft w:val="0"/>
      <w:marRight w:val="0"/>
      <w:marTop w:val="0"/>
      <w:marBottom w:val="0"/>
      <w:divBdr>
        <w:top w:val="none" w:sz="0" w:space="0" w:color="auto"/>
        <w:left w:val="none" w:sz="0" w:space="0" w:color="auto"/>
        <w:bottom w:val="none" w:sz="0" w:space="0" w:color="auto"/>
        <w:right w:val="none" w:sz="0" w:space="0" w:color="auto"/>
      </w:divBdr>
      <w:divsChild>
        <w:div w:id="1019552452">
          <w:marLeft w:val="0"/>
          <w:marRight w:val="0"/>
          <w:marTop w:val="0"/>
          <w:marBottom w:val="0"/>
          <w:divBdr>
            <w:top w:val="none" w:sz="0" w:space="0" w:color="auto"/>
            <w:left w:val="none" w:sz="0" w:space="0" w:color="auto"/>
            <w:bottom w:val="none" w:sz="0" w:space="0" w:color="auto"/>
            <w:right w:val="none" w:sz="0" w:space="0" w:color="auto"/>
          </w:divBdr>
        </w:div>
        <w:div w:id="1319069223">
          <w:marLeft w:val="0"/>
          <w:marRight w:val="0"/>
          <w:marTop w:val="0"/>
          <w:marBottom w:val="0"/>
          <w:divBdr>
            <w:top w:val="none" w:sz="0" w:space="0" w:color="auto"/>
            <w:left w:val="none" w:sz="0" w:space="0" w:color="auto"/>
            <w:bottom w:val="none" w:sz="0" w:space="0" w:color="auto"/>
            <w:right w:val="none" w:sz="0" w:space="0" w:color="auto"/>
          </w:divBdr>
        </w:div>
      </w:divsChild>
    </w:div>
    <w:div w:id="273292417">
      <w:bodyDiv w:val="1"/>
      <w:marLeft w:val="0"/>
      <w:marRight w:val="0"/>
      <w:marTop w:val="0"/>
      <w:marBottom w:val="0"/>
      <w:divBdr>
        <w:top w:val="none" w:sz="0" w:space="0" w:color="auto"/>
        <w:left w:val="none" w:sz="0" w:space="0" w:color="auto"/>
        <w:bottom w:val="none" w:sz="0" w:space="0" w:color="auto"/>
        <w:right w:val="none" w:sz="0" w:space="0" w:color="auto"/>
      </w:divBdr>
      <w:divsChild>
        <w:div w:id="61026827">
          <w:marLeft w:val="547"/>
          <w:marRight w:val="0"/>
          <w:marTop w:val="96"/>
          <w:marBottom w:val="0"/>
          <w:divBdr>
            <w:top w:val="none" w:sz="0" w:space="0" w:color="auto"/>
            <w:left w:val="none" w:sz="0" w:space="0" w:color="auto"/>
            <w:bottom w:val="none" w:sz="0" w:space="0" w:color="auto"/>
            <w:right w:val="none" w:sz="0" w:space="0" w:color="auto"/>
          </w:divBdr>
        </w:div>
        <w:div w:id="577442677">
          <w:marLeft w:val="1166"/>
          <w:marRight w:val="0"/>
          <w:marTop w:val="77"/>
          <w:marBottom w:val="0"/>
          <w:divBdr>
            <w:top w:val="none" w:sz="0" w:space="0" w:color="auto"/>
            <w:left w:val="none" w:sz="0" w:space="0" w:color="auto"/>
            <w:bottom w:val="none" w:sz="0" w:space="0" w:color="auto"/>
            <w:right w:val="none" w:sz="0" w:space="0" w:color="auto"/>
          </w:divBdr>
        </w:div>
        <w:div w:id="949971416">
          <w:marLeft w:val="1166"/>
          <w:marRight w:val="0"/>
          <w:marTop w:val="77"/>
          <w:marBottom w:val="0"/>
          <w:divBdr>
            <w:top w:val="none" w:sz="0" w:space="0" w:color="auto"/>
            <w:left w:val="none" w:sz="0" w:space="0" w:color="auto"/>
            <w:bottom w:val="none" w:sz="0" w:space="0" w:color="auto"/>
            <w:right w:val="none" w:sz="0" w:space="0" w:color="auto"/>
          </w:divBdr>
        </w:div>
        <w:div w:id="1182208790">
          <w:marLeft w:val="1166"/>
          <w:marRight w:val="0"/>
          <w:marTop w:val="77"/>
          <w:marBottom w:val="0"/>
          <w:divBdr>
            <w:top w:val="none" w:sz="0" w:space="0" w:color="auto"/>
            <w:left w:val="none" w:sz="0" w:space="0" w:color="auto"/>
            <w:bottom w:val="none" w:sz="0" w:space="0" w:color="auto"/>
            <w:right w:val="none" w:sz="0" w:space="0" w:color="auto"/>
          </w:divBdr>
        </w:div>
        <w:div w:id="1285042254">
          <w:marLeft w:val="1166"/>
          <w:marRight w:val="0"/>
          <w:marTop w:val="77"/>
          <w:marBottom w:val="0"/>
          <w:divBdr>
            <w:top w:val="none" w:sz="0" w:space="0" w:color="auto"/>
            <w:left w:val="none" w:sz="0" w:space="0" w:color="auto"/>
            <w:bottom w:val="none" w:sz="0" w:space="0" w:color="auto"/>
            <w:right w:val="none" w:sz="0" w:space="0" w:color="auto"/>
          </w:divBdr>
        </w:div>
        <w:div w:id="1475024716">
          <w:marLeft w:val="547"/>
          <w:marRight w:val="0"/>
          <w:marTop w:val="96"/>
          <w:marBottom w:val="0"/>
          <w:divBdr>
            <w:top w:val="none" w:sz="0" w:space="0" w:color="auto"/>
            <w:left w:val="none" w:sz="0" w:space="0" w:color="auto"/>
            <w:bottom w:val="none" w:sz="0" w:space="0" w:color="auto"/>
            <w:right w:val="none" w:sz="0" w:space="0" w:color="auto"/>
          </w:divBdr>
        </w:div>
        <w:div w:id="1712461244">
          <w:marLeft w:val="547"/>
          <w:marRight w:val="0"/>
          <w:marTop w:val="96"/>
          <w:marBottom w:val="0"/>
          <w:divBdr>
            <w:top w:val="none" w:sz="0" w:space="0" w:color="auto"/>
            <w:left w:val="none" w:sz="0" w:space="0" w:color="auto"/>
            <w:bottom w:val="none" w:sz="0" w:space="0" w:color="auto"/>
            <w:right w:val="none" w:sz="0" w:space="0" w:color="auto"/>
          </w:divBdr>
        </w:div>
        <w:div w:id="1799643144">
          <w:marLeft w:val="1166"/>
          <w:marRight w:val="0"/>
          <w:marTop w:val="77"/>
          <w:marBottom w:val="0"/>
          <w:divBdr>
            <w:top w:val="none" w:sz="0" w:space="0" w:color="auto"/>
            <w:left w:val="none" w:sz="0" w:space="0" w:color="auto"/>
            <w:bottom w:val="none" w:sz="0" w:space="0" w:color="auto"/>
            <w:right w:val="none" w:sz="0" w:space="0" w:color="auto"/>
          </w:divBdr>
        </w:div>
        <w:div w:id="1982804728">
          <w:marLeft w:val="547"/>
          <w:marRight w:val="0"/>
          <w:marTop w:val="96"/>
          <w:marBottom w:val="0"/>
          <w:divBdr>
            <w:top w:val="none" w:sz="0" w:space="0" w:color="auto"/>
            <w:left w:val="none" w:sz="0" w:space="0" w:color="auto"/>
            <w:bottom w:val="none" w:sz="0" w:space="0" w:color="auto"/>
            <w:right w:val="none" w:sz="0" w:space="0" w:color="auto"/>
          </w:divBdr>
        </w:div>
        <w:div w:id="1994554927">
          <w:marLeft w:val="547"/>
          <w:marRight w:val="0"/>
          <w:marTop w:val="96"/>
          <w:marBottom w:val="0"/>
          <w:divBdr>
            <w:top w:val="none" w:sz="0" w:space="0" w:color="auto"/>
            <w:left w:val="none" w:sz="0" w:space="0" w:color="auto"/>
            <w:bottom w:val="none" w:sz="0" w:space="0" w:color="auto"/>
            <w:right w:val="none" w:sz="0" w:space="0" w:color="auto"/>
          </w:divBdr>
        </w:div>
      </w:divsChild>
    </w:div>
    <w:div w:id="285739866">
      <w:bodyDiv w:val="1"/>
      <w:marLeft w:val="0"/>
      <w:marRight w:val="0"/>
      <w:marTop w:val="0"/>
      <w:marBottom w:val="0"/>
      <w:divBdr>
        <w:top w:val="none" w:sz="0" w:space="0" w:color="auto"/>
        <w:left w:val="none" w:sz="0" w:space="0" w:color="auto"/>
        <w:bottom w:val="none" w:sz="0" w:space="0" w:color="auto"/>
        <w:right w:val="none" w:sz="0" w:space="0" w:color="auto"/>
      </w:divBdr>
      <w:divsChild>
        <w:div w:id="1810051292">
          <w:marLeft w:val="0"/>
          <w:marRight w:val="0"/>
          <w:marTop w:val="0"/>
          <w:marBottom w:val="0"/>
          <w:divBdr>
            <w:top w:val="none" w:sz="0" w:space="0" w:color="auto"/>
            <w:left w:val="none" w:sz="0" w:space="0" w:color="auto"/>
            <w:bottom w:val="none" w:sz="0" w:space="0" w:color="auto"/>
            <w:right w:val="none" w:sz="0" w:space="0" w:color="auto"/>
          </w:divBdr>
        </w:div>
        <w:div w:id="2021615995">
          <w:marLeft w:val="0"/>
          <w:marRight w:val="0"/>
          <w:marTop w:val="0"/>
          <w:marBottom w:val="0"/>
          <w:divBdr>
            <w:top w:val="none" w:sz="0" w:space="0" w:color="auto"/>
            <w:left w:val="none" w:sz="0" w:space="0" w:color="auto"/>
            <w:bottom w:val="none" w:sz="0" w:space="0" w:color="auto"/>
            <w:right w:val="none" w:sz="0" w:space="0" w:color="auto"/>
          </w:divBdr>
        </w:div>
        <w:div w:id="719402742">
          <w:marLeft w:val="0"/>
          <w:marRight w:val="0"/>
          <w:marTop w:val="0"/>
          <w:marBottom w:val="0"/>
          <w:divBdr>
            <w:top w:val="none" w:sz="0" w:space="0" w:color="auto"/>
            <w:left w:val="none" w:sz="0" w:space="0" w:color="auto"/>
            <w:bottom w:val="none" w:sz="0" w:space="0" w:color="auto"/>
            <w:right w:val="none" w:sz="0" w:space="0" w:color="auto"/>
          </w:divBdr>
        </w:div>
        <w:div w:id="139813144">
          <w:marLeft w:val="0"/>
          <w:marRight w:val="0"/>
          <w:marTop w:val="0"/>
          <w:marBottom w:val="0"/>
          <w:divBdr>
            <w:top w:val="none" w:sz="0" w:space="0" w:color="auto"/>
            <w:left w:val="none" w:sz="0" w:space="0" w:color="auto"/>
            <w:bottom w:val="none" w:sz="0" w:space="0" w:color="auto"/>
            <w:right w:val="none" w:sz="0" w:space="0" w:color="auto"/>
          </w:divBdr>
        </w:div>
        <w:div w:id="1769545726">
          <w:marLeft w:val="0"/>
          <w:marRight w:val="0"/>
          <w:marTop w:val="0"/>
          <w:marBottom w:val="0"/>
          <w:divBdr>
            <w:top w:val="none" w:sz="0" w:space="0" w:color="auto"/>
            <w:left w:val="none" w:sz="0" w:space="0" w:color="auto"/>
            <w:bottom w:val="none" w:sz="0" w:space="0" w:color="auto"/>
            <w:right w:val="none" w:sz="0" w:space="0" w:color="auto"/>
          </w:divBdr>
        </w:div>
        <w:div w:id="1518427348">
          <w:marLeft w:val="0"/>
          <w:marRight w:val="0"/>
          <w:marTop w:val="0"/>
          <w:marBottom w:val="0"/>
          <w:divBdr>
            <w:top w:val="none" w:sz="0" w:space="0" w:color="auto"/>
            <w:left w:val="none" w:sz="0" w:space="0" w:color="auto"/>
            <w:bottom w:val="none" w:sz="0" w:space="0" w:color="auto"/>
            <w:right w:val="none" w:sz="0" w:space="0" w:color="auto"/>
          </w:divBdr>
        </w:div>
        <w:div w:id="1219825658">
          <w:marLeft w:val="0"/>
          <w:marRight w:val="0"/>
          <w:marTop w:val="0"/>
          <w:marBottom w:val="0"/>
          <w:divBdr>
            <w:top w:val="none" w:sz="0" w:space="0" w:color="auto"/>
            <w:left w:val="none" w:sz="0" w:space="0" w:color="auto"/>
            <w:bottom w:val="none" w:sz="0" w:space="0" w:color="auto"/>
            <w:right w:val="none" w:sz="0" w:space="0" w:color="auto"/>
          </w:divBdr>
        </w:div>
        <w:div w:id="40835928">
          <w:marLeft w:val="0"/>
          <w:marRight w:val="0"/>
          <w:marTop w:val="0"/>
          <w:marBottom w:val="0"/>
          <w:divBdr>
            <w:top w:val="none" w:sz="0" w:space="0" w:color="auto"/>
            <w:left w:val="none" w:sz="0" w:space="0" w:color="auto"/>
            <w:bottom w:val="none" w:sz="0" w:space="0" w:color="auto"/>
            <w:right w:val="none" w:sz="0" w:space="0" w:color="auto"/>
          </w:divBdr>
        </w:div>
      </w:divsChild>
    </w:div>
    <w:div w:id="296884119">
      <w:bodyDiv w:val="1"/>
      <w:marLeft w:val="0"/>
      <w:marRight w:val="0"/>
      <w:marTop w:val="0"/>
      <w:marBottom w:val="0"/>
      <w:divBdr>
        <w:top w:val="none" w:sz="0" w:space="0" w:color="auto"/>
        <w:left w:val="none" w:sz="0" w:space="0" w:color="auto"/>
        <w:bottom w:val="none" w:sz="0" w:space="0" w:color="auto"/>
        <w:right w:val="none" w:sz="0" w:space="0" w:color="auto"/>
      </w:divBdr>
      <w:divsChild>
        <w:div w:id="462817165">
          <w:marLeft w:val="0"/>
          <w:marRight w:val="0"/>
          <w:marTop w:val="0"/>
          <w:marBottom w:val="0"/>
          <w:divBdr>
            <w:top w:val="none" w:sz="0" w:space="0" w:color="auto"/>
            <w:left w:val="none" w:sz="0" w:space="0" w:color="auto"/>
            <w:bottom w:val="none" w:sz="0" w:space="0" w:color="auto"/>
            <w:right w:val="none" w:sz="0" w:space="0" w:color="auto"/>
          </w:divBdr>
        </w:div>
        <w:div w:id="825169465">
          <w:marLeft w:val="0"/>
          <w:marRight w:val="0"/>
          <w:marTop w:val="0"/>
          <w:marBottom w:val="0"/>
          <w:divBdr>
            <w:top w:val="none" w:sz="0" w:space="0" w:color="auto"/>
            <w:left w:val="none" w:sz="0" w:space="0" w:color="auto"/>
            <w:bottom w:val="none" w:sz="0" w:space="0" w:color="auto"/>
            <w:right w:val="none" w:sz="0" w:space="0" w:color="auto"/>
          </w:divBdr>
        </w:div>
        <w:div w:id="838619152">
          <w:marLeft w:val="0"/>
          <w:marRight w:val="0"/>
          <w:marTop w:val="0"/>
          <w:marBottom w:val="0"/>
          <w:divBdr>
            <w:top w:val="none" w:sz="0" w:space="0" w:color="auto"/>
            <w:left w:val="none" w:sz="0" w:space="0" w:color="auto"/>
            <w:bottom w:val="none" w:sz="0" w:space="0" w:color="auto"/>
            <w:right w:val="none" w:sz="0" w:space="0" w:color="auto"/>
          </w:divBdr>
        </w:div>
      </w:divsChild>
    </w:div>
    <w:div w:id="343173083">
      <w:bodyDiv w:val="1"/>
      <w:marLeft w:val="0"/>
      <w:marRight w:val="0"/>
      <w:marTop w:val="0"/>
      <w:marBottom w:val="0"/>
      <w:divBdr>
        <w:top w:val="none" w:sz="0" w:space="0" w:color="auto"/>
        <w:left w:val="none" w:sz="0" w:space="0" w:color="auto"/>
        <w:bottom w:val="none" w:sz="0" w:space="0" w:color="auto"/>
        <w:right w:val="none" w:sz="0" w:space="0" w:color="auto"/>
      </w:divBdr>
      <w:divsChild>
        <w:div w:id="658847829">
          <w:marLeft w:val="0"/>
          <w:marRight w:val="0"/>
          <w:marTop w:val="0"/>
          <w:marBottom w:val="0"/>
          <w:divBdr>
            <w:top w:val="none" w:sz="0" w:space="0" w:color="auto"/>
            <w:left w:val="none" w:sz="0" w:space="0" w:color="auto"/>
            <w:bottom w:val="none" w:sz="0" w:space="0" w:color="auto"/>
            <w:right w:val="none" w:sz="0" w:space="0" w:color="auto"/>
          </w:divBdr>
        </w:div>
        <w:div w:id="797334164">
          <w:marLeft w:val="0"/>
          <w:marRight w:val="0"/>
          <w:marTop w:val="0"/>
          <w:marBottom w:val="0"/>
          <w:divBdr>
            <w:top w:val="none" w:sz="0" w:space="0" w:color="auto"/>
            <w:left w:val="none" w:sz="0" w:space="0" w:color="auto"/>
            <w:bottom w:val="none" w:sz="0" w:space="0" w:color="auto"/>
            <w:right w:val="none" w:sz="0" w:space="0" w:color="auto"/>
          </w:divBdr>
        </w:div>
      </w:divsChild>
    </w:div>
    <w:div w:id="365177539">
      <w:bodyDiv w:val="1"/>
      <w:marLeft w:val="0"/>
      <w:marRight w:val="0"/>
      <w:marTop w:val="0"/>
      <w:marBottom w:val="0"/>
      <w:divBdr>
        <w:top w:val="none" w:sz="0" w:space="0" w:color="auto"/>
        <w:left w:val="none" w:sz="0" w:space="0" w:color="auto"/>
        <w:bottom w:val="none" w:sz="0" w:space="0" w:color="auto"/>
        <w:right w:val="none" w:sz="0" w:space="0" w:color="auto"/>
      </w:divBdr>
      <w:divsChild>
        <w:div w:id="1362583842">
          <w:marLeft w:val="0"/>
          <w:marRight w:val="0"/>
          <w:marTop w:val="0"/>
          <w:marBottom w:val="0"/>
          <w:divBdr>
            <w:top w:val="none" w:sz="0" w:space="0" w:color="auto"/>
            <w:left w:val="none" w:sz="0" w:space="0" w:color="auto"/>
            <w:bottom w:val="none" w:sz="0" w:space="0" w:color="auto"/>
            <w:right w:val="none" w:sz="0" w:space="0" w:color="auto"/>
          </w:divBdr>
        </w:div>
        <w:div w:id="136261778">
          <w:marLeft w:val="0"/>
          <w:marRight w:val="0"/>
          <w:marTop w:val="0"/>
          <w:marBottom w:val="0"/>
          <w:divBdr>
            <w:top w:val="none" w:sz="0" w:space="0" w:color="auto"/>
            <w:left w:val="none" w:sz="0" w:space="0" w:color="auto"/>
            <w:bottom w:val="none" w:sz="0" w:space="0" w:color="auto"/>
            <w:right w:val="none" w:sz="0" w:space="0" w:color="auto"/>
          </w:divBdr>
        </w:div>
        <w:div w:id="1651061049">
          <w:marLeft w:val="0"/>
          <w:marRight w:val="0"/>
          <w:marTop w:val="0"/>
          <w:marBottom w:val="0"/>
          <w:divBdr>
            <w:top w:val="none" w:sz="0" w:space="0" w:color="auto"/>
            <w:left w:val="none" w:sz="0" w:space="0" w:color="auto"/>
            <w:bottom w:val="none" w:sz="0" w:space="0" w:color="auto"/>
            <w:right w:val="none" w:sz="0" w:space="0" w:color="auto"/>
          </w:divBdr>
        </w:div>
        <w:div w:id="2085255226">
          <w:marLeft w:val="0"/>
          <w:marRight w:val="0"/>
          <w:marTop w:val="0"/>
          <w:marBottom w:val="0"/>
          <w:divBdr>
            <w:top w:val="none" w:sz="0" w:space="0" w:color="auto"/>
            <w:left w:val="none" w:sz="0" w:space="0" w:color="auto"/>
            <w:bottom w:val="none" w:sz="0" w:space="0" w:color="auto"/>
            <w:right w:val="none" w:sz="0" w:space="0" w:color="auto"/>
          </w:divBdr>
        </w:div>
        <w:div w:id="54620654">
          <w:marLeft w:val="0"/>
          <w:marRight w:val="0"/>
          <w:marTop w:val="0"/>
          <w:marBottom w:val="0"/>
          <w:divBdr>
            <w:top w:val="none" w:sz="0" w:space="0" w:color="auto"/>
            <w:left w:val="none" w:sz="0" w:space="0" w:color="auto"/>
            <w:bottom w:val="none" w:sz="0" w:space="0" w:color="auto"/>
            <w:right w:val="none" w:sz="0" w:space="0" w:color="auto"/>
          </w:divBdr>
        </w:div>
        <w:div w:id="1595672720">
          <w:marLeft w:val="0"/>
          <w:marRight w:val="0"/>
          <w:marTop w:val="0"/>
          <w:marBottom w:val="0"/>
          <w:divBdr>
            <w:top w:val="none" w:sz="0" w:space="0" w:color="auto"/>
            <w:left w:val="none" w:sz="0" w:space="0" w:color="auto"/>
            <w:bottom w:val="none" w:sz="0" w:space="0" w:color="auto"/>
            <w:right w:val="none" w:sz="0" w:space="0" w:color="auto"/>
          </w:divBdr>
        </w:div>
      </w:divsChild>
    </w:div>
    <w:div w:id="367535342">
      <w:bodyDiv w:val="1"/>
      <w:marLeft w:val="0"/>
      <w:marRight w:val="0"/>
      <w:marTop w:val="0"/>
      <w:marBottom w:val="0"/>
      <w:divBdr>
        <w:top w:val="none" w:sz="0" w:space="0" w:color="auto"/>
        <w:left w:val="none" w:sz="0" w:space="0" w:color="auto"/>
        <w:bottom w:val="none" w:sz="0" w:space="0" w:color="auto"/>
        <w:right w:val="none" w:sz="0" w:space="0" w:color="auto"/>
      </w:divBdr>
      <w:divsChild>
        <w:div w:id="1774931287">
          <w:marLeft w:val="0"/>
          <w:marRight w:val="0"/>
          <w:marTop w:val="0"/>
          <w:marBottom w:val="0"/>
          <w:divBdr>
            <w:top w:val="none" w:sz="0" w:space="0" w:color="auto"/>
            <w:left w:val="none" w:sz="0" w:space="0" w:color="auto"/>
            <w:bottom w:val="none" w:sz="0" w:space="0" w:color="auto"/>
            <w:right w:val="none" w:sz="0" w:space="0" w:color="auto"/>
          </w:divBdr>
        </w:div>
        <w:div w:id="355739742">
          <w:marLeft w:val="0"/>
          <w:marRight w:val="0"/>
          <w:marTop w:val="0"/>
          <w:marBottom w:val="0"/>
          <w:divBdr>
            <w:top w:val="none" w:sz="0" w:space="0" w:color="auto"/>
            <w:left w:val="none" w:sz="0" w:space="0" w:color="auto"/>
            <w:bottom w:val="none" w:sz="0" w:space="0" w:color="auto"/>
            <w:right w:val="none" w:sz="0" w:space="0" w:color="auto"/>
          </w:divBdr>
        </w:div>
        <w:div w:id="823155893">
          <w:marLeft w:val="0"/>
          <w:marRight w:val="0"/>
          <w:marTop w:val="0"/>
          <w:marBottom w:val="0"/>
          <w:divBdr>
            <w:top w:val="none" w:sz="0" w:space="0" w:color="auto"/>
            <w:left w:val="none" w:sz="0" w:space="0" w:color="auto"/>
            <w:bottom w:val="none" w:sz="0" w:space="0" w:color="auto"/>
            <w:right w:val="none" w:sz="0" w:space="0" w:color="auto"/>
          </w:divBdr>
        </w:div>
        <w:div w:id="1016662125">
          <w:marLeft w:val="0"/>
          <w:marRight w:val="0"/>
          <w:marTop w:val="0"/>
          <w:marBottom w:val="0"/>
          <w:divBdr>
            <w:top w:val="none" w:sz="0" w:space="0" w:color="auto"/>
            <w:left w:val="none" w:sz="0" w:space="0" w:color="auto"/>
            <w:bottom w:val="none" w:sz="0" w:space="0" w:color="auto"/>
            <w:right w:val="none" w:sz="0" w:space="0" w:color="auto"/>
          </w:divBdr>
        </w:div>
        <w:div w:id="895118110">
          <w:marLeft w:val="0"/>
          <w:marRight w:val="0"/>
          <w:marTop w:val="0"/>
          <w:marBottom w:val="0"/>
          <w:divBdr>
            <w:top w:val="none" w:sz="0" w:space="0" w:color="auto"/>
            <w:left w:val="none" w:sz="0" w:space="0" w:color="auto"/>
            <w:bottom w:val="none" w:sz="0" w:space="0" w:color="auto"/>
            <w:right w:val="none" w:sz="0" w:space="0" w:color="auto"/>
          </w:divBdr>
        </w:div>
      </w:divsChild>
    </w:div>
    <w:div w:id="375738526">
      <w:bodyDiv w:val="1"/>
      <w:marLeft w:val="0"/>
      <w:marRight w:val="0"/>
      <w:marTop w:val="0"/>
      <w:marBottom w:val="0"/>
      <w:divBdr>
        <w:top w:val="none" w:sz="0" w:space="0" w:color="auto"/>
        <w:left w:val="none" w:sz="0" w:space="0" w:color="auto"/>
        <w:bottom w:val="none" w:sz="0" w:space="0" w:color="auto"/>
        <w:right w:val="none" w:sz="0" w:space="0" w:color="auto"/>
      </w:divBdr>
      <w:divsChild>
        <w:div w:id="37945928">
          <w:marLeft w:val="0"/>
          <w:marRight w:val="0"/>
          <w:marTop w:val="0"/>
          <w:marBottom w:val="0"/>
          <w:divBdr>
            <w:top w:val="none" w:sz="0" w:space="0" w:color="auto"/>
            <w:left w:val="none" w:sz="0" w:space="0" w:color="auto"/>
            <w:bottom w:val="none" w:sz="0" w:space="0" w:color="auto"/>
            <w:right w:val="none" w:sz="0" w:space="0" w:color="auto"/>
          </w:divBdr>
        </w:div>
        <w:div w:id="427694780">
          <w:marLeft w:val="0"/>
          <w:marRight w:val="0"/>
          <w:marTop w:val="0"/>
          <w:marBottom w:val="0"/>
          <w:divBdr>
            <w:top w:val="none" w:sz="0" w:space="0" w:color="auto"/>
            <w:left w:val="none" w:sz="0" w:space="0" w:color="auto"/>
            <w:bottom w:val="none" w:sz="0" w:space="0" w:color="auto"/>
            <w:right w:val="none" w:sz="0" w:space="0" w:color="auto"/>
          </w:divBdr>
        </w:div>
        <w:div w:id="702173003">
          <w:marLeft w:val="0"/>
          <w:marRight w:val="0"/>
          <w:marTop w:val="0"/>
          <w:marBottom w:val="0"/>
          <w:divBdr>
            <w:top w:val="none" w:sz="0" w:space="0" w:color="auto"/>
            <w:left w:val="none" w:sz="0" w:space="0" w:color="auto"/>
            <w:bottom w:val="none" w:sz="0" w:space="0" w:color="auto"/>
            <w:right w:val="none" w:sz="0" w:space="0" w:color="auto"/>
          </w:divBdr>
        </w:div>
        <w:div w:id="2030135164">
          <w:marLeft w:val="0"/>
          <w:marRight w:val="0"/>
          <w:marTop w:val="0"/>
          <w:marBottom w:val="0"/>
          <w:divBdr>
            <w:top w:val="none" w:sz="0" w:space="0" w:color="auto"/>
            <w:left w:val="none" w:sz="0" w:space="0" w:color="auto"/>
            <w:bottom w:val="none" w:sz="0" w:space="0" w:color="auto"/>
            <w:right w:val="none" w:sz="0" w:space="0" w:color="auto"/>
          </w:divBdr>
        </w:div>
      </w:divsChild>
    </w:div>
    <w:div w:id="399406007">
      <w:bodyDiv w:val="1"/>
      <w:marLeft w:val="0"/>
      <w:marRight w:val="0"/>
      <w:marTop w:val="0"/>
      <w:marBottom w:val="0"/>
      <w:divBdr>
        <w:top w:val="none" w:sz="0" w:space="0" w:color="auto"/>
        <w:left w:val="none" w:sz="0" w:space="0" w:color="auto"/>
        <w:bottom w:val="none" w:sz="0" w:space="0" w:color="auto"/>
        <w:right w:val="none" w:sz="0" w:space="0" w:color="auto"/>
      </w:divBdr>
    </w:div>
    <w:div w:id="405685315">
      <w:bodyDiv w:val="1"/>
      <w:marLeft w:val="0"/>
      <w:marRight w:val="0"/>
      <w:marTop w:val="0"/>
      <w:marBottom w:val="0"/>
      <w:divBdr>
        <w:top w:val="none" w:sz="0" w:space="0" w:color="auto"/>
        <w:left w:val="none" w:sz="0" w:space="0" w:color="auto"/>
        <w:bottom w:val="none" w:sz="0" w:space="0" w:color="auto"/>
        <w:right w:val="none" w:sz="0" w:space="0" w:color="auto"/>
      </w:divBdr>
      <w:divsChild>
        <w:div w:id="1114909535">
          <w:marLeft w:val="0"/>
          <w:marRight w:val="0"/>
          <w:marTop w:val="0"/>
          <w:marBottom w:val="0"/>
          <w:divBdr>
            <w:top w:val="none" w:sz="0" w:space="0" w:color="auto"/>
            <w:left w:val="none" w:sz="0" w:space="0" w:color="auto"/>
            <w:bottom w:val="none" w:sz="0" w:space="0" w:color="auto"/>
            <w:right w:val="none" w:sz="0" w:space="0" w:color="auto"/>
          </w:divBdr>
        </w:div>
        <w:div w:id="2012291543">
          <w:marLeft w:val="0"/>
          <w:marRight w:val="0"/>
          <w:marTop w:val="0"/>
          <w:marBottom w:val="0"/>
          <w:divBdr>
            <w:top w:val="none" w:sz="0" w:space="0" w:color="auto"/>
            <w:left w:val="none" w:sz="0" w:space="0" w:color="auto"/>
            <w:bottom w:val="none" w:sz="0" w:space="0" w:color="auto"/>
            <w:right w:val="none" w:sz="0" w:space="0" w:color="auto"/>
          </w:divBdr>
        </w:div>
        <w:div w:id="946548411">
          <w:marLeft w:val="0"/>
          <w:marRight w:val="0"/>
          <w:marTop w:val="0"/>
          <w:marBottom w:val="0"/>
          <w:divBdr>
            <w:top w:val="none" w:sz="0" w:space="0" w:color="auto"/>
            <w:left w:val="none" w:sz="0" w:space="0" w:color="auto"/>
            <w:bottom w:val="none" w:sz="0" w:space="0" w:color="auto"/>
            <w:right w:val="none" w:sz="0" w:space="0" w:color="auto"/>
          </w:divBdr>
        </w:div>
        <w:div w:id="1427458572">
          <w:marLeft w:val="0"/>
          <w:marRight w:val="0"/>
          <w:marTop w:val="0"/>
          <w:marBottom w:val="0"/>
          <w:divBdr>
            <w:top w:val="none" w:sz="0" w:space="0" w:color="auto"/>
            <w:left w:val="none" w:sz="0" w:space="0" w:color="auto"/>
            <w:bottom w:val="none" w:sz="0" w:space="0" w:color="auto"/>
            <w:right w:val="none" w:sz="0" w:space="0" w:color="auto"/>
          </w:divBdr>
        </w:div>
        <w:div w:id="1139221778">
          <w:marLeft w:val="0"/>
          <w:marRight w:val="0"/>
          <w:marTop w:val="0"/>
          <w:marBottom w:val="0"/>
          <w:divBdr>
            <w:top w:val="none" w:sz="0" w:space="0" w:color="auto"/>
            <w:left w:val="none" w:sz="0" w:space="0" w:color="auto"/>
            <w:bottom w:val="none" w:sz="0" w:space="0" w:color="auto"/>
            <w:right w:val="none" w:sz="0" w:space="0" w:color="auto"/>
          </w:divBdr>
        </w:div>
        <w:div w:id="771390091">
          <w:marLeft w:val="0"/>
          <w:marRight w:val="0"/>
          <w:marTop w:val="0"/>
          <w:marBottom w:val="0"/>
          <w:divBdr>
            <w:top w:val="none" w:sz="0" w:space="0" w:color="auto"/>
            <w:left w:val="none" w:sz="0" w:space="0" w:color="auto"/>
            <w:bottom w:val="none" w:sz="0" w:space="0" w:color="auto"/>
            <w:right w:val="none" w:sz="0" w:space="0" w:color="auto"/>
          </w:divBdr>
        </w:div>
        <w:div w:id="1463771928">
          <w:marLeft w:val="0"/>
          <w:marRight w:val="0"/>
          <w:marTop w:val="0"/>
          <w:marBottom w:val="0"/>
          <w:divBdr>
            <w:top w:val="none" w:sz="0" w:space="0" w:color="auto"/>
            <w:left w:val="none" w:sz="0" w:space="0" w:color="auto"/>
            <w:bottom w:val="none" w:sz="0" w:space="0" w:color="auto"/>
            <w:right w:val="none" w:sz="0" w:space="0" w:color="auto"/>
          </w:divBdr>
        </w:div>
        <w:div w:id="1201865392">
          <w:marLeft w:val="0"/>
          <w:marRight w:val="0"/>
          <w:marTop w:val="0"/>
          <w:marBottom w:val="0"/>
          <w:divBdr>
            <w:top w:val="none" w:sz="0" w:space="0" w:color="auto"/>
            <w:left w:val="none" w:sz="0" w:space="0" w:color="auto"/>
            <w:bottom w:val="none" w:sz="0" w:space="0" w:color="auto"/>
            <w:right w:val="none" w:sz="0" w:space="0" w:color="auto"/>
          </w:divBdr>
        </w:div>
      </w:divsChild>
    </w:div>
    <w:div w:id="460728199">
      <w:bodyDiv w:val="1"/>
      <w:marLeft w:val="0"/>
      <w:marRight w:val="0"/>
      <w:marTop w:val="0"/>
      <w:marBottom w:val="0"/>
      <w:divBdr>
        <w:top w:val="none" w:sz="0" w:space="0" w:color="auto"/>
        <w:left w:val="none" w:sz="0" w:space="0" w:color="auto"/>
        <w:bottom w:val="none" w:sz="0" w:space="0" w:color="auto"/>
        <w:right w:val="none" w:sz="0" w:space="0" w:color="auto"/>
      </w:divBdr>
    </w:div>
    <w:div w:id="461771863">
      <w:bodyDiv w:val="1"/>
      <w:marLeft w:val="0"/>
      <w:marRight w:val="0"/>
      <w:marTop w:val="0"/>
      <w:marBottom w:val="0"/>
      <w:divBdr>
        <w:top w:val="none" w:sz="0" w:space="0" w:color="auto"/>
        <w:left w:val="none" w:sz="0" w:space="0" w:color="auto"/>
        <w:bottom w:val="none" w:sz="0" w:space="0" w:color="auto"/>
        <w:right w:val="none" w:sz="0" w:space="0" w:color="auto"/>
      </w:divBdr>
      <w:divsChild>
        <w:div w:id="17121802">
          <w:marLeft w:val="0"/>
          <w:marRight w:val="0"/>
          <w:marTop w:val="0"/>
          <w:marBottom w:val="0"/>
          <w:divBdr>
            <w:top w:val="none" w:sz="0" w:space="0" w:color="auto"/>
            <w:left w:val="none" w:sz="0" w:space="0" w:color="auto"/>
            <w:bottom w:val="none" w:sz="0" w:space="0" w:color="auto"/>
            <w:right w:val="none" w:sz="0" w:space="0" w:color="auto"/>
          </w:divBdr>
        </w:div>
        <w:div w:id="843281873">
          <w:marLeft w:val="0"/>
          <w:marRight w:val="0"/>
          <w:marTop w:val="0"/>
          <w:marBottom w:val="0"/>
          <w:divBdr>
            <w:top w:val="none" w:sz="0" w:space="0" w:color="auto"/>
            <w:left w:val="none" w:sz="0" w:space="0" w:color="auto"/>
            <w:bottom w:val="none" w:sz="0" w:space="0" w:color="auto"/>
            <w:right w:val="none" w:sz="0" w:space="0" w:color="auto"/>
          </w:divBdr>
        </w:div>
      </w:divsChild>
    </w:div>
    <w:div w:id="467361707">
      <w:bodyDiv w:val="1"/>
      <w:marLeft w:val="0"/>
      <w:marRight w:val="0"/>
      <w:marTop w:val="0"/>
      <w:marBottom w:val="0"/>
      <w:divBdr>
        <w:top w:val="none" w:sz="0" w:space="0" w:color="auto"/>
        <w:left w:val="none" w:sz="0" w:space="0" w:color="auto"/>
        <w:bottom w:val="none" w:sz="0" w:space="0" w:color="auto"/>
        <w:right w:val="none" w:sz="0" w:space="0" w:color="auto"/>
      </w:divBdr>
    </w:div>
    <w:div w:id="587930506">
      <w:bodyDiv w:val="1"/>
      <w:marLeft w:val="0"/>
      <w:marRight w:val="0"/>
      <w:marTop w:val="0"/>
      <w:marBottom w:val="0"/>
      <w:divBdr>
        <w:top w:val="none" w:sz="0" w:space="0" w:color="auto"/>
        <w:left w:val="none" w:sz="0" w:space="0" w:color="auto"/>
        <w:bottom w:val="none" w:sz="0" w:space="0" w:color="auto"/>
        <w:right w:val="none" w:sz="0" w:space="0" w:color="auto"/>
      </w:divBdr>
    </w:div>
    <w:div w:id="604506938">
      <w:bodyDiv w:val="1"/>
      <w:marLeft w:val="0"/>
      <w:marRight w:val="0"/>
      <w:marTop w:val="0"/>
      <w:marBottom w:val="0"/>
      <w:divBdr>
        <w:top w:val="none" w:sz="0" w:space="0" w:color="auto"/>
        <w:left w:val="none" w:sz="0" w:space="0" w:color="auto"/>
        <w:bottom w:val="none" w:sz="0" w:space="0" w:color="auto"/>
        <w:right w:val="none" w:sz="0" w:space="0" w:color="auto"/>
      </w:divBdr>
      <w:divsChild>
        <w:div w:id="26413848">
          <w:marLeft w:val="0"/>
          <w:marRight w:val="0"/>
          <w:marTop w:val="0"/>
          <w:marBottom w:val="0"/>
          <w:divBdr>
            <w:top w:val="none" w:sz="0" w:space="0" w:color="auto"/>
            <w:left w:val="none" w:sz="0" w:space="0" w:color="auto"/>
            <w:bottom w:val="none" w:sz="0" w:space="0" w:color="auto"/>
            <w:right w:val="none" w:sz="0" w:space="0" w:color="auto"/>
          </w:divBdr>
          <w:divsChild>
            <w:div w:id="46612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395334">
      <w:bodyDiv w:val="1"/>
      <w:marLeft w:val="0"/>
      <w:marRight w:val="0"/>
      <w:marTop w:val="0"/>
      <w:marBottom w:val="0"/>
      <w:divBdr>
        <w:top w:val="none" w:sz="0" w:space="0" w:color="auto"/>
        <w:left w:val="none" w:sz="0" w:space="0" w:color="auto"/>
        <w:bottom w:val="none" w:sz="0" w:space="0" w:color="auto"/>
        <w:right w:val="none" w:sz="0" w:space="0" w:color="auto"/>
      </w:divBdr>
      <w:divsChild>
        <w:div w:id="1177423237">
          <w:marLeft w:val="0"/>
          <w:marRight w:val="0"/>
          <w:marTop w:val="0"/>
          <w:marBottom w:val="0"/>
          <w:divBdr>
            <w:top w:val="none" w:sz="0" w:space="0" w:color="auto"/>
            <w:left w:val="none" w:sz="0" w:space="0" w:color="auto"/>
            <w:bottom w:val="none" w:sz="0" w:space="0" w:color="auto"/>
            <w:right w:val="none" w:sz="0" w:space="0" w:color="auto"/>
          </w:divBdr>
        </w:div>
        <w:div w:id="859851418">
          <w:marLeft w:val="0"/>
          <w:marRight w:val="0"/>
          <w:marTop w:val="0"/>
          <w:marBottom w:val="0"/>
          <w:divBdr>
            <w:top w:val="none" w:sz="0" w:space="0" w:color="auto"/>
            <w:left w:val="none" w:sz="0" w:space="0" w:color="auto"/>
            <w:bottom w:val="none" w:sz="0" w:space="0" w:color="auto"/>
            <w:right w:val="none" w:sz="0" w:space="0" w:color="auto"/>
          </w:divBdr>
        </w:div>
      </w:divsChild>
    </w:div>
    <w:div w:id="724254084">
      <w:bodyDiv w:val="1"/>
      <w:marLeft w:val="0"/>
      <w:marRight w:val="0"/>
      <w:marTop w:val="0"/>
      <w:marBottom w:val="0"/>
      <w:divBdr>
        <w:top w:val="none" w:sz="0" w:space="0" w:color="auto"/>
        <w:left w:val="none" w:sz="0" w:space="0" w:color="auto"/>
        <w:bottom w:val="none" w:sz="0" w:space="0" w:color="auto"/>
        <w:right w:val="none" w:sz="0" w:space="0" w:color="auto"/>
      </w:divBdr>
      <w:divsChild>
        <w:div w:id="77332945">
          <w:marLeft w:val="0"/>
          <w:marRight w:val="0"/>
          <w:marTop w:val="0"/>
          <w:marBottom w:val="0"/>
          <w:divBdr>
            <w:top w:val="none" w:sz="0" w:space="0" w:color="auto"/>
            <w:left w:val="none" w:sz="0" w:space="0" w:color="auto"/>
            <w:bottom w:val="none" w:sz="0" w:space="0" w:color="auto"/>
            <w:right w:val="none" w:sz="0" w:space="0" w:color="auto"/>
          </w:divBdr>
        </w:div>
        <w:div w:id="893277686">
          <w:marLeft w:val="0"/>
          <w:marRight w:val="0"/>
          <w:marTop w:val="0"/>
          <w:marBottom w:val="0"/>
          <w:divBdr>
            <w:top w:val="none" w:sz="0" w:space="0" w:color="auto"/>
            <w:left w:val="none" w:sz="0" w:space="0" w:color="auto"/>
            <w:bottom w:val="none" w:sz="0" w:space="0" w:color="auto"/>
            <w:right w:val="none" w:sz="0" w:space="0" w:color="auto"/>
          </w:divBdr>
        </w:div>
      </w:divsChild>
    </w:div>
    <w:div w:id="749276787">
      <w:bodyDiv w:val="1"/>
      <w:marLeft w:val="0"/>
      <w:marRight w:val="0"/>
      <w:marTop w:val="0"/>
      <w:marBottom w:val="0"/>
      <w:divBdr>
        <w:top w:val="none" w:sz="0" w:space="0" w:color="auto"/>
        <w:left w:val="none" w:sz="0" w:space="0" w:color="auto"/>
        <w:bottom w:val="none" w:sz="0" w:space="0" w:color="auto"/>
        <w:right w:val="none" w:sz="0" w:space="0" w:color="auto"/>
      </w:divBdr>
    </w:div>
    <w:div w:id="756557405">
      <w:bodyDiv w:val="1"/>
      <w:marLeft w:val="0"/>
      <w:marRight w:val="0"/>
      <w:marTop w:val="0"/>
      <w:marBottom w:val="0"/>
      <w:divBdr>
        <w:top w:val="none" w:sz="0" w:space="0" w:color="auto"/>
        <w:left w:val="none" w:sz="0" w:space="0" w:color="auto"/>
        <w:bottom w:val="none" w:sz="0" w:space="0" w:color="auto"/>
        <w:right w:val="none" w:sz="0" w:space="0" w:color="auto"/>
      </w:divBdr>
    </w:div>
    <w:div w:id="771171611">
      <w:bodyDiv w:val="1"/>
      <w:marLeft w:val="0"/>
      <w:marRight w:val="0"/>
      <w:marTop w:val="0"/>
      <w:marBottom w:val="0"/>
      <w:divBdr>
        <w:top w:val="none" w:sz="0" w:space="0" w:color="auto"/>
        <w:left w:val="none" w:sz="0" w:space="0" w:color="auto"/>
        <w:bottom w:val="none" w:sz="0" w:space="0" w:color="auto"/>
        <w:right w:val="none" w:sz="0" w:space="0" w:color="auto"/>
      </w:divBdr>
      <w:divsChild>
        <w:div w:id="1497769958">
          <w:marLeft w:val="0"/>
          <w:marRight w:val="0"/>
          <w:marTop w:val="0"/>
          <w:marBottom w:val="0"/>
          <w:divBdr>
            <w:top w:val="none" w:sz="0" w:space="0" w:color="auto"/>
            <w:left w:val="none" w:sz="0" w:space="0" w:color="auto"/>
            <w:bottom w:val="none" w:sz="0" w:space="0" w:color="auto"/>
            <w:right w:val="none" w:sz="0" w:space="0" w:color="auto"/>
          </w:divBdr>
          <w:divsChild>
            <w:div w:id="909193732">
              <w:marLeft w:val="0"/>
              <w:marRight w:val="0"/>
              <w:marTop w:val="0"/>
              <w:marBottom w:val="150"/>
              <w:divBdr>
                <w:top w:val="none" w:sz="0" w:space="0" w:color="auto"/>
                <w:left w:val="none" w:sz="0" w:space="0" w:color="auto"/>
                <w:bottom w:val="none" w:sz="0" w:space="0" w:color="auto"/>
                <w:right w:val="none" w:sz="0" w:space="0" w:color="auto"/>
              </w:divBdr>
              <w:divsChild>
                <w:div w:id="795561127">
                  <w:marLeft w:val="0"/>
                  <w:marRight w:val="0"/>
                  <w:marTop w:val="0"/>
                  <w:marBottom w:val="0"/>
                  <w:divBdr>
                    <w:top w:val="none" w:sz="0" w:space="0" w:color="auto"/>
                    <w:left w:val="none" w:sz="0" w:space="0" w:color="auto"/>
                    <w:bottom w:val="none" w:sz="0" w:space="0" w:color="auto"/>
                    <w:right w:val="none" w:sz="0" w:space="0" w:color="auto"/>
                  </w:divBdr>
                  <w:divsChild>
                    <w:div w:id="1475876303">
                      <w:marLeft w:val="0"/>
                      <w:marRight w:val="0"/>
                      <w:marTop w:val="0"/>
                      <w:marBottom w:val="0"/>
                      <w:divBdr>
                        <w:top w:val="none" w:sz="0" w:space="0" w:color="auto"/>
                        <w:left w:val="none" w:sz="0" w:space="0" w:color="auto"/>
                        <w:bottom w:val="none" w:sz="0" w:space="0" w:color="auto"/>
                        <w:right w:val="none" w:sz="0" w:space="0" w:color="auto"/>
                      </w:divBdr>
                      <w:divsChild>
                        <w:div w:id="2020039158">
                          <w:marLeft w:val="0"/>
                          <w:marRight w:val="0"/>
                          <w:marTop w:val="0"/>
                          <w:marBottom w:val="0"/>
                          <w:divBdr>
                            <w:top w:val="none" w:sz="0" w:space="0" w:color="auto"/>
                            <w:left w:val="none" w:sz="0" w:space="0" w:color="auto"/>
                            <w:bottom w:val="none" w:sz="0" w:space="0" w:color="auto"/>
                            <w:right w:val="none" w:sz="0" w:space="0" w:color="auto"/>
                          </w:divBdr>
                          <w:divsChild>
                            <w:div w:id="1574390686">
                              <w:marLeft w:val="0"/>
                              <w:marRight w:val="0"/>
                              <w:marTop w:val="0"/>
                              <w:marBottom w:val="0"/>
                              <w:divBdr>
                                <w:top w:val="none" w:sz="0" w:space="0" w:color="auto"/>
                                <w:left w:val="none" w:sz="0" w:space="0" w:color="auto"/>
                                <w:bottom w:val="none" w:sz="0" w:space="0" w:color="auto"/>
                                <w:right w:val="none" w:sz="0" w:space="0" w:color="auto"/>
                              </w:divBdr>
                              <w:divsChild>
                                <w:div w:id="150564153">
                                  <w:marLeft w:val="0"/>
                                  <w:marRight w:val="-3600"/>
                                  <w:marTop w:val="150"/>
                                  <w:marBottom w:val="0"/>
                                  <w:divBdr>
                                    <w:top w:val="none" w:sz="0" w:space="0" w:color="auto"/>
                                    <w:left w:val="none" w:sz="0" w:space="0" w:color="auto"/>
                                    <w:bottom w:val="none" w:sz="0" w:space="0" w:color="auto"/>
                                    <w:right w:val="none" w:sz="0" w:space="0" w:color="auto"/>
                                  </w:divBdr>
                                  <w:divsChild>
                                    <w:div w:id="1616252572">
                                      <w:marLeft w:val="0"/>
                                      <w:marRight w:val="3600"/>
                                      <w:marTop w:val="0"/>
                                      <w:marBottom w:val="0"/>
                                      <w:divBdr>
                                        <w:top w:val="none" w:sz="0" w:space="0" w:color="auto"/>
                                        <w:left w:val="none" w:sz="0" w:space="0" w:color="auto"/>
                                        <w:bottom w:val="none" w:sz="0" w:space="0" w:color="auto"/>
                                        <w:right w:val="none" w:sz="0" w:space="0" w:color="auto"/>
                                      </w:divBdr>
                                      <w:divsChild>
                                        <w:div w:id="1214151117">
                                          <w:marLeft w:val="0"/>
                                          <w:marRight w:val="0"/>
                                          <w:marTop w:val="0"/>
                                          <w:marBottom w:val="0"/>
                                          <w:divBdr>
                                            <w:top w:val="none" w:sz="0" w:space="0" w:color="auto"/>
                                            <w:left w:val="none" w:sz="0" w:space="0" w:color="auto"/>
                                            <w:bottom w:val="none" w:sz="0" w:space="0" w:color="auto"/>
                                            <w:right w:val="none" w:sz="0" w:space="0" w:color="auto"/>
                                          </w:divBdr>
                                          <w:divsChild>
                                            <w:div w:id="882254435">
                                              <w:marLeft w:val="0"/>
                                              <w:marRight w:val="0"/>
                                              <w:marTop w:val="0"/>
                                              <w:marBottom w:val="0"/>
                                              <w:divBdr>
                                                <w:top w:val="none" w:sz="0" w:space="0" w:color="auto"/>
                                                <w:left w:val="none" w:sz="0" w:space="0" w:color="auto"/>
                                                <w:bottom w:val="none" w:sz="0" w:space="0" w:color="auto"/>
                                                <w:right w:val="none" w:sz="0" w:space="0" w:color="auto"/>
                                              </w:divBdr>
                                              <w:divsChild>
                                                <w:div w:id="1982465406">
                                                  <w:marLeft w:val="0"/>
                                                  <w:marRight w:val="0"/>
                                                  <w:marTop w:val="0"/>
                                                  <w:marBottom w:val="0"/>
                                                  <w:divBdr>
                                                    <w:top w:val="none" w:sz="0" w:space="0" w:color="auto"/>
                                                    <w:left w:val="none" w:sz="0" w:space="0" w:color="auto"/>
                                                    <w:bottom w:val="none" w:sz="0" w:space="0" w:color="auto"/>
                                                    <w:right w:val="none" w:sz="0" w:space="0" w:color="auto"/>
                                                  </w:divBdr>
                                                  <w:divsChild>
                                                    <w:div w:id="72195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6800719">
      <w:bodyDiv w:val="1"/>
      <w:marLeft w:val="0"/>
      <w:marRight w:val="0"/>
      <w:marTop w:val="0"/>
      <w:marBottom w:val="0"/>
      <w:divBdr>
        <w:top w:val="none" w:sz="0" w:space="0" w:color="auto"/>
        <w:left w:val="none" w:sz="0" w:space="0" w:color="auto"/>
        <w:bottom w:val="none" w:sz="0" w:space="0" w:color="auto"/>
        <w:right w:val="none" w:sz="0" w:space="0" w:color="auto"/>
      </w:divBdr>
    </w:div>
    <w:div w:id="805464211">
      <w:bodyDiv w:val="1"/>
      <w:marLeft w:val="0"/>
      <w:marRight w:val="0"/>
      <w:marTop w:val="0"/>
      <w:marBottom w:val="0"/>
      <w:divBdr>
        <w:top w:val="none" w:sz="0" w:space="0" w:color="auto"/>
        <w:left w:val="none" w:sz="0" w:space="0" w:color="auto"/>
        <w:bottom w:val="none" w:sz="0" w:space="0" w:color="auto"/>
        <w:right w:val="none" w:sz="0" w:space="0" w:color="auto"/>
      </w:divBdr>
      <w:divsChild>
        <w:div w:id="859509659">
          <w:marLeft w:val="0"/>
          <w:marRight w:val="0"/>
          <w:marTop w:val="0"/>
          <w:marBottom w:val="0"/>
          <w:divBdr>
            <w:top w:val="none" w:sz="0" w:space="0" w:color="auto"/>
            <w:left w:val="none" w:sz="0" w:space="0" w:color="auto"/>
            <w:bottom w:val="none" w:sz="0" w:space="0" w:color="auto"/>
            <w:right w:val="none" w:sz="0" w:space="0" w:color="auto"/>
          </w:divBdr>
        </w:div>
        <w:div w:id="1133595661">
          <w:marLeft w:val="0"/>
          <w:marRight w:val="0"/>
          <w:marTop w:val="0"/>
          <w:marBottom w:val="0"/>
          <w:divBdr>
            <w:top w:val="none" w:sz="0" w:space="0" w:color="auto"/>
            <w:left w:val="none" w:sz="0" w:space="0" w:color="auto"/>
            <w:bottom w:val="none" w:sz="0" w:space="0" w:color="auto"/>
            <w:right w:val="none" w:sz="0" w:space="0" w:color="auto"/>
          </w:divBdr>
        </w:div>
      </w:divsChild>
    </w:div>
    <w:div w:id="839857019">
      <w:bodyDiv w:val="1"/>
      <w:marLeft w:val="0"/>
      <w:marRight w:val="0"/>
      <w:marTop w:val="0"/>
      <w:marBottom w:val="0"/>
      <w:divBdr>
        <w:top w:val="none" w:sz="0" w:space="0" w:color="auto"/>
        <w:left w:val="none" w:sz="0" w:space="0" w:color="auto"/>
        <w:bottom w:val="none" w:sz="0" w:space="0" w:color="auto"/>
        <w:right w:val="none" w:sz="0" w:space="0" w:color="auto"/>
      </w:divBdr>
    </w:div>
    <w:div w:id="863438673">
      <w:bodyDiv w:val="1"/>
      <w:marLeft w:val="0"/>
      <w:marRight w:val="0"/>
      <w:marTop w:val="0"/>
      <w:marBottom w:val="0"/>
      <w:divBdr>
        <w:top w:val="none" w:sz="0" w:space="0" w:color="auto"/>
        <w:left w:val="none" w:sz="0" w:space="0" w:color="auto"/>
        <w:bottom w:val="none" w:sz="0" w:space="0" w:color="auto"/>
        <w:right w:val="none" w:sz="0" w:space="0" w:color="auto"/>
      </w:divBdr>
      <w:divsChild>
        <w:div w:id="1164468629">
          <w:marLeft w:val="0"/>
          <w:marRight w:val="0"/>
          <w:marTop w:val="0"/>
          <w:marBottom w:val="0"/>
          <w:divBdr>
            <w:top w:val="none" w:sz="0" w:space="0" w:color="auto"/>
            <w:left w:val="none" w:sz="0" w:space="0" w:color="auto"/>
            <w:bottom w:val="none" w:sz="0" w:space="0" w:color="auto"/>
            <w:right w:val="none" w:sz="0" w:space="0" w:color="auto"/>
          </w:divBdr>
        </w:div>
        <w:div w:id="1155415645">
          <w:marLeft w:val="0"/>
          <w:marRight w:val="0"/>
          <w:marTop w:val="0"/>
          <w:marBottom w:val="0"/>
          <w:divBdr>
            <w:top w:val="none" w:sz="0" w:space="0" w:color="auto"/>
            <w:left w:val="none" w:sz="0" w:space="0" w:color="auto"/>
            <w:bottom w:val="none" w:sz="0" w:space="0" w:color="auto"/>
            <w:right w:val="none" w:sz="0" w:space="0" w:color="auto"/>
          </w:divBdr>
        </w:div>
        <w:div w:id="2126148777">
          <w:marLeft w:val="0"/>
          <w:marRight w:val="0"/>
          <w:marTop w:val="0"/>
          <w:marBottom w:val="0"/>
          <w:divBdr>
            <w:top w:val="none" w:sz="0" w:space="0" w:color="auto"/>
            <w:left w:val="none" w:sz="0" w:space="0" w:color="auto"/>
            <w:bottom w:val="none" w:sz="0" w:space="0" w:color="auto"/>
            <w:right w:val="none" w:sz="0" w:space="0" w:color="auto"/>
          </w:divBdr>
        </w:div>
      </w:divsChild>
    </w:div>
    <w:div w:id="867794782">
      <w:bodyDiv w:val="1"/>
      <w:marLeft w:val="0"/>
      <w:marRight w:val="0"/>
      <w:marTop w:val="0"/>
      <w:marBottom w:val="0"/>
      <w:divBdr>
        <w:top w:val="none" w:sz="0" w:space="0" w:color="auto"/>
        <w:left w:val="none" w:sz="0" w:space="0" w:color="auto"/>
        <w:bottom w:val="none" w:sz="0" w:space="0" w:color="auto"/>
        <w:right w:val="none" w:sz="0" w:space="0" w:color="auto"/>
      </w:divBdr>
    </w:div>
    <w:div w:id="885068968">
      <w:bodyDiv w:val="1"/>
      <w:marLeft w:val="0"/>
      <w:marRight w:val="0"/>
      <w:marTop w:val="0"/>
      <w:marBottom w:val="0"/>
      <w:divBdr>
        <w:top w:val="none" w:sz="0" w:space="0" w:color="auto"/>
        <w:left w:val="none" w:sz="0" w:space="0" w:color="auto"/>
        <w:bottom w:val="none" w:sz="0" w:space="0" w:color="auto"/>
        <w:right w:val="none" w:sz="0" w:space="0" w:color="auto"/>
      </w:divBdr>
      <w:divsChild>
        <w:div w:id="413279342">
          <w:marLeft w:val="0"/>
          <w:marRight w:val="0"/>
          <w:marTop w:val="0"/>
          <w:marBottom w:val="0"/>
          <w:divBdr>
            <w:top w:val="none" w:sz="0" w:space="0" w:color="auto"/>
            <w:left w:val="none" w:sz="0" w:space="0" w:color="auto"/>
            <w:bottom w:val="none" w:sz="0" w:space="0" w:color="auto"/>
            <w:right w:val="none" w:sz="0" w:space="0" w:color="auto"/>
          </w:divBdr>
        </w:div>
        <w:div w:id="766734264">
          <w:marLeft w:val="0"/>
          <w:marRight w:val="0"/>
          <w:marTop w:val="0"/>
          <w:marBottom w:val="0"/>
          <w:divBdr>
            <w:top w:val="none" w:sz="0" w:space="0" w:color="auto"/>
            <w:left w:val="none" w:sz="0" w:space="0" w:color="auto"/>
            <w:bottom w:val="none" w:sz="0" w:space="0" w:color="auto"/>
            <w:right w:val="none" w:sz="0" w:space="0" w:color="auto"/>
          </w:divBdr>
        </w:div>
        <w:div w:id="368721349">
          <w:marLeft w:val="0"/>
          <w:marRight w:val="0"/>
          <w:marTop w:val="0"/>
          <w:marBottom w:val="0"/>
          <w:divBdr>
            <w:top w:val="none" w:sz="0" w:space="0" w:color="auto"/>
            <w:left w:val="none" w:sz="0" w:space="0" w:color="auto"/>
            <w:bottom w:val="none" w:sz="0" w:space="0" w:color="auto"/>
            <w:right w:val="none" w:sz="0" w:space="0" w:color="auto"/>
          </w:divBdr>
        </w:div>
        <w:div w:id="1187519764">
          <w:marLeft w:val="0"/>
          <w:marRight w:val="0"/>
          <w:marTop w:val="0"/>
          <w:marBottom w:val="0"/>
          <w:divBdr>
            <w:top w:val="none" w:sz="0" w:space="0" w:color="auto"/>
            <w:left w:val="none" w:sz="0" w:space="0" w:color="auto"/>
            <w:bottom w:val="none" w:sz="0" w:space="0" w:color="auto"/>
            <w:right w:val="none" w:sz="0" w:space="0" w:color="auto"/>
          </w:divBdr>
        </w:div>
        <w:div w:id="321587301">
          <w:marLeft w:val="0"/>
          <w:marRight w:val="0"/>
          <w:marTop w:val="0"/>
          <w:marBottom w:val="0"/>
          <w:divBdr>
            <w:top w:val="none" w:sz="0" w:space="0" w:color="auto"/>
            <w:left w:val="none" w:sz="0" w:space="0" w:color="auto"/>
            <w:bottom w:val="none" w:sz="0" w:space="0" w:color="auto"/>
            <w:right w:val="none" w:sz="0" w:space="0" w:color="auto"/>
          </w:divBdr>
        </w:div>
        <w:div w:id="517501796">
          <w:marLeft w:val="0"/>
          <w:marRight w:val="0"/>
          <w:marTop w:val="0"/>
          <w:marBottom w:val="0"/>
          <w:divBdr>
            <w:top w:val="none" w:sz="0" w:space="0" w:color="auto"/>
            <w:left w:val="none" w:sz="0" w:space="0" w:color="auto"/>
            <w:bottom w:val="none" w:sz="0" w:space="0" w:color="auto"/>
            <w:right w:val="none" w:sz="0" w:space="0" w:color="auto"/>
          </w:divBdr>
        </w:div>
        <w:div w:id="1873957418">
          <w:marLeft w:val="0"/>
          <w:marRight w:val="0"/>
          <w:marTop w:val="0"/>
          <w:marBottom w:val="0"/>
          <w:divBdr>
            <w:top w:val="none" w:sz="0" w:space="0" w:color="auto"/>
            <w:left w:val="none" w:sz="0" w:space="0" w:color="auto"/>
            <w:bottom w:val="none" w:sz="0" w:space="0" w:color="auto"/>
            <w:right w:val="none" w:sz="0" w:space="0" w:color="auto"/>
          </w:divBdr>
        </w:div>
        <w:div w:id="910777599">
          <w:marLeft w:val="0"/>
          <w:marRight w:val="0"/>
          <w:marTop w:val="0"/>
          <w:marBottom w:val="0"/>
          <w:divBdr>
            <w:top w:val="none" w:sz="0" w:space="0" w:color="auto"/>
            <w:left w:val="none" w:sz="0" w:space="0" w:color="auto"/>
            <w:bottom w:val="none" w:sz="0" w:space="0" w:color="auto"/>
            <w:right w:val="none" w:sz="0" w:space="0" w:color="auto"/>
          </w:divBdr>
        </w:div>
        <w:div w:id="1373581438">
          <w:marLeft w:val="0"/>
          <w:marRight w:val="0"/>
          <w:marTop w:val="0"/>
          <w:marBottom w:val="0"/>
          <w:divBdr>
            <w:top w:val="none" w:sz="0" w:space="0" w:color="auto"/>
            <w:left w:val="none" w:sz="0" w:space="0" w:color="auto"/>
            <w:bottom w:val="none" w:sz="0" w:space="0" w:color="auto"/>
            <w:right w:val="none" w:sz="0" w:space="0" w:color="auto"/>
          </w:divBdr>
        </w:div>
        <w:div w:id="1427576528">
          <w:marLeft w:val="0"/>
          <w:marRight w:val="0"/>
          <w:marTop w:val="0"/>
          <w:marBottom w:val="0"/>
          <w:divBdr>
            <w:top w:val="none" w:sz="0" w:space="0" w:color="auto"/>
            <w:left w:val="none" w:sz="0" w:space="0" w:color="auto"/>
            <w:bottom w:val="none" w:sz="0" w:space="0" w:color="auto"/>
            <w:right w:val="none" w:sz="0" w:space="0" w:color="auto"/>
          </w:divBdr>
        </w:div>
        <w:div w:id="792331687">
          <w:marLeft w:val="0"/>
          <w:marRight w:val="0"/>
          <w:marTop w:val="0"/>
          <w:marBottom w:val="0"/>
          <w:divBdr>
            <w:top w:val="none" w:sz="0" w:space="0" w:color="auto"/>
            <w:left w:val="none" w:sz="0" w:space="0" w:color="auto"/>
            <w:bottom w:val="none" w:sz="0" w:space="0" w:color="auto"/>
            <w:right w:val="none" w:sz="0" w:space="0" w:color="auto"/>
          </w:divBdr>
        </w:div>
        <w:div w:id="1894807047">
          <w:marLeft w:val="0"/>
          <w:marRight w:val="0"/>
          <w:marTop w:val="0"/>
          <w:marBottom w:val="0"/>
          <w:divBdr>
            <w:top w:val="none" w:sz="0" w:space="0" w:color="auto"/>
            <w:left w:val="none" w:sz="0" w:space="0" w:color="auto"/>
            <w:bottom w:val="none" w:sz="0" w:space="0" w:color="auto"/>
            <w:right w:val="none" w:sz="0" w:space="0" w:color="auto"/>
          </w:divBdr>
        </w:div>
        <w:div w:id="310521872">
          <w:marLeft w:val="0"/>
          <w:marRight w:val="0"/>
          <w:marTop w:val="0"/>
          <w:marBottom w:val="0"/>
          <w:divBdr>
            <w:top w:val="none" w:sz="0" w:space="0" w:color="auto"/>
            <w:left w:val="none" w:sz="0" w:space="0" w:color="auto"/>
            <w:bottom w:val="none" w:sz="0" w:space="0" w:color="auto"/>
            <w:right w:val="none" w:sz="0" w:space="0" w:color="auto"/>
          </w:divBdr>
        </w:div>
        <w:div w:id="2062362458">
          <w:marLeft w:val="0"/>
          <w:marRight w:val="0"/>
          <w:marTop w:val="0"/>
          <w:marBottom w:val="0"/>
          <w:divBdr>
            <w:top w:val="none" w:sz="0" w:space="0" w:color="auto"/>
            <w:left w:val="none" w:sz="0" w:space="0" w:color="auto"/>
            <w:bottom w:val="none" w:sz="0" w:space="0" w:color="auto"/>
            <w:right w:val="none" w:sz="0" w:space="0" w:color="auto"/>
          </w:divBdr>
        </w:div>
      </w:divsChild>
    </w:div>
    <w:div w:id="890310913">
      <w:bodyDiv w:val="1"/>
      <w:marLeft w:val="0"/>
      <w:marRight w:val="0"/>
      <w:marTop w:val="0"/>
      <w:marBottom w:val="0"/>
      <w:divBdr>
        <w:top w:val="none" w:sz="0" w:space="0" w:color="auto"/>
        <w:left w:val="none" w:sz="0" w:space="0" w:color="auto"/>
        <w:bottom w:val="none" w:sz="0" w:space="0" w:color="auto"/>
        <w:right w:val="none" w:sz="0" w:space="0" w:color="auto"/>
      </w:divBdr>
    </w:div>
    <w:div w:id="900333845">
      <w:bodyDiv w:val="1"/>
      <w:marLeft w:val="0"/>
      <w:marRight w:val="0"/>
      <w:marTop w:val="0"/>
      <w:marBottom w:val="0"/>
      <w:divBdr>
        <w:top w:val="none" w:sz="0" w:space="0" w:color="auto"/>
        <w:left w:val="none" w:sz="0" w:space="0" w:color="auto"/>
        <w:bottom w:val="none" w:sz="0" w:space="0" w:color="auto"/>
        <w:right w:val="none" w:sz="0" w:space="0" w:color="auto"/>
      </w:divBdr>
    </w:div>
    <w:div w:id="912664466">
      <w:bodyDiv w:val="1"/>
      <w:marLeft w:val="0"/>
      <w:marRight w:val="0"/>
      <w:marTop w:val="0"/>
      <w:marBottom w:val="0"/>
      <w:divBdr>
        <w:top w:val="none" w:sz="0" w:space="0" w:color="auto"/>
        <w:left w:val="none" w:sz="0" w:space="0" w:color="auto"/>
        <w:bottom w:val="none" w:sz="0" w:space="0" w:color="auto"/>
        <w:right w:val="none" w:sz="0" w:space="0" w:color="auto"/>
      </w:divBdr>
      <w:divsChild>
        <w:div w:id="100564530">
          <w:marLeft w:val="0"/>
          <w:marRight w:val="0"/>
          <w:marTop w:val="0"/>
          <w:marBottom w:val="0"/>
          <w:divBdr>
            <w:top w:val="none" w:sz="0" w:space="0" w:color="auto"/>
            <w:left w:val="none" w:sz="0" w:space="0" w:color="auto"/>
            <w:bottom w:val="none" w:sz="0" w:space="0" w:color="auto"/>
            <w:right w:val="none" w:sz="0" w:space="0" w:color="auto"/>
          </w:divBdr>
        </w:div>
        <w:div w:id="1597592413">
          <w:marLeft w:val="0"/>
          <w:marRight w:val="0"/>
          <w:marTop w:val="0"/>
          <w:marBottom w:val="0"/>
          <w:divBdr>
            <w:top w:val="none" w:sz="0" w:space="0" w:color="auto"/>
            <w:left w:val="none" w:sz="0" w:space="0" w:color="auto"/>
            <w:bottom w:val="none" w:sz="0" w:space="0" w:color="auto"/>
            <w:right w:val="none" w:sz="0" w:space="0" w:color="auto"/>
          </w:divBdr>
        </w:div>
      </w:divsChild>
    </w:div>
    <w:div w:id="931813096">
      <w:bodyDiv w:val="1"/>
      <w:marLeft w:val="0"/>
      <w:marRight w:val="0"/>
      <w:marTop w:val="0"/>
      <w:marBottom w:val="0"/>
      <w:divBdr>
        <w:top w:val="none" w:sz="0" w:space="0" w:color="auto"/>
        <w:left w:val="none" w:sz="0" w:space="0" w:color="auto"/>
        <w:bottom w:val="none" w:sz="0" w:space="0" w:color="auto"/>
        <w:right w:val="none" w:sz="0" w:space="0" w:color="auto"/>
      </w:divBdr>
    </w:div>
    <w:div w:id="938484481">
      <w:bodyDiv w:val="1"/>
      <w:marLeft w:val="0"/>
      <w:marRight w:val="0"/>
      <w:marTop w:val="0"/>
      <w:marBottom w:val="0"/>
      <w:divBdr>
        <w:top w:val="none" w:sz="0" w:space="0" w:color="auto"/>
        <w:left w:val="none" w:sz="0" w:space="0" w:color="auto"/>
        <w:bottom w:val="none" w:sz="0" w:space="0" w:color="auto"/>
        <w:right w:val="none" w:sz="0" w:space="0" w:color="auto"/>
      </w:divBdr>
    </w:div>
    <w:div w:id="956375490">
      <w:bodyDiv w:val="1"/>
      <w:marLeft w:val="0"/>
      <w:marRight w:val="0"/>
      <w:marTop w:val="0"/>
      <w:marBottom w:val="0"/>
      <w:divBdr>
        <w:top w:val="none" w:sz="0" w:space="0" w:color="auto"/>
        <w:left w:val="none" w:sz="0" w:space="0" w:color="auto"/>
        <w:bottom w:val="none" w:sz="0" w:space="0" w:color="auto"/>
        <w:right w:val="none" w:sz="0" w:space="0" w:color="auto"/>
      </w:divBdr>
      <w:divsChild>
        <w:div w:id="50354217">
          <w:marLeft w:val="0"/>
          <w:marRight w:val="0"/>
          <w:marTop w:val="0"/>
          <w:marBottom w:val="0"/>
          <w:divBdr>
            <w:top w:val="none" w:sz="0" w:space="0" w:color="auto"/>
            <w:left w:val="none" w:sz="0" w:space="0" w:color="auto"/>
            <w:bottom w:val="none" w:sz="0" w:space="0" w:color="auto"/>
            <w:right w:val="none" w:sz="0" w:space="0" w:color="auto"/>
          </w:divBdr>
        </w:div>
        <w:div w:id="1161769997">
          <w:marLeft w:val="0"/>
          <w:marRight w:val="0"/>
          <w:marTop w:val="0"/>
          <w:marBottom w:val="0"/>
          <w:divBdr>
            <w:top w:val="none" w:sz="0" w:space="0" w:color="auto"/>
            <w:left w:val="none" w:sz="0" w:space="0" w:color="auto"/>
            <w:bottom w:val="none" w:sz="0" w:space="0" w:color="auto"/>
            <w:right w:val="none" w:sz="0" w:space="0" w:color="auto"/>
          </w:divBdr>
        </w:div>
        <w:div w:id="1930430891">
          <w:marLeft w:val="0"/>
          <w:marRight w:val="0"/>
          <w:marTop w:val="0"/>
          <w:marBottom w:val="0"/>
          <w:divBdr>
            <w:top w:val="none" w:sz="0" w:space="0" w:color="auto"/>
            <w:left w:val="none" w:sz="0" w:space="0" w:color="auto"/>
            <w:bottom w:val="none" w:sz="0" w:space="0" w:color="auto"/>
            <w:right w:val="none" w:sz="0" w:space="0" w:color="auto"/>
          </w:divBdr>
        </w:div>
        <w:div w:id="2036926483">
          <w:marLeft w:val="0"/>
          <w:marRight w:val="0"/>
          <w:marTop w:val="0"/>
          <w:marBottom w:val="0"/>
          <w:divBdr>
            <w:top w:val="none" w:sz="0" w:space="0" w:color="auto"/>
            <w:left w:val="none" w:sz="0" w:space="0" w:color="auto"/>
            <w:bottom w:val="none" w:sz="0" w:space="0" w:color="auto"/>
            <w:right w:val="none" w:sz="0" w:space="0" w:color="auto"/>
          </w:divBdr>
        </w:div>
      </w:divsChild>
    </w:div>
    <w:div w:id="964772456">
      <w:bodyDiv w:val="1"/>
      <w:marLeft w:val="0"/>
      <w:marRight w:val="0"/>
      <w:marTop w:val="0"/>
      <w:marBottom w:val="0"/>
      <w:divBdr>
        <w:top w:val="none" w:sz="0" w:space="0" w:color="auto"/>
        <w:left w:val="none" w:sz="0" w:space="0" w:color="auto"/>
        <w:bottom w:val="none" w:sz="0" w:space="0" w:color="auto"/>
        <w:right w:val="none" w:sz="0" w:space="0" w:color="auto"/>
      </w:divBdr>
      <w:divsChild>
        <w:div w:id="2126346751">
          <w:marLeft w:val="0"/>
          <w:marRight w:val="0"/>
          <w:marTop w:val="0"/>
          <w:marBottom w:val="0"/>
          <w:divBdr>
            <w:top w:val="none" w:sz="0" w:space="0" w:color="auto"/>
            <w:left w:val="none" w:sz="0" w:space="0" w:color="auto"/>
            <w:bottom w:val="none" w:sz="0" w:space="0" w:color="auto"/>
            <w:right w:val="none" w:sz="0" w:space="0" w:color="auto"/>
          </w:divBdr>
          <w:divsChild>
            <w:div w:id="190401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439238">
      <w:bodyDiv w:val="1"/>
      <w:marLeft w:val="0"/>
      <w:marRight w:val="0"/>
      <w:marTop w:val="0"/>
      <w:marBottom w:val="0"/>
      <w:divBdr>
        <w:top w:val="none" w:sz="0" w:space="0" w:color="auto"/>
        <w:left w:val="none" w:sz="0" w:space="0" w:color="auto"/>
        <w:bottom w:val="none" w:sz="0" w:space="0" w:color="auto"/>
        <w:right w:val="none" w:sz="0" w:space="0" w:color="auto"/>
      </w:divBdr>
    </w:div>
    <w:div w:id="1002515212">
      <w:bodyDiv w:val="1"/>
      <w:marLeft w:val="0"/>
      <w:marRight w:val="0"/>
      <w:marTop w:val="0"/>
      <w:marBottom w:val="0"/>
      <w:divBdr>
        <w:top w:val="none" w:sz="0" w:space="0" w:color="auto"/>
        <w:left w:val="none" w:sz="0" w:space="0" w:color="auto"/>
        <w:bottom w:val="none" w:sz="0" w:space="0" w:color="auto"/>
        <w:right w:val="none" w:sz="0" w:space="0" w:color="auto"/>
      </w:divBdr>
    </w:div>
    <w:div w:id="1029645232">
      <w:bodyDiv w:val="1"/>
      <w:marLeft w:val="0"/>
      <w:marRight w:val="0"/>
      <w:marTop w:val="0"/>
      <w:marBottom w:val="0"/>
      <w:divBdr>
        <w:top w:val="none" w:sz="0" w:space="0" w:color="auto"/>
        <w:left w:val="none" w:sz="0" w:space="0" w:color="auto"/>
        <w:bottom w:val="none" w:sz="0" w:space="0" w:color="auto"/>
        <w:right w:val="none" w:sz="0" w:space="0" w:color="auto"/>
      </w:divBdr>
      <w:divsChild>
        <w:div w:id="1342048115">
          <w:marLeft w:val="0"/>
          <w:marRight w:val="0"/>
          <w:marTop w:val="0"/>
          <w:marBottom w:val="0"/>
          <w:divBdr>
            <w:top w:val="none" w:sz="0" w:space="0" w:color="auto"/>
            <w:left w:val="none" w:sz="0" w:space="0" w:color="auto"/>
            <w:bottom w:val="none" w:sz="0" w:space="0" w:color="auto"/>
            <w:right w:val="none" w:sz="0" w:space="0" w:color="auto"/>
          </w:divBdr>
        </w:div>
        <w:div w:id="1365908382">
          <w:marLeft w:val="0"/>
          <w:marRight w:val="0"/>
          <w:marTop w:val="0"/>
          <w:marBottom w:val="0"/>
          <w:divBdr>
            <w:top w:val="none" w:sz="0" w:space="0" w:color="auto"/>
            <w:left w:val="none" w:sz="0" w:space="0" w:color="auto"/>
            <w:bottom w:val="none" w:sz="0" w:space="0" w:color="auto"/>
            <w:right w:val="none" w:sz="0" w:space="0" w:color="auto"/>
          </w:divBdr>
        </w:div>
        <w:div w:id="1577013166">
          <w:marLeft w:val="0"/>
          <w:marRight w:val="0"/>
          <w:marTop w:val="0"/>
          <w:marBottom w:val="0"/>
          <w:divBdr>
            <w:top w:val="none" w:sz="0" w:space="0" w:color="auto"/>
            <w:left w:val="none" w:sz="0" w:space="0" w:color="auto"/>
            <w:bottom w:val="none" w:sz="0" w:space="0" w:color="auto"/>
            <w:right w:val="none" w:sz="0" w:space="0" w:color="auto"/>
          </w:divBdr>
        </w:div>
        <w:div w:id="1765764583">
          <w:marLeft w:val="0"/>
          <w:marRight w:val="0"/>
          <w:marTop w:val="0"/>
          <w:marBottom w:val="0"/>
          <w:divBdr>
            <w:top w:val="none" w:sz="0" w:space="0" w:color="auto"/>
            <w:left w:val="none" w:sz="0" w:space="0" w:color="auto"/>
            <w:bottom w:val="none" w:sz="0" w:space="0" w:color="auto"/>
            <w:right w:val="none" w:sz="0" w:space="0" w:color="auto"/>
          </w:divBdr>
        </w:div>
        <w:div w:id="1908495155">
          <w:marLeft w:val="0"/>
          <w:marRight w:val="0"/>
          <w:marTop w:val="0"/>
          <w:marBottom w:val="0"/>
          <w:divBdr>
            <w:top w:val="none" w:sz="0" w:space="0" w:color="auto"/>
            <w:left w:val="none" w:sz="0" w:space="0" w:color="auto"/>
            <w:bottom w:val="none" w:sz="0" w:space="0" w:color="auto"/>
            <w:right w:val="none" w:sz="0" w:space="0" w:color="auto"/>
          </w:divBdr>
        </w:div>
        <w:div w:id="1962026905">
          <w:marLeft w:val="0"/>
          <w:marRight w:val="0"/>
          <w:marTop w:val="0"/>
          <w:marBottom w:val="0"/>
          <w:divBdr>
            <w:top w:val="none" w:sz="0" w:space="0" w:color="auto"/>
            <w:left w:val="none" w:sz="0" w:space="0" w:color="auto"/>
            <w:bottom w:val="none" w:sz="0" w:space="0" w:color="auto"/>
            <w:right w:val="none" w:sz="0" w:space="0" w:color="auto"/>
          </w:divBdr>
        </w:div>
        <w:div w:id="2136681170">
          <w:marLeft w:val="0"/>
          <w:marRight w:val="0"/>
          <w:marTop w:val="0"/>
          <w:marBottom w:val="0"/>
          <w:divBdr>
            <w:top w:val="none" w:sz="0" w:space="0" w:color="auto"/>
            <w:left w:val="none" w:sz="0" w:space="0" w:color="auto"/>
            <w:bottom w:val="none" w:sz="0" w:space="0" w:color="auto"/>
            <w:right w:val="none" w:sz="0" w:space="0" w:color="auto"/>
          </w:divBdr>
        </w:div>
      </w:divsChild>
    </w:div>
    <w:div w:id="1097019990">
      <w:bodyDiv w:val="1"/>
      <w:marLeft w:val="0"/>
      <w:marRight w:val="0"/>
      <w:marTop w:val="0"/>
      <w:marBottom w:val="0"/>
      <w:divBdr>
        <w:top w:val="none" w:sz="0" w:space="0" w:color="auto"/>
        <w:left w:val="none" w:sz="0" w:space="0" w:color="auto"/>
        <w:bottom w:val="none" w:sz="0" w:space="0" w:color="auto"/>
        <w:right w:val="none" w:sz="0" w:space="0" w:color="auto"/>
      </w:divBdr>
      <w:divsChild>
        <w:div w:id="871498661">
          <w:marLeft w:val="0"/>
          <w:marRight w:val="0"/>
          <w:marTop w:val="0"/>
          <w:marBottom w:val="0"/>
          <w:divBdr>
            <w:top w:val="none" w:sz="0" w:space="0" w:color="auto"/>
            <w:left w:val="none" w:sz="0" w:space="0" w:color="auto"/>
            <w:bottom w:val="none" w:sz="0" w:space="0" w:color="auto"/>
            <w:right w:val="none" w:sz="0" w:space="0" w:color="auto"/>
          </w:divBdr>
          <w:divsChild>
            <w:div w:id="204416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184699">
      <w:bodyDiv w:val="1"/>
      <w:marLeft w:val="0"/>
      <w:marRight w:val="0"/>
      <w:marTop w:val="0"/>
      <w:marBottom w:val="0"/>
      <w:divBdr>
        <w:top w:val="none" w:sz="0" w:space="0" w:color="auto"/>
        <w:left w:val="none" w:sz="0" w:space="0" w:color="auto"/>
        <w:bottom w:val="none" w:sz="0" w:space="0" w:color="auto"/>
        <w:right w:val="none" w:sz="0" w:space="0" w:color="auto"/>
      </w:divBdr>
    </w:div>
    <w:div w:id="1119879745">
      <w:bodyDiv w:val="1"/>
      <w:marLeft w:val="0"/>
      <w:marRight w:val="0"/>
      <w:marTop w:val="0"/>
      <w:marBottom w:val="0"/>
      <w:divBdr>
        <w:top w:val="none" w:sz="0" w:space="0" w:color="auto"/>
        <w:left w:val="none" w:sz="0" w:space="0" w:color="auto"/>
        <w:bottom w:val="none" w:sz="0" w:space="0" w:color="auto"/>
        <w:right w:val="none" w:sz="0" w:space="0" w:color="auto"/>
      </w:divBdr>
      <w:divsChild>
        <w:div w:id="1564293786">
          <w:marLeft w:val="0"/>
          <w:marRight w:val="0"/>
          <w:marTop w:val="0"/>
          <w:marBottom w:val="0"/>
          <w:divBdr>
            <w:top w:val="none" w:sz="0" w:space="0" w:color="auto"/>
            <w:left w:val="none" w:sz="0" w:space="0" w:color="auto"/>
            <w:bottom w:val="none" w:sz="0" w:space="0" w:color="auto"/>
            <w:right w:val="none" w:sz="0" w:space="0" w:color="auto"/>
          </w:divBdr>
          <w:divsChild>
            <w:div w:id="22067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700478">
      <w:bodyDiv w:val="1"/>
      <w:marLeft w:val="0"/>
      <w:marRight w:val="0"/>
      <w:marTop w:val="0"/>
      <w:marBottom w:val="0"/>
      <w:divBdr>
        <w:top w:val="none" w:sz="0" w:space="0" w:color="auto"/>
        <w:left w:val="none" w:sz="0" w:space="0" w:color="auto"/>
        <w:bottom w:val="none" w:sz="0" w:space="0" w:color="auto"/>
        <w:right w:val="none" w:sz="0" w:space="0" w:color="auto"/>
      </w:divBdr>
    </w:div>
    <w:div w:id="1161039233">
      <w:bodyDiv w:val="1"/>
      <w:marLeft w:val="0"/>
      <w:marRight w:val="0"/>
      <w:marTop w:val="0"/>
      <w:marBottom w:val="0"/>
      <w:divBdr>
        <w:top w:val="none" w:sz="0" w:space="0" w:color="auto"/>
        <w:left w:val="none" w:sz="0" w:space="0" w:color="auto"/>
        <w:bottom w:val="none" w:sz="0" w:space="0" w:color="auto"/>
        <w:right w:val="none" w:sz="0" w:space="0" w:color="auto"/>
      </w:divBdr>
    </w:div>
    <w:div w:id="1170486343">
      <w:bodyDiv w:val="1"/>
      <w:marLeft w:val="0"/>
      <w:marRight w:val="0"/>
      <w:marTop w:val="0"/>
      <w:marBottom w:val="0"/>
      <w:divBdr>
        <w:top w:val="none" w:sz="0" w:space="0" w:color="auto"/>
        <w:left w:val="none" w:sz="0" w:space="0" w:color="auto"/>
        <w:bottom w:val="none" w:sz="0" w:space="0" w:color="auto"/>
        <w:right w:val="none" w:sz="0" w:space="0" w:color="auto"/>
      </w:divBdr>
    </w:div>
    <w:div w:id="1173034377">
      <w:bodyDiv w:val="1"/>
      <w:marLeft w:val="0"/>
      <w:marRight w:val="0"/>
      <w:marTop w:val="0"/>
      <w:marBottom w:val="0"/>
      <w:divBdr>
        <w:top w:val="none" w:sz="0" w:space="0" w:color="auto"/>
        <w:left w:val="none" w:sz="0" w:space="0" w:color="auto"/>
        <w:bottom w:val="none" w:sz="0" w:space="0" w:color="auto"/>
        <w:right w:val="none" w:sz="0" w:space="0" w:color="auto"/>
      </w:divBdr>
      <w:divsChild>
        <w:div w:id="114103291">
          <w:marLeft w:val="0"/>
          <w:marRight w:val="0"/>
          <w:marTop w:val="0"/>
          <w:marBottom w:val="0"/>
          <w:divBdr>
            <w:top w:val="none" w:sz="0" w:space="0" w:color="auto"/>
            <w:left w:val="none" w:sz="0" w:space="0" w:color="auto"/>
            <w:bottom w:val="none" w:sz="0" w:space="0" w:color="auto"/>
            <w:right w:val="none" w:sz="0" w:space="0" w:color="auto"/>
          </w:divBdr>
        </w:div>
        <w:div w:id="143551514">
          <w:marLeft w:val="0"/>
          <w:marRight w:val="0"/>
          <w:marTop w:val="0"/>
          <w:marBottom w:val="0"/>
          <w:divBdr>
            <w:top w:val="none" w:sz="0" w:space="0" w:color="auto"/>
            <w:left w:val="none" w:sz="0" w:space="0" w:color="auto"/>
            <w:bottom w:val="none" w:sz="0" w:space="0" w:color="auto"/>
            <w:right w:val="none" w:sz="0" w:space="0" w:color="auto"/>
          </w:divBdr>
        </w:div>
        <w:div w:id="172570802">
          <w:marLeft w:val="0"/>
          <w:marRight w:val="0"/>
          <w:marTop w:val="0"/>
          <w:marBottom w:val="0"/>
          <w:divBdr>
            <w:top w:val="none" w:sz="0" w:space="0" w:color="auto"/>
            <w:left w:val="none" w:sz="0" w:space="0" w:color="auto"/>
            <w:bottom w:val="none" w:sz="0" w:space="0" w:color="auto"/>
            <w:right w:val="none" w:sz="0" w:space="0" w:color="auto"/>
          </w:divBdr>
        </w:div>
        <w:div w:id="380053554">
          <w:marLeft w:val="0"/>
          <w:marRight w:val="0"/>
          <w:marTop w:val="0"/>
          <w:marBottom w:val="0"/>
          <w:divBdr>
            <w:top w:val="none" w:sz="0" w:space="0" w:color="auto"/>
            <w:left w:val="none" w:sz="0" w:space="0" w:color="auto"/>
            <w:bottom w:val="none" w:sz="0" w:space="0" w:color="auto"/>
            <w:right w:val="none" w:sz="0" w:space="0" w:color="auto"/>
          </w:divBdr>
        </w:div>
        <w:div w:id="383793369">
          <w:marLeft w:val="0"/>
          <w:marRight w:val="0"/>
          <w:marTop w:val="0"/>
          <w:marBottom w:val="0"/>
          <w:divBdr>
            <w:top w:val="none" w:sz="0" w:space="0" w:color="auto"/>
            <w:left w:val="none" w:sz="0" w:space="0" w:color="auto"/>
            <w:bottom w:val="none" w:sz="0" w:space="0" w:color="auto"/>
            <w:right w:val="none" w:sz="0" w:space="0" w:color="auto"/>
          </w:divBdr>
        </w:div>
        <w:div w:id="473916689">
          <w:marLeft w:val="0"/>
          <w:marRight w:val="0"/>
          <w:marTop w:val="0"/>
          <w:marBottom w:val="0"/>
          <w:divBdr>
            <w:top w:val="none" w:sz="0" w:space="0" w:color="auto"/>
            <w:left w:val="none" w:sz="0" w:space="0" w:color="auto"/>
            <w:bottom w:val="none" w:sz="0" w:space="0" w:color="auto"/>
            <w:right w:val="none" w:sz="0" w:space="0" w:color="auto"/>
          </w:divBdr>
        </w:div>
        <w:div w:id="597833987">
          <w:marLeft w:val="0"/>
          <w:marRight w:val="0"/>
          <w:marTop w:val="0"/>
          <w:marBottom w:val="0"/>
          <w:divBdr>
            <w:top w:val="none" w:sz="0" w:space="0" w:color="auto"/>
            <w:left w:val="none" w:sz="0" w:space="0" w:color="auto"/>
            <w:bottom w:val="none" w:sz="0" w:space="0" w:color="auto"/>
            <w:right w:val="none" w:sz="0" w:space="0" w:color="auto"/>
          </w:divBdr>
        </w:div>
        <w:div w:id="752899331">
          <w:marLeft w:val="0"/>
          <w:marRight w:val="0"/>
          <w:marTop w:val="0"/>
          <w:marBottom w:val="0"/>
          <w:divBdr>
            <w:top w:val="none" w:sz="0" w:space="0" w:color="auto"/>
            <w:left w:val="none" w:sz="0" w:space="0" w:color="auto"/>
            <w:bottom w:val="none" w:sz="0" w:space="0" w:color="auto"/>
            <w:right w:val="none" w:sz="0" w:space="0" w:color="auto"/>
          </w:divBdr>
        </w:div>
        <w:div w:id="1265724584">
          <w:marLeft w:val="0"/>
          <w:marRight w:val="0"/>
          <w:marTop w:val="0"/>
          <w:marBottom w:val="0"/>
          <w:divBdr>
            <w:top w:val="none" w:sz="0" w:space="0" w:color="auto"/>
            <w:left w:val="none" w:sz="0" w:space="0" w:color="auto"/>
            <w:bottom w:val="none" w:sz="0" w:space="0" w:color="auto"/>
            <w:right w:val="none" w:sz="0" w:space="0" w:color="auto"/>
          </w:divBdr>
        </w:div>
        <w:div w:id="1314068232">
          <w:marLeft w:val="0"/>
          <w:marRight w:val="0"/>
          <w:marTop w:val="0"/>
          <w:marBottom w:val="0"/>
          <w:divBdr>
            <w:top w:val="none" w:sz="0" w:space="0" w:color="auto"/>
            <w:left w:val="none" w:sz="0" w:space="0" w:color="auto"/>
            <w:bottom w:val="none" w:sz="0" w:space="0" w:color="auto"/>
            <w:right w:val="none" w:sz="0" w:space="0" w:color="auto"/>
          </w:divBdr>
        </w:div>
        <w:div w:id="1453017157">
          <w:marLeft w:val="0"/>
          <w:marRight w:val="0"/>
          <w:marTop w:val="0"/>
          <w:marBottom w:val="0"/>
          <w:divBdr>
            <w:top w:val="none" w:sz="0" w:space="0" w:color="auto"/>
            <w:left w:val="none" w:sz="0" w:space="0" w:color="auto"/>
            <w:bottom w:val="none" w:sz="0" w:space="0" w:color="auto"/>
            <w:right w:val="none" w:sz="0" w:space="0" w:color="auto"/>
          </w:divBdr>
        </w:div>
        <w:div w:id="1551111975">
          <w:marLeft w:val="0"/>
          <w:marRight w:val="0"/>
          <w:marTop w:val="0"/>
          <w:marBottom w:val="0"/>
          <w:divBdr>
            <w:top w:val="none" w:sz="0" w:space="0" w:color="auto"/>
            <w:left w:val="none" w:sz="0" w:space="0" w:color="auto"/>
            <w:bottom w:val="none" w:sz="0" w:space="0" w:color="auto"/>
            <w:right w:val="none" w:sz="0" w:space="0" w:color="auto"/>
          </w:divBdr>
        </w:div>
        <w:div w:id="1700079742">
          <w:marLeft w:val="0"/>
          <w:marRight w:val="0"/>
          <w:marTop w:val="0"/>
          <w:marBottom w:val="0"/>
          <w:divBdr>
            <w:top w:val="none" w:sz="0" w:space="0" w:color="auto"/>
            <w:left w:val="none" w:sz="0" w:space="0" w:color="auto"/>
            <w:bottom w:val="none" w:sz="0" w:space="0" w:color="auto"/>
            <w:right w:val="none" w:sz="0" w:space="0" w:color="auto"/>
          </w:divBdr>
        </w:div>
        <w:div w:id="1752695655">
          <w:marLeft w:val="0"/>
          <w:marRight w:val="0"/>
          <w:marTop w:val="0"/>
          <w:marBottom w:val="0"/>
          <w:divBdr>
            <w:top w:val="none" w:sz="0" w:space="0" w:color="auto"/>
            <w:left w:val="none" w:sz="0" w:space="0" w:color="auto"/>
            <w:bottom w:val="none" w:sz="0" w:space="0" w:color="auto"/>
            <w:right w:val="none" w:sz="0" w:space="0" w:color="auto"/>
          </w:divBdr>
        </w:div>
        <w:div w:id="1790510596">
          <w:marLeft w:val="0"/>
          <w:marRight w:val="0"/>
          <w:marTop w:val="0"/>
          <w:marBottom w:val="0"/>
          <w:divBdr>
            <w:top w:val="none" w:sz="0" w:space="0" w:color="auto"/>
            <w:left w:val="none" w:sz="0" w:space="0" w:color="auto"/>
            <w:bottom w:val="none" w:sz="0" w:space="0" w:color="auto"/>
            <w:right w:val="none" w:sz="0" w:space="0" w:color="auto"/>
          </w:divBdr>
        </w:div>
        <w:div w:id="1866098182">
          <w:marLeft w:val="0"/>
          <w:marRight w:val="0"/>
          <w:marTop w:val="0"/>
          <w:marBottom w:val="0"/>
          <w:divBdr>
            <w:top w:val="none" w:sz="0" w:space="0" w:color="auto"/>
            <w:left w:val="none" w:sz="0" w:space="0" w:color="auto"/>
            <w:bottom w:val="none" w:sz="0" w:space="0" w:color="auto"/>
            <w:right w:val="none" w:sz="0" w:space="0" w:color="auto"/>
          </w:divBdr>
        </w:div>
      </w:divsChild>
    </w:div>
    <w:div w:id="1176581350">
      <w:bodyDiv w:val="1"/>
      <w:marLeft w:val="0"/>
      <w:marRight w:val="0"/>
      <w:marTop w:val="0"/>
      <w:marBottom w:val="0"/>
      <w:divBdr>
        <w:top w:val="none" w:sz="0" w:space="0" w:color="auto"/>
        <w:left w:val="none" w:sz="0" w:space="0" w:color="auto"/>
        <w:bottom w:val="none" w:sz="0" w:space="0" w:color="auto"/>
        <w:right w:val="none" w:sz="0" w:space="0" w:color="auto"/>
      </w:divBdr>
      <w:divsChild>
        <w:div w:id="154881355">
          <w:marLeft w:val="0"/>
          <w:marRight w:val="0"/>
          <w:marTop w:val="0"/>
          <w:marBottom w:val="0"/>
          <w:divBdr>
            <w:top w:val="none" w:sz="0" w:space="0" w:color="auto"/>
            <w:left w:val="none" w:sz="0" w:space="0" w:color="auto"/>
            <w:bottom w:val="none" w:sz="0" w:space="0" w:color="auto"/>
            <w:right w:val="none" w:sz="0" w:space="0" w:color="auto"/>
          </w:divBdr>
        </w:div>
        <w:div w:id="1248030523">
          <w:marLeft w:val="0"/>
          <w:marRight w:val="0"/>
          <w:marTop w:val="0"/>
          <w:marBottom w:val="0"/>
          <w:divBdr>
            <w:top w:val="none" w:sz="0" w:space="0" w:color="auto"/>
            <w:left w:val="none" w:sz="0" w:space="0" w:color="auto"/>
            <w:bottom w:val="none" w:sz="0" w:space="0" w:color="auto"/>
            <w:right w:val="none" w:sz="0" w:space="0" w:color="auto"/>
          </w:divBdr>
        </w:div>
        <w:div w:id="1493176691">
          <w:marLeft w:val="0"/>
          <w:marRight w:val="0"/>
          <w:marTop w:val="0"/>
          <w:marBottom w:val="0"/>
          <w:divBdr>
            <w:top w:val="none" w:sz="0" w:space="0" w:color="auto"/>
            <w:left w:val="none" w:sz="0" w:space="0" w:color="auto"/>
            <w:bottom w:val="none" w:sz="0" w:space="0" w:color="auto"/>
            <w:right w:val="none" w:sz="0" w:space="0" w:color="auto"/>
          </w:divBdr>
        </w:div>
        <w:div w:id="1994528716">
          <w:marLeft w:val="0"/>
          <w:marRight w:val="0"/>
          <w:marTop w:val="0"/>
          <w:marBottom w:val="0"/>
          <w:divBdr>
            <w:top w:val="none" w:sz="0" w:space="0" w:color="auto"/>
            <w:left w:val="none" w:sz="0" w:space="0" w:color="auto"/>
            <w:bottom w:val="none" w:sz="0" w:space="0" w:color="auto"/>
            <w:right w:val="none" w:sz="0" w:space="0" w:color="auto"/>
          </w:divBdr>
        </w:div>
      </w:divsChild>
    </w:div>
    <w:div w:id="1183859108">
      <w:bodyDiv w:val="1"/>
      <w:marLeft w:val="0"/>
      <w:marRight w:val="0"/>
      <w:marTop w:val="0"/>
      <w:marBottom w:val="0"/>
      <w:divBdr>
        <w:top w:val="none" w:sz="0" w:space="0" w:color="auto"/>
        <w:left w:val="none" w:sz="0" w:space="0" w:color="auto"/>
        <w:bottom w:val="none" w:sz="0" w:space="0" w:color="auto"/>
        <w:right w:val="none" w:sz="0" w:space="0" w:color="auto"/>
      </w:divBdr>
      <w:divsChild>
        <w:div w:id="68963580">
          <w:marLeft w:val="0"/>
          <w:marRight w:val="0"/>
          <w:marTop w:val="0"/>
          <w:marBottom w:val="0"/>
          <w:divBdr>
            <w:top w:val="none" w:sz="0" w:space="0" w:color="auto"/>
            <w:left w:val="none" w:sz="0" w:space="0" w:color="auto"/>
            <w:bottom w:val="none" w:sz="0" w:space="0" w:color="auto"/>
            <w:right w:val="none" w:sz="0" w:space="0" w:color="auto"/>
          </w:divBdr>
          <w:divsChild>
            <w:div w:id="53130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20607">
      <w:bodyDiv w:val="1"/>
      <w:marLeft w:val="0"/>
      <w:marRight w:val="0"/>
      <w:marTop w:val="0"/>
      <w:marBottom w:val="0"/>
      <w:divBdr>
        <w:top w:val="none" w:sz="0" w:space="0" w:color="auto"/>
        <w:left w:val="none" w:sz="0" w:space="0" w:color="auto"/>
        <w:bottom w:val="none" w:sz="0" w:space="0" w:color="auto"/>
        <w:right w:val="none" w:sz="0" w:space="0" w:color="auto"/>
      </w:divBdr>
    </w:div>
    <w:div w:id="1259363160">
      <w:bodyDiv w:val="1"/>
      <w:marLeft w:val="0"/>
      <w:marRight w:val="0"/>
      <w:marTop w:val="0"/>
      <w:marBottom w:val="0"/>
      <w:divBdr>
        <w:top w:val="none" w:sz="0" w:space="0" w:color="auto"/>
        <w:left w:val="none" w:sz="0" w:space="0" w:color="auto"/>
        <w:bottom w:val="none" w:sz="0" w:space="0" w:color="auto"/>
        <w:right w:val="none" w:sz="0" w:space="0" w:color="auto"/>
      </w:divBdr>
    </w:div>
    <w:div w:id="1295065650">
      <w:bodyDiv w:val="1"/>
      <w:marLeft w:val="0"/>
      <w:marRight w:val="0"/>
      <w:marTop w:val="0"/>
      <w:marBottom w:val="0"/>
      <w:divBdr>
        <w:top w:val="none" w:sz="0" w:space="0" w:color="auto"/>
        <w:left w:val="none" w:sz="0" w:space="0" w:color="auto"/>
        <w:bottom w:val="none" w:sz="0" w:space="0" w:color="auto"/>
        <w:right w:val="none" w:sz="0" w:space="0" w:color="auto"/>
      </w:divBdr>
      <w:divsChild>
        <w:div w:id="260384024">
          <w:marLeft w:val="0"/>
          <w:marRight w:val="0"/>
          <w:marTop w:val="0"/>
          <w:marBottom w:val="0"/>
          <w:divBdr>
            <w:top w:val="none" w:sz="0" w:space="0" w:color="auto"/>
            <w:left w:val="none" w:sz="0" w:space="0" w:color="auto"/>
            <w:bottom w:val="none" w:sz="0" w:space="0" w:color="auto"/>
            <w:right w:val="none" w:sz="0" w:space="0" w:color="auto"/>
          </w:divBdr>
        </w:div>
        <w:div w:id="513374641">
          <w:marLeft w:val="0"/>
          <w:marRight w:val="0"/>
          <w:marTop w:val="0"/>
          <w:marBottom w:val="0"/>
          <w:divBdr>
            <w:top w:val="none" w:sz="0" w:space="0" w:color="auto"/>
            <w:left w:val="none" w:sz="0" w:space="0" w:color="auto"/>
            <w:bottom w:val="none" w:sz="0" w:space="0" w:color="auto"/>
            <w:right w:val="none" w:sz="0" w:space="0" w:color="auto"/>
          </w:divBdr>
        </w:div>
        <w:div w:id="978536065">
          <w:marLeft w:val="0"/>
          <w:marRight w:val="0"/>
          <w:marTop w:val="0"/>
          <w:marBottom w:val="0"/>
          <w:divBdr>
            <w:top w:val="none" w:sz="0" w:space="0" w:color="auto"/>
            <w:left w:val="none" w:sz="0" w:space="0" w:color="auto"/>
            <w:bottom w:val="none" w:sz="0" w:space="0" w:color="auto"/>
            <w:right w:val="none" w:sz="0" w:space="0" w:color="auto"/>
          </w:divBdr>
        </w:div>
      </w:divsChild>
    </w:div>
    <w:div w:id="1332292347">
      <w:bodyDiv w:val="1"/>
      <w:marLeft w:val="0"/>
      <w:marRight w:val="0"/>
      <w:marTop w:val="0"/>
      <w:marBottom w:val="0"/>
      <w:divBdr>
        <w:top w:val="none" w:sz="0" w:space="0" w:color="auto"/>
        <w:left w:val="none" w:sz="0" w:space="0" w:color="auto"/>
        <w:bottom w:val="none" w:sz="0" w:space="0" w:color="auto"/>
        <w:right w:val="none" w:sz="0" w:space="0" w:color="auto"/>
      </w:divBdr>
      <w:divsChild>
        <w:div w:id="286282722">
          <w:marLeft w:val="0"/>
          <w:marRight w:val="0"/>
          <w:marTop w:val="0"/>
          <w:marBottom w:val="0"/>
          <w:divBdr>
            <w:top w:val="none" w:sz="0" w:space="0" w:color="auto"/>
            <w:left w:val="none" w:sz="0" w:space="0" w:color="auto"/>
            <w:bottom w:val="none" w:sz="0" w:space="0" w:color="auto"/>
            <w:right w:val="none" w:sz="0" w:space="0" w:color="auto"/>
          </w:divBdr>
        </w:div>
        <w:div w:id="946546782">
          <w:marLeft w:val="0"/>
          <w:marRight w:val="0"/>
          <w:marTop w:val="0"/>
          <w:marBottom w:val="0"/>
          <w:divBdr>
            <w:top w:val="none" w:sz="0" w:space="0" w:color="auto"/>
            <w:left w:val="none" w:sz="0" w:space="0" w:color="auto"/>
            <w:bottom w:val="none" w:sz="0" w:space="0" w:color="auto"/>
            <w:right w:val="none" w:sz="0" w:space="0" w:color="auto"/>
          </w:divBdr>
        </w:div>
        <w:div w:id="1027440014">
          <w:marLeft w:val="0"/>
          <w:marRight w:val="0"/>
          <w:marTop w:val="0"/>
          <w:marBottom w:val="0"/>
          <w:divBdr>
            <w:top w:val="none" w:sz="0" w:space="0" w:color="auto"/>
            <w:left w:val="none" w:sz="0" w:space="0" w:color="auto"/>
            <w:bottom w:val="none" w:sz="0" w:space="0" w:color="auto"/>
            <w:right w:val="none" w:sz="0" w:space="0" w:color="auto"/>
          </w:divBdr>
        </w:div>
      </w:divsChild>
    </w:div>
    <w:div w:id="1357002264">
      <w:bodyDiv w:val="1"/>
      <w:marLeft w:val="0"/>
      <w:marRight w:val="0"/>
      <w:marTop w:val="0"/>
      <w:marBottom w:val="0"/>
      <w:divBdr>
        <w:top w:val="none" w:sz="0" w:space="0" w:color="auto"/>
        <w:left w:val="none" w:sz="0" w:space="0" w:color="auto"/>
        <w:bottom w:val="none" w:sz="0" w:space="0" w:color="auto"/>
        <w:right w:val="none" w:sz="0" w:space="0" w:color="auto"/>
      </w:divBdr>
      <w:divsChild>
        <w:div w:id="1814954395">
          <w:marLeft w:val="0"/>
          <w:marRight w:val="0"/>
          <w:marTop w:val="0"/>
          <w:marBottom w:val="0"/>
          <w:divBdr>
            <w:top w:val="none" w:sz="0" w:space="0" w:color="auto"/>
            <w:left w:val="none" w:sz="0" w:space="0" w:color="auto"/>
            <w:bottom w:val="none" w:sz="0" w:space="0" w:color="auto"/>
            <w:right w:val="none" w:sz="0" w:space="0" w:color="auto"/>
          </w:divBdr>
          <w:divsChild>
            <w:div w:id="14460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5133">
      <w:bodyDiv w:val="1"/>
      <w:marLeft w:val="0"/>
      <w:marRight w:val="0"/>
      <w:marTop w:val="0"/>
      <w:marBottom w:val="0"/>
      <w:divBdr>
        <w:top w:val="none" w:sz="0" w:space="0" w:color="auto"/>
        <w:left w:val="none" w:sz="0" w:space="0" w:color="auto"/>
        <w:bottom w:val="none" w:sz="0" w:space="0" w:color="auto"/>
        <w:right w:val="none" w:sz="0" w:space="0" w:color="auto"/>
      </w:divBdr>
      <w:divsChild>
        <w:div w:id="31464544">
          <w:marLeft w:val="0"/>
          <w:marRight w:val="0"/>
          <w:marTop w:val="0"/>
          <w:marBottom w:val="0"/>
          <w:divBdr>
            <w:top w:val="none" w:sz="0" w:space="0" w:color="auto"/>
            <w:left w:val="none" w:sz="0" w:space="0" w:color="auto"/>
            <w:bottom w:val="none" w:sz="0" w:space="0" w:color="auto"/>
            <w:right w:val="none" w:sz="0" w:space="0" w:color="auto"/>
          </w:divBdr>
          <w:divsChild>
            <w:div w:id="13619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294764">
      <w:bodyDiv w:val="1"/>
      <w:marLeft w:val="0"/>
      <w:marRight w:val="0"/>
      <w:marTop w:val="0"/>
      <w:marBottom w:val="0"/>
      <w:divBdr>
        <w:top w:val="none" w:sz="0" w:space="0" w:color="auto"/>
        <w:left w:val="none" w:sz="0" w:space="0" w:color="auto"/>
        <w:bottom w:val="none" w:sz="0" w:space="0" w:color="auto"/>
        <w:right w:val="none" w:sz="0" w:space="0" w:color="auto"/>
      </w:divBdr>
      <w:divsChild>
        <w:div w:id="1603227077">
          <w:marLeft w:val="0"/>
          <w:marRight w:val="0"/>
          <w:marTop w:val="0"/>
          <w:marBottom w:val="0"/>
          <w:divBdr>
            <w:top w:val="none" w:sz="0" w:space="0" w:color="auto"/>
            <w:left w:val="none" w:sz="0" w:space="0" w:color="auto"/>
            <w:bottom w:val="none" w:sz="0" w:space="0" w:color="auto"/>
            <w:right w:val="none" w:sz="0" w:space="0" w:color="auto"/>
          </w:divBdr>
          <w:divsChild>
            <w:div w:id="109933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94769">
      <w:bodyDiv w:val="1"/>
      <w:marLeft w:val="0"/>
      <w:marRight w:val="0"/>
      <w:marTop w:val="0"/>
      <w:marBottom w:val="0"/>
      <w:divBdr>
        <w:top w:val="none" w:sz="0" w:space="0" w:color="auto"/>
        <w:left w:val="none" w:sz="0" w:space="0" w:color="auto"/>
        <w:bottom w:val="none" w:sz="0" w:space="0" w:color="auto"/>
        <w:right w:val="none" w:sz="0" w:space="0" w:color="auto"/>
      </w:divBdr>
      <w:divsChild>
        <w:div w:id="889196701">
          <w:marLeft w:val="0"/>
          <w:marRight w:val="0"/>
          <w:marTop w:val="0"/>
          <w:marBottom w:val="0"/>
          <w:divBdr>
            <w:top w:val="none" w:sz="0" w:space="0" w:color="auto"/>
            <w:left w:val="none" w:sz="0" w:space="0" w:color="auto"/>
            <w:bottom w:val="none" w:sz="0" w:space="0" w:color="auto"/>
            <w:right w:val="none" w:sz="0" w:space="0" w:color="auto"/>
          </w:divBdr>
        </w:div>
        <w:div w:id="1891917486">
          <w:marLeft w:val="0"/>
          <w:marRight w:val="0"/>
          <w:marTop w:val="0"/>
          <w:marBottom w:val="0"/>
          <w:divBdr>
            <w:top w:val="none" w:sz="0" w:space="0" w:color="auto"/>
            <w:left w:val="none" w:sz="0" w:space="0" w:color="auto"/>
            <w:bottom w:val="none" w:sz="0" w:space="0" w:color="auto"/>
            <w:right w:val="none" w:sz="0" w:space="0" w:color="auto"/>
          </w:divBdr>
        </w:div>
      </w:divsChild>
    </w:div>
    <w:div w:id="1557202931">
      <w:bodyDiv w:val="1"/>
      <w:marLeft w:val="0"/>
      <w:marRight w:val="0"/>
      <w:marTop w:val="0"/>
      <w:marBottom w:val="0"/>
      <w:divBdr>
        <w:top w:val="none" w:sz="0" w:space="0" w:color="auto"/>
        <w:left w:val="none" w:sz="0" w:space="0" w:color="auto"/>
        <w:bottom w:val="none" w:sz="0" w:space="0" w:color="auto"/>
        <w:right w:val="none" w:sz="0" w:space="0" w:color="auto"/>
      </w:divBdr>
    </w:div>
    <w:div w:id="1583875205">
      <w:bodyDiv w:val="1"/>
      <w:marLeft w:val="0"/>
      <w:marRight w:val="0"/>
      <w:marTop w:val="0"/>
      <w:marBottom w:val="0"/>
      <w:divBdr>
        <w:top w:val="none" w:sz="0" w:space="0" w:color="auto"/>
        <w:left w:val="none" w:sz="0" w:space="0" w:color="auto"/>
        <w:bottom w:val="none" w:sz="0" w:space="0" w:color="auto"/>
        <w:right w:val="none" w:sz="0" w:space="0" w:color="auto"/>
      </w:divBdr>
      <w:divsChild>
        <w:div w:id="1118137491">
          <w:marLeft w:val="0"/>
          <w:marRight w:val="0"/>
          <w:marTop w:val="0"/>
          <w:marBottom w:val="0"/>
          <w:divBdr>
            <w:top w:val="none" w:sz="0" w:space="0" w:color="auto"/>
            <w:left w:val="none" w:sz="0" w:space="0" w:color="auto"/>
            <w:bottom w:val="none" w:sz="0" w:space="0" w:color="auto"/>
            <w:right w:val="none" w:sz="0" w:space="0" w:color="auto"/>
          </w:divBdr>
        </w:div>
        <w:div w:id="1976064946">
          <w:marLeft w:val="0"/>
          <w:marRight w:val="0"/>
          <w:marTop w:val="0"/>
          <w:marBottom w:val="0"/>
          <w:divBdr>
            <w:top w:val="none" w:sz="0" w:space="0" w:color="auto"/>
            <w:left w:val="none" w:sz="0" w:space="0" w:color="auto"/>
            <w:bottom w:val="none" w:sz="0" w:space="0" w:color="auto"/>
            <w:right w:val="none" w:sz="0" w:space="0" w:color="auto"/>
          </w:divBdr>
        </w:div>
        <w:div w:id="1873104264">
          <w:marLeft w:val="0"/>
          <w:marRight w:val="0"/>
          <w:marTop w:val="0"/>
          <w:marBottom w:val="0"/>
          <w:divBdr>
            <w:top w:val="none" w:sz="0" w:space="0" w:color="auto"/>
            <w:left w:val="none" w:sz="0" w:space="0" w:color="auto"/>
            <w:bottom w:val="none" w:sz="0" w:space="0" w:color="auto"/>
            <w:right w:val="none" w:sz="0" w:space="0" w:color="auto"/>
          </w:divBdr>
        </w:div>
        <w:div w:id="2048948838">
          <w:marLeft w:val="0"/>
          <w:marRight w:val="0"/>
          <w:marTop w:val="0"/>
          <w:marBottom w:val="0"/>
          <w:divBdr>
            <w:top w:val="none" w:sz="0" w:space="0" w:color="auto"/>
            <w:left w:val="none" w:sz="0" w:space="0" w:color="auto"/>
            <w:bottom w:val="none" w:sz="0" w:space="0" w:color="auto"/>
            <w:right w:val="none" w:sz="0" w:space="0" w:color="auto"/>
          </w:divBdr>
        </w:div>
        <w:div w:id="966591867">
          <w:marLeft w:val="0"/>
          <w:marRight w:val="0"/>
          <w:marTop w:val="0"/>
          <w:marBottom w:val="0"/>
          <w:divBdr>
            <w:top w:val="none" w:sz="0" w:space="0" w:color="auto"/>
            <w:left w:val="none" w:sz="0" w:space="0" w:color="auto"/>
            <w:bottom w:val="none" w:sz="0" w:space="0" w:color="auto"/>
            <w:right w:val="none" w:sz="0" w:space="0" w:color="auto"/>
          </w:divBdr>
        </w:div>
        <w:div w:id="931545050">
          <w:marLeft w:val="0"/>
          <w:marRight w:val="0"/>
          <w:marTop w:val="0"/>
          <w:marBottom w:val="0"/>
          <w:divBdr>
            <w:top w:val="none" w:sz="0" w:space="0" w:color="auto"/>
            <w:left w:val="none" w:sz="0" w:space="0" w:color="auto"/>
            <w:bottom w:val="none" w:sz="0" w:space="0" w:color="auto"/>
            <w:right w:val="none" w:sz="0" w:space="0" w:color="auto"/>
          </w:divBdr>
        </w:div>
        <w:div w:id="955409661">
          <w:marLeft w:val="0"/>
          <w:marRight w:val="0"/>
          <w:marTop w:val="0"/>
          <w:marBottom w:val="0"/>
          <w:divBdr>
            <w:top w:val="none" w:sz="0" w:space="0" w:color="auto"/>
            <w:left w:val="none" w:sz="0" w:space="0" w:color="auto"/>
            <w:bottom w:val="none" w:sz="0" w:space="0" w:color="auto"/>
            <w:right w:val="none" w:sz="0" w:space="0" w:color="auto"/>
          </w:divBdr>
        </w:div>
      </w:divsChild>
    </w:div>
    <w:div w:id="1591348023">
      <w:bodyDiv w:val="1"/>
      <w:marLeft w:val="0"/>
      <w:marRight w:val="0"/>
      <w:marTop w:val="0"/>
      <w:marBottom w:val="0"/>
      <w:divBdr>
        <w:top w:val="none" w:sz="0" w:space="0" w:color="auto"/>
        <w:left w:val="none" w:sz="0" w:space="0" w:color="auto"/>
        <w:bottom w:val="none" w:sz="0" w:space="0" w:color="auto"/>
        <w:right w:val="none" w:sz="0" w:space="0" w:color="auto"/>
      </w:divBdr>
      <w:divsChild>
        <w:div w:id="1747074715">
          <w:marLeft w:val="1166"/>
          <w:marRight w:val="0"/>
          <w:marTop w:val="77"/>
          <w:marBottom w:val="0"/>
          <w:divBdr>
            <w:top w:val="none" w:sz="0" w:space="0" w:color="auto"/>
            <w:left w:val="none" w:sz="0" w:space="0" w:color="auto"/>
            <w:bottom w:val="none" w:sz="0" w:space="0" w:color="auto"/>
            <w:right w:val="none" w:sz="0" w:space="0" w:color="auto"/>
          </w:divBdr>
        </w:div>
      </w:divsChild>
    </w:div>
    <w:div w:id="1603805449">
      <w:bodyDiv w:val="1"/>
      <w:marLeft w:val="0"/>
      <w:marRight w:val="0"/>
      <w:marTop w:val="0"/>
      <w:marBottom w:val="0"/>
      <w:divBdr>
        <w:top w:val="none" w:sz="0" w:space="0" w:color="auto"/>
        <w:left w:val="none" w:sz="0" w:space="0" w:color="auto"/>
        <w:bottom w:val="none" w:sz="0" w:space="0" w:color="auto"/>
        <w:right w:val="none" w:sz="0" w:space="0" w:color="auto"/>
      </w:divBdr>
    </w:div>
    <w:div w:id="1618105236">
      <w:bodyDiv w:val="1"/>
      <w:marLeft w:val="0"/>
      <w:marRight w:val="0"/>
      <w:marTop w:val="0"/>
      <w:marBottom w:val="0"/>
      <w:divBdr>
        <w:top w:val="none" w:sz="0" w:space="0" w:color="auto"/>
        <w:left w:val="none" w:sz="0" w:space="0" w:color="auto"/>
        <w:bottom w:val="none" w:sz="0" w:space="0" w:color="auto"/>
        <w:right w:val="none" w:sz="0" w:space="0" w:color="auto"/>
      </w:divBdr>
      <w:divsChild>
        <w:div w:id="2121682198">
          <w:marLeft w:val="0"/>
          <w:marRight w:val="0"/>
          <w:marTop w:val="0"/>
          <w:marBottom w:val="0"/>
          <w:divBdr>
            <w:top w:val="none" w:sz="0" w:space="0" w:color="auto"/>
            <w:left w:val="none" w:sz="0" w:space="0" w:color="auto"/>
            <w:bottom w:val="none" w:sz="0" w:space="0" w:color="auto"/>
            <w:right w:val="none" w:sz="0" w:space="0" w:color="auto"/>
          </w:divBdr>
        </w:div>
        <w:div w:id="1714429106">
          <w:marLeft w:val="0"/>
          <w:marRight w:val="0"/>
          <w:marTop w:val="0"/>
          <w:marBottom w:val="0"/>
          <w:divBdr>
            <w:top w:val="none" w:sz="0" w:space="0" w:color="auto"/>
            <w:left w:val="none" w:sz="0" w:space="0" w:color="auto"/>
            <w:bottom w:val="none" w:sz="0" w:space="0" w:color="auto"/>
            <w:right w:val="none" w:sz="0" w:space="0" w:color="auto"/>
          </w:divBdr>
        </w:div>
        <w:div w:id="1872768089">
          <w:marLeft w:val="0"/>
          <w:marRight w:val="0"/>
          <w:marTop w:val="0"/>
          <w:marBottom w:val="0"/>
          <w:divBdr>
            <w:top w:val="none" w:sz="0" w:space="0" w:color="auto"/>
            <w:left w:val="none" w:sz="0" w:space="0" w:color="auto"/>
            <w:bottom w:val="none" w:sz="0" w:space="0" w:color="auto"/>
            <w:right w:val="none" w:sz="0" w:space="0" w:color="auto"/>
          </w:divBdr>
        </w:div>
      </w:divsChild>
    </w:div>
    <w:div w:id="1618759222">
      <w:bodyDiv w:val="1"/>
      <w:marLeft w:val="0"/>
      <w:marRight w:val="0"/>
      <w:marTop w:val="0"/>
      <w:marBottom w:val="0"/>
      <w:divBdr>
        <w:top w:val="none" w:sz="0" w:space="0" w:color="auto"/>
        <w:left w:val="none" w:sz="0" w:space="0" w:color="auto"/>
        <w:bottom w:val="none" w:sz="0" w:space="0" w:color="auto"/>
        <w:right w:val="none" w:sz="0" w:space="0" w:color="auto"/>
      </w:divBdr>
      <w:divsChild>
        <w:div w:id="1172255203">
          <w:marLeft w:val="0"/>
          <w:marRight w:val="0"/>
          <w:marTop w:val="0"/>
          <w:marBottom w:val="0"/>
          <w:divBdr>
            <w:top w:val="none" w:sz="0" w:space="0" w:color="auto"/>
            <w:left w:val="none" w:sz="0" w:space="0" w:color="auto"/>
            <w:bottom w:val="none" w:sz="0" w:space="0" w:color="auto"/>
            <w:right w:val="none" w:sz="0" w:space="0" w:color="auto"/>
          </w:divBdr>
        </w:div>
        <w:div w:id="1496918488">
          <w:marLeft w:val="0"/>
          <w:marRight w:val="0"/>
          <w:marTop w:val="0"/>
          <w:marBottom w:val="0"/>
          <w:divBdr>
            <w:top w:val="none" w:sz="0" w:space="0" w:color="auto"/>
            <w:left w:val="none" w:sz="0" w:space="0" w:color="auto"/>
            <w:bottom w:val="none" w:sz="0" w:space="0" w:color="auto"/>
            <w:right w:val="none" w:sz="0" w:space="0" w:color="auto"/>
          </w:divBdr>
        </w:div>
        <w:div w:id="1832408276">
          <w:marLeft w:val="0"/>
          <w:marRight w:val="0"/>
          <w:marTop w:val="0"/>
          <w:marBottom w:val="0"/>
          <w:divBdr>
            <w:top w:val="none" w:sz="0" w:space="0" w:color="auto"/>
            <w:left w:val="none" w:sz="0" w:space="0" w:color="auto"/>
            <w:bottom w:val="none" w:sz="0" w:space="0" w:color="auto"/>
            <w:right w:val="none" w:sz="0" w:space="0" w:color="auto"/>
          </w:divBdr>
        </w:div>
      </w:divsChild>
    </w:div>
    <w:div w:id="1642148108">
      <w:bodyDiv w:val="1"/>
      <w:marLeft w:val="0"/>
      <w:marRight w:val="0"/>
      <w:marTop w:val="0"/>
      <w:marBottom w:val="0"/>
      <w:divBdr>
        <w:top w:val="none" w:sz="0" w:space="0" w:color="auto"/>
        <w:left w:val="none" w:sz="0" w:space="0" w:color="auto"/>
        <w:bottom w:val="none" w:sz="0" w:space="0" w:color="auto"/>
        <w:right w:val="none" w:sz="0" w:space="0" w:color="auto"/>
      </w:divBdr>
      <w:divsChild>
        <w:div w:id="257639578">
          <w:marLeft w:val="0"/>
          <w:marRight w:val="0"/>
          <w:marTop w:val="0"/>
          <w:marBottom w:val="0"/>
          <w:divBdr>
            <w:top w:val="none" w:sz="0" w:space="0" w:color="auto"/>
            <w:left w:val="none" w:sz="0" w:space="0" w:color="auto"/>
            <w:bottom w:val="none" w:sz="0" w:space="0" w:color="auto"/>
            <w:right w:val="none" w:sz="0" w:space="0" w:color="auto"/>
          </w:divBdr>
          <w:divsChild>
            <w:div w:id="99380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94740">
      <w:bodyDiv w:val="1"/>
      <w:marLeft w:val="0"/>
      <w:marRight w:val="0"/>
      <w:marTop w:val="0"/>
      <w:marBottom w:val="0"/>
      <w:divBdr>
        <w:top w:val="none" w:sz="0" w:space="0" w:color="auto"/>
        <w:left w:val="none" w:sz="0" w:space="0" w:color="auto"/>
        <w:bottom w:val="none" w:sz="0" w:space="0" w:color="auto"/>
        <w:right w:val="none" w:sz="0" w:space="0" w:color="auto"/>
      </w:divBdr>
    </w:div>
    <w:div w:id="1710373441">
      <w:bodyDiv w:val="1"/>
      <w:marLeft w:val="0"/>
      <w:marRight w:val="0"/>
      <w:marTop w:val="0"/>
      <w:marBottom w:val="0"/>
      <w:divBdr>
        <w:top w:val="none" w:sz="0" w:space="0" w:color="auto"/>
        <w:left w:val="none" w:sz="0" w:space="0" w:color="auto"/>
        <w:bottom w:val="none" w:sz="0" w:space="0" w:color="auto"/>
        <w:right w:val="none" w:sz="0" w:space="0" w:color="auto"/>
      </w:divBdr>
    </w:div>
    <w:div w:id="1750617813">
      <w:bodyDiv w:val="1"/>
      <w:marLeft w:val="0"/>
      <w:marRight w:val="0"/>
      <w:marTop w:val="0"/>
      <w:marBottom w:val="0"/>
      <w:divBdr>
        <w:top w:val="none" w:sz="0" w:space="0" w:color="auto"/>
        <w:left w:val="none" w:sz="0" w:space="0" w:color="auto"/>
        <w:bottom w:val="none" w:sz="0" w:space="0" w:color="auto"/>
        <w:right w:val="none" w:sz="0" w:space="0" w:color="auto"/>
      </w:divBdr>
    </w:div>
    <w:div w:id="1756434523">
      <w:bodyDiv w:val="1"/>
      <w:marLeft w:val="0"/>
      <w:marRight w:val="0"/>
      <w:marTop w:val="0"/>
      <w:marBottom w:val="0"/>
      <w:divBdr>
        <w:top w:val="none" w:sz="0" w:space="0" w:color="auto"/>
        <w:left w:val="none" w:sz="0" w:space="0" w:color="auto"/>
        <w:bottom w:val="none" w:sz="0" w:space="0" w:color="auto"/>
        <w:right w:val="none" w:sz="0" w:space="0" w:color="auto"/>
      </w:divBdr>
    </w:div>
    <w:div w:id="1783379101">
      <w:bodyDiv w:val="1"/>
      <w:marLeft w:val="0"/>
      <w:marRight w:val="0"/>
      <w:marTop w:val="0"/>
      <w:marBottom w:val="0"/>
      <w:divBdr>
        <w:top w:val="none" w:sz="0" w:space="0" w:color="auto"/>
        <w:left w:val="none" w:sz="0" w:space="0" w:color="auto"/>
        <w:bottom w:val="none" w:sz="0" w:space="0" w:color="auto"/>
        <w:right w:val="none" w:sz="0" w:space="0" w:color="auto"/>
      </w:divBdr>
    </w:div>
    <w:div w:id="1806004539">
      <w:bodyDiv w:val="1"/>
      <w:marLeft w:val="0"/>
      <w:marRight w:val="0"/>
      <w:marTop w:val="0"/>
      <w:marBottom w:val="0"/>
      <w:divBdr>
        <w:top w:val="none" w:sz="0" w:space="0" w:color="auto"/>
        <w:left w:val="none" w:sz="0" w:space="0" w:color="auto"/>
        <w:bottom w:val="none" w:sz="0" w:space="0" w:color="auto"/>
        <w:right w:val="none" w:sz="0" w:space="0" w:color="auto"/>
      </w:divBdr>
      <w:divsChild>
        <w:div w:id="2120759339">
          <w:marLeft w:val="0"/>
          <w:marRight w:val="0"/>
          <w:marTop w:val="0"/>
          <w:marBottom w:val="0"/>
          <w:divBdr>
            <w:top w:val="none" w:sz="0" w:space="0" w:color="auto"/>
            <w:left w:val="none" w:sz="0" w:space="0" w:color="auto"/>
            <w:bottom w:val="none" w:sz="0" w:space="0" w:color="auto"/>
            <w:right w:val="none" w:sz="0" w:space="0" w:color="auto"/>
          </w:divBdr>
          <w:divsChild>
            <w:div w:id="33260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654251">
      <w:bodyDiv w:val="1"/>
      <w:marLeft w:val="0"/>
      <w:marRight w:val="0"/>
      <w:marTop w:val="0"/>
      <w:marBottom w:val="0"/>
      <w:divBdr>
        <w:top w:val="none" w:sz="0" w:space="0" w:color="auto"/>
        <w:left w:val="none" w:sz="0" w:space="0" w:color="auto"/>
        <w:bottom w:val="none" w:sz="0" w:space="0" w:color="auto"/>
        <w:right w:val="none" w:sz="0" w:space="0" w:color="auto"/>
      </w:divBdr>
      <w:divsChild>
        <w:div w:id="1012682786">
          <w:marLeft w:val="0"/>
          <w:marRight w:val="0"/>
          <w:marTop w:val="0"/>
          <w:marBottom w:val="0"/>
          <w:divBdr>
            <w:top w:val="none" w:sz="0" w:space="0" w:color="auto"/>
            <w:left w:val="none" w:sz="0" w:space="0" w:color="auto"/>
            <w:bottom w:val="none" w:sz="0" w:space="0" w:color="auto"/>
            <w:right w:val="none" w:sz="0" w:space="0" w:color="auto"/>
          </w:divBdr>
        </w:div>
        <w:div w:id="1457724811">
          <w:marLeft w:val="0"/>
          <w:marRight w:val="0"/>
          <w:marTop w:val="0"/>
          <w:marBottom w:val="0"/>
          <w:divBdr>
            <w:top w:val="none" w:sz="0" w:space="0" w:color="auto"/>
            <w:left w:val="none" w:sz="0" w:space="0" w:color="auto"/>
            <w:bottom w:val="none" w:sz="0" w:space="0" w:color="auto"/>
            <w:right w:val="none" w:sz="0" w:space="0" w:color="auto"/>
          </w:divBdr>
        </w:div>
      </w:divsChild>
    </w:div>
    <w:div w:id="1893349730">
      <w:bodyDiv w:val="1"/>
      <w:marLeft w:val="0"/>
      <w:marRight w:val="0"/>
      <w:marTop w:val="0"/>
      <w:marBottom w:val="0"/>
      <w:divBdr>
        <w:top w:val="none" w:sz="0" w:space="0" w:color="auto"/>
        <w:left w:val="none" w:sz="0" w:space="0" w:color="auto"/>
        <w:bottom w:val="none" w:sz="0" w:space="0" w:color="auto"/>
        <w:right w:val="none" w:sz="0" w:space="0" w:color="auto"/>
      </w:divBdr>
    </w:div>
    <w:div w:id="1907908115">
      <w:bodyDiv w:val="1"/>
      <w:marLeft w:val="0"/>
      <w:marRight w:val="0"/>
      <w:marTop w:val="0"/>
      <w:marBottom w:val="0"/>
      <w:divBdr>
        <w:top w:val="none" w:sz="0" w:space="0" w:color="auto"/>
        <w:left w:val="none" w:sz="0" w:space="0" w:color="auto"/>
        <w:bottom w:val="none" w:sz="0" w:space="0" w:color="auto"/>
        <w:right w:val="none" w:sz="0" w:space="0" w:color="auto"/>
      </w:divBdr>
    </w:div>
    <w:div w:id="1934390852">
      <w:bodyDiv w:val="1"/>
      <w:marLeft w:val="0"/>
      <w:marRight w:val="0"/>
      <w:marTop w:val="0"/>
      <w:marBottom w:val="0"/>
      <w:divBdr>
        <w:top w:val="none" w:sz="0" w:space="0" w:color="auto"/>
        <w:left w:val="none" w:sz="0" w:space="0" w:color="auto"/>
        <w:bottom w:val="none" w:sz="0" w:space="0" w:color="auto"/>
        <w:right w:val="none" w:sz="0" w:space="0" w:color="auto"/>
      </w:divBdr>
      <w:divsChild>
        <w:div w:id="834566428">
          <w:marLeft w:val="0"/>
          <w:marRight w:val="0"/>
          <w:marTop w:val="0"/>
          <w:marBottom w:val="0"/>
          <w:divBdr>
            <w:top w:val="none" w:sz="0" w:space="0" w:color="auto"/>
            <w:left w:val="none" w:sz="0" w:space="0" w:color="auto"/>
            <w:bottom w:val="none" w:sz="0" w:space="0" w:color="auto"/>
            <w:right w:val="none" w:sz="0" w:space="0" w:color="auto"/>
          </w:divBdr>
        </w:div>
        <w:div w:id="1207916619">
          <w:marLeft w:val="0"/>
          <w:marRight w:val="0"/>
          <w:marTop w:val="0"/>
          <w:marBottom w:val="0"/>
          <w:divBdr>
            <w:top w:val="none" w:sz="0" w:space="0" w:color="auto"/>
            <w:left w:val="none" w:sz="0" w:space="0" w:color="auto"/>
            <w:bottom w:val="none" w:sz="0" w:space="0" w:color="auto"/>
            <w:right w:val="none" w:sz="0" w:space="0" w:color="auto"/>
          </w:divBdr>
        </w:div>
        <w:div w:id="1208835315">
          <w:marLeft w:val="0"/>
          <w:marRight w:val="0"/>
          <w:marTop w:val="0"/>
          <w:marBottom w:val="0"/>
          <w:divBdr>
            <w:top w:val="none" w:sz="0" w:space="0" w:color="auto"/>
            <w:left w:val="none" w:sz="0" w:space="0" w:color="auto"/>
            <w:bottom w:val="none" w:sz="0" w:space="0" w:color="auto"/>
            <w:right w:val="none" w:sz="0" w:space="0" w:color="auto"/>
          </w:divBdr>
        </w:div>
      </w:divsChild>
    </w:div>
    <w:div w:id="1978104852">
      <w:bodyDiv w:val="1"/>
      <w:marLeft w:val="0"/>
      <w:marRight w:val="0"/>
      <w:marTop w:val="0"/>
      <w:marBottom w:val="0"/>
      <w:divBdr>
        <w:top w:val="none" w:sz="0" w:space="0" w:color="auto"/>
        <w:left w:val="none" w:sz="0" w:space="0" w:color="auto"/>
        <w:bottom w:val="none" w:sz="0" w:space="0" w:color="auto"/>
        <w:right w:val="none" w:sz="0" w:space="0" w:color="auto"/>
      </w:divBdr>
    </w:div>
    <w:div w:id="2022127341">
      <w:bodyDiv w:val="1"/>
      <w:marLeft w:val="0"/>
      <w:marRight w:val="0"/>
      <w:marTop w:val="0"/>
      <w:marBottom w:val="0"/>
      <w:divBdr>
        <w:top w:val="none" w:sz="0" w:space="0" w:color="auto"/>
        <w:left w:val="none" w:sz="0" w:space="0" w:color="auto"/>
        <w:bottom w:val="none" w:sz="0" w:space="0" w:color="auto"/>
        <w:right w:val="none" w:sz="0" w:space="0" w:color="auto"/>
      </w:divBdr>
      <w:divsChild>
        <w:div w:id="1120416905">
          <w:marLeft w:val="0"/>
          <w:marRight w:val="0"/>
          <w:marTop w:val="0"/>
          <w:marBottom w:val="0"/>
          <w:divBdr>
            <w:top w:val="none" w:sz="0" w:space="0" w:color="auto"/>
            <w:left w:val="none" w:sz="0" w:space="0" w:color="auto"/>
            <w:bottom w:val="none" w:sz="0" w:space="0" w:color="auto"/>
            <w:right w:val="none" w:sz="0" w:space="0" w:color="auto"/>
          </w:divBdr>
        </w:div>
        <w:div w:id="45686207">
          <w:marLeft w:val="0"/>
          <w:marRight w:val="0"/>
          <w:marTop w:val="0"/>
          <w:marBottom w:val="0"/>
          <w:divBdr>
            <w:top w:val="none" w:sz="0" w:space="0" w:color="auto"/>
            <w:left w:val="none" w:sz="0" w:space="0" w:color="auto"/>
            <w:bottom w:val="none" w:sz="0" w:space="0" w:color="auto"/>
            <w:right w:val="none" w:sz="0" w:space="0" w:color="auto"/>
          </w:divBdr>
        </w:div>
        <w:div w:id="1202278532">
          <w:marLeft w:val="0"/>
          <w:marRight w:val="0"/>
          <w:marTop w:val="0"/>
          <w:marBottom w:val="0"/>
          <w:divBdr>
            <w:top w:val="none" w:sz="0" w:space="0" w:color="auto"/>
            <w:left w:val="none" w:sz="0" w:space="0" w:color="auto"/>
            <w:bottom w:val="none" w:sz="0" w:space="0" w:color="auto"/>
            <w:right w:val="none" w:sz="0" w:space="0" w:color="auto"/>
          </w:divBdr>
        </w:div>
        <w:div w:id="2083064122">
          <w:marLeft w:val="0"/>
          <w:marRight w:val="0"/>
          <w:marTop w:val="0"/>
          <w:marBottom w:val="0"/>
          <w:divBdr>
            <w:top w:val="none" w:sz="0" w:space="0" w:color="auto"/>
            <w:left w:val="none" w:sz="0" w:space="0" w:color="auto"/>
            <w:bottom w:val="none" w:sz="0" w:space="0" w:color="auto"/>
            <w:right w:val="none" w:sz="0" w:space="0" w:color="auto"/>
          </w:divBdr>
        </w:div>
        <w:div w:id="2031057878">
          <w:marLeft w:val="0"/>
          <w:marRight w:val="0"/>
          <w:marTop w:val="0"/>
          <w:marBottom w:val="0"/>
          <w:divBdr>
            <w:top w:val="none" w:sz="0" w:space="0" w:color="auto"/>
            <w:left w:val="none" w:sz="0" w:space="0" w:color="auto"/>
            <w:bottom w:val="none" w:sz="0" w:space="0" w:color="auto"/>
            <w:right w:val="none" w:sz="0" w:space="0" w:color="auto"/>
          </w:divBdr>
        </w:div>
      </w:divsChild>
    </w:div>
    <w:div w:id="2126657425">
      <w:bodyDiv w:val="1"/>
      <w:marLeft w:val="0"/>
      <w:marRight w:val="0"/>
      <w:marTop w:val="0"/>
      <w:marBottom w:val="0"/>
      <w:divBdr>
        <w:top w:val="none" w:sz="0" w:space="0" w:color="auto"/>
        <w:left w:val="none" w:sz="0" w:space="0" w:color="auto"/>
        <w:bottom w:val="none" w:sz="0" w:space="0" w:color="auto"/>
        <w:right w:val="none" w:sz="0" w:space="0" w:color="auto"/>
      </w:divBdr>
    </w:div>
    <w:div w:id="2128162380">
      <w:bodyDiv w:val="1"/>
      <w:marLeft w:val="0"/>
      <w:marRight w:val="0"/>
      <w:marTop w:val="0"/>
      <w:marBottom w:val="0"/>
      <w:divBdr>
        <w:top w:val="none" w:sz="0" w:space="0" w:color="auto"/>
        <w:left w:val="none" w:sz="0" w:space="0" w:color="auto"/>
        <w:bottom w:val="none" w:sz="0" w:space="0" w:color="auto"/>
        <w:right w:val="none" w:sz="0" w:space="0" w:color="auto"/>
      </w:divBdr>
      <w:divsChild>
        <w:div w:id="46803734">
          <w:marLeft w:val="0"/>
          <w:marRight w:val="0"/>
          <w:marTop w:val="0"/>
          <w:marBottom w:val="0"/>
          <w:divBdr>
            <w:top w:val="none" w:sz="0" w:space="0" w:color="auto"/>
            <w:left w:val="none" w:sz="0" w:space="0" w:color="auto"/>
            <w:bottom w:val="none" w:sz="0" w:space="0" w:color="auto"/>
            <w:right w:val="none" w:sz="0" w:space="0" w:color="auto"/>
          </w:divBdr>
        </w:div>
        <w:div w:id="1920166429">
          <w:marLeft w:val="0"/>
          <w:marRight w:val="0"/>
          <w:marTop w:val="0"/>
          <w:marBottom w:val="0"/>
          <w:divBdr>
            <w:top w:val="none" w:sz="0" w:space="0" w:color="auto"/>
            <w:left w:val="none" w:sz="0" w:space="0" w:color="auto"/>
            <w:bottom w:val="none" w:sz="0" w:space="0" w:color="auto"/>
            <w:right w:val="none" w:sz="0" w:space="0" w:color="auto"/>
          </w:divBdr>
        </w:div>
        <w:div w:id="187450406">
          <w:marLeft w:val="0"/>
          <w:marRight w:val="0"/>
          <w:marTop w:val="0"/>
          <w:marBottom w:val="0"/>
          <w:divBdr>
            <w:top w:val="none" w:sz="0" w:space="0" w:color="auto"/>
            <w:left w:val="none" w:sz="0" w:space="0" w:color="auto"/>
            <w:bottom w:val="none" w:sz="0" w:space="0" w:color="auto"/>
            <w:right w:val="none" w:sz="0" w:space="0" w:color="auto"/>
          </w:divBdr>
        </w:div>
      </w:divsChild>
    </w:div>
    <w:div w:id="2138597700">
      <w:bodyDiv w:val="1"/>
      <w:marLeft w:val="0"/>
      <w:marRight w:val="0"/>
      <w:marTop w:val="0"/>
      <w:marBottom w:val="0"/>
      <w:divBdr>
        <w:top w:val="none" w:sz="0" w:space="0" w:color="auto"/>
        <w:left w:val="none" w:sz="0" w:space="0" w:color="auto"/>
        <w:bottom w:val="none" w:sz="0" w:space="0" w:color="auto"/>
        <w:right w:val="none" w:sz="0" w:space="0" w:color="auto"/>
      </w:divBdr>
      <w:divsChild>
        <w:div w:id="2049452965">
          <w:marLeft w:val="0"/>
          <w:marRight w:val="0"/>
          <w:marTop w:val="0"/>
          <w:marBottom w:val="0"/>
          <w:divBdr>
            <w:top w:val="none" w:sz="0" w:space="0" w:color="auto"/>
            <w:left w:val="none" w:sz="0" w:space="0" w:color="auto"/>
            <w:bottom w:val="none" w:sz="0" w:space="0" w:color="auto"/>
            <w:right w:val="none" w:sz="0" w:space="0" w:color="auto"/>
          </w:divBdr>
        </w:div>
        <w:div w:id="1830637246">
          <w:marLeft w:val="0"/>
          <w:marRight w:val="0"/>
          <w:marTop w:val="0"/>
          <w:marBottom w:val="0"/>
          <w:divBdr>
            <w:top w:val="none" w:sz="0" w:space="0" w:color="auto"/>
            <w:left w:val="none" w:sz="0" w:space="0" w:color="auto"/>
            <w:bottom w:val="none" w:sz="0" w:space="0" w:color="auto"/>
            <w:right w:val="none" w:sz="0" w:space="0" w:color="auto"/>
          </w:divBdr>
        </w:div>
        <w:div w:id="1853032864">
          <w:marLeft w:val="0"/>
          <w:marRight w:val="0"/>
          <w:marTop w:val="0"/>
          <w:marBottom w:val="0"/>
          <w:divBdr>
            <w:top w:val="none" w:sz="0" w:space="0" w:color="auto"/>
            <w:left w:val="none" w:sz="0" w:space="0" w:color="auto"/>
            <w:bottom w:val="none" w:sz="0" w:space="0" w:color="auto"/>
            <w:right w:val="none" w:sz="0" w:space="0" w:color="auto"/>
          </w:divBdr>
        </w:div>
        <w:div w:id="1038504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efsa.europa.eu/en/topics/topic/chemical-mixtures" TargetMode="External"/><Relationship Id="rId13" Type="http://schemas.openxmlformats.org/officeDocument/2006/relationships/hyperlink" Target="https://link.springer.com/article/10.1007/s00204-016-1866-9" TargetMode="External"/><Relationship Id="rId18" Type="http://schemas.openxmlformats.org/officeDocument/2006/relationships/hyperlink" Target="https://ec.europa.eu/jrc/en/science-update/vitro-methods-detection-thyroid-disruptors" TargetMode="External"/><Relationship Id="rId26" Type="http://schemas.openxmlformats.org/officeDocument/2006/relationships/hyperlink" Target="http://ec.europa.eu/growth/sectors/chemicals/ec-support_en" TargetMode="External"/><Relationship Id="rId3" Type="http://schemas.openxmlformats.org/officeDocument/2006/relationships/hyperlink" Target="http://www.euro.who.int/__data/assets/pdf_file/0011/78608/E93618.pdf" TargetMode="External"/><Relationship Id="rId21" Type="http://schemas.openxmlformats.org/officeDocument/2006/relationships/hyperlink" Target="http://europa.eu/rapid/midday-express-11-07-2018.htm" TargetMode="External"/><Relationship Id="rId7" Type="http://schemas.openxmlformats.org/officeDocument/2006/relationships/hyperlink" Target="http://www.who.int/ceh/publications/endocrine/en/" TargetMode="External"/><Relationship Id="rId12" Type="http://schemas.openxmlformats.org/officeDocument/2006/relationships/hyperlink" Target="https://www.efsa.europa.eu/en/supporting/pub/en-1027" TargetMode="External"/><Relationship Id="rId17" Type="http://schemas.openxmlformats.org/officeDocument/2006/relationships/hyperlink" Target="https://publications.europa.eu/en/publication-detail/-/publication/6b464845-4833-11e8-be1d-01aa75ed71a1/language-en" TargetMode="External"/><Relationship Id="rId25" Type="http://schemas.openxmlformats.org/officeDocument/2006/relationships/hyperlink" Target="https://eur-lex.europa.eu/legal-content/EN/ALL/?uri=COM:2016:814:FIN" TargetMode="External"/><Relationship Id="rId2" Type="http://schemas.openxmlformats.org/officeDocument/2006/relationships/hyperlink" Target="http://www.un.org/ga/search/view_doc.asp?symbol=A/RES/70/1&amp;Lang=E" TargetMode="External"/><Relationship Id="rId16" Type="http://schemas.openxmlformats.org/officeDocument/2006/relationships/hyperlink" Target="http://www.oecd.org/officialdocuments/publicdisplaydocumentpdf/?cote=env/jm/mono(2012)22&amp;doclanguage=en" TargetMode="External"/><Relationship Id="rId20" Type="http://schemas.openxmlformats.org/officeDocument/2006/relationships/hyperlink" Target="https://echa.europa.eu/candidate-list-table" TargetMode="External"/><Relationship Id="rId29" Type="http://schemas.openxmlformats.org/officeDocument/2006/relationships/hyperlink" Target="http://ec.europa.eu/environment/water/fitness_check_of_the_eu_water_legislation/index_en.htm" TargetMode="External"/><Relationship Id="rId1" Type="http://schemas.openxmlformats.org/officeDocument/2006/relationships/hyperlink" Target="http://ec.europa.eu/environment/chemicals/endocrine/documents/reports_conclusions_en.htm" TargetMode="External"/><Relationship Id="rId6" Type="http://schemas.openxmlformats.org/officeDocument/2006/relationships/hyperlink" Target="http://www.who.int/ipcs/publications/new_issues/endocrine_disruptors/en/" TargetMode="External"/><Relationship Id="rId11" Type="http://schemas.openxmlformats.org/officeDocument/2006/relationships/hyperlink" Target="http://publications.jrc.ec.europa.eu/repository/bitstream/JRC83204/lb-na-26-068-en-n.pdf" TargetMode="External"/><Relationship Id="rId24" Type="http://schemas.openxmlformats.org/officeDocument/2006/relationships/hyperlink" Target="https://ec.europa.eu/growth/sectors/chemicals/reach/review_en" TargetMode="External"/><Relationship Id="rId5" Type="http://schemas.openxmlformats.org/officeDocument/2006/relationships/hyperlink" Target="http://www.saicm.org/About/ICCM/tabid/5521/language/en-GB/Default.aspx" TargetMode="External"/><Relationship Id="rId15" Type="http://schemas.openxmlformats.org/officeDocument/2006/relationships/hyperlink" Target="http://www.efsa.europa.eu/en/efsajournal/doc/3132.pdf" TargetMode="External"/><Relationship Id="rId23" Type="http://schemas.openxmlformats.org/officeDocument/2006/relationships/hyperlink" Target="https://echa.europa.eu/documents/10162/13577/ref_4_report_en.pdf/b53f5cd9-64a4-c120-1953-e9e176b9c282" TargetMode="External"/><Relationship Id="rId28" Type="http://schemas.openxmlformats.org/officeDocument/2006/relationships/hyperlink" Target="http://ec.europa.eu/environment/action-programme/evaluation.htm" TargetMode="External"/><Relationship Id="rId10" Type="http://schemas.openxmlformats.org/officeDocument/2006/relationships/hyperlink" Target="http://publications.jrc.ec.europa.eu/repository/bitstream/JRC79981/lbna25919enn.pdf" TargetMode="External"/><Relationship Id="rId19" Type="http://schemas.openxmlformats.org/officeDocument/2006/relationships/hyperlink" Target="https://ec.europa.eu/consumers/consumers_safety/safety_products/rapex/alerts/repository/content/pages/rapex/index_en.htm" TargetMode="External"/><Relationship Id="rId31" Type="http://schemas.openxmlformats.org/officeDocument/2006/relationships/hyperlink" Target="https://ec.europa.eu/info/law/better-regulation/initiatives/ares-2018-3667279_en" TargetMode="External"/><Relationship Id="rId4" Type="http://schemas.openxmlformats.org/officeDocument/2006/relationships/hyperlink" Target="http://www.euro.who.int/__data/assets/pdf_file/0007/341944/OstravaDeclaration_SIGNED.pdf?ua=1" TargetMode="External"/><Relationship Id="rId9" Type="http://schemas.openxmlformats.org/officeDocument/2006/relationships/hyperlink" Target="https://www.efsa.europa.eu/en/efsajournal/pub/3293" TargetMode="External"/><Relationship Id="rId14" Type="http://schemas.openxmlformats.org/officeDocument/2006/relationships/hyperlink" Target="http://www.oecd.org/chemicalsafety/testing/oecdworkrelatedtoendocrinedisrupters.htm" TargetMode="External"/><Relationship Id="rId22" Type="http://schemas.openxmlformats.org/officeDocument/2006/relationships/hyperlink" Target="https://echa.europa.eu/substance-information/-/substanceinfo/100.001.475" TargetMode="External"/><Relationship Id="rId27" Type="http://schemas.openxmlformats.org/officeDocument/2006/relationships/hyperlink" Target="https://ec.europa.eu/food/plant/pesticides/refit_en" TargetMode="External"/><Relationship Id="rId30" Type="http://schemas.openxmlformats.org/officeDocument/2006/relationships/hyperlink" Target="https://ec.europa.eu/food/safety/chemical_safety/food_contact_materials/evalua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10F65-A5DA-4639-B183-E73A4B1CE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14</Pages>
  <Words>4854</Words>
  <Characters>29223</Characters>
  <Application>Microsoft Office Word</Application>
  <DocSecurity>0</DocSecurity>
  <Lines>429</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25</cp:revision>
  <cp:lastPrinted>2018-10-16T16:23:00Z</cp:lastPrinted>
  <dcterms:created xsi:type="dcterms:W3CDTF">2018-10-31T11:36:00Z</dcterms:created>
  <dcterms:modified xsi:type="dcterms:W3CDTF">2018-11-14T14:53:00Z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Last edited using">
    <vt:lpwstr>LW 6.0.1, Build 20180503</vt:lpwstr>
  </property>
  <property fmtid="{D5CDD505-2E9C-101B-9397-08002B2CF9AE}" pid="7" name="Created using">
    <vt:lpwstr>LW 6.0.1, Build 20180503</vt:lpwstr>
  </property>
</Properties>
</file>