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371E" w:rsidRDefault="00EF242D" w:rsidP="00EF242D">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A8070720-3F98-49BF-B77E-3BDBB660A5EC" style="width:450.75pt;height:361.5pt">
            <v:imagedata r:id="rId11" o:title=""/>
          </v:shape>
        </w:pict>
      </w:r>
    </w:p>
    <w:bookmarkEnd w:id="0"/>
    <w:p w:rsidR="00EB371E" w:rsidRDefault="00EB371E">
      <w:pPr>
        <w:pStyle w:val="Pagedecouverture"/>
        <w:rPr>
          <w:noProof/>
        </w:rPr>
        <w:sectPr w:rsidR="00EB371E" w:rsidSect="00EF242D">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rsidR="00EB371E" w:rsidRDefault="00EF242D">
      <w:pPr>
        <w:spacing w:after="0" w:line="240" w:lineRule="auto"/>
        <w:jc w:val="both"/>
        <w:rPr>
          <w:rFonts w:ascii="Times New Roman" w:hAnsi="Times New Roman" w:cs="Times New Roman"/>
          <w:noProof/>
          <w:sz w:val="24"/>
          <w:szCs w:val="24"/>
        </w:rPr>
      </w:pPr>
      <w:bookmarkStart w:id="1" w:name="_GoBack"/>
      <w:bookmarkEnd w:id="1"/>
      <w:r>
        <w:rPr>
          <w:rFonts w:ascii="Times New Roman" w:hAnsi="Times New Roman"/>
          <w:noProof/>
          <w:sz w:val="24"/>
        </w:rPr>
        <w:lastRenderedPageBreak/>
        <w:t xml:space="preserve">Le marché unique figure parmi les plus grandes réalisations du projet européen. Il a fait de l’Europe l’un des lieux les plus attrayants du monde </w:t>
      </w:r>
      <w:r>
        <w:rPr>
          <w:rFonts w:ascii="Times New Roman" w:hAnsi="Times New Roman"/>
          <w:noProof/>
          <w:sz w:val="24"/>
        </w:rPr>
        <w:t>pour vivre et exercer une activité économique. Au cours des 25 dernières années, il a joué un rôle essentiel dans l’accroissement de la prospérité et de la richesse des citoyens de l’Union européenne. Il a renforcé la compétitivité de l’industrie en offran</w:t>
      </w:r>
      <w:r>
        <w:rPr>
          <w:rFonts w:ascii="Times New Roman" w:hAnsi="Times New Roman"/>
          <w:noProof/>
          <w:sz w:val="24"/>
        </w:rPr>
        <w:t>t aux entreprises l’accès à un vaste marché concurrentiel et en éliminant les obstacles entravant leur croissance et leurs efforts d’innovation et d’expansion. Grâce à sa diversification, le marché unique a contribué à améliorer la résilience de l’économie</w:t>
      </w:r>
      <w:r>
        <w:rPr>
          <w:rFonts w:ascii="Times New Roman" w:hAnsi="Times New Roman"/>
          <w:noProof/>
          <w:sz w:val="24"/>
        </w:rPr>
        <w:t xml:space="preserve"> européenne et de l’Union économique et monétaire</w:t>
      </w:r>
      <w:r>
        <w:rPr>
          <w:rStyle w:val="FootnoteReference"/>
          <w:rFonts w:ascii="Times New Roman" w:hAnsi="Times New Roman"/>
          <w:noProof/>
          <w:sz w:val="24"/>
        </w:rPr>
        <w:footnoteReference w:id="2"/>
      </w:r>
      <w:r>
        <w:rPr>
          <w:rFonts w:ascii="Times New Roman" w:hAnsi="Times New Roman"/>
          <w:noProof/>
          <w:sz w:val="24"/>
        </w:rPr>
        <w:t>. Par sa taille, il a renforcé le statut et l’influence de l’Union européenne dans le monde. Les bienfaits du marché unique vont bien au-delà de ceux qu’apportent une zone de libre-échange et une union doua</w:t>
      </w:r>
      <w:r>
        <w:rPr>
          <w:rFonts w:ascii="Times New Roman" w:hAnsi="Times New Roman"/>
          <w:noProof/>
          <w:sz w:val="24"/>
        </w:rPr>
        <w:t>nière et englobent la liberté de circulation des produits, des personnes, des services et des capitaux. Ces quatre libertés, qui, ensemble, permettent des échanges commerciaux et une activité économique sans heurts, constituent le fondement du marché uniqu</w:t>
      </w:r>
      <w:r>
        <w:rPr>
          <w:rFonts w:ascii="Times New Roman" w:hAnsi="Times New Roman"/>
          <w:noProof/>
          <w:sz w:val="24"/>
        </w:rPr>
        <w:t>e. Selon les estimations de la Commission, les bienfaits économiques du marché unique représentent environ 8,5 % du produit intérieur brut de l’Union.</w:t>
      </w:r>
    </w:p>
    <w:p w:rsidR="00EB371E" w:rsidRDefault="00EB371E">
      <w:pPr>
        <w:spacing w:after="0" w:line="240" w:lineRule="auto"/>
        <w:jc w:val="both"/>
        <w:rPr>
          <w:rFonts w:ascii="Times New Roman" w:hAnsi="Times New Roman" w:cs="Times New Roman"/>
          <w:noProof/>
          <w:sz w:val="24"/>
          <w:szCs w:val="24"/>
        </w:rPr>
      </w:pPr>
    </w:p>
    <w:p w:rsidR="00EB371E" w:rsidRDefault="00EF242D">
      <w:pPr>
        <w:spacing w:after="0" w:line="240" w:lineRule="auto"/>
        <w:jc w:val="both"/>
        <w:rPr>
          <w:rFonts w:ascii="Times New Roman" w:hAnsi="Times New Roman" w:cs="Times New Roman"/>
          <w:noProof/>
          <w:sz w:val="24"/>
          <w:szCs w:val="24"/>
        </w:rPr>
      </w:pPr>
      <w:r>
        <w:rPr>
          <w:rFonts w:ascii="Times New Roman" w:hAnsi="Times New Roman"/>
          <w:noProof/>
          <w:sz w:val="24"/>
        </w:rPr>
        <w:t>Bien que les résultats obtenus grâce au marché unique soient substantiels, des efforts sont, et seront t</w:t>
      </w:r>
      <w:r>
        <w:rPr>
          <w:rFonts w:ascii="Times New Roman" w:hAnsi="Times New Roman"/>
          <w:noProof/>
          <w:sz w:val="24"/>
        </w:rPr>
        <w:t>oujours, nécessaires pour le préserver et l’améliorer. Pour demeurer une source de croissance et de perspectives pour les citoyens et les entreprises, le marché unique doit continuer à s’adapter aux nouvelles évolutions et aux nouveaux défis. Il existe une</w:t>
      </w:r>
      <w:r>
        <w:rPr>
          <w:rFonts w:ascii="Times New Roman" w:hAnsi="Times New Roman"/>
          <w:noProof/>
          <w:sz w:val="24"/>
        </w:rPr>
        <w:t xml:space="preserve"> diversité accrue d’opinions sur les priorités à poursuivre et des différences de perception quant aux bienfaits potentiels du marché unique. La mondialisation et les nouvelles technologies offrent des perspectives considérables, mais soulèvent aussi des q</w:t>
      </w:r>
      <w:r>
        <w:rPr>
          <w:rFonts w:ascii="Times New Roman" w:hAnsi="Times New Roman"/>
          <w:noProof/>
          <w:sz w:val="24"/>
        </w:rPr>
        <w:t>uestions essentielles quant à l’opportunité de réglementer et, le cas échéant, quant à ce qu’il convient de réglementer, à quel moment et de quelle manière. La mise en œuvre insuffisante ou incohérente des règles communes continue de poser problème, et des</w:t>
      </w:r>
      <w:r>
        <w:rPr>
          <w:rFonts w:ascii="Times New Roman" w:hAnsi="Times New Roman"/>
          <w:noProof/>
          <w:sz w:val="24"/>
        </w:rPr>
        <w:t xml:space="preserve"> efforts constants s’imposent pour veiller à ce que ces règles restent adaptées à leur finalité dans un environnement qui évolue rapidement. </w:t>
      </w:r>
    </w:p>
    <w:p w:rsidR="00EB371E" w:rsidRDefault="00EB371E">
      <w:pPr>
        <w:spacing w:after="0" w:line="240" w:lineRule="auto"/>
        <w:jc w:val="both"/>
        <w:rPr>
          <w:rFonts w:ascii="Times New Roman" w:hAnsi="Times New Roman" w:cs="Times New Roman"/>
          <w:noProof/>
          <w:sz w:val="24"/>
          <w:szCs w:val="24"/>
        </w:rPr>
      </w:pPr>
    </w:p>
    <w:p w:rsidR="00EB371E" w:rsidRDefault="00EF242D">
      <w:pPr>
        <w:spacing w:after="0" w:line="240" w:lineRule="auto"/>
        <w:jc w:val="both"/>
        <w:rPr>
          <w:rFonts w:ascii="Times New Roman" w:hAnsi="Times New Roman" w:cs="Times New Roman"/>
          <w:noProof/>
          <w:sz w:val="24"/>
          <w:szCs w:val="24"/>
        </w:rPr>
      </w:pPr>
      <w:r>
        <w:rPr>
          <w:rFonts w:ascii="Times New Roman" w:hAnsi="Times New Roman"/>
          <w:noProof/>
          <w:sz w:val="24"/>
        </w:rPr>
        <w:t>Peut-être avant tout, plus l’intégration s’approfondira, plus tout effort supplémentaire sera difficile à consent</w:t>
      </w:r>
      <w:r>
        <w:rPr>
          <w:rFonts w:ascii="Times New Roman" w:hAnsi="Times New Roman"/>
          <w:noProof/>
          <w:sz w:val="24"/>
        </w:rPr>
        <w:t>ir d’un point de vue politique, car les questions économiques et sociales que nous abordons deviennent de plus en plus sensibles. Il s’avère difficile, par exemple, de renforcer l’intégration dans des domaines tels que les services qui donneraient une fort</w:t>
      </w:r>
      <w:r>
        <w:rPr>
          <w:rFonts w:ascii="Times New Roman" w:hAnsi="Times New Roman"/>
          <w:noProof/>
          <w:sz w:val="24"/>
        </w:rPr>
        <w:t>e impulsion à la productivité et à la croissance, et la fiscalité, où la disparité des règles applicables est perçue par de nombreuses entreprises comme un obstacle important au marché unique. Cela vaut également pour la dimension sociale du marché unique,</w:t>
      </w:r>
      <w:r>
        <w:rPr>
          <w:rFonts w:ascii="Times New Roman" w:hAnsi="Times New Roman"/>
          <w:noProof/>
          <w:sz w:val="24"/>
        </w:rPr>
        <w:t xml:space="preserve"> domaine dans lequel il est essentiel de progresser pour permettre à l’ensemble des citoyens de tirer pleinement parti de l’intégration.</w:t>
      </w:r>
    </w:p>
    <w:p w:rsidR="00EB371E" w:rsidRDefault="00EB371E">
      <w:pPr>
        <w:spacing w:after="0" w:line="240" w:lineRule="auto"/>
        <w:jc w:val="both"/>
        <w:rPr>
          <w:rFonts w:ascii="Times New Roman" w:hAnsi="Times New Roman" w:cs="Times New Roman"/>
          <w:noProof/>
          <w:sz w:val="24"/>
          <w:szCs w:val="24"/>
        </w:rPr>
      </w:pPr>
    </w:p>
    <w:p w:rsidR="00EB371E" w:rsidRDefault="00EF242D">
      <w:pPr>
        <w:spacing w:after="0" w:line="240" w:lineRule="auto"/>
        <w:jc w:val="both"/>
        <w:rPr>
          <w:rFonts w:ascii="Times New Roman" w:hAnsi="Times New Roman" w:cs="Times New Roman"/>
          <w:noProof/>
          <w:sz w:val="24"/>
          <w:szCs w:val="24"/>
        </w:rPr>
      </w:pPr>
      <w:r>
        <w:rPr>
          <w:rFonts w:ascii="Times New Roman" w:hAnsi="Times New Roman"/>
          <w:noProof/>
          <w:sz w:val="24"/>
        </w:rPr>
        <w:t>Compte tenu de ces difficultés, une intégration plus profonde requiert aujourd’hui plus de courage politique et de dét</w:t>
      </w:r>
      <w:r>
        <w:rPr>
          <w:rFonts w:ascii="Times New Roman" w:hAnsi="Times New Roman"/>
          <w:noProof/>
          <w:sz w:val="24"/>
        </w:rPr>
        <w:t>ermination qu’il y a 25 ans, et des efforts plus soutenus que jamais sont nécessaires pour combler le fossé entre la rhétorique et les résultats sur le terrain. Nous sommes trop souvent confrontés à une situation dans laquelle le consensus qui semble se fo</w:t>
      </w:r>
      <w:r>
        <w:rPr>
          <w:rFonts w:ascii="Times New Roman" w:hAnsi="Times New Roman"/>
          <w:noProof/>
          <w:sz w:val="24"/>
        </w:rPr>
        <w:t>rger au plus haut niveau autour de la nécessité d’approfondir le marché unique ne va pas de pair avec une volonté politique d’adopter les mesures concrètes proposées par la Commission qui feraient la différence, ou de transposer et mettre en œuvre des mesu</w:t>
      </w:r>
      <w:r>
        <w:rPr>
          <w:rFonts w:ascii="Times New Roman" w:hAnsi="Times New Roman"/>
          <w:noProof/>
          <w:sz w:val="24"/>
        </w:rPr>
        <w:t xml:space="preserve">res déjà adoptées. Même lorsqu’ils se disent favorables à une intégration accrue du marché ou à une plus grande harmonisation, les États membres défendent souvent uniquement leur approche nationale comme fondement à l’élaboration de règles européennes, ce </w:t>
      </w:r>
      <w:r>
        <w:rPr>
          <w:rFonts w:ascii="Times New Roman" w:hAnsi="Times New Roman"/>
          <w:noProof/>
          <w:sz w:val="24"/>
        </w:rPr>
        <w:t xml:space="preserve">qui peut générer des tensions politiques. En conséquence, la Commission est régulièrement invitée à soumettre de nouvelles idées, alors que la volonté de poursuivre le processus n’est pourtant pas garantie. Nous avons donc besoin d’un débat ouvert sur ces </w:t>
      </w:r>
      <w:r>
        <w:rPr>
          <w:rFonts w:ascii="Times New Roman" w:hAnsi="Times New Roman"/>
          <w:noProof/>
          <w:sz w:val="24"/>
        </w:rPr>
        <w:t xml:space="preserve">questions, et d’un engagement renouvelé des dirigeants à l’appui de toutes les dimensions du marché unique. </w:t>
      </w:r>
    </w:p>
    <w:p w:rsidR="00EB371E" w:rsidRDefault="00EB371E">
      <w:pPr>
        <w:spacing w:after="0" w:line="240" w:lineRule="auto"/>
        <w:jc w:val="both"/>
        <w:rPr>
          <w:rFonts w:ascii="Times New Roman" w:hAnsi="Times New Roman" w:cs="Times New Roman"/>
          <w:noProof/>
          <w:sz w:val="24"/>
          <w:szCs w:val="24"/>
        </w:rPr>
      </w:pPr>
    </w:p>
    <w:p w:rsidR="00EB371E" w:rsidRDefault="00EF242D">
      <w:pPr>
        <w:spacing w:after="0" w:line="240" w:lineRule="auto"/>
        <w:jc w:val="both"/>
        <w:rPr>
          <w:rFonts w:ascii="Times New Roman" w:hAnsi="Times New Roman" w:cs="Times New Roman"/>
          <w:noProof/>
          <w:sz w:val="24"/>
          <w:szCs w:val="24"/>
        </w:rPr>
      </w:pPr>
      <w:r>
        <w:rPr>
          <w:rFonts w:ascii="Times New Roman" w:hAnsi="Times New Roman"/>
          <w:noProof/>
          <w:sz w:val="24"/>
        </w:rPr>
        <w:t>Avec la stratégie pour le marché unique, l’union des marchés des capitaux et la stratégie pour un marché unique numérique, la Commission a présent</w:t>
      </w:r>
      <w:r>
        <w:rPr>
          <w:rFonts w:ascii="Times New Roman" w:hAnsi="Times New Roman"/>
          <w:noProof/>
          <w:sz w:val="24"/>
        </w:rPr>
        <w:t xml:space="preserve">é, ces quatre dernières années, un ensemble de mesures ambitieux et équilibré visant à approfondir le marché unique et à le rendre plus équitable. Ces propositions constituent ensemble le cadre juridique d’un marché unique orienté vers l’avenir. Plusieurs </w:t>
      </w:r>
      <w:r>
        <w:rPr>
          <w:rFonts w:ascii="Times New Roman" w:hAnsi="Times New Roman"/>
          <w:noProof/>
          <w:sz w:val="24"/>
        </w:rPr>
        <w:t>propositions ont déjà été adoptées, mais le Parlement européen et le Conseil doivent encore s’accorder sur 44 des 67 propositions exposées dans ces stratégies (voir Annexe I). La Commission a également élaboré d’importantes propositions orientées vers l’av</w:t>
      </w:r>
      <w:r>
        <w:rPr>
          <w:rFonts w:ascii="Times New Roman" w:hAnsi="Times New Roman"/>
          <w:noProof/>
          <w:sz w:val="24"/>
        </w:rPr>
        <w:t>enir dans les domaines de l’économie circulaire, de l’énergie, des transports et des politiques climatiques, lesquelles approfondiront le marché unique et favoriseront un développement durable. Pour veiller à ce que le marché unique reste équitable, la Com</w:t>
      </w:r>
      <w:r>
        <w:rPr>
          <w:rFonts w:ascii="Times New Roman" w:hAnsi="Times New Roman"/>
          <w:noProof/>
          <w:sz w:val="24"/>
        </w:rPr>
        <w:t xml:space="preserve">mission a proposé des garanties dans les domaines de l’emploi, de la fiscalité et du droit des sociétés. </w:t>
      </w:r>
    </w:p>
    <w:p w:rsidR="00EB371E" w:rsidRDefault="00EB371E">
      <w:pPr>
        <w:pStyle w:val="ListParagraph"/>
        <w:spacing w:after="0" w:line="240" w:lineRule="auto"/>
        <w:ind w:left="0"/>
        <w:jc w:val="both"/>
        <w:rPr>
          <w:rFonts w:ascii="Times New Roman" w:hAnsi="Times New Roman" w:cs="Times New Roman"/>
          <w:noProof/>
          <w:sz w:val="24"/>
          <w:szCs w:val="24"/>
        </w:rPr>
      </w:pPr>
    </w:p>
    <w:p w:rsidR="00EB371E" w:rsidRDefault="00EF242D">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En mars 2018, le Conseil européen a demandé à la Commission d’évaluer l’état d’avancement du marché unique en ce qui concerne la mise en œuvre, </w:t>
      </w:r>
      <w:r>
        <w:rPr>
          <w:rFonts w:ascii="Times New Roman" w:hAnsi="Times New Roman"/>
          <w:noProof/>
          <w:sz w:val="24"/>
        </w:rPr>
        <w:t xml:space="preserve">l’application et le contrôle du respect de la législation existante qui est essentielle au fonctionnement du marché unique, ainsi que les derniers obstacles restants à un marché unique pleinement opérationnel et les possibilités qui s’offrent à cet égard. </w:t>
      </w:r>
      <w:r>
        <w:rPr>
          <w:rFonts w:ascii="Times New Roman" w:hAnsi="Times New Roman"/>
          <w:noProof/>
          <w:sz w:val="24"/>
        </w:rPr>
        <w:t>La présente communication est une première réponse à la demande du Conseil européen et est adoptée conjointement avec l’examen annuel de la croissance et une communication dressant un bilan du plan d’investissement</w:t>
      </w:r>
      <w:r>
        <w:rPr>
          <w:rStyle w:val="FootnoteReference"/>
          <w:rFonts w:ascii="Times New Roman" w:hAnsi="Times New Roman"/>
          <w:noProof/>
          <w:sz w:val="24"/>
        </w:rPr>
        <w:footnoteReference w:id="3"/>
      </w:r>
      <w:r>
        <w:rPr>
          <w:rFonts w:ascii="Times New Roman" w:hAnsi="Times New Roman"/>
          <w:noProof/>
          <w:sz w:val="24"/>
        </w:rPr>
        <w:t>. Elle présente un état des lieux, rappel</w:t>
      </w:r>
      <w:r>
        <w:rPr>
          <w:rFonts w:ascii="Times New Roman" w:hAnsi="Times New Roman"/>
          <w:noProof/>
          <w:sz w:val="24"/>
        </w:rPr>
        <w:t>ant les bienfaits du marché unique pour les citoyens, les consommateurs et les entreprises. Elle souligne l’urgence de s’accorder, avant la fin du cycle législatif actuel, sur les propositions qu'elle a présentées. Elle insiste sur la nécessité de garantir</w:t>
      </w:r>
      <w:r>
        <w:rPr>
          <w:rFonts w:ascii="Times New Roman" w:hAnsi="Times New Roman"/>
          <w:noProof/>
          <w:sz w:val="24"/>
        </w:rPr>
        <w:t xml:space="preserve"> une mise en œuvre, une application et un contrôle du respect des règles du marché unique qui soient plus efficaces. Elle examine également les principaux obstacles auxquels il conviendra de remédier pour que le marché unique continue de fonctionner effica</w:t>
      </w:r>
      <w:r>
        <w:rPr>
          <w:rFonts w:ascii="Times New Roman" w:hAnsi="Times New Roman"/>
          <w:noProof/>
          <w:sz w:val="24"/>
        </w:rPr>
        <w:t>cement, ce qui permettra à l’Union de saisir les possibilités offertes par un marché unique résistant à l’épreuve du temps qui contribueront à terme à apporter croissance et prospérité à ses citoyens et à ses entreprises, et de définir les priorités mondia</w:t>
      </w:r>
      <w:r>
        <w:rPr>
          <w:rFonts w:ascii="Times New Roman" w:hAnsi="Times New Roman"/>
          <w:noProof/>
          <w:sz w:val="24"/>
        </w:rPr>
        <w:t xml:space="preserve">les. </w:t>
      </w:r>
    </w:p>
    <w:p w:rsidR="00EB371E" w:rsidRDefault="00EF242D">
      <w:pPr>
        <w:pStyle w:val="Heading2"/>
        <w:numPr>
          <w:ilvl w:val="0"/>
          <w:numId w:val="2"/>
        </w:numPr>
        <w:spacing w:before="100" w:beforeAutospacing="1" w:after="120"/>
        <w:ind w:left="709" w:hanging="709"/>
        <w:rPr>
          <w:rFonts w:ascii="Times New Roman" w:hAnsi="Times New Roman" w:cs="Times New Roman"/>
          <w:noProof/>
          <w:color w:val="auto"/>
          <w:sz w:val="24"/>
          <w:szCs w:val="24"/>
        </w:rPr>
      </w:pPr>
      <w:r>
        <w:rPr>
          <w:rFonts w:ascii="Times New Roman" w:hAnsi="Times New Roman"/>
          <w:noProof/>
          <w:color w:val="auto"/>
          <w:sz w:val="24"/>
        </w:rPr>
        <w:t>Donner les moyens d’agir et protéger</w:t>
      </w:r>
    </w:p>
    <w:p w:rsidR="00EB371E" w:rsidRDefault="00EF242D">
      <w:pPr>
        <w:spacing w:after="0" w:line="240" w:lineRule="auto"/>
        <w:jc w:val="both"/>
        <w:rPr>
          <w:rFonts w:ascii="Times New Roman" w:hAnsi="Times New Roman" w:cs="Times New Roman"/>
          <w:noProof/>
          <w:sz w:val="24"/>
          <w:szCs w:val="24"/>
        </w:rPr>
      </w:pPr>
      <w:r>
        <w:rPr>
          <w:rFonts w:ascii="Times New Roman" w:hAnsi="Times New Roman"/>
          <w:noProof/>
          <w:sz w:val="24"/>
        </w:rPr>
        <w:t>Le marché unique est un puissant outil qui soutient la compétitivité de l’Union et la prospérité de ses habitants. Il remplit une fonction sociétale importante en créant un espace de vie commun fondé sur des règle</w:t>
      </w:r>
      <w:r>
        <w:rPr>
          <w:rFonts w:ascii="Times New Roman" w:hAnsi="Times New Roman"/>
          <w:noProof/>
          <w:sz w:val="24"/>
        </w:rPr>
        <w:t>s applicables à plus de 512 millions d’Européens. Selon l’Eurobaromètre du printemps 2018, 82 % des citoyens de l’Union sont favorables à la liberté de vivre, de travailler, d’étudier et d’exercer une activité économique dans d’autres États membres. Il s’a</w:t>
      </w:r>
      <w:r>
        <w:rPr>
          <w:rFonts w:ascii="Times New Roman" w:hAnsi="Times New Roman"/>
          <w:noProof/>
          <w:sz w:val="24"/>
        </w:rPr>
        <w:t>git du plus haut niveau de soutien affiché pour une politique de l’Union</w:t>
      </w:r>
      <w:r>
        <w:rPr>
          <w:rStyle w:val="FootnoteReference"/>
          <w:rFonts w:ascii="Times New Roman" w:hAnsi="Times New Roman"/>
          <w:noProof/>
          <w:sz w:val="24"/>
        </w:rPr>
        <w:footnoteReference w:id="4"/>
      </w:r>
      <w:r>
        <w:rPr>
          <w:rFonts w:ascii="Times New Roman" w:hAnsi="Times New Roman"/>
          <w:noProof/>
          <w:sz w:val="24"/>
        </w:rPr>
        <w:t>. En outre, la dimension extérieure du marché unique engendre également des bienfaits économiques et sociaux, car elle a conféré à l’Union une influence unique dans les négociations c</w:t>
      </w:r>
      <w:r>
        <w:rPr>
          <w:rFonts w:ascii="Times New Roman" w:hAnsi="Times New Roman"/>
          <w:noProof/>
          <w:sz w:val="24"/>
        </w:rPr>
        <w:t>ommerciales internationales et constitue un atout qui attire les investissements et les talents. Cet aspect est d’autant plus important que les concurrents de l’Union au niveau mondial sont des économies qui ont la taille d’un continent.</w:t>
      </w:r>
    </w:p>
    <w:p w:rsidR="00EB371E" w:rsidRDefault="00EF242D">
      <w:pPr>
        <w:pStyle w:val="Heading2"/>
        <w:spacing w:before="100" w:beforeAutospacing="1" w:line="120" w:lineRule="auto"/>
        <w:ind w:left="709" w:hanging="709"/>
        <w:rPr>
          <w:rFonts w:ascii="Times New Roman" w:hAnsi="Times New Roman" w:cs="Times New Roman"/>
          <w:noProof/>
          <w:color w:val="auto"/>
          <w:sz w:val="24"/>
          <w:szCs w:val="24"/>
        </w:rPr>
      </w:pPr>
      <w:r>
        <w:rPr>
          <w:rFonts w:ascii="Times New Roman" w:hAnsi="Times New Roman"/>
          <w:noProof/>
          <w:color w:val="auto"/>
          <w:sz w:val="24"/>
        </w:rPr>
        <w:t>1.1</w:t>
      </w:r>
      <w:r>
        <w:rPr>
          <w:noProof/>
        </w:rPr>
        <w:tab/>
      </w:r>
      <w:r>
        <w:rPr>
          <w:rFonts w:ascii="Times New Roman" w:hAnsi="Times New Roman"/>
          <w:noProof/>
          <w:color w:val="auto"/>
          <w:sz w:val="24"/>
        </w:rPr>
        <w:t>Davantage de p</w:t>
      </w:r>
      <w:r>
        <w:rPr>
          <w:rFonts w:ascii="Times New Roman" w:hAnsi="Times New Roman"/>
          <w:noProof/>
          <w:color w:val="auto"/>
          <w:sz w:val="24"/>
        </w:rPr>
        <w:t>erspectives et de bienfaits pour les citoyens</w:t>
      </w:r>
    </w:p>
    <w:p w:rsidR="00EB371E" w:rsidRDefault="00EF242D">
      <w:pPr>
        <w:keepNext/>
        <w:spacing w:before="120" w:after="120" w:line="240" w:lineRule="auto"/>
        <w:ind w:firstLine="720"/>
        <w:jc w:val="both"/>
        <w:rPr>
          <w:rFonts w:ascii="Times New Roman" w:hAnsi="Times New Roman" w:cs="Times New Roman"/>
          <w:i/>
          <w:noProof/>
          <w:sz w:val="24"/>
          <w:szCs w:val="24"/>
        </w:rPr>
      </w:pPr>
      <w:r>
        <w:rPr>
          <w:rFonts w:ascii="Times New Roman" w:hAnsi="Times New Roman"/>
          <w:i/>
          <w:noProof/>
          <w:sz w:val="24"/>
        </w:rPr>
        <w:t>1.1.1</w:t>
      </w:r>
      <w:r>
        <w:rPr>
          <w:noProof/>
        </w:rPr>
        <w:tab/>
      </w:r>
      <w:r>
        <w:rPr>
          <w:rFonts w:ascii="Times New Roman" w:hAnsi="Times New Roman"/>
          <w:i/>
          <w:noProof/>
          <w:sz w:val="24"/>
        </w:rPr>
        <w:t>Un choix plus large, des prix plus bas et une meilleure protection des consommateurs</w:t>
      </w:r>
    </w:p>
    <w:p w:rsidR="00EB371E" w:rsidRDefault="00EF242D">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L’élimination des obstacles à la libre circulation des produits et des services, y compris des données, a apporté des </w:t>
      </w:r>
      <w:r>
        <w:rPr>
          <w:rFonts w:ascii="Times New Roman" w:hAnsi="Times New Roman"/>
          <w:noProof/>
          <w:sz w:val="24"/>
        </w:rPr>
        <w:t>avantages économiques considérables aux consommateurs et aux entreprises. Les consommateurs bénéficient d’un choix plus large de produits et de services de qualité à des prix plus bas. Une concurrence non faussée encourage les entreprises à innover et à am</w:t>
      </w:r>
      <w:r>
        <w:rPr>
          <w:rFonts w:ascii="Times New Roman" w:hAnsi="Times New Roman"/>
          <w:noProof/>
          <w:sz w:val="24"/>
        </w:rPr>
        <w:t>éliorer leurs produits et services</w:t>
      </w:r>
      <w:r>
        <w:rPr>
          <w:rStyle w:val="FootnoteReference"/>
          <w:rFonts w:ascii="Times New Roman" w:hAnsi="Times New Roman"/>
          <w:noProof/>
          <w:sz w:val="24"/>
        </w:rPr>
        <w:footnoteReference w:id="5"/>
      </w:r>
      <w:r>
        <w:rPr>
          <w:rFonts w:ascii="Times New Roman" w:hAnsi="Times New Roman"/>
          <w:noProof/>
          <w:sz w:val="24"/>
        </w:rPr>
        <w:t>. La baisse de 35 % des prix des télécommunications au cours des dix dernières années</w:t>
      </w:r>
      <w:r>
        <w:rPr>
          <w:rStyle w:val="FootnoteReference"/>
          <w:rFonts w:ascii="Times New Roman" w:hAnsi="Times New Roman"/>
          <w:noProof/>
          <w:sz w:val="24"/>
        </w:rPr>
        <w:footnoteReference w:id="6"/>
      </w:r>
      <w:r>
        <w:rPr>
          <w:rFonts w:ascii="Times New Roman" w:hAnsi="Times New Roman"/>
          <w:noProof/>
          <w:sz w:val="24"/>
        </w:rPr>
        <w:t xml:space="preserve">, la suppression des frais d’itinérance et la réduction des coûts du transport aérien sont de bons exemples de ces avantages directs. </w:t>
      </w:r>
    </w:p>
    <w:tbl>
      <w:tblPr>
        <w:tblStyle w:val="TableGrid"/>
        <w:tblW w:w="0" w:type="auto"/>
        <w:tblInd w:w="108" w:type="dxa"/>
        <w:tblLook w:val="04A0" w:firstRow="1" w:lastRow="0" w:firstColumn="1" w:lastColumn="0" w:noHBand="0" w:noVBand="1"/>
      </w:tblPr>
      <w:tblGrid>
        <w:gridCol w:w="9180"/>
      </w:tblGrid>
      <w:tr w:rsidR="00EB371E">
        <w:trPr>
          <w:cantSplit/>
          <w:trHeight w:val="274"/>
        </w:trPr>
        <w:tc>
          <w:tcPr>
            <w:tcW w:w="9180" w:type="dxa"/>
          </w:tcPr>
          <w:p w:rsidR="00EB371E" w:rsidRDefault="00EF242D">
            <w:pPr>
              <w:pStyle w:val="ListParagraph"/>
              <w:spacing w:before="100" w:beforeAutospacing="1"/>
              <w:ind w:left="0"/>
              <w:jc w:val="both"/>
              <w:rPr>
                <w:rFonts w:ascii="Times New Roman" w:hAnsi="Times New Roman" w:cs="Times New Roman"/>
                <w:i/>
                <w:noProof/>
                <w:sz w:val="24"/>
                <w:szCs w:val="24"/>
              </w:rPr>
            </w:pPr>
            <w:r>
              <w:rPr>
                <w:rFonts w:ascii="Times New Roman" w:hAnsi="Times New Roman"/>
                <w:i/>
                <w:noProof/>
                <w:sz w:val="24"/>
              </w:rPr>
              <w:t>Le marché unique permet aux citoyens d’effectuer des paiements dans la zone euro beaucoup plus rapidement et à un coût sensiblement réduit. L’adoption de l’euro, l’introduction de l’espace unique de paiements en euros (SEPA) et l’entrée en vigueur de la lé</w:t>
            </w:r>
            <w:r>
              <w:rPr>
                <w:rFonts w:ascii="Times New Roman" w:hAnsi="Times New Roman"/>
                <w:i/>
                <w:noProof/>
                <w:sz w:val="24"/>
              </w:rPr>
              <w:t>gislation de l’Union</w:t>
            </w:r>
            <w:r>
              <w:rPr>
                <w:rStyle w:val="FootnoteReference"/>
                <w:rFonts w:ascii="Times New Roman" w:hAnsi="Times New Roman"/>
                <w:i/>
                <w:noProof/>
                <w:sz w:val="24"/>
              </w:rPr>
              <w:footnoteReference w:id="7"/>
            </w:r>
            <w:r>
              <w:rPr>
                <w:rFonts w:ascii="Times New Roman" w:hAnsi="Times New Roman"/>
                <w:i/>
                <w:noProof/>
                <w:sz w:val="24"/>
              </w:rPr>
              <w:t xml:space="preserve"> ont permis d’aligner les coûts des paiements transfrontières en euros sur ceux des paiements nationaux dans la zone euro, rendant ces paiements transfrontières en moyenne 85 % moins chers. Le marché unique permet également aux citoyen</w:t>
            </w:r>
            <w:r>
              <w:rPr>
                <w:rFonts w:ascii="Times New Roman" w:hAnsi="Times New Roman"/>
                <w:i/>
                <w:noProof/>
                <w:sz w:val="24"/>
              </w:rPr>
              <w:t xml:space="preserve">s travaillant et étudiant dans un autre État membre d’utiliser le compte qu’ils détiennent dans leur pays d’origine pour percevoir leur salaire ou payer leurs factures dans leur pays de résidence. </w:t>
            </w:r>
          </w:p>
        </w:tc>
      </w:tr>
    </w:tbl>
    <w:p w:rsidR="00EB371E" w:rsidRDefault="00EB371E">
      <w:pPr>
        <w:spacing w:after="0" w:line="240" w:lineRule="auto"/>
        <w:jc w:val="both"/>
        <w:rPr>
          <w:rFonts w:ascii="Times New Roman" w:hAnsi="Times New Roman" w:cs="Times New Roman"/>
          <w:noProof/>
          <w:sz w:val="24"/>
          <w:szCs w:val="24"/>
        </w:rPr>
      </w:pPr>
    </w:p>
    <w:p w:rsidR="00EB371E" w:rsidRDefault="00EF242D">
      <w:pPr>
        <w:spacing w:after="0" w:line="240" w:lineRule="auto"/>
        <w:jc w:val="both"/>
        <w:rPr>
          <w:rFonts w:ascii="Times New Roman" w:hAnsi="Times New Roman" w:cs="Times New Roman"/>
          <w:noProof/>
          <w:sz w:val="24"/>
          <w:szCs w:val="24"/>
        </w:rPr>
      </w:pPr>
      <w:r>
        <w:rPr>
          <w:rFonts w:ascii="Times New Roman" w:hAnsi="Times New Roman"/>
          <w:noProof/>
          <w:sz w:val="24"/>
        </w:rPr>
        <w:t>Pour que le marché unique fonctionne efficacement, il fa</w:t>
      </w:r>
      <w:r>
        <w:rPr>
          <w:rFonts w:ascii="Times New Roman" w:hAnsi="Times New Roman"/>
          <w:noProof/>
          <w:sz w:val="24"/>
        </w:rPr>
        <w:t>ut que les consommateurs puissent avoir confiance dans les produits qu’ils souhaitent acheter - qu’il s’agisse de biens ou de services, de produits vendus en ligne ou hors ligne ou de produits et services fournis localement ou provenant d’un autre État mem</w:t>
      </w:r>
      <w:r>
        <w:rPr>
          <w:rFonts w:ascii="Times New Roman" w:hAnsi="Times New Roman"/>
          <w:noProof/>
          <w:sz w:val="24"/>
        </w:rPr>
        <w:t>bre. Le développement d’un ensemble unique de règles de protection des consommateurs à l’échelle de l’Union garantit une telle confiance. Ces règles prévoient déjà des normes communes de protection dans de nombreux domaines, tels que la sécurité des produi</w:t>
      </w:r>
      <w:r>
        <w:rPr>
          <w:rFonts w:ascii="Times New Roman" w:hAnsi="Times New Roman"/>
          <w:noProof/>
          <w:sz w:val="24"/>
        </w:rPr>
        <w:t xml:space="preserve">ts et la sécurité alimentaire, l’environnement, les droits des passagers, la protection de la vie privée et des données et le bien-être animal. </w:t>
      </w:r>
    </w:p>
    <w:p w:rsidR="00EB371E" w:rsidRDefault="00EB371E">
      <w:pPr>
        <w:spacing w:after="0" w:line="240" w:lineRule="auto"/>
        <w:jc w:val="both"/>
        <w:rPr>
          <w:rFonts w:ascii="Times New Roman" w:hAnsi="Times New Roman" w:cs="Times New Roman"/>
          <w:noProof/>
          <w:sz w:val="24"/>
          <w:szCs w:val="24"/>
        </w:rPr>
      </w:pPr>
    </w:p>
    <w:tbl>
      <w:tblPr>
        <w:tblStyle w:val="TableGrid"/>
        <w:tblW w:w="0" w:type="auto"/>
        <w:tblInd w:w="108" w:type="dxa"/>
        <w:tblLook w:val="04A0" w:firstRow="1" w:lastRow="0" w:firstColumn="1" w:lastColumn="0" w:noHBand="0" w:noVBand="1"/>
      </w:tblPr>
      <w:tblGrid>
        <w:gridCol w:w="9180"/>
      </w:tblGrid>
      <w:tr w:rsidR="00EB371E">
        <w:tc>
          <w:tcPr>
            <w:tcW w:w="9180" w:type="dxa"/>
          </w:tcPr>
          <w:p w:rsidR="00EB371E" w:rsidRDefault="00EF242D">
            <w:pPr>
              <w:jc w:val="both"/>
              <w:rPr>
                <w:rFonts w:ascii="Times New Roman" w:hAnsi="Times New Roman" w:cs="Times New Roman"/>
                <w:i/>
                <w:noProof/>
                <w:sz w:val="24"/>
                <w:szCs w:val="24"/>
              </w:rPr>
            </w:pPr>
            <w:r>
              <w:rPr>
                <w:rFonts w:ascii="Times New Roman" w:hAnsi="Times New Roman"/>
                <w:i/>
                <w:noProof/>
                <w:sz w:val="24"/>
              </w:rPr>
              <w:t xml:space="preserve">Les règles harmonisées de l’Union relatives à l’information sur les denrées alimentaires ont renforcé la </w:t>
            </w:r>
            <w:r>
              <w:rPr>
                <w:rFonts w:ascii="Times New Roman" w:hAnsi="Times New Roman"/>
                <w:i/>
                <w:noProof/>
                <w:sz w:val="24"/>
              </w:rPr>
              <w:t>protection des consommateurs et apporté une sécurité juridique aux entreprises du secteur alimentaire, ce qui améliore la circulation et la disponibilité des denrées alimentaires au sein du marché unique. La législation prévoit en particulier que les denré</w:t>
            </w:r>
            <w:r>
              <w:rPr>
                <w:rFonts w:ascii="Times New Roman" w:hAnsi="Times New Roman"/>
                <w:i/>
                <w:noProof/>
                <w:sz w:val="24"/>
              </w:rPr>
              <w:t xml:space="preserve">es alimentaires préemballées et les menus de restauration doivent indiquer clairement la présence d’allergènes et fournir des informations nutritionnelles claires. Cela contribue à protéger la santé des consommateurs et permet à ceux-ci de faire des choix </w:t>
            </w:r>
            <w:r>
              <w:rPr>
                <w:rFonts w:ascii="Times New Roman" w:hAnsi="Times New Roman"/>
                <w:i/>
                <w:noProof/>
                <w:sz w:val="24"/>
              </w:rPr>
              <w:t>en connaissance de cause.</w:t>
            </w:r>
          </w:p>
        </w:tc>
      </w:tr>
    </w:tbl>
    <w:p w:rsidR="00EB371E" w:rsidRDefault="00EB371E">
      <w:pPr>
        <w:spacing w:after="0" w:line="240" w:lineRule="auto"/>
        <w:jc w:val="both"/>
        <w:rPr>
          <w:rFonts w:ascii="Times New Roman" w:hAnsi="Times New Roman" w:cs="Times New Roman"/>
          <w:noProof/>
          <w:sz w:val="24"/>
          <w:szCs w:val="24"/>
        </w:rPr>
      </w:pPr>
    </w:p>
    <w:p w:rsidR="00EB371E" w:rsidRDefault="00EF242D">
      <w:pPr>
        <w:keepNext/>
        <w:spacing w:after="120" w:line="240" w:lineRule="auto"/>
        <w:ind w:firstLine="720"/>
        <w:jc w:val="both"/>
        <w:rPr>
          <w:rFonts w:ascii="Times New Roman" w:hAnsi="Times New Roman" w:cs="Times New Roman"/>
          <w:i/>
          <w:noProof/>
          <w:sz w:val="24"/>
          <w:szCs w:val="24"/>
        </w:rPr>
      </w:pPr>
      <w:r>
        <w:rPr>
          <w:rFonts w:ascii="Times New Roman" w:hAnsi="Times New Roman"/>
          <w:i/>
          <w:noProof/>
          <w:sz w:val="24"/>
        </w:rPr>
        <w:t>1.1.2</w:t>
      </w:r>
      <w:r>
        <w:rPr>
          <w:noProof/>
        </w:rPr>
        <w:tab/>
      </w:r>
      <w:r>
        <w:rPr>
          <w:rFonts w:ascii="Times New Roman" w:hAnsi="Times New Roman"/>
          <w:i/>
          <w:noProof/>
          <w:sz w:val="24"/>
        </w:rPr>
        <w:t>Libre circulation à l’intérieur de l’Union</w:t>
      </w:r>
    </w:p>
    <w:p w:rsidR="00EB371E" w:rsidRDefault="00EF242D">
      <w:pPr>
        <w:spacing w:after="0" w:line="240" w:lineRule="auto"/>
        <w:jc w:val="both"/>
        <w:rPr>
          <w:rFonts w:ascii="Times New Roman" w:hAnsi="Times New Roman" w:cs="Times New Roman"/>
          <w:noProof/>
          <w:sz w:val="24"/>
          <w:szCs w:val="24"/>
        </w:rPr>
      </w:pPr>
      <w:r>
        <w:rPr>
          <w:rFonts w:ascii="Times New Roman" w:hAnsi="Times New Roman"/>
          <w:noProof/>
          <w:sz w:val="24"/>
        </w:rPr>
        <w:t>Dix-sept millions de citoyens de l’Union vivent ou travaillent dans un autre État membre et 9,5 millions d’entre eux y sont économiquement actifs. Environ 2 millions de citoyens s</w:t>
      </w:r>
      <w:r>
        <w:rPr>
          <w:rFonts w:ascii="Times New Roman" w:hAnsi="Times New Roman"/>
          <w:noProof/>
          <w:sz w:val="24"/>
        </w:rPr>
        <w:t>ont des navetteurs transfrontaliers qui travaillent ou étudient dans un pays mais vivent dans un autre</w:t>
      </w:r>
      <w:r>
        <w:rPr>
          <w:rStyle w:val="FootnoteReference"/>
          <w:rFonts w:ascii="Times New Roman" w:hAnsi="Times New Roman"/>
          <w:noProof/>
          <w:sz w:val="24"/>
        </w:rPr>
        <w:footnoteReference w:id="8"/>
      </w:r>
      <w:r>
        <w:rPr>
          <w:rFonts w:ascii="Times New Roman" w:hAnsi="Times New Roman"/>
          <w:noProof/>
          <w:sz w:val="24"/>
        </w:rPr>
        <w:t>. La mobilité intra-UE des personnes</w:t>
      </w:r>
      <w:r>
        <w:rPr>
          <w:rStyle w:val="FootnoteReference"/>
          <w:rFonts w:ascii="Times New Roman" w:hAnsi="Times New Roman"/>
          <w:noProof/>
          <w:sz w:val="24"/>
        </w:rPr>
        <w:footnoteReference w:id="9"/>
      </w:r>
      <w:r>
        <w:rPr>
          <w:rFonts w:ascii="Times New Roman" w:hAnsi="Times New Roman"/>
          <w:noProof/>
          <w:sz w:val="24"/>
        </w:rPr>
        <w:t xml:space="preserve"> a fortement progressé ces dix dernières années (voir graphique ci-dessous). En outre, depuis le lancement du progra</w:t>
      </w:r>
      <w:r>
        <w:rPr>
          <w:rFonts w:ascii="Times New Roman" w:hAnsi="Times New Roman"/>
          <w:noProof/>
          <w:sz w:val="24"/>
        </w:rPr>
        <w:t>mme Erasmus, plus de 9 millions de citoyens ont pu séjourner dans un autre pays pour y étudier, y suivre un apprentissage ou s'y former</w:t>
      </w:r>
      <w:r>
        <w:rPr>
          <w:rStyle w:val="FootnoteReference"/>
          <w:rFonts w:ascii="Times New Roman" w:hAnsi="Times New Roman"/>
          <w:noProof/>
          <w:sz w:val="24"/>
        </w:rPr>
        <w:footnoteReference w:id="10"/>
      </w:r>
      <w:r>
        <w:rPr>
          <w:rFonts w:ascii="Times New Roman" w:hAnsi="Times New Roman"/>
          <w:noProof/>
          <w:sz w:val="24"/>
        </w:rPr>
        <w:t>. Bien que les progrès accomplis dans ces domaines soient remarquables, ces chiffres restent faibles pour un continent d</w:t>
      </w:r>
      <w:r>
        <w:rPr>
          <w:rFonts w:ascii="Times New Roman" w:hAnsi="Times New Roman"/>
          <w:noProof/>
          <w:sz w:val="24"/>
        </w:rPr>
        <w:t>e plus de 512 millions d’habitants. Ils doivent être considérés dans le contexte de facteurs spécifiques tels que les barrières linguistiques et les différences entre les systèmes sociaux, qui sont difficiles à surmonter et impliquent que la mobilité des t</w:t>
      </w:r>
      <w:r>
        <w:rPr>
          <w:rFonts w:ascii="Times New Roman" w:hAnsi="Times New Roman"/>
          <w:noProof/>
          <w:sz w:val="24"/>
        </w:rPr>
        <w:t>ravailleurs restera probablement toujours plus faible dans l’Union que dans d’autres marchés intégrés.</w:t>
      </w:r>
    </w:p>
    <w:p w:rsidR="00EB371E" w:rsidRDefault="00EB371E">
      <w:pPr>
        <w:spacing w:after="0" w:line="240" w:lineRule="auto"/>
        <w:jc w:val="both"/>
        <w:rPr>
          <w:rFonts w:ascii="Times New Roman" w:hAnsi="Times New Roman" w:cs="Times New Roman"/>
          <w:noProof/>
          <w:sz w:val="24"/>
          <w:szCs w:val="24"/>
        </w:rPr>
      </w:pPr>
    </w:p>
    <w:p w:rsidR="00EB371E" w:rsidRDefault="00EF242D">
      <w:pPr>
        <w:keepNext/>
        <w:spacing w:after="0" w:line="240" w:lineRule="auto"/>
        <w:jc w:val="center"/>
        <w:rPr>
          <w:rFonts w:ascii="Times New Roman" w:hAnsi="Times New Roman" w:cs="Times New Roman"/>
          <w:i/>
          <w:noProof/>
        </w:rPr>
      </w:pPr>
      <w:r>
        <w:rPr>
          <w:rFonts w:ascii="Times New Roman" w:hAnsi="Times New Roman"/>
          <w:i/>
          <w:noProof/>
        </w:rPr>
        <w:t>Citoyens de l’Union vivant dans un autre État membre</w:t>
      </w:r>
    </w:p>
    <w:p w:rsidR="00EB371E" w:rsidRDefault="00EF242D">
      <w:pPr>
        <w:spacing w:after="0" w:line="240" w:lineRule="auto"/>
        <w:jc w:val="center"/>
        <w:rPr>
          <w:rFonts w:ascii="Times New Roman" w:hAnsi="Times New Roman" w:cs="Times New Roman"/>
          <w:noProof/>
          <w:sz w:val="24"/>
          <w:szCs w:val="24"/>
        </w:rPr>
      </w:pPr>
      <w:r>
        <w:rPr>
          <w:rFonts w:ascii="Times New Roman" w:hAnsi="Times New Roman" w:cs="Times New Roman"/>
          <w:noProof/>
          <w:sz w:val="24"/>
          <w:szCs w:val="24"/>
          <w:lang w:val="fr-BE" w:eastAsia="fr-BE" w:bidi="ar-SA"/>
        </w:rPr>
        <w:drawing>
          <wp:inline distT="0" distB="0" distL="0" distR="0">
            <wp:extent cx="4926330" cy="1786270"/>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EB371E" w:rsidRDefault="00EF242D">
      <w:pPr>
        <w:spacing w:after="0" w:line="240" w:lineRule="auto"/>
        <w:jc w:val="right"/>
        <w:rPr>
          <w:rFonts w:ascii="Times New Roman" w:hAnsi="Times New Roman" w:cs="Times New Roman"/>
          <w:i/>
          <w:noProof/>
          <w:sz w:val="16"/>
          <w:szCs w:val="16"/>
        </w:rPr>
      </w:pPr>
      <w:r>
        <w:rPr>
          <w:rFonts w:ascii="Times New Roman" w:hAnsi="Times New Roman"/>
          <w:i/>
          <w:noProof/>
          <w:sz w:val="16"/>
        </w:rPr>
        <w:t>Source: Eurostat – Calculs propres</w:t>
      </w:r>
    </w:p>
    <w:p w:rsidR="00EB371E" w:rsidRDefault="00EB371E">
      <w:pPr>
        <w:spacing w:after="0" w:line="240" w:lineRule="auto"/>
        <w:jc w:val="both"/>
        <w:rPr>
          <w:rFonts w:ascii="Times New Roman" w:hAnsi="Times New Roman" w:cs="Times New Roman"/>
          <w:noProof/>
          <w:sz w:val="24"/>
          <w:szCs w:val="24"/>
        </w:rPr>
      </w:pPr>
    </w:p>
    <w:p w:rsidR="00EB371E" w:rsidRDefault="00EF242D">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En éliminant les obstacles discriminatoires, injustifiés ou </w:t>
      </w:r>
      <w:r>
        <w:rPr>
          <w:rFonts w:ascii="Times New Roman" w:hAnsi="Times New Roman"/>
          <w:noProof/>
          <w:sz w:val="24"/>
        </w:rPr>
        <w:t>disproportionnés à la mobilité des travailleurs et en établissant le principe d’égalité de traitement entre les travailleurs nationaux et les travailleurs de l’Union, le marché unique ouvre de nouvelles perspectives d’emploi pour les citoyens de l’Union so</w:t>
      </w:r>
      <w:r>
        <w:rPr>
          <w:rFonts w:ascii="Times New Roman" w:hAnsi="Times New Roman"/>
          <w:noProof/>
          <w:sz w:val="24"/>
        </w:rPr>
        <w:t>uhaitant travailler dans un autre État membre. Les secteurs économiques souffrant d’une pénurie de main-d'œuvre profitent également de la mobilité des travailleurs. Au cours de la crise économique et financière, des travailleurs européens ont ainsi pu trou</w:t>
      </w:r>
      <w:r>
        <w:rPr>
          <w:rFonts w:ascii="Times New Roman" w:hAnsi="Times New Roman"/>
          <w:noProof/>
          <w:sz w:val="24"/>
        </w:rPr>
        <w:t>ver un emploi dans des pays moins touchés de l’Union.</w:t>
      </w:r>
    </w:p>
    <w:p w:rsidR="00EB371E" w:rsidRDefault="00EB371E">
      <w:pPr>
        <w:spacing w:after="0" w:line="240" w:lineRule="auto"/>
        <w:jc w:val="both"/>
        <w:rPr>
          <w:rFonts w:ascii="Times New Roman" w:hAnsi="Times New Roman" w:cs="Times New Roman"/>
          <w:noProof/>
          <w:sz w:val="24"/>
          <w:szCs w:val="24"/>
        </w:rPr>
      </w:pPr>
    </w:p>
    <w:tbl>
      <w:tblPr>
        <w:tblStyle w:val="TableGrid"/>
        <w:tblW w:w="0" w:type="auto"/>
        <w:tblLook w:val="04A0" w:firstRow="1" w:lastRow="0" w:firstColumn="1" w:lastColumn="0" w:noHBand="0" w:noVBand="1"/>
      </w:tblPr>
      <w:tblGrid>
        <w:gridCol w:w="9212"/>
      </w:tblGrid>
      <w:tr w:rsidR="00EB371E">
        <w:trPr>
          <w:cantSplit/>
        </w:trPr>
        <w:tc>
          <w:tcPr>
            <w:tcW w:w="9212" w:type="dxa"/>
          </w:tcPr>
          <w:p w:rsidR="00EB371E" w:rsidRDefault="00EF242D">
            <w:pPr>
              <w:pStyle w:val="NormalWeb"/>
              <w:keepLines/>
              <w:spacing w:before="0" w:beforeAutospacing="0" w:after="0" w:afterAutospacing="0"/>
              <w:jc w:val="both"/>
              <w:textAlignment w:val="baseline"/>
              <w:rPr>
                <w:i/>
                <w:noProof/>
                <w:color w:val="404040"/>
              </w:rPr>
            </w:pPr>
            <w:r>
              <w:rPr>
                <w:i/>
                <w:noProof/>
              </w:rPr>
              <w:t>Un citoyen de l’Union a travaillé 4 ans en Allemagne et 32 ans au Portugal. En Allemagne, étant donné qu’un citoyen doit avoir travaillé pendant au moins 5 ans pour avoir droit à une pension, cette per</w:t>
            </w:r>
            <w:r>
              <w:rPr>
                <w:i/>
                <w:noProof/>
              </w:rPr>
              <w:t>sonne ne pourrait normalement pas bénéficier du régime national de retraite en Allemagne. Grâce aux règles de l’Union relatives à la coordination de la sécurité sociale, l’autorité allemande chargée des retraites doit prendre en compte les années de travai</w:t>
            </w:r>
            <w:r>
              <w:rPr>
                <w:i/>
                <w:noProof/>
              </w:rPr>
              <w:t>l de ce citoyen au Portugal et lui payer une partie de sa pension correspondant à ses 4 années de travail en Allemagne.</w:t>
            </w:r>
            <w:r>
              <w:rPr>
                <w:rFonts w:ascii="Arial" w:hAnsi="Arial"/>
                <w:i/>
                <w:noProof/>
              </w:rPr>
              <w:t xml:space="preserve"> </w:t>
            </w:r>
          </w:p>
        </w:tc>
      </w:tr>
    </w:tbl>
    <w:p w:rsidR="00EB371E" w:rsidRDefault="00EB371E">
      <w:pPr>
        <w:spacing w:after="0" w:line="240" w:lineRule="auto"/>
        <w:jc w:val="both"/>
        <w:rPr>
          <w:rFonts w:ascii="Times New Roman" w:hAnsi="Times New Roman" w:cs="Times New Roman"/>
          <w:noProof/>
          <w:sz w:val="24"/>
          <w:szCs w:val="24"/>
        </w:rPr>
      </w:pPr>
    </w:p>
    <w:p w:rsidR="00EB371E" w:rsidRDefault="00EF242D">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Toutefois, il importe aussi reconnaître que les effets positifs du marché unique n’ont pas été uniformément répartis et que les </w:t>
      </w:r>
      <w:r>
        <w:rPr>
          <w:rFonts w:ascii="Times New Roman" w:hAnsi="Times New Roman"/>
          <w:noProof/>
          <w:sz w:val="24"/>
        </w:rPr>
        <w:t>citoyens ne sont pas tous en mesure de bénéficier des libertés qu’il offre. Il est manifestement nécessaire de répondre aux préoccupations des citoyens des régions connaissant un chômage élevé ou confrontées à des changements structurels. Une mobilité accr</w:t>
      </w:r>
      <w:r>
        <w:rPr>
          <w:rFonts w:ascii="Times New Roman" w:hAnsi="Times New Roman"/>
          <w:noProof/>
          <w:sz w:val="24"/>
        </w:rPr>
        <w:t>ue des travailleurs ou une intégration plus poussée du marché peuvent engendrer des problèmes liés aux revenus et à la sécurité de l’emploi À cette fin, l’Union a pris des mesures pour rendre sa main-d'œuvre plus résistante aux mutations du marché du trava</w:t>
      </w:r>
      <w:r>
        <w:rPr>
          <w:rFonts w:ascii="Times New Roman" w:hAnsi="Times New Roman"/>
          <w:noProof/>
          <w:sz w:val="24"/>
        </w:rPr>
        <w:t>il, en renforçant par exemple la reconversion et le recyclage professionnels et en instaurant des normes strictes en ce qui concerne le marché du travail. La révision récente de la législation concernant les travailleurs détachés, par exemple, offre une pr</w:t>
      </w:r>
      <w:r>
        <w:rPr>
          <w:rFonts w:ascii="Times New Roman" w:hAnsi="Times New Roman"/>
          <w:noProof/>
          <w:sz w:val="24"/>
        </w:rPr>
        <w:t>otection renforcée et établit en particulier le principe de l’égalité de rémunération pour un même travail effectué sur un même lieu. Le socle européen des droits sociaux</w:t>
      </w:r>
      <w:r>
        <w:rPr>
          <w:rStyle w:val="FootnoteReference"/>
          <w:rFonts w:ascii="Times New Roman" w:hAnsi="Times New Roman"/>
          <w:noProof/>
          <w:sz w:val="24"/>
        </w:rPr>
        <w:footnoteReference w:id="11"/>
      </w:r>
      <w:r>
        <w:rPr>
          <w:rFonts w:ascii="Times New Roman" w:hAnsi="Times New Roman"/>
          <w:noProof/>
          <w:sz w:val="24"/>
        </w:rPr>
        <w:t xml:space="preserve"> traduit une conception commune des normes sociales européennes, définit un programme</w:t>
      </w:r>
      <w:r>
        <w:rPr>
          <w:rFonts w:ascii="Times New Roman" w:hAnsi="Times New Roman"/>
          <w:noProof/>
          <w:sz w:val="24"/>
        </w:rPr>
        <w:t xml:space="preserve"> consistant à offrir des droits nouveaux et plus effectifs aux citoyens et aux travailleurs et prend en compte les nouveaux défis sociaux et démographiques et l’évolution du monde du travail. La politique de cohésion de l’Union joue également un rôle impor</w:t>
      </w:r>
      <w:r>
        <w:rPr>
          <w:rFonts w:ascii="Times New Roman" w:hAnsi="Times New Roman"/>
          <w:noProof/>
          <w:sz w:val="24"/>
        </w:rPr>
        <w:t>tant en aidant les citoyens et les territoires à faire face à la répartition inégale des bienfaits du marché unique.</w:t>
      </w:r>
    </w:p>
    <w:p w:rsidR="00EB371E" w:rsidRDefault="00EB371E">
      <w:pPr>
        <w:spacing w:after="0" w:line="240" w:lineRule="auto"/>
        <w:jc w:val="both"/>
        <w:rPr>
          <w:rFonts w:ascii="Times New Roman" w:hAnsi="Times New Roman" w:cs="Times New Roman"/>
          <w:noProof/>
          <w:sz w:val="24"/>
          <w:szCs w:val="24"/>
        </w:rPr>
      </w:pPr>
    </w:p>
    <w:tbl>
      <w:tblPr>
        <w:tblStyle w:val="TableGrid"/>
        <w:tblW w:w="0" w:type="auto"/>
        <w:tblLook w:val="04A0" w:firstRow="1" w:lastRow="0" w:firstColumn="1" w:lastColumn="0" w:noHBand="0" w:noVBand="1"/>
      </w:tblPr>
      <w:tblGrid>
        <w:gridCol w:w="9212"/>
      </w:tblGrid>
      <w:tr w:rsidR="00EB371E">
        <w:trPr>
          <w:cantSplit/>
        </w:trPr>
        <w:tc>
          <w:tcPr>
            <w:tcW w:w="9212" w:type="dxa"/>
          </w:tcPr>
          <w:p w:rsidR="00EB371E" w:rsidRDefault="00EF242D">
            <w:pPr>
              <w:pStyle w:val="NormalWeb"/>
              <w:spacing w:before="0" w:beforeAutospacing="0" w:after="0" w:afterAutospacing="0"/>
              <w:jc w:val="both"/>
              <w:textAlignment w:val="baseline"/>
              <w:rPr>
                <w:i/>
                <w:noProof/>
                <w:color w:val="404040"/>
              </w:rPr>
            </w:pPr>
            <w:r>
              <w:rPr>
                <w:i/>
                <w:noProof/>
              </w:rPr>
              <w:t>En juin 2016, la Commission a adopté une nouvelle stratégie en matière de compétences pour l'Europe afin que les citoyens de l’Union dispo</w:t>
            </w:r>
            <w:r>
              <w:rPr>
                <w:i/>
                <w:noProof/>
              </w:rPr>
              <w:t>sent de la formation, des compétences et du soutien appropriés sur des marchés de l’emploi en mutation. Dans ce cadre, elle a lancé un plan de coopération sectorielle en matière de compétences pour répondre aux besoins en compétences à court et moyen terme</w:t>
            </w:r>
            <w:r>
              <w:rPr>
                <w:i/>
                <w:noProof/>
              </w:rPr>
              <w:t>s dans toute une série de secteurs économiques.</w:t>
            </w:r>
            <w:r>
              <w:rPr>
                <w:rFonts w:ascii="Arial" w:hAnsi="Arial"/>
                <w:i/>
                <w:noProof/>
                <w:color w:val="404040"/>
              </w:rPr>
              <w:t xml:space="preserve"> </w:t>
            </w:r>
          </w:p>
        </w:tc>
      </w:tr>
    </w:tbl>
    <w:p w:rsidR="00EB371E" w:rsidRDefault="00EB371E">
      <w:pPr>
        <w:pStyle w:val="Heading2"/>
        <w:spacing w:before="0" w:line="240" w:lineRule="auto"/>
        <w:ind w:left="709"/>
        <w:rPr>
          <w:rFonts w:ascii="Times New Roman" w:hAnsi="Times New Roman" w:cs="Times New Roman"/>
          <w:noProof/>
          <w:color w:val="auto"/>
          <w:sz w:val="24"/>
          <w:szCs w:val="24"/>
        </w:rPr>
      </w:pPr>
    </w:p>
    <w:p w:rsidR="00EB371E" w:rsidRDefault="00EF242D">
      <w:pPr>
        <w:pStyle w:val="Heading2"/>
        <w:keepLines w:val="0"/>
        <w:numPr>
          <w:ilvl w:val="1"/>
          <w:numId w:val="3"/>
        </w:numPr>
        <w:spacing w:before="0" w:after="120" w:line="240" w:lineRule="auto"/>
        <w:ind w:left="709" w:hanging="709"/>
        <w:rPr>
          <w:rFonts w:ascii="Times New Roman" w:hAnsi="Times New Roman" w:cs="Times New Roman"/>
          <w:noProof/>
          <w:color w:val="auto"/>
          <w:sz w:val="24"/>
          <w:szCs w:val="24"/>
        </w:rPr>
      </w:pPr>
      <w:r>
        <w:rPr>
          <w:rFonts w:ascii="Times New Roman" w:hAnsi="Times New Roman"/>
          <w:noProof/>
          <w:color w:val="auto"/>
          <w:sz w:val="24"/>
        </w:rPr>
        <w:t>Bienfaits pour les entreprises</w:t>
      </w:r>
    </w:p>
    <w:p w:rsidR="00EB371E" w:rsidRDefault="00EF242D">
      <w:pPr>
        <w:spacing w:after="0" w:line="240" w:lineRule="auto"/>
        <w:jc w:val="both"/>
        <w:rPr>
          <w:rFonts w:ascii="Times New Roman" w:hAnsi="Times New Roman" w:cs="Times New Roman"/>
          <w:noProof/>
          <w:sz w:val="24"/>
          <w:szCs w:val="24"/>
        </w:rPr>
      </w:pPr>
      <w:r>
        <w:rPr>
          <w:rFonts w:ascii="Times New Roman" w:hAnsi="Times New Roman"/>
          <w:noProof/>
          <w:sz w:val="24"/>
        </w:rPr>
        <w:t>Grâce à l’harmonisation des règles nationales, à l’instauration de normes communes dans les États membres en lieu et place de 28 ensembles de normes différents, ainsi qu'au p</w:t>
      </w:r>
      <w:r>
        <w:rPr>
          <w:rFonts w:ascii="Times New Roman" w:hAnsi="Times New Roman"/>
          <w:noProof/>
          <w:sz w:val="24"/>
        </w:rPr>
        <w:t>rincipe de reconnaissance mutuelle, le marché unique offre à plus de 512 millions de consommateurs l’accès à un marché sur lequel de nouvelles idées et de nouveaux produits peuvent être testés. Les règles de l’Union en matière de marchés publics permettent</w:t>
      </w:r>
      <w:r>
        <w:rPr>
          <w:rFonts w:ascii="Times New Roman" w:hAnsi="Times New Roman"/>
          <w:noProof/>
          <w:sz w:val="24"/>
        </w:rPr>
        <w:t xml:space="preserve"> une approche plus stratégique des dépenses publiques et garantissent que les États membres et les pouvoirs régionaux et locaux peuvent choisir les meilleures offres sur la base d’un vaste ensemble de critères plutôt que sur la base du seul critère du prix</w:t>
      </w:r>
      <w:r>
        <w:rPr>
          <w:rFonts w:ascii="Times New Roman" w:hAnsi="Times New Roman"/>
          <w:noProof/>
          <w:sz w:val="24"/>
        </w:rPr>
        <w:t xml:space="preserve"> le plus bas</w:t>
      </w:r>
      <w:r>
        <w:rPr>
          <w:rStyle w:val="FootnoteReference"/>
          <w:rFonts w:ascii="Times New Roman" w:hAnsi="Times New Roman"/>
          <w:noProof/>
          <w:sz w:val="24"/>
        </w:rPr>
        <w:footnoteReference w:id="12"/>
      </w:r>
      <w:r>
        <w:rPr>
          <w:rFonts w:ascii="Times New Roman" w:hAnsi="Times New Roman"/>
          <w:noProof/>
          <w:sz w:val="24"/>
        </w:rPr>
        <w:t>. La diversification, l’expansion, l’expérimentation et l’innovation rendues possibles par le marché unique sont autant de facteurs de productivité et sont de ce fait fondamentales pour aider les entreprises européennes à rester compétitives à</w:t>
      </w:r>
      <w:r>
        <w:rPr>
          <w:rFonts w:ascii="Times New Roman" w:hAnsi="Times New Roman"/>
          <w:noProof/>
          <w:sz w:val="24"/>
        </w:rPr>
        <w:t xml:space="preserve"> l'ère de la mondialisation. Le marché unique des produits, en particulier, est un succès. Les obstacles réglementaires ont été éliminés pour plus de 80 % des produits industriels grâce à l’adoption de règles communes, et à défaut, grâce au principe de rec</w:t>
      </w:r>
      <w:r>
        <w:rPr>
          <w:rFonts w:ascii="Times New Roman" w:hAnsi="Times New Roman"/>
          <w:noProof/>
          <w:sz w:val="24"/>
        </w:rPr>
        <w:t>onnaissance mutuelle. L’intégration du marché unique s’est également approfondie. Par rapport à l’économie de l’Union, le commerce intra-UE de biens et de services a augmenté, passant de 27 % de la taille du produit intérieur brut de l’Union en 2004 à 33 %</w:t>
      </w:r>
      <w:r>
        <w:rPr>
          <w:rFonts w:ascii="Times New Roman" w:hAnsi="Times New Roman"/>
          <w:noProof/>
          <w:sz w:val="24"/>
        </w:rPr>
        <w:t xml:space="preserve"> en 2017, même si le commerce de services reste plus limité, son potentiel étant largement inexploité. </w:t>
      </w:r>
    </w:p>
    <w:p w:rsidR="00EB371E" w:rsidRDefault="00EB371E">
      <w:pPr>
        <w:spacing w:after="0" w:line="240" w:lineRule="auto"/>
        <w:jc w:val="both"/>
        <w:rPr>
          <w:rFonts w:ascii="Times New Roman" w:hAnsi="Times New Roman" w:cs="Times New Roman"/>
          <w:noProof/>
          <w:sz w:val="24"/>
          <w:szCs w:val="24"/>
        </w:rPr>
      </w:pPr>
    </w:p>
    <w:p w:rsidR="00EB371E" w:rsidRDefault="00EF242D">
      <w:pPr>
        <w:keepNext/>
        <w:spacing w:after="0" w:line="240" w:lineRule="auto"/>
        <w:jc w:val="center"/>
        <w:rPr>
          <w:rFonts w:ascii="Times New Roman" w:hAnsi="Times New Roman" w:cs="Times New Roman"/>
          <w:i/>
          <w:noProof/>
        </w:rPr>
      </w:pPr>
      <w:r>
        <w:rPr>
          <w:rFonts w:ascii="Times New Roman" w:hAnsi="Times New Roman"/>
          <w:i/>
          <w:noProof/>
        </w:rPr>
        <w:t xml:space="preserve">Commerce intra-UE de biens et de services (par rapport à la taille du produit intérieur brut de l’Union) </w:t>
      </w:r>
    </w:p>
    <w:p w:rsidR="00EB371E" w:rsidRDefault="00EF242D">
      <w:pPr>
        <w:spacing w:after="0" w:line="240" w:lineRule="auto"/>
        <w:jc w:val="center"/>
        <w:rPr>
          <w:rFonts w:ascii="Times New Roman" w:hAnsi="Times New Roman" w:cs="Times New Roman"/>
          <w:i/>
          <w:noProof/>
          <w:sz w:val="16"/>
          <w:szCs w:val="16"/>
        </w:rPr>
      </w:pPr>
      <w:r>
        <w:rPr>
          <w:noProof/>
          <w:lang w:val="fr-BE" w:eastAsia="fr-BE" w:bidi="ar-SA"/>
        </w:rPr>
        <w:drawing>
          <wp:inline distT="0" distB="0" distL="0" distR="0">
            <wp:extent cx="4756068" cy="2784764"/>
            <wp:effectExtent l="0" t="0" r="698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759952" cy="2787038"/>
                    </a:xfrm>
                    <a:prstGeom prst="rect">
                      <a:avLst/>
                    </a:prstGeom>
                    <a:noFill/>
                    <a:ln>
                      <a:noFill/>
                    </a:ln>
                  </pic:spPr>
                </pic:pic>
              </a:graphicData>
            </a:graphic>
          </wp:inline>
        </w:drawing>
      </w:r>
    </w:p>
    <w:p w:rsidR="00EB371E" w:rsidRDefault="00EF242D">
      <w:pPr>
        <w:spacing w:after="0" w:line="240" w:lineRule="auto"/>
        <w:jc w:val="right"/>
        <w:rPr>
          <w:rFonts w:ascii="Times New Roman" w:hAnsi="Times New Roman" w:cs="Times New Roman"/>
          <w:i/>
          <w:noProof/>
          <w:sz w:val="16"/>
          <w:szCs w:val="16"/>
        </w:rPr>
      </w:pPr>
      <w:r>
        <w:rPr>
          <w:rFonts w:ascii="Times New Roman" w:hAnsi="Times New Roman"/>
          <w:i/>
          <w:noProof/>
          <w:sz w:val="16"/>
        </w:rPr>
        <w:t>Source: Eurostat</w:t>
      </w:r>
    </w:p>
    <w:p w:rsidR="00EB371E" w:rsidRDefault="00EB371E">
      <w:pPr>
        <w:spacing w:after="0" w:line="240" w:lineRule="auto"/>
        <w:rPr>
          <w:rFonts w:ascii="Times New Roman" w:hAnsi="Times New Roman"/>
          <w:i/>
          <w:noProof/>
          <w:sz w:val="24"/>
        </w:rPr>
      </w:pPr>
    </w:p>
    <w:p w:rsidR="00EB371E" w:rsidRDefault="00EF242D">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Pour toutes les </w:t>
      </w:r>
      <w:r>
        <w:rPr>
          <w:rFonts w:ascii="Times New Roman" w:hAnsi="Times New Roman"/>
          <w:noProof/>
          <w:sz w:val="24"/>
        </w:rPr>
        <w:t>entreprises, petites ou grandes, le marché unique offre la possibilité d’attirer des investissements leur permettant d’étendre leur activité au-delà de leur pays d’origine et d’atteindre une taille grâce à laquelle elles pourront se développer tant à l’int</w:t>
      </w:r>
      <w:r>
        <w:rPr>
          <w:rFonts w:ascii="Times New Roman" w:hAnsi="Times New Roman"/>
          <w:noProof/>
          <w:sz w:val="24"/>
        </w:rPr>
        <w:t>érieur de l’Union qu’au niveau mondial. Grâce à un marché faisant partie des plus grands du monde, l’Union aide les entreprises à devenir compétitives à l'échelle mondiale.</w:t>
      </w:r>
    </w:p>
    <w:p w:rsidR="00EB371E" w:rsidRDefault="00EB371E">
      <w:pPr>
        <w:spacing w:after="0" w:line="240" w:lineRule="auto"/>
        <w:rPr>
          <w:rFonts w:ascii="Times New Roman" w:hAnsi="Times New Roman" w:cs="Times New Roman"/>
          <w:noProof/>
          <w:sz w:val="24"/>
          <w:szCs w:val="24"/>
        </w:rPr>
      </w:pPr>
    </w:p>
    <w:p w:rsidR="00EB371E" w:rsidRDefault="00EF242D">
      <w:pPr>
        <w:keepNext/>
        <w:spacing w:after="0" w:line="240" w:lineRule="auto"/>
        <w:jc w:val="center"/>
        <w:rPr>
          <w:rFonts w:ascii="Times New Roman" w:hAnsi="Times New Roman" w:cs="Times New Roman"/>
          <w:i/>
          <w:noProof/>
        </w:rPr>
      </w:pPr>
      <w:r>
        <w:rPr>
          <w:rFonts w:ascii="Times New Roman" w:hAnsi="Times New Roman"/>
          <w:i/>
          <w:noProof/>
        </w:rPr>
        <w:t>Nombre d’entreprises européennes figurant parmi les 100 premières entreprises acti</w:t>
      </w:r>
      <w:r>
        <w:rPr>
          <w:rFonts w:ascii="Times New Roman" w:hAnsi="Times New Roman"/>
          <w:i/>
          <w:noProof/>
        </w:rPr>
        <w:t>ves au niveau mondial en 2017</w:t>
      </w:r>
    </w:p>
    <w:p w:rsidR="00EB371E" w:rsidRDefault="00EF242D">
      <w:pPr>
        <w:spacing w:after="0" w:line="240" w:lineRule="auto"/>
        <w:jc w:val="center"/>
        <w:rPr>
          <w:rFonts w:ascii="Times New Roman" w:hAnsi="Times New Roman" w:cs="Times New Roman"/>
          <w:i/>
          <w:noProof/>
          <w:sz w:val="16"/>
          <w:szCs w:val="16"/>
        </w:rPr>
      </w:pPr>
      <w:r>
        <w:rPr>
          <w:noProof/>
          <w:lang w:val="fr-BE" w:eastAsia="fr-BE" w:bidi="ar-SA"/>
        </w:rPr>
        <w:drawing>
          <wp:inline distT="0" distB="0" distL="0" distR="0">
            <wp:extent cx="4457700" cy="3001765"/>
            <wp:effectExtent l="0" t="0" r="0" b="825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456663" cy="3001067"/>
                    </a:xfrm>
                    <a:prstGeom prst="rect">
                      <a:avLst/>
                    </a:prstGeom>
                    <a:noFill/>
                    <a:ln>
                      <a:noFill/>
                    </a:ln>
                  </pic:spPr>
                </pic:pic>
              </a:graphicData>
            </a:graphic>
          </wp:inline>
        </w:drawing>
      </w:r>
    </w:p>
    <w:p w:rsidR="00EB371E" w:rsidRDefault="00EF242D">
      <w:pPr>
        <w:spacing w:after="0" w:line="240" w:lineRule="auto"/>
        <w:jc w:val="right"/>
        <w:rPr>
          <w:rFonts w:ascii="Times New Roman" w:hAnsi="Times New Roman" w:cs="Times New Roman"/>
          <w:i/>
          <w:noProof/>
          <w:sz w:val="16"/>
          <w:szCs w:val="16"/>
        </w:rPr>
      </w:pPr>
      <w:r>
        <w:rPr>
          <w:rFonts w:ascii="Times New Roman" w:hAnsi="Times New Roman"/>
          <w:i/>
          <w:noProof/>
          <w:sz w:val="16"/>
        </w:rPr>
        <w:t>Source: Fortune, représentation graphique du Centre européen de stratégie politique</w:t>
      </w:r>
    </w:p>
    <w:p w:rsidR="00EB371E" w:rsidRDefault="00EB371E">
      <w:pPr>
        <w:spacing w:after="0" w:line="240" w:lineRule="auto"/>
        <w:jc w:val="both"/>
        <w:rPr>
          <w:rFonts w:ascii="Times New Roman" w:hAnsi="Times New Roman" w:cs="Times New Roman"/>
          <w:noProof/>
          <w:sz w:val="24"/>
          <w:szCs w:val="24"/>
        </w:rPr>
      </w:pPr>
    </w:p>
    <w:p w:rsidR="00EB371E" w:rsidRDefault="00EF242D">
      <w:pPr>
        <w:keepNext/>
        <w:spacing w:after="120" w:line="240" w:lineRule="auto"/>
        <w:ind w:firstLine="720"/>
        <w:jc w:val="both"/>
        <w:rPr>
          <w:rFonts w:ascii="Times New Roman" w:hAnsi="Times New Roman" w:cs="Times New Roman"/>
          <w:i/>
          <w:noProof/>
          <w:sz w:val="24"/>
          <w:szCs w:val="24"/>
        </w:rPr>
      </w:pPr>
      <w:r>
        <w:rPr>
          <w:rFonts w:ascii="Times New Roman" w:hAnsi="Times New Roman"/>
          <w:i/>
          <w:noProof/>
          <w:sz w:val="24"/>
        </w:rPr>
        <w:t>1.2.1</w:t>
      </w:r>
      <w:r>
        <w:rPr>
          <w:noProof/>
        </w:rPr>
        <w:tab/>
      </w:r>
      <w:r>
        <w:rPr>
          <w:rFonts w:ascii="Times New Roman" w:hAnsi="Times New Roman"/>
          <w:i/>
          <w:noProof/>
          <w:sz w:val="24"/>
        </w:rPr>
        <w:t>Les bienfaits de l’intégration du secteur financier</w:t>
      </w:r>
    </w:p>
    <w:p w:rsidR="00EB371E" w:rsidRDefault="00EF242D">
      <w:pPr>
        <w:spacing w:after="0" w:line="240" w:lineRule="auto"/>
        <w:jc w:val="both"/>
        <w:rPr>
          <w:rFonts w:ascii="Times New Roman" w:hAnsi="Times New Roman" w:cs="Times New Roman"/>
          <w:noProof/>
          <w:sz w:val="24"/>
          <w:szCs w:val="24"/>
        </w:rPr>
      </w:pPr>
      <w:r>
        <w:rPr>
          <w:rFonts w:ascii="Times New Roman" w:hAnsi="Times New Roman"/>
          <w:noProof/>
          <w:sz w:val="24"/>
        </w:rPr>
        <w:t>En dépit de la crise financière, l’intégration des marchés des capitaux en Europe</w:t>
      </w:r>
      <w:r>
        <w:rPr>
          <w:rFonts w:ascii="Times New Roman" w:hAnsi="Times New Roman"/>
          <w:noProof/>
          <w:sz w:val="24"/>
        </w:rPr>
        <w:t xml:space="preserve"> s’est renforcée au cours des 25 dernières années. Les marchés des capitaux ont connu une large expansion depuis 1992, jusqu’à représenter plus du double de la taille de l’économie de l’Union en 2015. De plus en plus de prestataires de services financiers </w:t>
      </w:r>
      <w:r>
        <w:rPr>
          <w:rFonts w:ascii="Times New Roman" w:hAnsi="Times New Roman"/>
          <w:noProof/>
          <w:sz w:val="24"/>
        </w:rPr>
        <w:t>sont en mesure d’offrir leurs services dans l’Union grâce à un passeport unique</w:t>
      </w:r>
      <w:r>
        <w:rPr>
          <w:rStyle w:val="FootnoteReference"/>
          <w:rFonts w:ascii="Times New Roman" w:hAnsi="Times New Roman"/>
          <w:noProof/>
          <w:sz w:val="24"/>
        </w:rPr>
        <w:footnoteReference w:id="13"/>
      </w:r>
      <w:r>
        <w:rPr>
          <w:rFonts w:ascii="Times New Roman" w:hAnsi="Times New Roman"/>
          <w:noProof/>
          <w:sz w:val="24"/>
        </w:rPr>
        <w:t>, ce qui stimule la concurrence et offre de nouvelles perspectives aux entreprises ayant besoin de se financer sur les marchés des capitaux. Ces dernières peuvent à présent fin</w:t>
      </w:r>
      <w:r>
        <w:rPr>
          <w:rFonts w:ascii="Times New Roman" w:hAnsi="Times New Roman"/>
          <w:noProof/>
          <w:sz w:val="24"/>
        </w:rPr>
        <w:t>ancer une plus grande partie de leurs activités au sein du marché unique et dépendent moins des financements bancaires. La surveillance renforcée au niveau de l’UE a élevé le niveau de protection des consommateurs et des investisseurs. L’intégration des ma</w:t>
      </w:r>
      <w:r>
        <w:rPr>
          <w:rFonts w:ascii="Times New Roman" w:hAnsi="Times New Roman"/>
          <w:noProof/>
          <w:sz w:val="24"/>
        </w:rPr>
        <w:t xml:space="preserve">rchés des capitaux favorise également l’innovation européenne, qui est essentielle pour accroître l’efficience et la productivité des entreprises. </w:t>
      </w:r>
    </w:p>
    <w:p w:rsidR="00EB371E" w:rsidRDefault="00EB371E">
      <w:pPr>
        <w:spacing w:after="0" w:line="240" w:lineRule="auto"/>
        <w:jc w:val="both"/>
        <w:rPr>
          <w:rFonts w:ascii="Times New Roman" w:hAnsi="Times New Roman" w:cs="Times New Roman"/>
          <w:noProof/>
          <w:sz w:val="24"/>
          <w:szCs w:val="24"/>
        </w:rPr>
      </w:pPr>
    </w:p>
    <w:p w:rsidR="00EB371E" w:rsidRDefault="00EF242D">
      <w:pPr>
        <w:keepNext/>
        <w:spacing w:after="120" w:line="240" w:lineRule="auto"/>
        <w:ind w:left="1418" w:hanging="709"/>
        <w:jc w:val="both"/>
        <w:rPr>
          <w:rFonts w:ascii="Times New Roman" w:hAnsi="Times New Roman" w:cs="Times New Roman"/>
          <w:i/>
          <w:noProof/>
          <w:sz w:val="24"/>
          <w:szCs w:val="24"/>
        </w:rPr>
      </w:pPr>
      <w:r>
        <w:rPr>
          <w:rFonts w:ascii="Times New Roman" w:hAnsi="Times New Roman"/>
          <w:i/>
          <w:noProof/>
          <w:sz w:val="24"/>
        </w:rPr>
        <w:t>1.2.2</w:t>
      </w:r>
      <w:r>
        <w:rPr>
          <w:noProof/>
        </w:rPr>
        <w:tab/>
      </w:r>
      <w:r>
        <w:rPr>
          <w:rFonts w:ascii="Times New Roman" w:hAnsi="Times New Roman"/>
          <w:i/>
          <w:noProof/>
          <w:sz w:val="24"/>
        </w:rPr>
        <w:t>Façonner un système commercial reposant sur des règles, ouvert et multilatéral et garantir l’accès au</w:t>
      </w:r>
      <w:r>
        <w:rPr>
          <w:rFonts w:ascii="Times New Roman" w:hAnsi="Times New Roman"/>
          <w:i/>
          <w:noProof/>
          <w:sz w:val="24"/>
        </w:rPr>
        <w:t>x chaînes de valeur internationales</w:t>
      </w:r>
    </w:p>
    <w:p w:rsidR="00EB371E" w:rsidRDefault="00EF242D">
      <w:pPr>
        <w:spacing w:after="0" w:line="240" w:lineRule="auto"/>
        <w:jc w:val="both"/>
        <w:rPr>
          <w:rFonts w:ascii="Times New Roman" w:hAnsi="Times New Roman" w:cs="Times New Roman"/>
          <w:noProof/>
          <w:sz w:val="24"/>
          <w:szCs w:val="24"/>
        </w:rPr>
      </w:pPr>
      <w:r>
        <w:rPr>
          <w:rFonts w:ascii="Times New Roman" w:hAnsi="Times New Roman"/>
          <w:noProof/>
          <w:sz w:val="24"/>
        </w:rPr>
        <w:t>Le marché unique donne à l’Union les moyens de s'exprimer d’une seule voix au cours des négociations commerciales internationales. Avec plus de 512 millions de consommateurs et un produit intérieur brut total de 15 300 m</w:t>
      </w:r>
      <w:r>
        <w:rPr>
          <w:rFonts w:ascii="Times New Roman" w:hAnsi="Times New Roman"/>
          <w:noProof/>
          <w:sz w:val="24"/>
        </w:rPr>
        <w:t>illiards d’EUR</w:t>
      </w:r>
      <w:r>
        <w:rPr>
          <w:rStyle w:val="FootnoteReference"/>
          <w:rFonts w:ascii="Times New Roman" w:hAnsi="Times New Roman"/>
          <w:noProof/>
          <w:color w:val="545454"/>
          <w:sz w:val="24"/>
        </w:rPr>
        <w:footnoteReference w:id="14"/>
      </w:r>
      <w:r>
        <w:rPr>
          <w:rFonts w:ascii="Times New Roman" w:hAnsi="Times New Roman"/>
          <w:noProof/>
          <w:sz w:val="24"/>
        </w:rPr>
        <w:t>, le marché unique est l’un des plus grands marchés au monde. Il est donc attrayant pour nos partenaires commerciaux et peut servir de levier pour ouvrir des marchés à l’étranger d’une manière qui sera mutuellement bénéfique, comme l’ont mon</w:t>
      </w:r>
      <w:r>
        <w:rPr>
          <w:rFonts w:ascii="Times New Roman" w:hAnsi="Times New Roman"/>
          <w:noProof/>
          <w:sz w:val="24"/>
        </w:rPr>
        <w:t>tré récemment la signature des accords de libre-échange avec le Japon et Singapour, la proposition de la Commission concernant la signature de l’accord avec le Viêt Nam, la conclusion des négociations avec le Mexique et les négociations en cours avec le Me</w:t>
      </w:r>
      <w:r>
        <w:rPr>
          <w:rFonts w:ascii="Times New Roman" w:hAnsi="Times New Roman"/>
          <w:noProof/>
          <w:sz w:val="24"/>
        </w:rPr>
        <w:t>rcosur</w:t>
      </w:r>
      <w:r>
        <w:rPr>
          <w:rStyle w:val="FootnoteReference"/>
          <w:rFonts w:ascii="Times New Roman" w:hAnsi="Times New Roman"/>
          <w:noProof/>
          <w:sz w:val="24"/>
        </w:rPr>
        <w:footnoteReference w:id="15"/>
      </w:r>
      <w:r>
        <w:rPr>
          <w:rFonts w:ascii="Times New Roman" w:hAnsi="Times New Roman"/>
          <w:noProof/>
          <w:sz w:val="24"/>
        </w:rPr>
        <w:t>, le Chili, l’Australie et la Nouvelle Zélande. La stratégie commerciale ambitieuse de l’Union concourt à garantir une concurrence loyale et des règles du jeu uniformes pour les entreprises européennes présentes sur les marchés de pays tiers.</w:t>
      </w:r>
    </w:p>
    <w:p w:rsidR="00EB371E" w:rsidRDefault="00EB371E">
      <w:pPr>
        <w:spacing w:after="0" w:line="240" w:lineRule="auto"/>
        <w:rPr>
          <w:rFonts w:ascii="Times New Roman" w:hAnsi="Times New Roman" w:cs="Times New Roman"/>
          <w:noProof/>
          <w:sz w:val="24"/>
          <w:szCs w:val="24"/>
        </w:rPr>
      </w:pPr>
    </w:p>
    <w:p w:rsidR="00EB371E" w:rsidRDefault="00EF242D">
      <w:pPr>
        <w:keepNext/>
        <w:spacing w:after="0" w:line="240" w:lineRule="auto"/>
        <w:jc w:val="center"/>
        <w:rPr>
          <w:rFonts w:ascii="Times New Roman" w:hAnsi="Times New Roman" w:cs="Times New Roman"/>
          <w:i/>
          <w:noProof/>
        </w:rPr>
      </w:pPr>
      <w:r>
        <w:rPr>
          <w:rFonts w:ascii="Times New Roman" w:hAnsi="Times New Roman"/>
          <w:i/>
          <w:noProof/>
        </w:rPr>
        <w:t xml:space="preserve">L’économie européenne dans une perspective mondiale </w:t>
      </w:r>
    </w:p>
    <w:p w:rsidR="00EB371E" w:rsidRDefault="00EF242D">
      <w:pPr>
        <w:keepNext/>
        <w:spacing w:after="0" w:line="240" w:lineRule="auto"/>
        <w:jc w:val="center"/>
        <w:rPr>
          <w:rFonts w:ascii="Times New Roman" w:hAnsi="Times New Roman" w:cs="Times New Roman"/>
          <w:i/>
          <w:noProof/>
        </w:rPr>
      </w:pPr>
      <w:r>
        <w:rPr>
          <w:rFonts w:ascii="Times New Roman" w:hAnsi="Times New Roman"/>
          <w:i/>
          <w:noProof/>
        </w:rPr>
        <w:t>(produit intérieur brut, en milliers de milliards d’EUR - prix courants, 2007-2017)</w:t>
      </w:r>
      <w:r>
        <w:rPr>
          <w:rStyle w:val="FootnoteReference"/>
          <w:rFonts w:ascii="Times New Roman" w:hAnsi="Times New Roman"/>
          <w:i/>
          <w:noProof/>
        </w:rPr>
        <w:t xml:space="preserve"> </w:t>
      </w:r>
    </w:p>
    <w:p w:rsidR="00EB371E" w:rsidRDefault="00EB371E">
      <w:pPr>
        <w:keepNext/>
        <w:spacing w:after="0" w:line="240" w:lineRule="auto"/>
        <w:jc w:val="both"/>
        <w:rPr>
          <w:rFonts w:ascii="Times New Roman" w:hAnsi="Times New Roman" w:cs="Times New Roman"/>
          <w:noProof/>
          <w:sz w:val="24"/>
          <w:szCs w:val="24"/>
        </w:rPr>
      </w:pPr>
    </w:p>
    <w:p w:rsidR="00EB371E" w:rsidRDefault="00EF242D">
      <w:pPr>
        <w:keepNext/>
        <w:spacing w:after="0" w:line="240" w:lineRule="auto"/>
        <w:jc w:val="center"/>
        <w:rPr>
          <w:rFonts w:ascii="Times New Roman" w:hAnsi="Times New Roman" w:cs="Times New Roman"/>
          <w:noProof/>
          <w:sz w:val="24"/>
          <w:szCs w:val="24"/>
        </w:rPr>
      </w:pPr>
      <w:r>
        <w:rPr>
          <w:noProof/>
          <w:lang w:val="fr-BE" w:eastAsia="fr-BE" w:bidi="ar-SA"/>
        </w:rPr>
        <w:drawing>
          <wp:inline distT="0" distB="0" distL="0" distR="0">
            <wp:extent cx="5549900" cy="2822575"/>
            <wp:effectExtent l="0" t="0" r="0" b="0"/>
            <wp:docPr id="3" name="Picture 3" descr="C:\Users\wiemajo\AppData\Local\Microsoft\Windows\INetCache\Content.Word\map gdp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iemajo\AppData\Local\Microsoft\Windows\INetCache\Content.Word\map gdp4.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549900" cy="2822575"/>
                    </a:xfrm>
                    <a:prstGeom prst="rect">
                      <a:avLst/>
                    </a:prstGeom>
                    <a:noFill/>
                    <a:ln>
                      <a:noFill/>
                    </a:ln>
                  </pic:spPr>
                </pic:pic>
              </a:graphicData>
            </a:graphic>
          </wp:inline>
        </w:drawing>
      </w:r>
    </w:p>
    <w:p w:rsidR="00EB371E" w:rsidRDefault="00EB371E">
      <w:pPr>
        <w:keepNext/>
        <w:spacing w:after="0" w:line="240" w:lineRule="auto"/>
        <w:jc w:val="center"/>
        <w:rPr>
          <w:rFonts w:ascii="Times New Roman" w:hAnsi="Times New Roman" w:cs="Times New Roman"/>
          <w:noProof/>
          <w:sz w:val="24"/>
          <w:szCs w:val="24"/>
        </w:rPr>
      </w:pPr>
    </w:p>
    <w:p w:rsidR="00EB371E" w:rsidRDefault="00EF242D">
      <w:pPr>
        <w:spacing w:after="0" w:line="240" w:lineRule="auto"/>
        <w:jc w:val="right"/>
        <w:rPr>
          <w:rFonts w:ascii="Times New Roman" w:hAnsi="Times New Roman" w:cs="Times New Roman"/>
          <w:i/>
          <w:noProof/>
          <w:sz w:val="16"/>
          <w:szCs w:val="16"/>
        </w:rPr>
      </w:pPr>
      <w:r>
        <w:rPr>
          <w:rFonts w:ascii="Times New Roman" w:hAnsi="Times New Roman"/>
          <w:i/>
          <w:noProof/>
          <w:sz w:val="16"/>
        </w:rPr>
        <w:t xml:space="preserve">Source: Banque mondiale et Banque centrale européenne, représentation graphique du Centre européen de stratégie </w:t>
      </w:r>
      <w:r>
        <w:rPr>
          <w:rFonts w:ascii="Times New Roman" w:hAnsi="Times New Roman"/>
          <w:i/>
          <w:noProof/>
          <w:sz w:val="16"/>
        </w:rPr>
        <w:t>politique</w:t>
      </w:r>
    </w:p>
    <w:p w:rsidR="00EB371E" w:rsidRDefault="00EB371E">
      <w:pPr>
        <w:spacing w:after="0" w:line="240" w:lineRule="auto"/>
        <w:jc w:val="both"/>
        <w:rPr>
          <w:rFonts w:ascii="Times New Roman" w:hAnsi="Times New Roman" w:cs="Times New Roman"/>
          <w:noProof/>
          <w:sz w:val="24"/>
          <w:szCs w:val="24"/>
        </w:rPr>
      </w:pPr>
    </w:p>
    <w:p w:rsidR="00EB371E" w:rsidRDefault="00EF242D">
      <w:pPr>
        <w:spacing w:after="0" w:line="240" w:lineRule="auto"/>
        <w:jc w:val="both"/>
        <w:rPr>
          <w:rFonts w:ascii="Times New Roman" w:hAnsi="Times New Roman" w:cs="Times New Roman"/>
          <w:noProof/>
          <w:sz w:val="24"/>
          <w:szCs w:val="24"/>
        </w:rPr>
      </w:pPr>
      <w:r>
        <w:rPr>
          <w:rFonts w:ascii="Times New Roman" w:hAnsi="Times New Roman"/>
          <w:noProof/>
          <w:sz w:val="24"/>
        </w:rPr>
        <w:t>De plus, la taille du marché unique permet également à l’Union de façonner un système commercial reposant sur des règles, ouvert et multilatéral. Les entreprises des pays tiers doivent se conformer à la législation de l’UE pour accéder au marché</w:t>
      </w:r>
      <w:r>
        <w:rPr>
          <w:rFonts w:ascii="Times New Roman" w:hAnsi="Times New Roman"/>
          <w:noProof/>
          <w:sz w:val="24"/>
        </w:rPr>
        <w:t xml:space="preserve"> unique, y compris dans les domaines de la santé, de l’environnement, de la sécurité alimentaire et des produits et de la protection des consommateurs. Les normes harmonisées européennes ont souvent inspiré des normes mondiales et la politique commerciale </w:t>
      </w:r>
      <w:r>
        <w:rPr>
          <w:rFonts w:ascii="Times New Roman" w:hAnsi="Times New Roman"/>
          <w:noProof/>
          <w:sz w:val="24"/>
        </w:rPr>
        <w:t>en fait la promotion au moyen des accords de libre-échange. Se conformant pleinement à ses règles en matière de protection des données et du respect de la vie privée, l’Union a proposé des dispositions horizontales relatives aux flux de données transfronti</w:t>
      </w:r>
      <w:r>
        <w:rPr>
          <w:rFonts w:ascii="Times New Roman" w:hAnsi="Times New Roman"/>
          <w:noProof/>
          <w:sz w:val="24"/>
        </w:rPr>
        <w:t xml:space="preserve">ères et à la protection des données à caractère personnel dans ses négociations en matière commerciale et d’investissement avec les pays tiers. </w:t>
      </w:r>
    </w:p>
    <w:p w:rsidR="00EB371E" w:rsidRDefault="00EB371E">
      <w:pPr>
        <w:spacing w:after="0" w:line="240" w:lineRule="auto"/>
        <w:jc w:val="both"/>
        <w:rPr>
          <w:rFonts w:ascii="Times New Roman" w:hAnsi="Times New Roman" w:cs="Times New Roman"/>
          <w:noProof/>
          <w:sz w:val="24"/>
          <w:szCs w:val="24"/>
        </w:rPr>
      </w:pPr>
    </w:p>
    <w:p w:rsidR="00EB371E" w:rsidRDefault="00EF242D">
      <w:pPr>
        <w:spacing w:after="0" w:line="240" w:lineRule="auto"/>
        <w:jc w:val="both"/>
        <w:rPr>
          <w:rFonts w:ascii="Times New Roman" w:hAnsi="Times New Roman" w:cs="Times New Roman"/>
          <w:noProof/>
          <w:sz w:val="24"/>
          <w:szCs w:val="24"/>
        </w:rPr>
      </w:pPr>
      <w:r>
        <w:rPr>
          <w:rFonts w:ascii="Times New Roman" w:hAnsi="Times New Roman"/>
          <w:noProof/>
          <w:sz w:val="24"/>
        </w:rPr>
        <w:t>Le nouveau cadre proposé pour le filtrage des investissements directs étrangers aidera à protéger les intérêts</w:t>
      </w:r>
      <w:r>
        <w:rPr>
          <w:rFonts w:ascii="Times New Roman" w:hAnsi="Times New Roman"/>
          <w:noProof/>
          <w:sz w:val="24"/>
        </w:rPr>
        <w:t xml:space="preserve"> stratégiques de l’Union grâce à une transparence et à un contrôle accrus. Tout cela engendre des bienfaits et des possibilités considérables pour les entreprises. Le marché unique contribue de cette manière à la réalisation des objectifs de l’Union en fav</w:t>
      </w:r>
      <w:r>
        <w:rPr>
          <w:rFonts w:ascii="Times New Roman" w:hAnsi="Times New Roman"/>
          <w:noProof/>
          <w:sz w:val="24"/>
        </w:rPr>
        <w:t>eur de la paix, de ses valeurs et du bien-être de ses citoyens. La législation relative au marché unique et la stratégie commerciale ambitieuse de l’Union intègrent et défendent ces valeurs.</w:t>
      </w:r>
    </w:p>
    <w:p w:rsidR="00EB371E" w:rsidRDefault="00EB371E">
      <w:pPr>
        <w:spacing w:after="0" w:line="240" w:lineRule="auto"/>
        <w:jc w:val="both"/>
        <w:rPr>
          <w:rFonts w:ascii="Times New Roman" w:hAnsi="Times New Roman" w:cs="Times New Roman"/>
          <w:noProof/>
          <w:sz w:val="24"/>
          <w:szCs w:val="24"/>
        </w:rPr>
      </w:pPr>
    </w:p>
    <w:p w:rsidR="00EB371E" w:rsidRDefault="00EF242D">
      <w:pPr>
        <w:spacing w:after="0" w:line="240" w:lineRule="auto"/>
        <w:jc w:val="both"/>
        <w:rPr>
          <w:rFonts w:ascii="Times New Roman" w:hAnsi="Times New Roman" w:cs="Times New Roman"/>
          <w:noProof/>
          <w:sz w:val="24"/>
          <w:szCs w:val="24"/>
        </w:rPr>
      </w:pPr>
      <w:r>
        <w:rPr>
          <w:rFonts w:ascii="Times New Roman" w:hAnsi="Times New Roman"/>
          <w:noProof/>
          <w:sz w:val="24"/>
        </w:rPr>
        <w:t>La production internationale est de plus en plus organisée au se</w:t>
      </w:r>
      <w:r>
        <w:rPr>
          <w:rFonts w:ascii="Times New Roman" w:hAnsi="Times New Roman"/>
          <w:noProof/>
          <w:sz w:val="24"/>
        </w:rPr>
        <w:t xml:space="preserve">in de chaînes de valeur mondiales dans lesquelles les processus d’innovation et de production englobent plusieurs pays. Grâce au marché unique, les entreprises de l’Union ont accès à des intrants plus diversifiés, de meilleure qualité et moins coûteux, et </w:t>
      </w:r>
      <w:r>
        <w:rPr>
          <w:rFonts w:ascii="Times New Roman" w:hAnsi="Times New Roman"/>
          <w:noProof/>
          <w:sz w:val="24"/>
        </w:rPr>
        <w:t>sont dès lors plus compétitives au niveau mondial. Cela facilite l’intégration des entreprises dans des chaînes de valeur européennes et permet ainsi de conserver de l’activité économique au sein de l’Union. Par exemple, la part des intrants provenant d’au</w:t>
      </w:r>
      <w:r>
        <w:rPr>
          <w:rFonts w:ascii="Times New Roman" w:hAnsi="Times New Roman"/>
          <w:noProof/>
          <w:sz w:val="24"/>
        </w:rPr>
        <w:t>tres États membres dans les chaînes de production est en augmentation et dépasse à présent 14 %</w:t>
      </w:r>
      <w:r>
        <w:rPr>
          <w:rStyle w:val="FootnoteReference"/>
          <w:rFonts w:ascii="Times New Roman" w:hAnsi="Times New Roman"/>
          <w:noProof/>
          <w:sz w:val="24"/>
        </w:rPr>
        <w:footnoteReference w:id="16"/>
      </w:r>
      <w:r>
        <w:rPr>
          <w:rFonts w:ascii="Times New Roman" w:hAnsi="Times New Roman"/>
          <w:noProof/>
          <w:sz w:val="24"/>
        </w:rPr>
        <w:t>. Dans la même logique, tout obstacle apparaissant ou réapparaissant au sein du marché unique réduit à terme la compétitivité des entreprises de l’Union. Le mar</w:t>
      </w:r>
      <w:r>
        <w:rPr>
          <w:rFonts w:ascii="Times New Roman" w:hAnsi="Times New Roman"/>
          <w:noProof/>
          <w:sz w:val="24"/>
        </w:rPr>
        <w:t>ché unique est essentiel pour les petites et moyennes entreprises dans la mesure où il offre des débouchés commerciaux aux entreprises qui ne s’exportent pas</w:t>
      </w:r>
      <w:r>
        <w:rPr>
          <w:rStyle w:val="FootnoteReference"/>
          <w:rFonts w:ascii="Times New Roman" w:hAnsi="Times New Roman"/>
          <w:noProof/>
          <w:sz w:val="24"/>
        </w:rPr>
        <w:footnoteReference w:id="17"/>
      </w:r>
      <w:r>
        <w:rPr>
          <w:rFonts w:ascii="Times New Roman" w:hAnsi="Times New Roman"/>
          <w:noProof/>
          <w:sz w:val="24"/>
        </w:rPr>
        <w:t xml:space="preserve">. </w:t>
      </w:r>
    </w:p>
    <w:p w:rsidR="00EB371E" w:rsidRDefault="00EB371E">
      <w:pPr>
        <w:spacing w:after="0" w:line="240" w:lineRule="auto"/>
        <w:jc w:val="both"/>
        <w:rPr>
          <w:rFonts w:ascii="Times New Roman" w:hAnsi="Times New Roman" w:cs="Times New Roman"/>
          <w:noProof/>
          <w:sz w:val="24"/>
          <w:szCs w:val="24"/>
        </w:rPr>
      </w:pPr>
    </w:p>
    <w:p w:rsidR="00EB371E" w:rsidRDefault="00EF242D">
      <w:pPr>
        <w:keepNext/>
        <w:spacing w:after="0" w:line="240" w:lineRule="auto"/>
        <w:jc w:val="center"/>
        <w:rPr>
          <w:rFonts w:ascii="Times New Roman" w:hAnsi="Times New Roman" w:cs="Times New Roman"/>
          <w:i/>
          <w:noProof/>
        </w:rPr>
      </w:pPr>
      <w:r>
        <w:rPr>
          <w:rFonts w:ascii="Times New Roman" w:hAnsi="Times New Roman"/>
          <w:i/>
          <w:noProof/>
        </w:rPr>
        <w:t xml:space="preserve">La chaîne de valeur des fabricants européens d’éoliennes: </w:t>
      </w:r>
    </w:p>
    <w:p w:rsidR="00EB371E" w:rsidRDefault="00EF242D">
      <w:pPr>
        <w:keepNext/>
        <w:spacing w:after="0" w:line="240" w:lineRule="auto"/>
        <w:jc w:val="center"/>
        <w:rPr>
          <w:rFonts w:ascii="Times New Roman" w:hAnsi="Times New Roman" w:cs="Times New Roman"/>
          <w:i/>
          <w:noProof/>
        </w:rPr>
      </w:pPr>
      <w:r>
        <w:rPr>
          <w:rFonts w:ascii="Times New Roman" w:hAnsi="Times New Roman"/>
          <w:i/>
          <w:noProof/>
        </w:rPr>
        <w:t>principaux lieux abritant des insta</w:t>
      </w:r>
      <w:r>
        <w:rPr>
          <w:rFonts w:ascii="Times New Roman" w:hAnsi="Times New Roman"/>
          <w:i/>
          <w:noProof/>
        </w:rPr>
        <w:t>llations de production</w:t>
      </w:r>
    </w:p>
    <w:p w:rsidR="00EB371E" w:rsidRDefault="00EB371E">
      <w:pPr>
        <w:keepNext/>
        <w:spacing w:after="0" w:line="240" w:lineRule="auto"/>
        <w:jc w:val="center"/>
        <w:rPr>
          <w:rFonts w:ascii="Times New Roman" w:hAnsi="Times New Roman"/>
          <w:i/>
          <w:noProof/>
        </w:rPr>
      </w:pPr>
    </w:p>
    <w:p w:rsidR="00EB371E" w:rsidRDefault="00EF242D">
      <w:pPr>
        <w:keepNext/>
        <w:spacing w:after="0" w:line="240" w:lineRule="auto"/>
        <w:jc w:val="center"/>
        <w:rPr>
          <w:rFonts w:ascii="Times New Roman" w:hAnsi="Times New Roman" w:cs="Times New Roman"/>
          <w:i/>
          <w:noProof/>
          <w:sz w:val="16"/>
          <w:szCs w:val="16"/>
        </w:rPr>
      </w:pPr>
      <w:r>
        <w:rPr>
          <w:noProof/>
          <w:lang w:val="fr-BE" w:eastAsia="fr-BE" w:bidi="ar-SA"/>
        </w:rPr>
        <mc:AlternateContent>
          <mc:Choice Requires="wps">
            <w:drawing>
              <wp:anchor distT="0" distB="0" distL="114300" distR="114300" simplePos="0" relativeHeight="251665408" behindDoc="0" locked="0" layoutInCell="1" allowOverlap="1">
                <wp:simplePos x="0" y="0"/>
                <wp:positionH relativeFrom="column">
                  <wp:posOffset>4093474</wp:posOffset>
                </wp:positionH>
                <wp:positionV relativeFrom="paragraph">
                  <wp:posOffset>3293110</wp:posOffset>
                </wp:positionV>
                <wp:extent cx="486410" cy="219075"/>
                <wp:effectExtent l="0" t="0" r="0" b="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410" cy="219075"/>
                        </a:xfrm>
                        <a:prstGeom prst="rect">
                          <a:avLst/>
                        </a:prstGeom>
                        <a:noFill/>
                        <a:ln w="9525">
                          <a:noFill/>
                          <a:miter lim="800000"/>
                          <a:headEnd/>
                          <a:tailEnd/>
                        </a:ln>
                      </wps:spPr>
                      <wps:txbx>
                        <w:txbxContent>
                          <w:p w:rsidR="00EB371E" w:rsidRDefault="00EF242D">
                            <w:pPr>
                              <w:pStyle w:val="BasicParagraph"/>
                              <w:rPr>
                                <w:rFonts w:ascii="EC Square Sans Cond Pro Medium" w:hAnsi="EC Square Sans Cond Pro Medium" w:cs="EC Square Sans Cond Pro Medium"/>
                                <w:color w:val="4C4C4E"/>
                                <w:sz w:val="20"/>
                                <w:szCs w:val="20"/>
                              </w:rPr>
                            </w:pPr>
                            <w:r>
                              <w:rPr>
                                <w:rFonts w:ascii="EC Square Sans Cond Pro Medium" w:hAnsi="EC Square Sans Cond Pro Medium" w:cs="EC Square Sans Cond Pro Medium"/>
                                <w:color w:val="4C4C4E"/>
                                <w:sz w:val="20"/>
                                <w:szCs w:val="20"/>
                              </w:rPr>
                              <w:t>Mât</w:t>
                            </w:r>
                          </w:p>
                          <w:p w:rsidR="00EB371E" w:rsidRDefault="00EB371E">
                            <w:pPr>
                              <w:pStyle w:val="BasicParagraph"/>
                              <w:rPr>
                                <w:rFonts w:ascii="EC Square Sans Cond Pro Medium" w:hAnsi="EC Square Sans Cond Pro Medium" w:cs="EC Square Sans Cond Pro Medium"/>
                                <w:color w:val="4C4C4E"/>
                              </w:rPr>
                            </w:pPr>
                          </w:p>
                          <w:p w:rsidR="00EB371E" w:rsidRDefault="00EB371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22.3pt;margin-top:259.3pt;width:38.3pt;height:17.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" filled="f" stroked="f">
                <v:textbox>
                  <w:txbxContent>
                    <w:p w:rsidR="00EB371E" w:rsidRDefault="00EF242D">
                      <w:pPr>
                        <w:pStyle w:val="BasicParagraph"/>
                        <w:rPr>
                          <w:rFonts w:ascii="EC Square Sans Cond Pro Medium" w:hAnsi="EC Square Sans Cond Pro Medium" w:cs="EC Square Sans Cond Pro Medium"/>
                          <w:color w:val="4C4C4E"/>
                          <w:sz w:val="20"/>
                          <w:szCs w:val="20"/>
                        </w:rPr>
                      </w:pPr>
                      <w:r>
                        <w:rPr>
                          <w:rFonts w:ascii="EC Square Sans Cond Pro Medium" w:hAnsi="EC Square Sans Cond Pro Medium" w:cs="EC Square Sans Cond Pro Medium"/>
                          <w:color w:val="4C4C4E"/>
                          <w:sz w:val="20"/>
                          <w:szCs w:val="20"/>
                        </w:rPr>
                        <w:t>Mât</w:t>
                      </w:r>
                    </w:p>
                    <w:p w:rsidR="00EB371E" w:rsidRDefault="00EB371E">
                      <w:pPr>
                        <w:pStyle w:val="BasicParagraph"/>
                        <w:rPr>
                          <w:rFonts w:ascii="EC Square Sans Cond Pro Medium" w:hAnsi="EC Square Sans Cond Pro Medium" w:cs="EC Square Sans Cond Pro Medium"/>
                          <w:color w:val="4C4C4E"/>
                        </w:rPr>
                      </w:pPr>
                    </w:p>
                    <w:p w:rsidR="00EB371E" w:rsidRDefault="00EB371E"/>
                  </w:txbxContent>
                </v:textbox>
              </v:shape>
            </w:pict>
          </mc:Fallback>
        </mc:AlternateContent>
      </w:r>
      <w:r>
        <w:rPr>
          <w:noProof/>
          <w:lang w:val="fr-BE" w:eastAsia="fr-BE" w:bidi="ar-SA"/>
        </w:rPr>
        <mc:AlternateContent>
          <mc:Choice Requires="wps">
            <w:drawing>
              <wp:anchor distT="0" distB="0" distL="114300" distR="114300" simplePos="0" relativeHeight="251663360" behindDoc="0" locked="0" layoutInCell="1" allowOverlap="1">
                <wp:simplePos x="0" y="0"/>
                <wp:positionH relativeFrom="column">
                  <wp:posOffset>4788064</wp:posOffset>
                </wp:positionH>
                <wp:positionV relativeFrom="paragraph">
                  <wp:posOffset>2556510</wp:posOffset>
                </wp:positionV>
                <wp:extent cx="564078" cy="256053"/>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078" cy="256053"/>
                        </a:xfrm>
                        <a:prstGeom prst="rect">
                          <a:avLst/>
                        </a:prstGeom>
                        <a:noFill/>
                        <a:ln w="9525">
                          <a:noFill/>
                          <a:miter lim="800000"/>
                          <a:headEnd/>
                          <a:tailEnd/>
                        </a:ln>
                      </wps:spPr>
                      <wps:txbx>
                        <w:txbxContent>
                          <w:p w:rsidR="00EB371E" w:rsidRDefault="00EF242D">
                            <w:pPr>
                              <w:pStyle w:val="BasicParagraph"/>
                              <w:rPr>
                                <w:rFonts w:ascii="EC Square Sans Cond Pro Medium" w:hAnsi="EC Square Sans Cond Pro Medium" w:cs="EC Square Sans Cond Pro Medium"/>
                                <w:color w:val="4C4C4E"/>
                                <w:sz w:val="20"/>
                                <w:szCs w:val="20"/>
                              </w:rPr>
                            </w:pPr>
                            <w:r>
                              <w:rPr>
                                <w:rFonts w:ascii="EC Square Sans Cond Pro Medium" w:hAnsi="EC Square Sans Cond Pro Medium" w:cs="EC Square Sans Cond Pro Medium"/>
                                <w:color w:val="4C4C4E"/>
                                <w:sz w:val="20"/>
                                <w:szCs w:val="20"/>
                              </w:rPr>
                              <w:t>Pales</w:t>
                            </w:r>
                          </w:p>
                          <w:p w:rsidR="00EB371E" w:rsidRDefault="00EB371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377pt;margin-top:201.3pt;width:44.4pt;height:20.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" filled="f" stroked="f">
                <v:textbox>
                  <w:txbxContent>
                    <w:p w:rsidR="00EB371E" w:rsidRDefault="00EF242D">
                      <w:pPr>
                        <w:pStyle w:val="BasicParagraph"/>
                        <w:rPr>
                          <w:rFonts w:ascii="EC Square Sans Cond Pro Medium" w:hAnsi="EC Square Sans Cond Pro Medium" w:cs="EC Square Sans Cond Pro Medium"/>
                          <w:color w:val="4C4C4E"/>
                          <w:sz w:val="20"/>
                          <w:szCs w:val="20"/>
                        </w:rPr>
                      </w:pPr>
                      <w:r>
                        <w:rPr>
                          <w:rFonts w:ascii="EC Square Sans Cond Pro Medium" w:hAnsi="EC Square Sans Cond Pro Medium" w:cs="EC Square Sans Cond Pro Medium"/>
                          <w:color w:val="4C4C4E"/>
                          <w:sz w:val="20"/>
                          <w:szCs w:val="20"/>
                        </w:rPr>
                        <w:t>Pales</w:t>
                      </w:r>
                    </w:p>
                    <w:p w:rsidR="00EB371E" w:rsidRDefault="00EB371E"/>
                  </w:txbxContent>
                </v:textbox>
              </v:shape>
            </w:pict>
          </mc:Fallback>
        </mc:AlternateContent>
      </w:r>
      <w:r>
        <w:rPr>
          <w:noProof/>
          <w:lang w:val="fr-BE" w:eastAsia="fr-BE" w:bidi="ar-SA"/>
        </w:rPr>
        <mc:AlternateContent>
          <mc:Choice Requires="wps">
            <w:drawing>
              <wp:anchor distT="0" distB="0" distL="114300" distR="114300" simplePos="0" relativeHeight="251661312" behindDoc="0" locked="0" layoutInCell="1" allowOverlap="1">
                <wp:simplePos x="0" y="0"/>
                <wp:positionH relativeFrom="column">
                  <wp:posOffset>4859655</wp:posOffset>
                </wp:positionH>
                <wp:positionV relativeFrom="paragraph">
                  <wp:posOffset>181610</wp:posOffset>
                </wp:positionV>
                <wp:extent cx="694690" cy="207010"/>
                <wp:effectExtent l="0" t="0" r="0" b="254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690" cy="207010"/>
                        </a:xfrm>
                        <a:prstGeom prst="rect">
                          <a:avLst/>
                        </a:prstGeom>
                        <a:noFill/>
                        <a:ln w="9525">
                          <a:noFill/>
                          <a:miter lim="800000"/>
                          <a:headEnd/>
                          <a:tailEnd/>
                        </a:ln>
                      </wps:spPr>
                      <wps:txbx>
                        <w:txbxContent>
                          <w:p w:rsidR="00EB371E" w:rsidRDefault="00EF242D">
                            <w:pPr>
                              <w:pStyle w:val="BasicParagraph"/>
                              <w:rPr>
                                <w:rFonts w:ascii="EC Square Sans Cond Pro Medium" w:hAnsi="EC Square Sans Cond Pro Medium" w:cs="EC Square Sans Cond Pro Medium"/>
                                <w:color w:val="4C4C4E"/>
                                <w:sz w:val="20"/>
                                <w:szCs w:val="20"/>
                              </w:rPr>
                            </w:pPr>
                            <w:r>
                              <w:rPr>
                                <w:rFonts w:ascii="EC Square Sans Cond Pro Medium" w:hAnsi="EC Square Sans Cond Pro Medium" w:cs="EC Square Sans Cond Pro Medium"/>
                                <w:color w:val="4C4C4E"/>
                                <w:sz w:val="20"/>
                                <w:szCs w:val="20"/>
                              </w:rPr>
                              <w:t>Montage</w:t>
                            </w:r>
                          </w:p>
                          <w:p w:rsidR="00EB371E" w:rsidRDefault="00EB371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14" o:spid="_x0000_s1028" type="#_x0000_t202" style="position:absolute;left:0;text-align:left;margin-left:382.65pt;margin-top:14.3pt;width:54.7pt;height:1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" filled="f" stroked="f">
                <v:textbox>
                  <w:txbxContent>
                    <w:p w:rsidR="00EB371E" w:rsidRDefault="00EF242D">
                      <w:pPr>
                        <w:pStyle w:val="BasicParagraph"/>
                        <w:rPr>
                          <w:rFonts w:ascii="EC Square Sans Cond Pro Medium" w:hAnsi="EC Square Sans Cond Pro Medium" w:cs="EC Square Sans Cond Pro Medium"/>
                          <w:color w:val="4C4C4E"/>
                          <w:sz w:val="20"/>
                          <w:szCs w:val="20"/>
                        </w:rPr>
                      </w:pPr>
                      <w:r>
                        <w:rPr>
                          <w:rFonts w:ascii="EC Square Sans Cond Pro Medium" w:hAnsi="EC Square Sans Cond Pro Medium" w:cs="EC Square Sans Cond Pro Medium"/>
                          <w:color w:val="4C4C4E"/>
                          <w:sz w:val="20"/>
                          <w:szCs w:val="20"/>
                        </w:rPr>
                        <w:t>Montage</w:t>
                      </w:r>
                    </w:p>
                    <w:p w:rsidR="00EB371E" w:rsidRDefault="00EB371E"/>
                  </w:txbxContent>
                </v:textbox>
              </v:shape>
            </w:pict>
          </mc:Fallback>
        </mc:AlternateContent>
      </w:r>
      <w:r>
        <w:rPr>
          <w:noProof/>
          <w:lang w:val="fr-BE" w:eastAsia="fr-BE" w:bidi="ar-SA"/>
        </w:rPr>
        <mc:AlternateContent>
          <mc:Choice Requires="wps">
            <w:drawing>
              <wp:anchor distT="0" distB="0" distL="114300" distR="114300" simplePos="0" relativeHeight="251669504" behindDoc="0" locked="0" layoutInCell="1" allowOverlap="1">
                <wp:simplePos x="0" y="0"/>
                <wp:positionH relativeFrom="column">
                  <wp:posOffset>1083384</wp:posOffset>
                </wp:positionH>
                <wp:positionV relativeFrom="paragraph">
                  <wp:posOffset>4367942</wp:posOffset>
                </wp:positionV>
                <wp:extent cx="1044039" cy="247782"/>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4039" cy="247782"/>
                        </a:xfrm>
                        <a:prstGeom prst="rect">
                          <a:avLst/>
                        </a:prstGeom>
                        <a:noFill/>
                        <a:ln w="9525">
                          <a:noFill/>
                          <a:miter lim="800000"/>
                          <a:headEnd/>
                          <a:tailEnd/>
                        </a:ln>
                      </wps:spPr>
                      <wps:txbx>
                        <w:txbxContent>
                          <w:p w:rsidR="00EB371E" w:rsidRDefault="00EF242D">
                            <w:pPr>
                              <w:pStyle w:val="BasicParagraph"/>
                              <w:rPr>
                                <w:rFonts w:ascii="EC Square Sans Cond Pro Medium" w:hAnsi="EC Square Sans Cond Pro Medium" w:cs="EC Square Sans Cond Pro Medium"/>
                                <w:color w:val="4C4C4E"/>
                                <w:sz w:val="20"/>
                                <w:szCs w:val="20"/>
                              </w:rPr>
                            </w:pPr>
                            <w:r>
                              <w:rPr>
                                <w:rFonts w:ascii="EC Square Sans Cond Pro Medium" w:hAnsi="EC Square Sans Cond Pro Medium" w:cs="EC Square Sans Cond Pro Medium"/>
                                <w:color w:val="4C4C4E"/>
                                <w:sz w:val="20"/>
                                <w:szCs w:val="20"/>
                              </w:rPr>
                              <w:t>Pièces détachées</w:t>
                            </w:r>
                          </w:p>
                          <w:p w:rsidR="00EB371E" w:rsidRDefault="00EB371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85.3pt;margin-top:343.95pt;width:82.2pt;height:1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" filled="f" stroked="f">
                <v:textbox>
                  <w:txbxContent>
                    <w:p w:rsidR="00EB371E" w:rsidRDefault="00EF242D">
                      <w:pPr>
                        <w:pStyle w:val="BasicParagraph"/>
                        <w:rPr>
                          <w:rFonts w:ascii="EC Square Sans Cond Pro Medium" w:hAnsi="EC Square Sans Cond Pro Medium" w:cs="EC Square Sans Cond Pro Medium"/>
                          <w:color w:val="4C4C4E"/>
                          <w:sz w:val="20"/>
                          <w:szCs w:val="20"/>
                        </w:rPr>
                      </w:pPr>
                      <w:r>
                        <w:rPr>
                          <w:rFonts w:ascii="EC Square Sans Cond Pro Medium" w:hAnsi="EC Square Sans Cond Pro Medium" w:cs="EC Square Sans Cond Pro Medium"/>
                          <w:color w:val="4C4C4E"/>
                          <w:sz w:val="20"/>
                          <w:szCs w:val="20"/>
                        </w:rPr>
                        <w:t>Pièces détachées</w:t>
                      </w:r>
                    </w:p>
                    <w:p w:rsidR="00EB371E" w:rsidRDefault="00EB371E"/>
                  </w:txbxContent>
                </v:textbox>
              </v:shape>
            </w:pict>
          </mc:Fallback>
        </mc:AlternateContent>
      </w:r>
      <w:r>
        <w:rPr>
          <w:noProof/>
          <w:lang w:val="fr-BE" w:eastAsia="fr-BE" w:bidi="ar-SA"/>
        </w:rPr>
        <mc:AlternateContent>
          <mc:Choice Requires="wps">
            <w:drawing>
              <wp:anchor distT="0" distB="0" distL="114300" distR="114300" simplePos="0" relativeHeight="251667456" behindDoc="0" locked="0" layoutInCell="1" allowOverlap="1">
                <wp:simplePos x="0" y="0"/>
                <wp:positionH relativeFrom="column">
                  <wp:posOffset>964631</wp:posOffset>
                </wp:positionH>
                <wp:positionV relativeFrom="paragraph">
                  <wp:posOffset>2301636</wp:posOffset>
                </wp:positionV>
                <wp:extent cx="837211" cy="253686"/>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7211" cy="253686"/>
                        </a:xfrm>
                        <a:prstGeom prst="rect">
                          <a:avLst/>
                        </a:prstGeom>
                        <a:noFill/>
                        <a:ln w="9525">
                          <a:noFill/>
                          <a:miter lim="800000"/>
                          <a:headEnd/>
                          <a:tailEnd/>
                        </a:ln>
                      </wps:spPr>
                      <wps:txbx>
                        <w:txbxContent>
                          <w:p w:rsidR="00EB371E" w:rsidRDefault="00EF242D">
                            <w:pPr>
                              <w:pStyle w:val="BasicParagraph"/>
                              <w:rPr>
                                <w:rFonts w:ascii="EC Square Sans Cond Pro Medium" w:hAnsi="EC Square Sans Cond Pro Medium" w:cs="EC Square Sans Cond Pro Medium"/>
                                <w:color w:val="4C4C4E"/>
                                <w:sz w:val="20"/>
                                <w:szCs w:val="20"/>
                              </w:rPr>
                            </w:pPr>
                            <w:r>
                              <w:rPr>
                                <w:rFonts w:ascii="EC Square Sans Cond Pro Medium" w:hAnsi="EC Square Sans Cond Pro Medium" w:cs="EC Square Sans Cond Pro Medium"/>
                                <w:color w:val="4C4C4E"/>
                                <w:sz w:val="20"/>
                                <w:szCs w:val="20"/>
                              </w:rPr>
                              <w:t>Générateur</w:t>
                            </w:r>
                          </w:p>
                          <w:p w:rsidR="00EB371E" w:rsidRDefault="00EB371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75.95pt;margin-top:181.25pt;width:65.9pt;height:20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" filled="f" stroked="f">
                <v:textbox>
                  <w:txbxContent>
                    <w:p w:rsidR="00EB371E" w:rsidRDefault="00EF242D">
                      <w:pPr>
                        <w:pStyle w:val="BasicParagraph"/>
                        <w:rPr>
                          <w:rFonts w:ascii="EC Square Sans Cond Pro Medium" w:hAnsi="EC Square Sans Cond Pro Medium" w:cs="EC Square Sans Cond Pro Medium"/>
                          <w:color w:val="4C4C4E"/>
                          <w:sz w:val="20"/>
                          <w:szCs w:val="20"/>
                        </w:rPr>
                      </w:pPr>
                      <w:r>
                        <w:rPr>
                          <w:rFonts w:ascii="EC Square Sans Cond Pro Medium" w:hAnsi="EC Square Sans Cond Pro Medium" w:cs="EC Square Sans Cond Pro Medium"/>
                          <w:color w:val="4C4C4E"/>
                          <w:sz w:val="20"/>
                          <w:szCs w:val="20"/>
                        </w:rPr>
                        <w:t>Générateur</w:t>
                      </w:r>
                    </w:p>
                    <w:p w:rsidR="00EB371E" w:rsidRDefault="00EB371E"/>
                  </w:txbxContent>
                </v:textbox>
              </v:shape>
            </w:pict>
          </mc:Fallback>
        </mc:AlternateContent>
      </w:r>
      <w:r>
        <w:rPr>
          <w:noProof/>
          <w:lang w:val="fr-BE" w:eastAsia="fr-BE" w:bidi="ar-SA"/>
        </w:rPr>
        <mc:AlternateContent>
          <mc:Choice Requires="wps">
            <w:drawing>
              <wp:anchor distT="0" distB="0" distL="114300" distR="114300" simplePos="0" relativeHeight="251659264" behindDoc="0" locked="0" layoutInCell="1" allowOverlap="1">
                <wp:simplePos x="0" y="0"/>
                <wp:positionH relativeFrom="column">
                  <wp:posOffset>964632</wp:posOffset>
                </wp:positionH>
                <wp:positionV relativeFrom="paragraph">
                  <wp:posOffset>502524</wp:posOffset>
                </wp:positionV>
                <wp:extent cx="593766" cy="225631"/>
                <wp:effectExtent l="0" t="0" r="0" b="31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766" cy="225631"/>
                        </a:xfrm>
                        <a:prstGeom prst="rect">
                          <a:avLst/>
                        </a:prstGeom>
                        <a:noFill/>
                        <a:ln w="9525">
                          <a:noFill/>
                          <a:miter lim="800000"/>
                          <a:headEnd/>
                          <a:tailEnd/>
                        </a:ln>
                      </wps:spPr>
                      <wps:txbx>
                        <w:txbxContent>
                          <w:p w:rsidR="00EB371E" w:rsidRDefault="00EF242D">
                            <w:pPr>
                              <w:pStyle w:val="BasicParagraph"/>
                              <w:rPr>
                                <w:rFonts w:ascii="EC Square Sans Cond Pro Medium" w:hAnsi="EC Square Sans Cond Pro Medium" w:cs="EC Square Sans Cond Pro Medium"/>
                                <w:color w:val="4C4C4E"/>
                                <w:sz w:val="20"/>
                                <w:szCs w:val="20"/>
                              </w:rPr>
                            </w:pPr>
                            <w:r>
                              <w:rPr>
                                <w:rFonts w:ascii="EC Square Sans Cond Pro Medium" w:hAnsi="EC Square Sans Cond Pro Medium" w:cs="EC Square Sans Cond Pro Medium"/>
                                <w:color w:val="4C4C4E"/>
                                <w:sz w:val="20"/>
                                <w:szCs w:val="20"/>
                              </w:rPr>
                              <w:t>Nacelle</w:t>
                            </w:r>
                          </w:p>
                          <w:p w:rsidR="00EB371E" w:rsidRDefault="00EB371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75.95pt;margin-top:39.55pt;width:46.75pt;height:1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" filled="f" stroked="f">
                <v:textbox>
                  <w:txbxContent>
                    <w:p w:rsidR="00EB371E" w:rsidRDefault="00EF242D">
                      <w:pPr>
                        <w:pStyle w:val="BasicParagraph"/>
                        <w:rPr>
                          <w:rFonts w:ascii="EC Square Sans Cond Pro Medium" w:hAnsi="EC Square Sans Cond Pro Medium" w:cs="EC Square Sans Cond Pro Medium"/>
                          <w:color w:val="4C4C4E"/>
                          <w:sz w:val="20"/>
                          <w:szCs w:val="20"/>
                        </w:rPr>
                      </w:pPr>
                      <w:r>
                        <w:rPr>
                          <w:rFonts w:ascii="EC Square Sans Cond Pro Medium" w:hAnsi="EC Square Sans Cond Pro Medium" w:cs="EC Square Sans Cond Pro Medium"/>
                          <w:color w:val="4C4C4E"/>
                          <w:sz w:val="20"/>
                          <w:szCs w:val="20"/>
                        </w:rPr>
                        <w:t>Nacelle</w:t>
                      </w:r>
                    </w:p>
                    <w:p w:rsidR="00EB371E" w:rsidRDefault="00EB371E"/>
                  </w:txbxContent>
                </v:textbox>
              </v:shape>
            </w:pict>
          </mc:Fallback>
        </mc:AlternateContent>
      </w:r>
      <w:r>
        <w:rPr>
          <w:noProof/>
          <w:lang w:val="fr-BE" w:eastAsia="fr-BE" w:bidi="ar-SA"/>
        </w:rPr>
        <w:drawing>
          <wp:inline distT="0" distB="0" distL="0" distR="0">
            <wp:extent cx="5760720" cy="5755761"/>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60720" cy="5755761"/>
                    </a:xfrm>
                    <a:prstGeom prst="rect">
                      <a:avLst/>
                    </a:prstGeom>
                    <a:noFill/>
                    <a:ln>
                      <a:noFill/>
                    </a:ln>
                  </pic:spPr>
                </pic:pic>
              </a:graphicData>
            </a:graphic>
          </wp:inline>
        </w:drawing>
      </w:r>
    </w:p>
    <w:p w:rsidR="00EB371E" w:rsidRDefault="00EB371E">
      <w:pPr>
        <w:keepNext/>
        <w:spacing w:after="0" w:line="240" w:lineRule="auto"/>
        <w:jc w:val="center"/>
        <w:rPr>
          <w:rFonts w:ascii="Times New Roman" w:hAnsi="Times New Roman" w:cs="Times New Roman"/>
          <w:i/>
          <w:noProof/>
          <w:sz w:val="16"/>
          <w:szCs w:val="16"/>
        </w:rPr>
      </w:pPr>
    </w:p>
    <w:p w:rsidR="00EB371E" w:rsidRDefault="00EB371E">
      <w:pPr>
        <w:keepNext/>
        <w:spacing w:after="0" w:line="240" w:lineRule="auto"/>
        <w:jc w:val="center"/>
        <w:rPr>
          <w:rFonts w:ascii="Times New Roman" w:hAnsi="Times New Roman" w:cs="Times New Roman"/>
          <w:i/>
          <w:noProof/>
          <w:sz w:val="16"/>
          <w:szCs w:val="16"/>
        </w:rPr>
      </w:pPr>
    </w:p>
    <w:p w:rsidR="00EB371E" w:rsidRDefault="00EF242D">
      <w:pPr>
        <w:spacing w:after="0" w:line="240" w:lineRule="auto"/>
        <w:jc w:val="right"/>
        <w:rPr>
          <w:rFonts w:ascii="Times New Roman" w:hAnsi="Times New Roman" w:cs="Times New Roman"/>
          <w:i/>
          <w:noProof/>
          <w:sz w:val="16"/>
          <w:szCs w:val="16"/>
        </w:rPr>
      </w:pPr>
      <w:r>
        <w:rPr>
          <w:rFonts w:ascii="Times New Roman" w:hAnsi="Times New Roman"/>
          <w:i/>
          <w:noProof/>
          <w:sz w:val="16"/>
        </w:rPr>
        <w:t>Source: données du Centre commun de recherche</w:t>
      </w:r>
    </w:p>
    <w:p w:rsidR="00EB371E" w:rsidRDefault="00EB371E">
      <w:pPr>
        <w:spacing w:after="0" w:line="240" w:lineRule="auto"/>
        <w:jc w:val="both"/>
        <w:rPr>
          <w:rFonts w:ascii="Times New Roman" w:hAnsi="Times New Roman" w:cs="Times New Roman"/>
          <w:noProof/>
          <w:sz w:val="24"/>
          <w:szCs w:val="24"/>
        </w:rPr>
      </w:pPr>
    </w:p>
    <w:tbl>
      <w:tblPr>
        <w:tblStyle w:val="TableGrid"/>
        <w:tblW w:w="0" w:type="auto"/>
        <w:tblLook w:val="04A0" w:firstRow="1" w:lastRow="0" w:firstColumn="1" w:lastColumn="0" w:noHBand="0" w:noVBand="1"/>
      </w:tblPr>
      <w:tblGrid>
        <w:gridCol w:w="9212"/>
      </w:tblGrid>
      <w:tr w:rsidR="00EB371E">
        <w:tc>
          <w:tcPr>
            <w:tcW w:w="9212" w:type="dxa"/>
          </w:tcPr>
          <w:p w:rsidR="00EB371E" w:rsidRDefault="00EF242D">
            <w:pPr>
              <w:jc w:val="both"/>
              <w:rPr>
                <w:rFonts w:ascii="Times New Roman" w:hAnsi="Times New Roman" w:cs="Times New Roman"/>
                <w:noProof/>
                <w:color w:val="002060"/>
                <w:sz w:val="24"/>
                <w:szCs w:val="24"/>
              </w:rPr>
            </w:pPr>
            <w:r>
              <w:rPr>
                <w:rFonts w:ascii="Times New Roman" w:hAnsi="Times New Roman"/>
                <w:i/>
                <w:noProof/>
                <w:sz w:val="24"/>
              </w:rPr>
              <w:t xml:space="preserve">L’Alliance européenne pour les batteries constitue un bon exemple d’une chaîne de valeur stratégique </w:t>
            </w:r>
            <w:r>
              <w:rPr>
                <w:rFonts w:ascii="Times New Roman" w:hAnsi="Times New Roman"/>
                <w:i/>
                <w:noProof/>
                <w:sz w:val="24"/>
              </w:rPr>
              <w:t>européenne rendue possible par le marché unique.</w:t>
            </w:r>
            <w:r>
              <w:rPr>
                <w:rFonts w:ascii="Times New Roman" w:hAnsi="Times New Roman"/>
                <w:noProof/>
                <w:sz w:val="24"/>
              </w:rPr>
              <w:t xml:space="preserve"> </w:t>
            </w:r>
            <w:r>
              <w:rPr>
                <w:rFonts w:ascii="Times New Roman" w:hAnsi="Times New Roman"/>
                <w:i/>
                <w:noProof/>
                <w:sz w:val="24"/>
              </w:rPr>
              <w:t>Alors que les batteries représentent une part importante de la valeur ajoutée de la voiture de demain, l’Union n’est actuellement pas en mesure de les produire en masse et dépend des importations de pays tie</w:t>
            </w:r>
            <w:r>
              <w:rPr>
                <w:rFonts w:ascii="Times New Roman" w:hAnsi="Times New Roman"/>
                <w:i/>
                <w:noProof/>
                <w:sz w:val="24"/>
              </w:rPr>
              <w:t>rs. Une telle situation peut entraîner des problèmes de sécurité d’approvisionnement et accroît les coûts en raison du transport, des retards d’approvisionnement ou de contrôles de qualité plus faibles</w:t>
            </w:r>
            <w:r>
              <w:rPr>
                <w:rFonts w:ascii="Times New Roman" w:hAnsi="Times New Roman"/>
                <w:noProof/>
                <w:sz w:val="24"/>
              </w:rPr>
              <w:t xml:space="preserve">. </w:t>
            </w:r>
            <w:r>
              <w:rPr>
                <w:rFonts w:ascii="Times New Roman" w:hAnsi="Times New Roman"/>
                <w:i/>
                <w:noProof/>
                <w:sz w:val="24"/>
              </w:rPr>
              <w:t>Un an après le lancement de l’Alliance, des consortiu</w:t>
            </w:r>
            <w:r>
              <w:rPr>
                <w:rFonts w:ascii="Times New Roman" w:hAnsi="Times New Roman"/>
                <w:i/>
                <w:noProof/>
                <w:sz w:val="24"/>
              </w:rPr>
              <w:t xml:space="preserve">ms établis dans l’Union font leur apparition, les premières installations pilotes de production sont construites et de nouveaux projets ont été annoncés pour faire de l’Union un acteur de premier plan dans ce domaine stratégique. </w:t>
            </w:r>
          </w:p>
        </w:tc>
      </w:tr>
    </w:tbl>
    <w:p w:rsidR="00EB371E" w:rsidRDefault="00EB371E">
      <w:pPr>
        <w:spacing w:after="0" w:line="240" w:lineRule="auto"/>
        <w:jc w:val="right"/>
        <w:rPr>
          <w:rFonts w:ascii="Times New Roman" w:hAnsi="Times New Roman" w:cs="Times New Roman"/>
          <w:i/>
          <w:noProof/>
          <w:sz w:val="16"/>
          <w:szCs w:val="16"/>
        </w:rPr>
      </w:pPr>
    </w:p>
    <w:p w:rsidR="00EB371E" w:rsidRDefault="00EF242D">
      <w:pPr>
        <w:pStyle w:val="Heading2"/>
        <w:numPr>
          <w:ilvl w:val="0"/>
          <w:numId w:val="2"/>
        </w:numPr>
        <w:spacing w:before="0" w:after="120"/>
        <w:ind w:left="709" w:hanging="709"/>
        <w:rPr>
          <w:rFonts w:ascii="Times New Roman" w:hAnsi="Times New Roman" w:cs="Times New Roman"/>
          <w:noProof/>
          <w:color w:val="auto"/>
          <w:sz w:val="24"/>
          <w:szCs w:val="24"/>
        </w:rPr>
      </w:pPr>
      <w:r>
        <w:rPr>
          <w:rFonts w:ascii="Times New Roman" w:hAnsi="Times New Roman"/>
          <w:noProof/>
          <w:color w:val="auto"/>
          <w:sz w:val="24"/>
        </w:rPr>
        <w:t xml:space="preserve">Produire des résultats concrets </w:t>
      </w:r>
    </w:p>
    <w:p w:rsidR="00EB371E" w:rsidRDefault="00EF242D">
      <w:pPr>
        <w:spacing w:after="0" w:line="240" w:lineRule="auto"/>
        <w:jc w:val="both"/>
        <w:rPr>
          <w:rFonts w:ascii="Times New Roman" w:hAnsi="Times New Roman" w:cs="Times New Roman"/>
          <w:noProof/>
          <w:sz w:val="24"/>
          <w:szCs w:val="24"/>
        </w:rPr>
      </w:pPr>
      <w:r>
        <w:rPr>
          <w:rFonts w:ascii="Times New Roman" w:hAnsi="Times New Roman"/>
          <w:noProof/>
          <w:sz w:val="24"/>
        </w:rPr>
        <w:t>Le marché unique ne pourra profiter aux citoyens et aux entreprises que si ses règles sont opérantes sur le terrain. Qu’il s’agisse d’exigences relatives aux produits alimentaires, d’exigences en matière d’assurance ou d’ex</w:t>
      </w:r>
      <w:r>
        <w:rPr>
          <w:rFonts w:ascii="Times New Roman" w:hAnsi="Times New Roman"/>
          <w:noProof/>
          <w:sz w:val="24"/>
        </w:rPr>
        <w:t>igences relatives à la santé et à la sécurité sur le lieu de travail, le non-respect du droit de l’Union dans un État membre peut avoir des conséquences importantes dans un autre État membre. Le non-respect de la législation peut saper la confiance des con</w:t>
      </w:r>
      <w:r>
        <w:rPr>
          <w:rFonts w:ascii="Times New Roman" w:hAnsi="Times New Roman"/>
          <w:noProof/>
          <w:sz w:val="24"/>
        </w:rPr>
        <w:t>sommateurs dans le marché unique et mettre à mal les conditions de concurrence équitables garanties aux entreprises. Pour concrétiser le souhait affiché d’approfondir le marché unique, il faut donc garantir au préalable une mise en œuvre, une application e</w:t>
      </w:r>
      <w:r>
        <w:rPr>
          <w:rFonts w:ascii="Times New Roman" w:hAnsi="Times New Roman"/>
          <w:noProof/>
          <w:sz w:val="24"/>
        </w:rPr>
        <w:t>t un contrôle du respect de ses règles qui soient adéquats.</w:t>
      </w:r>
    </w:p>
    <w:p w:rsidR="00EB371E" w:rsidRDefault="00EB371E">
      <w:pPr>
        <w:spacing w:after="0"/>
        <w:rPr>
          <w:rFonts w:ascii="Times New Roman" w:hAnsi="Times New Roman" w:cs="Times New Roman"/>
          <w:noProof/>
          <w:sz w:val="24"/>
          <w:szCs w:val="24"/>
        </w:rPr>
      </w:pPr>
    </w:p>
    <w:p w:rsidR="00EB371E" w:rsidRDefault="00EF242D">
      <w:pPr>
        <w:pStyle w:val="Heading2"/>
        <w:keepLines w:val="0"/>
        <w:tabs>
          <w:tab w:val="left" w:pos="709"/>
        </w:tabs>
        <w:spacing w:before="0" w:after="120" w:line="240" w:lineRule="auto"/>
        <w:rPr>
          <w:rFonts w:ascii="Times New Roman" w:hAnsi="Times New Roman" w:cs="Times New Roman"/>
          <w:noProof/>
          <w:color w:val="auto"/>
          <w:sz w:val="24"/>
          <w:szCs w:val="24"/>
        </w:rPr>
      </w:pPr>
      <w:r>
        <w:rPr>
          <w:rFonts w:ascii="Times New Roman" w:hAnsi="Times New Roman"/>
          <w:noProof/>
          <w:color w:val="auto"/>
          <w:sz w:val="24"/>
        </w:rPr>
        <w:t xml:space="preserve">2.1 </w:t>
      </w:r>
      <w:r>
        <w:rPr>
          <w:noProof/>
        </w:rPr>
        <w:tab/>
      </w:r>
      <w:r>
        <w:rPr>
          <w:rFonts w:ascii="Times New Roman" w:hAnsi="Times New Roman"/>
          <w:noProof/>
          <w:color w:val="auto"/>
          <w:sz w:val="24"/>
        </w:rPr>
        <w:t>Mettre en œuvre et appliquer les règles du marché unique</w:t>
      </w:r>
    </w:p>
    <w:p w:rsidR="00EB371E" w:rsidRDefault="00EF242D">
      <w:pPr>
        <w:widowControl w:val="0"/>
        <w:adjustRightInd w:val="0"/>
        <w:spacing w:after="0" w:line="240" w:lineRule="auto"/>
        <w:jc w:val="both"/>
        <w:textAlignment w:val="baseline"/>
        <w:rPr>
          <w:rFonts w:ascii="Times New Roman" w:hAnsi="Times New Roman" w:cs="Times New Roman"/>
          <w:noProof/>
          <w:sz w:val="24"/>
          <w:szCs w:val="24"/>
        </w:rPr>
      </w:pPr>
      <w:r>
        <w:rPr>
          <w:rFonts w:ascii="Times New Roman" w:hAnsi="Times New Roman"/>
          <w:noProof/>
          <w:sz w:val="24"/>
        </w:rPr>
        <w:t>Les États membres ont la responsabilité de mettre en œuvre les directives dans le droit national. La transposition des directives rel</w:t>
      </w:r>
      <w:r>
        <w:rPr>
          <w:rFonts w:ascii="Times New Roman" w:hAnsi="Times New Roman"/>
          <w:noProof/>
          <w:sz w:val="24"/>
        </w:rPr>
        <w:t>atives au marché unique a bien progressé ces 20 dernières années, comme en témoigne la forte baisse du déficit de transposition moyen (de 6,3 % en 1997 à 0,9 % en 2017). Toutefois, la bonne mise en œuvre de l’ensemble des actes législatifs adoptés ces dern</w:t>
      </w:r>
      <w:r>
        <w:rPr>
          <w:rFonts w:ascii="Times New Roman" w:hAnsi="Times New Roman"/>
          <w:noProof/>
          <w:sz w:val="24"/>
        </w:rPr>
        <w:t>ières années pour approfondir le marché unique constituera un défi commun de taille dans l’immédiat et exigera un engagement constant de tous les États membres</w:t>
      </w:r>
      <w:r>
        <w:rPr>
          <w:rStyle w:val="FootnoteReference"/>
          <w:rFonts w:ascii="Times New Roman" w:hAnsi="Times New Roman"/>
          <w:noProof/>
          <w:sz w:val="24"/>
        </w:rPr>
        <w:footnoteReference w:id="18"/>
      </w:r>
      <w:r>
        <w:rPr>
          <w:rFonts w:ascii="Times New Roman" w:hAnsi="Times New Roman"/>
          <w:noProof/>
          <w:sz w:val="24"/>
        </w:rPr>
        <w:t>. Les derniers signaux ne sont pas tous encourageants. Ainsi, le déficit de transposition pour l</w:t>
      </w:r>
      <w:r>
        <w:rPr>
          <w:rFonts w:ascii="Times New Roman" w:hAnsi="Times New Roman"/>
          <w:noProof/>
          <w:sz w:val="24"/>
        </w:rPr>
        <w:t xml:space="preserve">es 16 directives dont la date de transposition était fixée entre décembre 2017 et mai 2018 s’élevait à 25 % en juin 2018. Dans le cas de trois directives sur les marchés publics qui devaient être transposées pour avril 2016, la Commission a été contrainte </w:t>
      </w:r>
      <w:r>
        <w:rPr>
          <w:rFonts w:ascii="Times New Roman" w:hAnsi="Times New Roman"/>
          <w:noProof/>
          <w:sz w:val="24"/>
        </w:rPr>
        <w:t>d’ouvrir 58 procédures d’infraction contre 21 États membres au motif qu’ils n’avaient communiqué aucune mesure de transposition, et trois d’entre elles sont toujours en cours.</w:t>
      </w:r>
      <w:r>
        <w:rPr>
          <w:rStyle w:val="Strong"/>
          <w:rFonts w:ascii="Times New Roman" w:hAnsi="Times New Roman"/>
          <w:b w:val="0"/>
          <w:noProof/>
        </w:rPr>
        <w:t xml:space="preserve"> </w:t>
      </w:r>
    </w:p>
    <w:p w:rsidR="00EB371E" w:rsidRDefault="00EB371E">
      <w:pPr>
        <w:widowControl w:val="0"/>
        <w:adjustRightInd w:val="0"/>
        <w:spacing w:after="0" w:line="240" w:lineRule="auto"/>
        <w:jc w:val="both"/>
        <w:textAlignment w:val="baseline"/>
        <w:rPr>
          <w:rFonts w:ascii="Times New Roman" w:hAnsi="Times New Roman" w:cs="Times New Roman"/>
          <w:noProof/>
          <w:sz w:val="24"/>
          <w:szCs w:val="24"/>
        </w:rPr>
      </w:pPr>
    </w:p>
    <w:p w:rsidR="00EB371E" w:rsidRDefault="00EF242D">
      <w:pPr>
        <w:widowControl w:val="0"/>
        <w:adjustRightInd w:val="0"/>
        <w:spacing w:after="0" w:line="240" w:lineRule="auto"/>
        <w:jc w:val="both"/>
        <w:textAlignment w:val="baseline"/>
        <w:rPr>
          <w:rFonts w:ascii="Times New Roman" w:hAnsi="Times New Roman" w:cs="Times New Roman"/>
          <w:noProof/>
          <w:sz w:val="24"/>
          <w:szCs w:val="24"/>
        </w:rPr>
      </w:pPr>
      <w:r>
        <w:rPr>
          <w:rFonts w:ascii="Times New Roman" w:hAnsi="Times New Roman"/>
          <w:noProof/>
          <w:sz w:val="24"/>
        </w:rPr>
        <w:t>En cas d’harmonisation minimale des règles nationales au niveau de l’UE, il es</w:t>
      </w:r>
      <w:r>
        <w:rPr>
          <w:rFonts w:ascii="Times New Roman" w:hAnsi="Times New Roman"/>
          <w:noProof/>
          <w:sz w:val="24"/>
        </w:rPr>
        <w:t>t légitime que des États membres aillent, s’ils le souhaitent, au-delà de ce qui est requis par les règles de l’UE. Cela ne doit toutefois pas se traduire par des situations de surtransposition, dans lesquelles les mesures nationales peuvent faire peser de</w:t>
      </w:r>
      <w:r>
        <w:rPr>
          <w:rFonts w:ascii="Times New Roman" w:hAnsi="Times New Roman"/>
          <w:noProof/>
          <w:sz w:val="24"/>
        </w:rPr>
        <w:t>s charges disproportionnées sur les citoyens et les entreprises</w:t>
      </w:r>
      <w:r>
        <w:rPr>
          <w:rStyle w:val="FootnoteReference"/>
          <w:rFonts w:ascii="Times New Roman" w:hAnsi="Times New Roman"/>
          <w:noProof/>
          <w:sz w:val="24"/>
        </w:rPr>
        <w:footnoteReference w:id="19"/>
      </w:r>
      <w:r>
        <w:rPr>
          <w:rFonts w:ascii="Times New Roman" w:hAnsi="Times New Roman"/>
          <w:noProof/>
          <w:sz w:val="24"/>
        </w:rPr>
        <w:t>. L’intégration du règlement général sur la protection des données dans les cadres juridiques nationaux, lorsqu’elle est nécessaire, est un exemple qui illustre ce risque, un État membre ayant</w:t>
      </w:r>
      <w:r>
        <w:rPr>
          <w:rFonts w:ascii="Times New Roman" w:hAnsi="Times New Roman"/>
          <w:noProof/>
          <w:sz w:val="24"/>
        </w:rPr>
        <w:t xml:space="preserve"> même adopté jusqu’à 600 pages de législation supplémentaire. En 2016, le Parlement européen, le Conseil et la Commission européenne se sont engagés, dans l’accord interinstitutionnel «Mieux légiférer»</w:t>
      </w:r>
      <w:r>
        <w:rPr>
          <w:rStyle w:val="FootnoteReference"/>
          <w:rFonts w:ascii="Times New Roman" w:hAnsi="Times New Roman"/>
          <w:noProof/>
          <w:sz w:val="24"/>
        </w:rPr>
        <w:footnoteReference w:id="20"/>
      </w:r>
      <w:r>
        <w:rPr>
          <w:rFonts w:ascii="Times New Roman" w:hAnsi="Times New Roman"/>
          <w:noProof/>
          <w:sz w:val="24"/>
        </w:rPr>
        <w:t>, à publier le texte des mesures nationales de transpo</w:t>
      </w:r>
      <w:r>
        <w:rPr>
          <w:rFonts w:ascii="Times New Roman" w:hAnsi="Times New Roman"/>
          <w:noProof/>
          <w:sz w:val="24"/>
        </w:rPr>
        <w:t>sition et à indiquer quelles dispositions proviennent des directives de l’Union et quelles dispositions vont au-delà. Cette transparence peut contribuer en soi à ce que toute exigence supplémentaire demeure proportionnée et clairement justifiée. La Commiss</w:t>
      </w:r>
      <w:r>
        <w:rPr>
          <w:rFonts w:ascii="Times New Roman" w:hAnsi="Times New Roman"/>
          <w:noProof/>
          <w:sz w:val="24"/>
        </w:rPr>
        <w:t>ion a mis à la disposition des États membres un outil leur permettant de notifier la manière dont ils ont transposé les directives de l’Union, mais à ce jour, seuls deux États membres l’ont utilisé pour trois directives.</w:t>
      </w:r>
    </w:p>
    <w:p w:rsidR="00EB371E" w:rsidRDefault="00EB371E">
      <w:pPr>
        <w:spacing w:after="0" w:line="120" w:lineRule="auto"/>
        <w:rPr>
          <w:rFonts w:ascii="Times New Roman" w:eastAsia="Times New Roman" w:hAnsi="Times New Roman" w:cs="Times New Roman"/>
          <w:b/>
          <w:noProof/>
          <w:sz w:val="24"/>
          <w:szCs w:val="24"/>
        </w:rPr>
      </w:pPr>
    </w:p>
    <w:p w:rsidR="00EB371E" w:rsidRDefault="00EF242D">
      <w:pPr>
        <w:widowControl w:val="0"/>
        <w:adjustRightInd w:val="0"/>
        <w:spacing w:after="0" w:line="240" w:lineRule="auto"/>
        <w:jc w:val="both"/>
        <w:textAlignment w:val="baseline"/>
        <w:rPr>
          <w:rFonts w:ascii="Times New Roman" w:eastAsia="Times New Roman" w:hAnsi="Times New Roman" w:cs="Times New Roman"/>
          <w:noProof/>
          <w:sz w:val="24"/>
          <w:szCs w:val="24"/>
        </w:rPr>
      </w:pPr>
      <w:r>
        <w:rPr>
          <w:rFonts w:ascii="Times New Roman" w:hAnsi="Times New Roman"/>
          <w:noProof/>
          <w:sz w:val="24"/>
        </w:rPr>
        <w:t>Les autorités des États membres on</w:t>
      </w:r>
      <w:r>
        <w:rPr>
          <w:rFonts w:ascii="Times New Roman" w:hAnsi="Times New Roman"/>
          <w:noProof/>
          <w:sz w:val="24"/>
        </w:rPr>
        <w:t>t également la responsabilité d’appliquer les règles du marché unique. Dans plusieurs cas observés ces dernières années, la mauvaise application des règles a eu de sérieuses conséquences. La surveillance exercée au niveau de l’UE a dès lors été renforcée.</w:t>
      </w:r>
    </w:p>
    <w:p w:rsidR="00EB371E" w:rsidRDefault="00EB371E">
      <w:pPr>
        <w:widowControl w:val="0"/>
        <w:adjustRightInd w:val="0"/>
        <w:spacing w:after="0" w:line="240" w:lineRule="auto"/>
        <w:jc w:val="both"/>
        <w:textAlignment w:val="baseline"/>
        <w:rPr>
          <w:rFonts w:ascii="Times New Roman" w:eastAsia="Times New Roman" w:hAnsi="Times New Roman" w:cs="Times New Roman"/>
          <w:noProof/>
          <w:sz w:val="24"/>
          <w:szCs w:val="24"/>
        </w:rPr>
      </w:pPr>
    </w:p>
    <w:tbl>
      <w:tblPr>
        <w:tblStyle w:val="TableGrid"/>
        <w:tblW w:w="0" w:type="auto"/>
        <w:tblLook w:val="04A0" w:firstRow="1" w:lastRow="0" w:firstColumn="1" w:lastColumn="0" w:noHBand="0" w:noVBand="1"/>
      </w:tblPr>
      <w:tblGrid>
        <w:gridCol w:w="9212"/>
      </w:tblGrid>
      <w:tr w:rsidR="00EB371E">
        <w:tc>
          <w:tcPr>
            <w:tcW w:w="9212" w:type="dxa"/>
          </w:tcPr>
          <w:p w:rsidR="00EB371E" w:rsidRDefault="00EF242D">
            <w:pPr>
              <w:widowControl w:val="0"/>
              <w:adjustRightInd w:val="0"/>
              <w:jc w:val="both"/>
              <w:textAlignment w:val="baseline"/>
              <w:rPr>
                <w:rFonts w:ascii="Times New Roman" w:eastAsia="Times New Roman" w:hAnsi="Times New Roman" w:cs="Times New Roman"/>
                <w:i/>
                <w:noProof/>
                <w:sz w:val="24"/>
                <w:szCs w:val="24"/>
              </w:rPr>
            </w:pPr>
            <w:r>
              <w:rPr>
                <w:rFonts w:ascii="Times New Roman" w:hAnsi="Times New Roman"/>
                <w:i/>
                <w:noProof/>
                <w:sz w:val="24"/>
              </w:rPr>
              <w:t xml:space="preserve">Le scandale du Dieselgate a révélé des lacunes dans le contrôle du respect des règles de l’Union relatives aux procédures de réception par type des véhicules exercé par les autorités compétentes au niveau des États membres, ainsi que l’absence d’outil </w:t>
            </w:r>
            <w:r>
              <w:rPr>
                <w:rFonts w:ascii="Times New Roman" w:hAnsi="Times New Roman"/>
                <w:i/>
                <w:noProof/>
                <w:sz w:val="24"/>
              </w:rPr>
              <w:t xml:space="preserve">juridique à la disposition de la Commission pour y remédier. Le nouveau cadre pour les procédures de réception par type adopté en mai 2018 rendra l’application des règles de l’Union plus efficace et renforcera significativement la surveillance exercée par </w:t>
            </w:r>
            <w:r>
              <w:rPr>
                <w:rFonts w:ascii="Times New Roman" w:hAnsi="Times New Roman"/>
                <w:i/>
                <w:noProof/>
                <w:sz w:val="24"/>
              </w:rPr>
              <w:t>l’Union.</w:t>
            </w:r>
          </w:p>
        </w:tc>
      </w:tr>
    </w:tbl>
    <w:p w:rsidR="00EB371E" w:rsidRDefault="00EB371E">
      <w:pPr>
        <w:widowControl w:val="0"/>
        <w:adjustRightInd w:val="0"/>
        <w:spacing w:after="0" w:line="240" w:lineRule="auto"/>
        <w:jc w:val="both"/>
        <w:textAlignment w:val="baseline"/>
        <w:rPr>
          <w:rFonts w:ascii="Times New Roman" w:hAnsi="Times New Roman" w:cs="Times New Roman"/>
          <w:i/>
          <w:noProof/>
          <w:sz w:val="24"/>
          <w:szCs w:val="24"/>
        </w:rPr>
      </w:pPr>
    </w:p>
    <w:p w:rsidR="00EB371E" w:rsidRDefault="00EF242D">
      <w:pPr>
        <w:widowControl w:val="0"/>
        <w:adjustRightInd w:val="0"/>
        <w:spacing w:after="0" w:line="240" w:lineRule="auto"/>
        <w:jc w:val="both"/>
        <w:textAlignment w:val="baseline"/>
        <w:rPr>
          <w:rFonts w:ascii="Times New Roman" w:eastAsia="Times New Roman" w:hAnsi="Times New Roman" w:cs="Times New Roman"/>
          <w:noProof/>
          <w:sz w:val="24"/>
          <w:szCs w:val="24"/>
        </w:rPr>
      </w:pPr>
      <w:r>
        <w:rPr>
          <w:rFonts w:ascii="Times New Roman" w:hAnsi="Times New Roman"/>
          <w:noProof/>
          <w:sz w:val="24"/>
        </w:rPr>
        <w:t>Pour être efficace, la législation relative au marché unique requiert souvent la surveillance d’autorités indépendantes au niveau national qui disposent de personnel et d’équipements suffisants. C’est le cas dans des domaines tels que la concurr</w:t>
      </w:r>
      <w:r>
        <w:rPr>
          <w:rFonts w:ascii="Times New Roman" w:hAnsi="Times New Roman"/>
          <w:noProof/>
          <w:sz w:val="24"/>
        </w:rPr>
        <w:t>ence, la surveillance des marchés, la protection des données, l’énergie, les transports, les télécommunications ou les services financiers. Ces autorités offrent une garantie supplémentaire quant à la bonne application des règles du marché unique, et la Co</w:t>
      </w:r>
      <w:r>
        <w:rPr>
          <w:rFonts w:ascii="Times New Roman" w:hAnsi="Times New Roman"/>
          <w:noProof/>
          <w:sz w:val="24"/>
        </w:rPr>
        <w:t>mmission continuera à veiller en particulier à ce qu’elles fonctionnent correctement et disposent des ressources suffisantes. Concrètement, la Commission entend accroître son soutien au renforcement des capacités administratives, notamment à l’aide des pro</w:t>
      </w:r>
      <w:r>
        <w:rPr>
          <w:rFonts w:ascii="Times New Roman" w:hAnsi="Times New Roman"/>
          <w:noProof/>
          <w:sz w:val="24"/>
        </w:rPr>
        <w:t xml:space="preserve">grammes d’appui au marché unique et aux réformes proposés dans le cadre du prochain cadre financier pluriannuel. </w:t>
      </w:r>
    </w:p>
    <w:p w:rsidR="00EB371E" w:rsidRDefault="00EB371E">
      <w:pPr>
        <w:widowControl w:val="0"/>
        <w:adjustRightInd w:val="0"/>
        <w:spacing w:after="0" w:line="240" w:lineRule="auto"/>
        <w:jc w:val="both"/>
        <w:textAlignment w:val="baseline"/>
        <w:rPr>
          <w:rFonts w:ascii="Times New Roman" w:eastAsia="Times New Roman" w:hAnsi="Times New Roman" w:cs="Times New Roman"/>
          <w:noProof/>
          <w:sz w:val="24"/>
          <w:szCs w:val="24"/>
        </w:rPr>
      </w:pPr>
    </w:p>
    <w:p w:rsidR="00EB371E" w:rsidRDefault="00EF242D">
      <w:pPr>
        <w:widowControl w:val="0"/>
        <w:adjustRightInd w:val="0"/>
        <w:spacing w:after="0" w:line="240" w:lineRule="auto"/>
        <w:jc w:val="both"/>
        <w:textAlignment w:val="baseline"/>
        <w:rPr>
          <w:rFonts w:ascii="Times New Roman" w:eastAsia="Times New Roman" w:hAnsi="Times New Roman" w:cs="Times New Roman"/>
          <w:noProof/>
          <w:sz w:val="24"/>
          <w:szCs w:val="24"/>
        </w:rPr>
      </w:pPr>
      <w:r>
        <w:rPr>
          <w:rFonts w:ascii="Times New Roman" w:hAnsi="Times New Roman"/>
          <w:noProof/>
          <w:sz w:val="24"/>
        </w:rPr>
        <w:t>La protection des consommateurs contre les pratiques frauduleuses d’entreprises peu scrupuleuses est un défi qui exige une plus grande coopér</w:t>
      </w:r>
      <w:r>
        <w:rPr>
          <w:rFonts w:ascii="Times New Roman" w:hAnsi="Times New Roman"/>
          <w:noProof/>
          <w:sz w:val="24"/>
        </w:rPr>
        <w:t>ation transfrontière entre les administrations. L’affaire de la contamination des œufs au fipronil survenue en 2017 a ainsi montré que la coopération dans le domaine de la prévention de la fraude alimentaire pouvait être encore renforcée. Une coopération t</w:t>
      </w:r>
      <w:r>
        <w:rPr>
          <w:rFonts w:ascii="Times New Roman" w:hAnsi="Times New Roman"/>
          <w:noProof/>
          <w:sz w:val="24"/>
        </w:rPr>
        <w:t>ransfrontière est également nécessaire pour aider les citoyens et les entreprises à jouir des libertés offertes par le marché unique et pour régler les conflits entre pouvoirs publics. La Commission a pris des mesures décisives dans ce domaine avec sa prop</w:t>
      </w:r>
      <w:r>
        <w:rPr>
          <w:rFonts w:ascii="Times New Roman" w:hAnsi="Times New Roman"/>
          <w:noProof/>
          <w:sz w:val="24"/>
        </w:rPr>
        <w:t>osition de création d’une Autorité européenne du travail</w:t>
      </w:r>
      <w:r>
        <w:rPr>
          <w:rStyle w:val="FootnoteReference"/>
          <w:rFonts w:ascii="Times New Roman" w:hAnsi="Times New Roman"/>
          <w:noProof/>
          <w:sz w:val="24"/>
        </w:rPr>
        <w:footnoteReference w:id="21"/>
      </w:r>
      <w:r>
        <w:rPr>
          <w:rFonts w:ascii="Times New Roman" w:hAnsi="Times New Roman"/>
          <w:noProof/>
          <w:sz w:val="24"/>
        </w:rPr>
        <w:t>. Son objectif est d’améliorer la libre circulation des travailleurs, en particulier grâce à une coopération transfrontière entre les autorités nationales et à une médiation en cas de différends tran</w:t>
      </w:r>
      <w:r>
        <w:rPr>
          <w:rFonts w:ascii="Times New Roman" w:hAnsi="Times New Roman"/>
          <w:noProof/>
          <w:sz w:val="24"/>
        </w:rPr>
        <w:t xml:space="preserve">sfrontières. </w:t>
      </w:r>
    </w:p>
    <w:p w:rsidR="00EB371E" w:rsidRDefault="00EB371E">
      <w:pPr>
        <w:widowControl w:val="0"/>
        <w:adjustRightInd w:val="0"/>
        <w:spacing w:after="0" w:line="240" w:lineRule="auto"/>
        <w:jc w:val="both"/>
        <w:textAlignment w:val="baseline"/>
        <w:rPr>
          <w:rFonts w:ascii="Times New Roman" w:eastAsia="Times New Roman" w:hAnsi="Times New Roman" w:cs="Times New Roman"/>
          <w:i/>
          <w:noProof/>
          <w:sz w:val="24"/>
          <w:szCs w:val="24"/>
        </w:rPr>
      </w:pPr>
    </w:p>
    <w:p w:rsidR="00EB371E" w:rsidRDefault="00EF242D">
      <w:pPr>
        <w:widowControl w:val="0"/>
        <w:tabs>
          <w:tab w:val="left" w:pos="1560"/>
        </w:tabs>
        <w:adjustRightInd w:val="0"/>
        <w:spacing w:after="0" w:line="240" w:lineRule="auto"/>
        <w:jc w:val="both"/>
        <w:textAlignment w:val="baseline"/>
        <w:rPr>
          <w:rFonts w:ascii="Times New Roman" w:eastAsia="Times New Roman" w:hAnsi="Times New Roman" w:cs="Times New Roman"/>
          <w:noProof/>
          <w:sz w:val="24"/>
          <w:szCs w:val="24"/>
        </w:rPr>
      </w:pPr>
      <w:r>
        <w:rPr>
          <w:rFonts w:ascii="Times New Roman" w:hAnsi="Times New Roman"/>
          <w:noProof/>
          <w:sz w:val="24"/>
        </w:rPr>
        <w:t>Comme il ressort du tableau de bord de la justice</w:t>
      </w:r>
      <w:r>
        <w:rPr>
          <w:rStyle w:val="FootnoteReference"/>
          <w:rFonts w:ascii="Times New Roman" w:hAnsi="Times New Roman"/>
          <w:noProof/>
          <w:sz w:val="24"/>
        </w:rPr>
        <w:footnoteReference w:id="22"/>
      </w:r>
      <w:r>
        <w:rPr>
          <w:rFonts w:ascii="Times New Roman" w:hAnsi="Times New Roman"/>
          <w:noProof/>
          <w:sz w:val="24"/>
        </w:rPr>
        <w:t>, la Commission rappelle que l’indépendance, la qualité et l’efficacité des systèmes de justice et le respect de l’état de droit au niveau national sont essentiels au maintien de la confiance</w:t>
      </w:r>
      <w:r>
        <w:rPr>
          <w:rFonts w:ascii="Times New Roman" w:hAnsi="Times New Roman"/>
          <w:noProof/>
          <w:sz w:val="24"/>
        </w:rPr>
        <w:t xml:space="preserve"> dans le marché unique. Améliorer les systèmes de justice nationaux constitue donc une priorité pour la Commission, que ce soit dans le cadre du Semestre européen - le cycle annuel de coordination des politiques économiques de l’Union - ou de l’appui à la </w:t>
      </w:r>
      <w:r>
        <w:rPr>
          <w:rFonts w:ascii="Times New Roman" w:hAnsi="Times New Roman"/>
          <w:noProof/>
          <w:sz w:val="24"/>
        </w:rPr>
        <w:t>formation et au travail des juges, fourni notamment au moyen du réseau judiciaire européen. La Commission a également proposé de renforcer la capacité des citoyens à faire respecter leurs droits. Avec le paquet «Une nouvelle donne pour les consommateurs</w:t>
      </w:r>
      <w:r>
        <w:rPr>
          <w:rStyle w:val="FootnoteReference"/>
          <w:rFonts w:ascii="Times New Roman" w:hAnsi="Times New Roman"/>
          <w:noProof/>
          <w:sz w:val="24"/>
        </w:rPr>
        <w:footnoteReference w:id="23"/>
      </w:r>
      <w:r>
        <w:rPr>
          <w:rFonts w:ascii="Times New Roman" w:hAnsi="Times New Roman"/>
          <w:noProof/>
          <w:sz w:val="24"/>
        </w:rPr>
        <w:t xml:space="preserve">, </w:t>
      </w:r>
      <w:r>
        <w:rPr>
          <w:rFonts w:ascii="Times New Roman" w:hAnsi="Times New Roman"/>
          <w:noProof/>
          <w:sz w:val="24"/>
        </w:rPr>
        <w:t>des entités qualifiées seront autorisées à agir en justice pour le compte de consommateurs. S’il est adopté, ce paquet introduira des moyens moins coûteux et plus efficaces de mettre un terme aux infractions portant préjudice à un grand nombre de consommat</w:t>
      </w:r>
      <w:r>
        <w:rPr>
          <w:rFonts w:ascii="Times New Roman" w:hAnsi="Times New Roman"/>
          <w:noProof/>
          <w:sz w:val="24"/>
        </w:rPr>
        <w:t>eurs de l’Union et d'y remédier. Dans les domaines dans lesquels les infractions au droit de l’Union peuvent être difficiles à déceler et sont susceptibles de nuire gravement à l’intérêt public, les lanceurs d’alerte peuvent jouer un rôle crucial, comme l’</w:t>
      </w:r>
      <w:r>
        <w:rPr>
          <w:rFonts w:ascii="Times New Roman" w:hAnsi="Times New Roman"/>
          <w:noProof/>
          <w:sz w:val="24"/>
        </w:rPr>
        <w:t>ont démontré plusieurs scandales récents. La proposition de la Commission sur cette question garantira que les lanceurs d’alerte se sentent en sécurité lorsqu’ils rapportent de telles infractions</w:t>
      </w:r>
      <w:r>
        <w:rPr>
          <w:rStyle w:val="FootnoteReference"/>
          <w:rFonts w:ascii="Times New Roman" w:hAnsi="Times New Roman"/>
          <w:noProof/>
          <w:sz w:val="24"/>
        </w:rPr>
        <w:footnoteReference w:id="24"/>
      </w:r>
      <w:r>
        <w:rPr>
          <w:rFonts w:ascii="Times New Roman" w:hAnsi="Times New Roman"/>
          <w:noProof/>
          <w:sz w:val="24"/>
        </w:rPr>
        <w:t xml:space="preserve">. </w:t>
      </w:r>
    </w:p>
    <w:p w:rsidR="00EB371E" w:rsidRDefault="00EB371E">
      <w:pPr>
        <w:widowControl w:val="0"/>
        <w:tabs>
          <w:tab w:val="left" w:pos="1560"/>
        </w:tabs>
        <w:adjustRightInd w:val="0"/>
        <w:spacing w:after="0" w:line="240" w:lineRule="auto"/>
        <w:jc w:val="both"/>
        <w:textAlignment w:val="baseline"/>
        <w:rPr>
          <w:rFonts w:ascii="Times New Roman" w:eastAsia="Times New Roman" w:hAnsi="Times New Roman" w:cs="Times New Roman"/>
          <w:noProof/>
          <w:sz w:val="24"/>
          <w:szCs w:val="24"/>
        </w:rPr>
      </w:pPr>
    </w:p>
    <w:p w:rsidR="00EB371E" w:rsidRDefault="00EF242D">
      <w:pPr>
        <w:keepNext/>
        <w:tabs>
          <w:tab w:val="left" w:pos="709"/>
        </w:tabs>
        <w:adjustRightInd w:val="0"/>
        <w:spacing w:after="120" w:line="240" w:lineRule="auto"/>
        <w:jc w:val="both"/>
        <w:textAlignment w:val="baseline"/>
        <w:rPr>
          <w:rFonts w:ascii="Times New Roman" w:eastAsia="Times New Roman" w:hAnsi="Times New Roman" w:cs="Times New Roman"/>
          <w:b/>
          <w:noProof/>
          <w:sz w:val="24"/>
          <w:szCs w:val="24"/>
        </w:rPr>
      </w:pPr>
      <w:r>
        <w:rPr>
          <w:rFonts w:ascii="Times New Roman" w:hAnsi="Times New Roman"/>
          <w:b/>
          <w:noProof/>
          <w:sz w:val="24"/>
        </w:rPr>
        <w:t>2.2</w:t>
      </w:r>
      <w:r>
        <w:rPr>
          <w:noProof/>
        </w:rPr>
        <w:tab/>
      </w:r>
      <w:r>
        <w:rPr>
          <w:rFonts w:ascii="Times New Roman" w:hAnsi="Times New Roman"/>
          <w:b/>
          <w:noProof/>
          <w:sz w:val="24"/>
        </w:rPr>
        <w:t>Contrôle du respect des règles au niveau de l’Union</w:t>
      </w:r>
    </w:p>
    <w:p w:rsidR="00EB371E" w:rsidRDefault="00EF242D">
      <w:pPr>
        <w:widowControl w:val="0"/>
        <w:adjustRightInd w:val="0"/>
        <w:spacing w:after="0" w:line="240" w:lineRule="auto"/>
        <w:jc w:val="both"/>
        <w:textAlignment w:val="baseline"/>
        <w:rPr>
          <w:rFonts w:ascii="Times New Roman" w:hAnsi="Times New Roman" w:cs="Times New Roman"/>
          <w:noProof/>
          <w:sz w:val="24"/>
          <w:szCs w:val="24"/>
        </w:rPr>
      </w:pPr>
      <w:r>
        <w:rPr>
          <w:rFonts w:ascii="Times New Roman" w:hAnsi="Times New Roman"/>
          <w:noProof/>
          <w:sz w:val="24"/>
        </w:rPr>
        <w:t>En tant que gardienne des traités, la Commission garantit le respect des règles de l’Union par les États membres, principalement au moyen de procédures d’infraction, conformément à l’approche stratégique définie dans la communication intitulée «Le droit de</w:t>
      </w:r>
      <w:r>
        <w:rPr>
          <w:rFonts w:ascii="Times New Roman" w:hAnsi="Times New Roman"/>
          <w:noProof/>
          <w:sz w:val="24"/>
        </w:rPr>
        <w:t xml:space="preserve"> l’UE: une meilleure application pour de meilleurs résultats»</w:t>
      </w:r>
      <w:r>
        <w:rPr>
          <w:rStyle w:val="FootnoteReference"/>
          <w:rFonts w:ascii="Times New Roman" w:hAnsi="Times New Roman"/>
          <w:noProof/>
          <w:sz w:val="24"/>
        </w:rPr>
        <w:footnoteReference w:id="25"/>
      </w:r>
      <w:r>
        <w:rPr>
          <w:rFonts w:ascii="Times New Roman" w:hAnsi="Times New Roman"/>
          <w:noProof/>
          <w:sz w:val="24"/>
        </w:rPr>
        <w:t>, et du contrôle des aides d’État.  L’Union a également mis en place des mécanismes de surveillance renforcée, tels que les autorités européennes de surveillance dans le domaine des services fin</w:t>
      </w:r>
      <w:r>
        <w:rPr>
          <w:rFonts w:ascii="Times New Roman" w:hAnsi="Times New Roman"/>
          <w:noProof/>
          <w:sz w:val="24"/>
        </w:rPr>
        <w:t>anciers. Étant donné que les menaces pesant sur la stabilité financière et la protection des investisseurs ne connaissent pas les frontières, la Commission a présenté des propositions</w:t>
      </w:r>
      <w:r>
        <w:rPr>
          <w:rStyle w:val="FootnoteReference"/>
          <w:rFonts w:ascii="Times New Roman" w:hAnsi="Times New Roman"/>
          <w:noProof/>
          <w:sz w:val="24"/>
        </w:rPr>
        <w:footnoteReference w:id="26"/>
      </w:r>
      <w:r>
        <w:rPr>
          <w:rFonts w:ascii="Times New Roman" w:hAnsi="Times New Roman"/>
          <w:noProof/>
          <w:sz w:val="24"/>
        </w:rPr>
        <w:t xml:space="preserve"> visant à renforcer et à intégrer davantage la surveillance financière a</w:t>
      </w:r>
      <w:r>
        <w:rPr>
          <w:rFonts w:ascii="Times New Roman" w:hAnsi="Times New Roman"/>
          <w:noProof/>
          <w:sz w:val="24"/>
        </w:rPr>
        <w:t>ssurée par ces autorités, y compris dans le domaine du blanchiment de capitaux. Conformément à son objectif d’être «plus grande et plus ambitieuse pour les grands enjeux, et plus petite et plus modeste pour les petits dossiers», la Commission a également d</w:t>
      </w:r>
      <w:r>
        <w:rPr>
          <w:rFonts w:ascii="Times New Roman" w:hAnsi="Times New Roman"/>
          <w:noProof/>
          <w:sz w:val="24"/>
        </w:rPr>
        <w:t>écidé de cibler encore davantage le contrôle des aides d’État et les procédures d’infraction sur les mesures ayant une incidence significative sur le marché unique, par exemple dans le domaine de la fiscalité des entreprises pour ce qui est des aides d’Éta</w:t>
      </w:r>
      <w:r>
        <w:rPr>
          <w:rFonts w:ascii="Times New Roman" w:hAnsi="Times New Roman"/>
          <w:noProof/>
          <w:sz w:val="24"/>
        </w:rPr>
        <w:t>t</w:t>
      </w:r>
      <w:r>
        <w:rPr>
          <w:rStyle w:val="FootnoteReference"/>
          <w:rFonts w:ascii="Times New Roman" w:hAnsi="Times New Roman"/>
          <w:noProof/>
          <w:sz w:val="24"/>
        </w:rPr>
        <w:footnoteReference w:id="27"/>
      </w:r>
      <w:r>
        <w:rPr>
          <w:rFonts w:ascii="Times New Roman" w:hAnsi="Times New Roman"/>
          <w:noProof/>
          <w:sz w:val="24"/>
        </w:rPr>
        <w:t>.</w:t>
      </w:r>
    </w:p>
    <w:p w:rsidR="00EB371E" w:rsidRDefault="00EB371E">
      <w:pPr>
        <w:widowControl w:val="0"/>
        <w:adjustRightInd w:val="0"/>
        <w:spacing w:after="0" w:line="240" w:lineRule="auto"/>
        <w:jc w:val="both"/>
        <w:textAlignment w:val="baseline"/>
        <w:rPr>
          <w:rFonts w:ascii="Times New Roman" w:eastAsia="Times New Roman" w:hAnsi="Times New Roman" w:cs="Times New Roman"/>
          <w:noProof/>
          <w:sz w:val="24"/>
          <w:szCs w:val="24"/>
        </w:rPr>
      </w:pPr>
    </w:p>
    <w:p w:rsidR="00EB371E" w:rsidRDefault="00EF242D">
      <w:pPr>
        <w:widowControl w:val="0"/>
        <w:adjustRightInd w:val="0"/>
        <w:spacing w:after="0" w:line="240" w:lineRule="auto"/>
        <w:jc w:val="both"/>
        <w:textAlignment w:val="baseline"/>
        <w:rPr>
          <w:rFonts w:ascii="Times New Roman" w:eastAsia="Times New Roman" w:hAnsi="Times New Roman" w:cs="Times New Roman"/>
          <w:noProof/>
          <w:sz w:val="24"/>
          <w:szCs w:val="24"/>
        </w:rPr>
      </w:pPr>
      <w:r>
        <w:rPr>
          <w:rFonts w:ascii="Times New Roman" w:hAnsi="Times New Roman"/>
          <w:noProof/>
          <w:sz w:val="24"/>
        </w:rPr>
        <w:t>Les entreprises peuvent également entraver le fonctionnement du marché unique en érigeant des obstacles au commerce, à l’investissement ou à l’entrepreneuriat. Lorsqu’elles concluent des accords illégaux pour éviter la concurrence, ou lorsque des opér</w:t>
      </w:r>
      <w:r>
        <w:rPr>
          <w:rFonts w:ascii="Times New Roman" w:hAnsi="Times New Roman"/>
          <w:noProof/>
          <w:sz w:val="24"/>
        </w:rPr>
        <w:t xml:space="preserve">ateurs en position dominante empêchent des concurrents d’entrer sur leur marché, il en résulte des prix plus élevés et un choix plus restreint pour les consommateurs. Ces pratiques portent également préjudice aux entreprises qui en sont les victimes. Dans </w:t>
      </w:r>
      <w:r>
        <w:rPr>
          <w:rFonts w:ascii="Times New Roman" w:hAnsi="Times New Roman"/>
          <w:noProof/>
          <w:sz w:val="24"/>
        </w:rPr>
        <w:t>ces cas, la Commission continuera d’intervenir pour protéger les consommateurs au sein du marché unique et de compléter l’action des autorités nationales de concurrence moins bien équipées pour traiter les affaires ayant une dimension transfrontière. Il co</w:t>
      </w:r>
      <w:r>
        <w:rPr>
          <w:rFonts w:ascii="Times New Roman" w:hAnsi="Times New Roman"/>
          <w:noProof/>
          <w:sz w:val="24"/>
        </w:rPr>
        <w:t xml:space="preserve">nvient également d’éviter l'apparition de nouveaux obstacles dans les domaines du marché unique qui fonctionnent bien. </w:t>
      </w:r>
    </w:p>
    <w:p w:rsidR="00EB371E" w:rsidRDefault="00EB371E">
      <w:pPr>
        <w:spacing w:after="0"/>
        <w:rPr>
          <w:rFonts w:ascii="Times New Roman" w:hAnsi="Times New Roman" w:cs="Times New Roman"/>
          <w:noProof/>
          <w:sz w:val="24"/>
          <w:szCs w:val="24"/>
        </w:rPr>
      </w:pPr>
    </w:p>
    <w:tbl>
      <w:tblPr>
        <w:tblStyle w:val="TableGrid"/>
        <w:tblW w:w="0" w:type="auto"/>
        <w:tblLook w:val="04A0" w:firstRow="1" w:lastRow="0" w:firstColumn="1" w:lastColumn="0" w:noHBand="0" w:noVBand="1"/>
      </w:tblPr>
      <w:tblGrid>
        <w:gridCol w:w="9212"/>
      </w:tblGrid>
      <w:tr w:rsidR="00EB371E">
        <w:tc>
          <w:tcPr>
            <w:tcW w:w="9212" w:type="dxa"/>
          </w:tcPr>
          <w:p w:rsidR="00EB371E" w:rsidRDefault="00EF242D">
            <w:pPr>
              <w:widowControl w:val="0"/>
              <w:adjustRightInd w:val="0"/>
              <w:jc w:val="both"/>
              <w:textAlignment w:val="baseline"/>
              <w:rPr>
                <w:rFonts w:ascii="Times New Roman" w:hAnsi="Times New Roman" w:cs="Times New Roman"/>
                <w:noProof/>
                <w:sz w:val="24"/>
                <w:szCs w:val="24"/>
              </w:rPr>
            </w:pPr>
            <w:r>
              <w:rPr>
                <w:rFonts w:ascii="Times New Roman" w:hAnsi="Times New Roman"/>
                <w:i/>
                <w:noProof/>
                <w:sz w:val="24"/>
              </w:rPr>
              <w:t>Afin de recenser les obstacles au marché intérieur créés par les entreprises, la Commission a mené une vaste enquête sectorielle sur le</w:t>
            </w:r>
            <w:r>
              <w:rPr>
                <w:rFonts w:ascii="Times New Roman" w:hAnsi="Times New Roman"/>
                <w:i/>
                <w:noProof/>
                <w:sz w:val="24"/>
              </w:rPr>
              <w:t xml:space="preserve"> commerce électronique. Depuis cette enquête, son contrôle du respect des règles de concurrence cible les restrictions contractuelles entravant le commerce électronique transfrontière. En juillet 2018, la Commission a infligé des amendes à quatre entrepris</w:t>
            </w:r>
            <w:r>
              <w:rPr>
                <w:rFonts w:ascii="Times New Roman" w:hAnsi="Times New Roman"/>
                <w:i/>
                <w:noProof/>
                <w:sz w:val="24"/>
              </w:rPr>
              <w:t xml:space="preserve">es au motif qu’elles ont restreint la capacité de leurs détaillants de déterminer de manière indépendante les prix de revente de produits électroniques et ont limité le nombre de pays dans lesquels ces détaillants pouvaient effectuer des ventes en ligne. </w:t>
            </w:r>
          </w:p>
        </w:tc>
      </w:tr>
    </w:tbl>
    <w:p w:rsidR="00EB371E" w:rsidRDefault="00EF242D">
      <w:pPr>
        <w:pStyle w:val="Heading2"/>
        <w:keepLines w:val="0"/>
        <w:numPr>
          <w:ilvl w:val="0"/>
          <w:numId w:val="2"/>
        </w:numPr>
        <w:spacing w:before="100" w:beforeAutospacing="1" w:after="120"/>
        <w:ind w:left="709" w:hanging="709"/>
        <w:rPr>
          <w:rFonts w:ascii="Times New Roman" w:hAnsi="Times New Roman" w:cs="Times New Roman"/>
          <w:noProof/>
          <w:color w:val="auto"/>
          <w:sz w:val="24"/>
          <w:szCs w:val="24"/>
        </w:rPr>
      </w:pPr>
      <w:r>
        <w:rPr>
          <w:rFonts w:ascii="Times New Roman" w:hAnsi="Times New Roman"/>
          <w:noProof/>
          <w:color w:val="auto"/>
          <w:sz w:val="24"/>
        </w:rPr>
        <w:t>Exploiter le plein potentiel du marché unique</w:t>
      </w:r>
    </w:p>
    <w:p w:rsidR="00EB371E" w:rsidRDefault="00EF242D">
      <w:pPr>
        <w:spacing w:after="0" w:line="240" w:lineRule="auto"/>
        <w:jc w:val="both"/>
        <w:rPr>
          <w:rFonts w:ascii="Times New Roman" w:hAnsi="Times New Roman" w:cs="Times New Roman"/>
          <w:noProof/>
          <w:sz w:val="24"/>
          <w:szCs w:val="24"/>
        </w:rPr>
      </w:pPr>
      <w:r>
        <w:rPr>
          <w:rFonts w:ascii="Times New Roman" w:hAnsi="Times New Roman"/>
          <w:noProof/>
          <w:sz w:val="24"/>
        </w:rPr>
        <w:t>Pour parvenir à un rythme de croissance économique plus soutenu de manière durable, l’Union doit de toute urgence améliorer les conditions stimulant la croissance de la productivité. Ainsi que l’a souligné la Commission dans son examen annuel de la croissa</w:t>
      </w:r>
      <w:r>
        <w:rPr>
          <w:rFonts w:ascii="Times New Roman" w:hAnsi="Times New Roman"/>
          <w:noProof/>
          <w:sz w:val="24"/>
        </w:rPr>
        <w:t>nce, des marchés efficients constituent, conjointement avec l’innovation et la diffusion de la technologie, un moteur important de la croissance de la productivité. Le marché unique est également l'un des fondements de l’Union économique et monétaire et so</w:t>
      </w:r>
      <w:r>
        <w:rPr>
          <w:rFonts w:ascii="Times New Roman" w:hAnsi="Times New Roman"/>
          <w:noProof/>
          <w:sz w:val="24"/>
        </w:rPr>
        <w:t xml:space="preserve">n intégration est essentielle en vue d’une résilience accrue. L’euro favorise en outre les échanges transfrontières et permet de bénéficier plus facilement d’économies d’échelle. </w:t>
      </w:r>
    </w:p>
    <w:p w:rsidR="00EB371E" w:rsidRDefault="00EB371E">
      <w:pPr>
        <w:spacing w:after="0" w:line="240" w:lineRule="auto"/>
        <w:jc w:val="both"/>
        <w:rPr>
          <w:rFonts w:ascii="Times New Roman" w:hAnsi="Times New Roman" w:cs="Times New Roman"/>
          <w:noProof/>
          <w:sz w:val="24"/>
          <w:szCs w:val="24"/>
        </w:rPr>
      </w:pPr>
    </w:p>
    <w:p w:rsidR="00EB371E" w:rsidRDefault="00EF242D">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Le plein potentiel du marché unique en tant qu’outil de production de </w:t>
      </w:r>
      <w:r>
        <w:rPr>
          <w:rFonts w:ascii="Times New Roman" w:hAnsi="Times New Roman"/>
          <w:noProof/>
          <w:sz w:val="24"/>
        </w:rPr>
        <w:t>croissance, de création d’emplois et de compétitivité internationale reste à exploiter dans de nombreux domaines. Il en est ainsi, par exemple, du virage numérique et de l’émergence de nouvelles technologies, pour lesquels la principale difficulté consiste</w:t>
      </w:r>
      <w:r>
        <w:rPr>
          <w:rFonts w:ascii="Times New Roman" w:hAnsi="Times New Roman"/>
          <w:noProof/>
          <w:sz w:val="24"/>
        </w:rPr>
        <w:t xml:space="preserve"> à déterminer ce qu'il faut réglementer, s'il est nécessaire de le faire, et à quel moment et comment, ainsi que de l’économie circulaire, pour laquelle l’objectif consiste à mettre en place un cadre réglementaire garantissant une durabilité plus important</w:t>
      </w:r>
      <w:r>
        <w:rPr>
          <w:rFonts w:ascii="Times New Roman" w:hAnsi="Times New Roman"/>
          <w:noProof/>
          <w:sz w:val="24"/>
        </w:rPr>
        <w:t>e des activités économiques, synonyme de création d’emplois, d'innovation accrue et de croissance. Dans les deux cas, il faut veiller à agir au niveau européen afin d'éviter la fragmentation du marché unique qui résulterait d’une multiplication de démarche</w:t>
      </w:r>
      <w:r>
        <w:rPr>
          <w:rFonts w:ascii="Times New Roman" w:hAnsi="Times New Roman"/>
          <w:noProof/>
          <w:sz w:val="24"/>
        </w:rPr>
        <w:t>s nationales. De même, les services, les produits, la fiscalité et les industries de réseau, où la réalisation d’investissements en vue d’une intégration économique plus poussée requiert un capital politique plus important que par le passé, recèlent un pot</w:t>
      </w:r>
      <w:r>
        <w:rPr>
          <w:rFonts w:ascii="Times New Roman" w:hAnsi="Times New Roman"/>
          <w:noProof/>
          <w:sz w:val="24"/>
        </w:rPr>
        <w:t xml:space="preserve">entiel supplémentaire considérable. Il convient de ne pas sous-estimer l’incidence extérieure d’une intégration accrue du marché unique dans un monde qui change de plus en plus: en effet, elle rendra l’Union encore plus attrayante aux yeux des partenaires </w:t>
      </w:r>
      <w:r>
        <w:rPr>
          <w:rFonts w:ascii="Times New Roman" w:hAnsi="Times New Roman"/>
          <w:noProof/>
          <w:sz w:val="24"/>
        </w:rPr>
        <w:t>commerciaux internationaux et lui permettra d’avoir davantage de poids sur la scène internationale.</w:t>
      </w:r>
    </w:p>
    <w:p w:rsidR="00EB371E" w:rsidRDefault="00EB371E">
      <w:pPr>
        <w:spacing w:after="0" w:line="240" w:lineRule="auto"/>
        <w:jc w:val="both"/>
        <w:rPr>
          <w:rFonts w:ascii="Times New Roman" w:hAnsi="Times New Roman" w:cs="Times New Roman"/>
          <w:noProof/>
          <w:sz w:val="24"/>
          <w:szCs w:val="24"/>
        </w:rPr>
      </w:pPr>
    </w:p>
    <w:p w:rsidR="00EB371E" w:rsidRDefault="00EF242D">
      <w:pPr>
        <w:spacing w:after="0" w:line="240" w:lineRule="auto"/>
        <w:jc w:val="both"/>
        <w:rPr>
          <w:rFonts w:ascii="Times New Roman" w:hAnsi="Times New Roman" w:cs="Times New Roman"/>
          <w:noProof/>
          <w:sz w:val="24"/>
          <w:szCs w:val="24"/>
        </w:rPr>
      </w:pPr>
      <w:r>
        <w:rPr>
          <w:rFonts w:ascii="Times New Roman" w:hAnsi="Times New Roman"/>
          <w:noProof/>
          <w:sz w:val="24"/>
        </w:rPr>
        <w:t>Pour que le marché unique fonctionne bien, il importe que les règles soient claires, équitables et adaptées à leur finalité. La Commission continue d’évalu</w:t>
      </w:r>
      <w:r>
        <w:rPr>
          <w:rFonts w:ascii="Times New Roman" w:hAnsi="Times New Roman"/>
          <w:noProof/>
          <w:sz w:val="24"/>
        </w:rPr>
        <w:t>er à intervalles réguliers les réglementations existantes et à procéder à des consultations publiques et à des analyses d’impact exhaustives lors de l’élaboration de nouvelles règles afin de veiller à ce que le cadre législatif remplisse ses objectifs sans</w:t>
      </w:r>
      <w:r>
        <w:rPr>
          <w:rFonts w:ascii="Times New Roman" w:hAnsi="Times New Roman"/>
          <w:noProof/>
          <w:sz w:val="24"/>
        </w:rPr>
        <w:t xml:space="preserve"> engendrer des coûts inutiles. En outre, le principe d’innovation permet de garantir que le cadre législatif pourra supporter l’épreuve du temps. La Commission continue également d’élaborer des outils de surveillance et d’évaluer les bienfaits du marché un</w:t>
      </w:r>
      <w:r>
        <w:rPr>
          <w:rFonts w:ascii="Times New Roman" w:hAnsi="Times New Roman"/>
          <w:noProof/>
          <w:sz w:val="24"/>
        </w:rPr>
        <w:t>ique et ce qui entrave son fonctionnement, ainsi que l'incidence de la législation de l’Union sur ce dernier, en s’appuyant sur l’expérience des utilisateurs, des consommateurs et des entreprises.</w:t>
      </w:r>
    </w:p>
    <w:p w:rsidR="00EB371E" w:rsidRDefault="00EB371E">
      <w:pPr>
        <w:spacing w:after="0" w:line="240" w:lineRule="auto"/>
        <w:jc w:val="both"/>
        <w:rPr>
          <w:rFonts w:ascii="Times New Roman" w:hAnsi="Times New Roman" w:cs="Times New Roman"/>
          <w:noProof/>
          <w:sz w:val="24"/>
          <w:szCs w:val="24"/>
        </w:rPr>
      </w:pPr>
    </w:p>
    <w:p w:rsidR="00EB371E" w:rsidRDefault="00EF242D">
      <w:pPr>
        <w:pStyle w:val="Heading2"/>
        <w:keepLines w:val="0"/>
        <w:spacing w:before="0" w:after="120" w:line="240" w:lineRule="auto"/>
        <w:ind w:left="709" w:hanging="709"/>
        <w:rPr>
          <w:rFonts w:ascii="Times New Roman" w:hAnsi="Times New Roman" w:cs="Times New Roman"/>
          <w:noProof/>
          <w:sz w:val="24"/>
          <w:szCs w:val="24"/>
        </w:rPr>
      </w:pPr>
      <w:r>
        <w:rPr>
          <w:rFonts w:ascii="Times New Roman" w:hAnsi="Times New Roman"/>
          <w:noProof/>
          <w:color w:val="auto"/>
          <w:sz w:val="24"/>
        </w:rPr>
        <w:t>3.1</w:t>
      </w:r>
      <w:r>
        <w:rPr>
          <w:noProof/>
        </w:rPr>
        <w:tab/>
      </w:r>
      <w:r>
        <w:rPr>
          <w:rFonts w:ascii="Times New Roman" w:hAnsi="Times New Roman"/>
          <w:noProof/>
          <w:color w:val="auto"/>
          <w:sz w:val="24"/>
        </w:rPr>
        <w:t>D’un marché «physique» à un marché numérique</w:t>
      </w:r>
    </w:p>
    <w:p w:rsidR="00EB371E" w:rsidRDefault="00EF242D">
      <w:pPr>
        <w:spacing w:after="0" w:line="240" w:lineRule="auto"/>
        <w:jc w:val="both"/>
        <w:rPr>
          <w:rFonts w:ascii="Times New Roman" w:hAnsi="Times New Roman" w:cs="Times New Roman"/>
          <w:noProof/>
          <w:sz w:val="24"/>
          <w:szCs w:val="24"/>
        </w:rPr>
      </w:pPr>
      <w:r>
        <w:rPr>
          <w:rFonts w:ascii="Times New Roman" w:hAnsi="Times New Roman"/>
          <w:noProof/>
          <w:sz w:val="24"/>
        </w:rPr>
        <w:t>Les techn</w:t>
      </w:r>
      <w:r>
        <w:rPr>
          <w:rFonts w:ascii="Times New Roman" w:hAnsi="Times New Roman"/>
          <w:noProof/>
          <w:sz w:val="24"/>
        </w:rPr>
        <w:t xml:space="preserve">ologies numériques font désormais partie intégrante du marché unique, à tel point que la distinction entre marché unique «physique» traditionnel et marché unique «numérique» n’est plus pertinente. La numérisation des entreprises - y compris des industries </w:t>
      </w:r>
      <w:r>
        <w:rPr>
          <w:rFonts w:ascii="Times New Roman" w:hAnsi="Times New Roman"/>
          <w:noProof/>
          <w:sz w:val="24"/>
        </w:rPr>
        <w:t>traditionnelles - et des administrations est essentielle, et il convient d’élaborer et de tenir à jour des règles applicables au marché unique afin de garantir que l’innovation et la diffusion des nouvelles technologies stimulent la croissance de la produc</w:t>
      </w:r>
      <w:r>
        <w:rPr>
          <w:rFonts w:ascii="Times New Roman" w:hAnsi="Times New Roman"/>
          <w:noProof/>
          <w:sz w:val="24"/>
        </w:rPr>
        <w:t>tivité</w:t>
      </w:r>
      <w:r>
        <w:rPr>
          <w:rStyle w:val="FootnoteReference"/>
          <w:rFonts w:ascii="Times New Roman" w:hAnsi="Times New Roman"/>
          <w:noProof/>
          <w:sz w:val="24"/>
        </w:rPr>
        <w:footnoteReference w:id="28"/>
      </w:r>
      <w:r>
        <w:rPr>
          <w:rFonts w:ascii="Times New Roman" w:hAnsi="Times New Roman"/>
          <w:noProof/>
          <w:sz w:val="24"/>
        </w:rPr>
        <w:t>. Le marché unique continuera de la sorte à soutenir les entreprises innovantes et à permettre aux jeunes pousses de se développer et de prospérer dans l’Union. C'est particulièrement important pour le commerce électronique, les plateformes, les tec</w:t>
      </w:r>
      <w:r>
        <w:rPr>
          <w:rFonts w:ascii="Times New Roman" w:hAnsi="Times New Roman"/>
          <w:noProof/>
          <w:sz w:val="24"/>
        </w:rPr>
        <w:t>hnologies financières</w:t>
      </w:r>
      <w:r>
        <w:rPr>
          <w:rStyle w:val="FootnoteReference"/>
          <w:rFonts w:ascii="Times New Roman" w:hAnsi="Times New Roman"/>
          <w:noProof/>
          <w:sz w:val="24"/>
        </w:rPr>
        <w:footnoteReference w:id="29"/>
      </w:r>
      <w:r>
        <w:rPr>
          <w:rFonts w:ascii="Times New Roman" w:hAnsi="Times New Roman"/>
          <w:noProof/>
          <w:sz w:val="24"/>
        </w:rPr>
        <w:t xml:space="preserve"> et l’économie collaborative.</w:t>
      </w:r>
    </w:p>
    <w:p w:rsidR="00EB371E" w:rsidRDefault="00EB371E">
      <w:pPr>
        <w:spacing w:after="0" w:line="240" w:lineRule="auto"/>
        <w:jc w:val="both"/>
        <w:rPr>
          <w:rFonts w:ascii="Times New Roman" w:hAnsi="Times New Roman" w:cs="Times New Roman"/>
          <w:noProof/>
          <w:sz w:val="24"/>
          <w:szCs w:val="24"/>
        </w:rPr>
      </w:pPr>
    </w:p>
    <w:p w:rsidR="00EB371E" w:rsidRDefault="00EF242D">
      <w:pPr>
        <w:spacing w:after="0" w:line="240" w:lineRule="auto"/>
        <w:jc w:val="both"/>
        <w:rPr>
          <w:rFonts w:ascii="Times New Roman" w:hAnsi="Times New Roman" w:cs="Times New Roman"/>
          <w:noProof/>
          <w:color w:val="000000" w:themeColor="text1"/>
          <w:sz w:val="24"/>
          <w:szCs w:val="24"/>
        </w:rPr>
      </w:pPr>
      <w:r>
        <w:rPr>
          <w:rFonts w:ascii="Times New Roman" w:hAnsi="Times New Roman"/>
          <w:noProof/>
          <w:sz w:val="24"/>
        </w:rPr>
        <w:t xml:space="preserve">Les technologies numériques permettent potentiellement aux entreprises de vendre des produits et des services directement au domicile de plus de 512 millions de consommateurs dans l’Union. En 2017, 33 % </w:t>
      </w:r>
      <w:r>
        <w:rPr>
          <w:rFonts w:ascii="Times New Roman" w:hAnsi="Times New Roman"/>
          <w:noProof/>
          <w:sz w:val="24"/>
        </w:rPr>
        <w:t>des consommateurs européens et 18 % des entreprises européennes ont effectué des ventes ou des achats en ligne transfrontières</w:t>
      </w:r>
      <w:r>
        <w:rPr>
          <w:rStyle w:val="FootnoteReference"/>
          <w:rFonts w:ascii="Times New Roman" w:hAnsi="Times New Roman"/>
          <w:noProof/>
          <w:sz w:val="24"/>
        </w:rPr>
        <w:footnoteReference w:id="30"/>
      </w:r>
      <w:r>
        <w:rPr>
          <w:rFonts w:ascii="Times New Roman" w:hAnsi="Times New Roman"/>
          <w:noProof/>
          <w:sz w:val="24"/>
        </w:rPr>
        <w:t>. Toutefois, de nouveaux obstacles, mis en place par les États membres ou les entreprises, freinent</w:t>
      </w:r>
      <w:r>
        <w:rPr>
          <w:rFonts w:ascii="Times New Roman" w:hAnsi="Times New Roman"/>
          <w:noProof/>
          <w:color w:val="000000" w:themeColor="text1"/>
          <w:sz w:val="24"/>
        </w:rPr>
        <w:t xml:space="preserve"> </w:t>
      </w:r>
      <w:r>
        <w:rPr>
          <w:rFonts w:ascii="Times New Roman" w:hAnsi="Times New Roman"/>
          <w:noProof/>
          <w:sz w:val="24"/>
        </w:rPr>
        <w:t>la croissance du commerce éle</w:t>
      </w:r>
      <w:r>
        <w:rPr>
          <w:rFonts w:ascii="Times New Roman" w:hAnsi="Times New Roman"/>
          <w:noProof/>
          <w:sz w:val="24"/>
        </w:rPr>
        <w:t xml:space="preserve">ctronique, entravent les échanges transfrontières et requièrent donc une </w:t>
      </w:r>
      <w:r>
        <w:rPr>
          <w:rFonts w:ascii="Times New Roman" w:hAnsi="Times New Roman"/>
          <w:noProof/>
          <w:color w:val="000000" w:themeColor="text1"/>
          <w:sz w:val="24"/>
        </w:rPr>
        <w:t>action au niveau de l’Union. L'une des principales conclusions des enquêtes menées récemment par la Commission est que près de 40 % des sites web ne permettent pas aux consommateurs d</w:t>
      </w:r>
      <w:r>
        <w:rPr>
          <w:rFonts w:ascii="Times New Roman" w:hAnsi="Times New Roman"/>
          <w:noProof/>
          <w:color w:val="000000" w:themeColor="text1"/>
          <w:sz w:val="24"/>
        </w:rPr>
        <w:t>’autres États membres d’effectuer des achats en ligne</w:t>
      </w:r>
      <w:r>
        <w:rPr>
          <w:rStyle w:val="FootnoteReference"/>
          <w:rFonts w:ascii="Times New Roman" w:hAnsi="Times New Roman"/>
          <w:noProof/>
          <w:color w:val="000000" w:themeColor="text1"/>
          <w:sz w:val="24"/>
        </w:rPr>
        <w:footnoteReference w:id="31"/>
      </w:r>
      <w:r>
        <w:rPr>
          <w:rFonts w:ascii="Times New Roman" w:hAnsi="Times New Roman"/>
          <w:noProof/>
          <w:color w:val="000000" w:themeColor="text1"/>
          <w:sz w:val="24"/>
        </w:rPr>
        <w:t xml:space="preserve">. </w:t>
      </w:r>
    </w:p>
    <w:p w:rsidR="00EB371E" w:rsidRDefault="00EB371E">
      <w:pPr>
        <w:spacing w:after="0"/>
        <w:rPr>
          <w:rFonts w:ascii="Times New Roman" w:hAnsi="Times New Roman" w:cs="Times New Roman"/>
          <w:noProof/>
          <w:color w:val="000000" w:themeColor="text1"/>
          <w:sz w:val="24"/>
          <w:szCs w:val="24"/>
        </w:rPr>
      </w:pPr>
    </w:p>
    <w:p w:rsidR="00EB371E" w:rsidRDefault="00EF242D">
      <w:pPr>
        <w:spacing w:after="0" w:line="240" w:lineRule="auto"/>
        <w:jc w:val="both"/>
        <w:rPr>
          <w:noProof/>
          <w:color w:val="262626"/>
        </w:rPr>
      </w:pPr>
      <w:r>
        <w:rPr>
          <w:rFonts w:ascii="Times New Roman" w:hAnsi="Times New Roman"/>
          <w:noProof/>
          <w:color w:val="000000" w:themeColor="text1"/>
          <w:sz w:val="24"/>
        </w:rPr>
        <w:t xml:space="preserve">Dans </w:t>
      </w:r>
      <w:r>
        <w:rPr>
          <w:rFonts w:ascii="Times New Roman" w:hAnsi="Times New Roman"/>
          <w:noProof/>
          <w:sz w:val="24"/>
        </w:rPr>
        <w:t>le cadre de la stratégie pour un marché unique numérique, la Commission a présenté plusieurs initiatives visant à supprimer les principaux obstacles au commerce électronique. Plusieurs de ces i</w:t>
      </w:r>
      <w:r>
        <w:rPr>
          <w:rFonts w:ascii="Times New Roman" w:hAnsi="Times New Roman"/>
          <w:noProof/>
          <w:sz w:val="24"/>
        </w:rPr>
        <w:t>nitiatives, concernant le blocage géographique</w:t>
      </w:r>
      <w:r>
        <w:rPr>
          <w:rStyle w:val="FootnoteReference"/>
          <w:rFonts w:ascii="Times New Roman" w:hAnsi="Times New Roman"/>
          <w:noProof/>
          <w:sz w:val="24"/>
        </w:rPr>
        <w:footnoteReference w:id="32"/>
      </w:r>
      <w:r>
        <w:rPr>
          <w:rFonts w:ascii="Times New Roman" w:hAnsi="Times New Roman"/>
          <w:noProof/>
          <w:sz w:val="24"/>
        </w:rPr>
        <w:t>, les services de livraison transfrontière de colis</w:t>
      </w:r>
      <w:r>
        <w:rPr>
          <w:rStyle w:val="FootnoteReference"/>
          <w:rFonts w:ascii="Times New Roman" w:hAnsi="Times New Roman"/>
          <w:noProof/>
          <w:sz w:val="24"/>
        </w:rPr>
        <w:footnoteReference w:id="33"/>
      </w:r>
      <w:r>
        <w:rPr>
          <w:rFonts w:ascii="Times New Roman" w:hAnsi="Times New Roman"/>
          <w:noProof/>
          <w:sz w:val="24"/>
        </w:rPr>
        <w:t>, la taxe sur la valeur ajoutée applicable au commerce électronique</w:t>
      </w:r>
      <w:r>
        <w:rPr>
          <w:rStyle w:val="FootnoteReference"/>
          <w:rFonts w:ascii="Times New Roman" w:hAnsi="Times New Roman"/>
          <w:noProof/>
          <w:sz w:val="24"/>
        </w:rPr>
        <w:footnoteReference w:id="34"/>
      </w:r>
      <w:r>
        <w:rPr>
          <w:rFonts w:ascii="Times New Roman" w:hAnsi="Times New Roman"/>
          <w:noProof/>
          <w:sz w:val="24"/>
        </w:rPr>
        <w:t xml:space="preserve"> et la coopération en matière de protection des consommateurs</w:t>
      </w:r>
      <w:r>
        <w:rPr>
          <w:rStyle w:val="FootnoteReference"/>
          <w:rFonts w:ascii="Times New Roman" w:hAnsi="Times New Roman"/>
          <w:noProof/>
          <w:sz w:val="24"/>
        </w:rPr>
        <w:footnoteReference w:id="35"/>
      </w:r>
      <w:r>
        <w:rPr>
          <w:rFonts w:ascii="Times New Roman" w:hAnsi="Times New Roman"/>
          <w:noProof/>
          <w:sz w:val="24"/>
        </w:rPr>
        <w:t>, ont déjà adoptées. Le règ</w:t>
      </w:r>
      <w:r>
        <w:rPr>
          <w:rFonts w:ascii="Times New Roman" w:hAnsi="Times New Roman"/>
          <w:noProof/>
          <w:sz w:val="24"/>
        </w:rPr>
        <w:t>lement sur le blocage géographique, qui entrera en vigueur le 3 décembre 2018, interdit les pratiques discriminatoires fondées sur la nationalité, le lieu de résidence ou le lieu d’établissement</w:t>
      </w:r>
      <w:r>
        <w:rPr>
          <w:rFonts w:ascii="Times New Roman" w:hAnsi="Times New Roman"/>
          <w:noProof/>
          <w:color w:val="262626"/>
          <w:sz w:val="24"/>
        </w:rPr>
        <w:t xml:space="preserve">. </w:t>
      </w:r>
      <w:r>
        <w:rPr>
          <w:rFonts w:ascii="Times New Roman" w:hAnsi="Times New Roman"/>
          <w:noProof/>
          <w:sz w:val="24"/>
        </w:rPr>
        <w:t xml:space="preserve">Les propositions relatives à la mise à jour des </w:t>
      </w:r>
      <w:r>
        <w:rPr>
          <w:rFonts w:ascii="Times New Roman" w:hAnsi="Times New Roman"/>
          <w:b/>
          <w:noProof/>
          <w:sz w:val="24"/>
        </w:rPr>
        <w:t xml:space="preserve"> </w:t>
      </w:r>
      <w:r>
        <w:rPr>
          <w:rFonts w:ascii="Times New Roman" w:hAnsi="Times New Roman"/>
          <w:noProof/>
          <w:sz w:val="24"/>
        </w:rPr>
        <w:t xml:space="preserve">contrats </w:t>
      </w:r>
      <w:r>
        <w:rPr>
          <w:rFonts w:ascii="Times New Roman" w:hAnsi="Times New Roman"/>
          <w:noProof/>
          <w:sz w:val="24"/>
        </w:rPr>
        <w:t>numériques</w:t>
      </w:r>
      <w:r>
        <w:rPr>
          <w:rStyle w:val="FootnoteReference"/>
          <w:rFonts w:ascii="Times New Roman" w:hAnsi="Times New Roman"/>
          <w:noProof/>
          <w:sz w:val="24"/>
        </w:rPr>
        <w:footnoteReference w:id="36"/>
      </w:r>
      <w:r>
        <w:rPr>
          <w:rFonts w:ascii="Times New Roman" w:hAnsi="Times New Roman"/>
          <w:noProof/>
          <w:sz w:val="24"/>
        </w:rPr>
        <w:t xml:space="preserve">, toujours en cours de négociation, donneraient aux consommateurs l’assurance de disposer d’un niveau de protection comparable lorsqu’ils achètent des biens numériques et des biens physiques, que ce soit dans leur propre pays ou à l’étranger. </w:t>
      </w:r>
    </w:p>
    <w:p w:rsidR="00EB371E" w:rsidRDefault="00EB371E">
      <w:pPr>
        <w:spacing w:after="0" w:line="240" w:lineRule="auto"/>
        <w:jc w:val="both"/>
        <w:rPr>
          <w:rFonts w:ascii="Times New Roman" w:hAnsi="Times New Roman" w:cs="Times New Roman"/>
          <w:noProof/>
          <w:sz w:val="24"/>
          <w:szCs w:val="24"/>
        </w:rPr>
      </w:pPr>
    </w:p>
    <w:p w:rsidR="00EB371E" w:rsidRDefault="00EF242D">
      <w:pPr>
        <w:spacing w:after="0" w:line="240" w:lineRule="auto"/>
        <w:jc w:val="both"/>
        <w:rPr>
          <w:rFonts w:ascii="Times New Roman" w:hAnsi="Times New Roman" w:cs="Times New Roman"/>
          <w:noProof/>
          <w:sz w:val="24"/>
          <w:szCs w:val="24"/>
        </w:rPr>
      </w:pPr>
      <w:r>
        <w:rPr>
          <w:rFonts w:ascii="Times New Roman" w:hAnsi="Times New Roman"/>
          <w:noProof/>
          <w:sz w:val="24"/>
        </w:rPr>
        <w:t>Les plateformes en ligne sont devenues des acteurs de premier plan du marché unique, permettant à plus d’un million d’entreprises d’atteindre des consommateurs partout dans l’Union. Leur potentiel d’innovation est toutefois entravé par un manque de confian</w:t>
      </w:r>
      <w:r>
        <w:rPr>
          <w:rFonts w:ascii="Times New Roman" w:hAnsi="Times New Roman"/>
          <w:noProof/>
          <w:sz w:val="24"/>
        </w:rPr>
        <w:t xml:space="preserve">ce ainsi que par la prolifération de réglementations nationales. Il est nécessaire d’agir au niveau de l’Union pour ce qui est des </w:t>
      </w:r>
      <w:r>
        <w:rPr>
          <w:rFonts w:ascii="Times New Roman" w:hAnsi="Times New Roman"/>
          <w:noProof/>
          <w:color w:val="262626"/>
          <w:sz w:val="24"/>
        </w:rPr>
        <w:t>relations entre les entreprises</w:t>
      </w:r>
      <w:r>
        <w:rPr>
          <w:rFonts w:ascii="Times New Roman" w:hAnsi="Times New Roman"/>
          <w:noProof/>
          <w:sz w:val="24"/>
        </w:rPr>
        <w:t xml:space="preserve"> afin de garantir des échanges et une concurrence en ligne équitables, transparents et basés s</w:t>
      </w:r>
      <w:r>
        <w:rPr>
          <w:rFonts w:ascii="Times New Roman" w:hAnsi="Times New Roman"/>
          <w:noProof/>
          <w:sz w:val="24"/>
        </w:rPr>
        <w:t>ur la confiance. En avril 2018, la Commission a présenté une proposition de nouvelles règles harmonisées concernant les pratiques des «plateformes pour les entreprises»</w:t>
      </w:r>
      <w:r>
        <w:rPr>
          <w:rStyle w:val="FootnoteReference"/>
          <w:rFonts w:ascii="Times New Roman" w:hAnsi="Times New Roman"/>
          <w:noProof/>
          <w:sz w:val="24"/>
        </w:rPr>
        <w:footnoteReference w:id="37"/>
      </w:r>
      <w:r>
        <w:rPr>
          <w:rFonts w:ascii="Times New Roman" w:hAnsi="Times New Roman"/>
          <w:noProof/>
          <w:sz w:val="24"/>
        </w:rPr>
        <w:t>. La législation relative au droit d’auteur et les règles en matière d’imposition doive</w:t>
      </w:r>
      <w:r>
        <w:rPr>
          <w:rFonts w:ascii="Times New Roman" w:hAnsi="Times New Roman"/>
          <w:noProof/>
          <w:sz w:val="24"/>
        </w:rPr>
        <w:t>nt également être adaptées à l’ère numérique et la Commission a soumis des propositions en ce sens</w:t>
      </w:r>
      <w:r>
        <w:rPr>
          <w:rStyle w:val="FootnoteReference"/>
          <w:rFonts w:ascii="Times New Roman" w:hAnsi="Times New Roman"/>
          <w:noProof/>
          <w:sz w:val="24"/>
        </w:rPr>
        <w:footnoteReference w:id="38"/>
      </w:r>
      <w:r>
        <w:rPr>
          <w:rFonts w:ascii="Times New Roman" w:hAnsi="Times New Roman"/>
          <w:noProof/>
          <w:sz w:val="24"/>
        </w:rPr>
        <w:t>.</w:t>
      </w:r>
    </w:p>
    <w:p w:rsidR="00EB371E" w:rsidRDefault="00EF242D">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 </w:t>
      </w:r>
    </w:p>
    <w:p w:rsidR="00EB371E" w:rsidRDefault="00EF242D">
      <w:pPr>
        <w:spacing w:after="0" w:line="240" w:lineRule="auto"/>
        <w:jc w:val="both"/>
        <w:rPr>
          <w:rFonts w:ascii="Times New Roman" w:hAnsi="Times New Roman" w:cs="Times New Roman"/>
          <w:b/>
          <w:noProof/>
          <w:color w:val="262626"/>
          <w:sz w:val="24"/>
          <w:szCs w:val="24"/>
        </w:rPr>
      </w:pPr>
      <w:r>
        <w:rPr>
          <w:rFonts w:ascii="Times New Roman" w:hAnsi="Times New Roman"/>
          <w:noProof/>
          <w:color w:val="262626"/>
          <w:sz w:val="24"/>
        </w:rPr>
        <w:t>L’économie collaborative émergente offre des perspectives aux citoyens et aux entreprises. Plus de 400 000 citoyens exercent déjà des activités économiqu</w:t>
      </w:r>
      <w:r>
        <w:rPr>
          <w:rFonts w:ascii="Times New Roman" w:hAnsi="Times New Roman"/>
          <w:noProof/>
          <w:color w:val="262626"/>
          <w:sz w:val="24"/>
        </w:rPr>
        <w:t>es, dans les domaines du transport, de l’hébergement et de la finance, notamment. Pour permettre aux modèles économiques fondés sur l’économie collaborative de réaliser tout leur potentiel</w:t>
      </w:r>
      <w:r>
        <w:rPr>
          <w:rStyle w:val="FootnoteReference"/>
          <w:rFonts w:ascii="Times New Roman" w:hAnsi="Times New Roman"/>
          <w:noProof/>
          <w:color w:val="262626"/>
          <w:sz w:val="24"/>
        </w:rPr>
        <w:footnoteReference w:id="39"/>
      </w:r>
      <w:r>
        <w:rPr>
          <w:rFonts w:ascii="Times New Roman" w:hAnsi="Times New Roman"/>
          <w:noProof/>
          <w:color w:val="262626"/>
          <w:sz w:val="24"/>
        </w:rPr>
        <w:t xml:space="preserve"> et d’atteindre leur pleine dimension, il est crucial d'éviter tout</w:t>
      </w:r>
      <w:r>
        <w:rPr>
          <w:rFonts w:ascii="Times New Roman" w:hAnsi="Times New Roman"/>
          <w:noProof/>
          <w:color w:val="262626"/>
          <w:sz w:val="24"/>
        </w:rPr>
        <w:t>e réglementation non coordonnée de la part des États membres, en ce qui concerne par exemple la définition des frontières entre travail salarié et prestation de services entre pairs. Il convient de trouver un juste équilibre entre la protection des travail</w:t>
      </w:r>
      <w:r>
        <w:rPr>
          <w:rFonts w:ascii="Times New Roman" w:hAnsi="Times New Roman"/>
          <w:noProof/>
          <w:color w:val="262626"/>
          <w:sz w:val="24"/>
        </w:rPr>
        <w:t>leurs et l’adaptabilité du marché du travail, comme c’est le cas dans la proposition récente de la Commission relative à des conditions de travail transparentes et prévisibles dans l’Union européenne</w:t>
      </w:r>
      <w:r>
        <w:rPr>
          <w:rStyle w:val="FootnoteReference"/>
          <w:rFonts w:ascii="Times New Roman" w:hAnsi="Times New Roman"/>
          <w:noProof/>
          <w:color w:val="262626"/>
          <w:sz w:val="24"/>
        </w:rPr>
        <w:footnoteReference w:id="40"/>
      </w:r>
      <w:r>
        <w:rPr>
          <w:rFonts w:ascii="Times New Roman" w:hAnsi="Times New Roman"/>
          <w:noProof/>
          <w:color w:val="262626"/>
          <w:sz w:val="24"/>
        </w:rPr>
        <w:t xml:space="preserve">. </w:t>
      </w:r>
      <w:r>
        <w:rPr>
          <w:rFonts w:ascii="Times New Roman" w:hAnsi="Times New Roman"/>
          <w:noProof/>
          <w:sz w:val="24"/>
        </w:rPr>
        <w:t>Cette proposition s’inscrit dans le cadre de la mise e</w:t>
      </w:r>
      <w:r>
        <w:rPr>
          <w:rFonts w:ascii="Times New Roman" w:hAnsi="Times New Roman"/>
          <w:noProof/>
          <w:sz w:val="24"/>
        </w:rPr>
        <w:t xml:space="preserve">n œuvre du socle européen des droits sociaux, domaine dans lequel le Parlement européen et le Conseil doivent réaliser de nouvelles avancées d’ici à mars 2019 en ce qui concerne la négociation des diverses initiatives législatives destinées à rendre ledit </w:t>
      </w:r>
      <w:r>
        <w:rPr>
          <w:rFonts w:ascii="Times New Roman" w:hAnsi="Times New Roman"/>
          <w:noProof/>
          <w:sz w:val="24"/>
        </w:rPr>
        <w:t>socle plus opérationnel.</w:t>
      </w:r>
    </w:p>
    <w:p w:rsidR="00EB371E" w:rsidRDefault="00EB371E">
      <w:pPr>
        <w:pStyle w:val="Heading2"/>
        <w:keepNext w:val="0"/>
        <w:keepLines w:val="0"/>
        <w:spacing w:before="0" w:line="240" w:lineRule="auto"/>
        <w:rPr>
          <w:rFonts w:ascii="Times New Roman" w:eastAsiaTheme="minorHAnsi" w:hAnsi="Times New Roman" w:cs="Times New Roman"/>
          <w:bCs w:val="0"/>
          <w:noProof/>
          <w:color w:val="262626"/>
          <w:sz w:val="24"/>
          <w:szCs w:val="24"/>
        </w:rPr>
      </w:pPr>
    </w:p>
    <w:p w:rsidR="00EB371E" w:rsidRDefault="00EF242D">
      <w:pPr>
        <w:pStyle w:val="Heading2"/>
        <w:keepLines w:val="0"/>
        <w:spacing w:before="0" w:after="120" w:line="240" w:lineRule="auto"/>
        <w:ind w:left="709" w:hanging="709"/>
        <w:rPr>
          <w:rFonts w:ascii="Times New Roman" w:eastAsia="Times New Roman" w:hAnsi="Times New Roman" w:cs="Times New Roman"/>
          <w:noProof/>
          <w:color w:val="auto"/>
          <w:sz w:val="24"/>
          <w:szCs w:val="24"/>
        </w:rPr>
      </w:pPr>
      <w:r>
        <w:rPr>
          <w:rFonts w:ascii="Times New Roman" w:hAnsi="Times New Roman"/>
          <w:noProof/>
          <w:color w:val="auto"/>
          <w:sz w:val="24"/>
        </w:rPr>
        <w:t xml:space="preserve">3.2 </w:t>
      </w:r>
      <w:r>
        <w:rPr>
          <w:noProof/>
        </w:rPr>
        <w:tab/>
      </w:r>
      <w:r>
        <w:rPr>
          <w:rFonts w:ascii="Times New Roman" w:hAnsi="Times New Roman"/>
          <w:noProof/>
          <w:color w:val="auto"/>
          <w:sz w:val="24"/>
        </w:rPr>
        <w:t>Optimiser les possibilités offertes par l’économie européenne fondée sur les données</w:t>
      </w:r>
    </w:p>
    <w:p w:rsidR="00EB371E" w:rsidRDefault="00EF242D">
      <w:pPr>
        <w:spacing w:after="0" w:line="240" w:lineRule="auto"/>
        <w:jc w:val="both"/>
        <w:rPr>
          <w:rFonts w:ascii="Times New Roman" w:hAnsi="Times New Roman" w:cs="Times New Roman"/>
          <w:noProof/>
          <w:color w:val="000000" w:themeColor="text1"/>
          <w:sz w:val="24"/>
          <w:szCs w:val="24"/>
        </w:rPr>
      </w:pPr>
      <w:r>
        <w:rPr>
          <w:rFonts w:ascii="Times New Roman" w:hAnsi="Times New Roman"/>
          <w:noProof/>
          <w:sz w:val="24"/>
        </w:rPr>
        <w:t xml:space="preserve">Une économie numérique prospère requiert un écosystème de données s’appuyant sur trois socles, à savoir la confiance, la disponibilité des </w:t>
      </w:r>
      <w:r>
        <w:rPr>
          <w:rFonts w:ascii="Times New Roman" w:hAnsi="Times New Roman"/>
          <w:noProof/>
          <w:sz w:val="24"/>
        </w:rPr>
        <w:t>données et des capacités/infrastructures. Le marché unique constitue le niveau adéquat pour la mise en place d’un tel écosystème. L’élaboration et l’adoption rapides de règles et de normes européennes et, si nécessaire, internationales garantissant une har</w:t>
      </w:r>
      <w:r>
        <w:rPr>
          <w:rFonts w:ascii="Times New Roman" w:hAnsi="Times New Roman"/>
          <w:noProof/>
          <w:sz w:val="24"/>
        </w:rPr>
        <w:t>monisation du marché et l’interopérabilité des produits et des services numériques sont considérées comme prioritaires.</w:t>
      </w:r>
    </w:p>
    <w:p w:rsidR="00EB371E" w:rsidRDefault="00EB371E">
      <w:pPr>
        <w:spacing w:after="0" w:line="240" w:lineRule="auto"/>
        <w:jc w:val="both"/>
        <w:rPr>
          <w:rFonts w:ascii="Times New Roman" w:hAnsi="Times New Roman" w:cs="Times New Roman"/>
          <w:noProof/>
          <w:color w:val="000000" w:themeColor="text1"/>
          <w:sz w:val="24"/>
          <w:szCs w:val="24"/>
        </w:rPr>
      </w:pPr>
    </w:p>
    <w:p w:rsidR="00EB371E" w:rsidRDefault="00EF242D">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noProof/>
          <w:sz w:val="24"/>
          <w:szCs w:val="24"/>
        </w:rPr>
      </w:pPr>
      <w:r>
        <w:rPr>
          <w:rFonts w:ascii="Times New Roman" w:hAnsi="Times New Roman"/>
          <w:i/>
          <w:noProof/>
          <w:sz w:val="24"/>
        </w:rPr>
        <w:t xml:space="preserve">Le règlement général sur la protection des données (RGPD) est essentiel pour garantir la confiance envers le marché unique pour ce qui </w:t>
      </w:r>
      <w:r>
        <w:rPr>
          <w:rFonts w:ascii="Times New Roman" w:hAnsi="Times New Roman"/>
          <w:i/>
          <w:noProof/>
          <w:sz w:val="24"/>
        </w:rPr>
        <w:t xml:space="preserve">est des données à caractère personnel. Il ancre les valeurs et droits fondamentaux dans la stratégie numérique européenne et établit une nouvelle norme mondiale. Il permet aux citoyens d’exercer un contrôle accru sur la façon dont les entreprises traitent </w:t>
      </w:r>
      <w:r>
        <w:rPr>
          <w:rFonts w:ascii="Times New Roman" w:hAnsi="Times New Roman"/>
          <w:i/>
          <w:noProof/>
          <w:sz w:val="24"/>
        </w:rPr>
        <w:t xml:space="preserve">leurs données à caractère personnel, y compris leur droit à l’oubli, tout en offrant un ensemble unique de règles applicables sur l’ensemble du territoire de l’Union pour les entreprises. </w:t>
      </w:r>
    </w:p>
    <w:p w:rsidR="00EB371E" w:rsidRDefault="00EB371E">
      <w:pPr>
        <w:spacing w:after="0" w:line="240" w:lineRule="auto"/>
        <w:jc w:val="both"/>
        <w:rPr>
          <w:rFonts w:ascii="Times New Roman" w:hAnsi="Times New Roman" w:cs="Times New Roman"/>
          <w:noProof/>
          <w:sz w:val="24"/>
          <w:szCs w:val="24"/>
        </w:rPr>
      </w:pPr>
    </w:p>
    <w:p w:rsidR="00EB371E" w:rsidRDefault="00EF242D">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La proposition de règlement «vie privée et communications </w:t>
      </w:r>
      <w:r>
        <w:rPr>
          <w:rFonts w:ascii="Times New Roman" w:hAnsi="Times New Roman"/>
          <w:noProof/>
          <w:sz w:val="24"/>
        </w:rPr>
        <w:t>électroniques»</w:t>
      </w:r>
      <w:r>
        <w:rPr>
          <w:rStyle w:val="FootnoteReference"/>
          <w:rFonts w:ascii="Times New Roman" w:hAnsi="Times New Roman"/>
          <w:noProof/>
          <w:sz w:val="24"/>
        </w:rPr>
        <w:footnoteReference w:id="41"/>
      </w:r>
      <w:r>
        <w:rPr>
          <w:rFonts w:ascii="Times New Roman" w:hAnsi="Times New Roman"/>
          <w:noProof/>
          <w:sz w:val="24"/>
        </w:rPr>
        <w:t xml:space="preserve"> complètera le règlement général sur la protection des données par la mise en place d’un ensemble unique de règles garantissant un niveau élevé de protection de la vie privée pour toutes les communications électroniques. La confiance envers </w:t>
      </w:r>
      <w:r>
        <w:rPr>
          <w:rFonts w:ascii="Times New Roman" w:hAnsi="Times New Roman"/>
          <w:noProof/>
          <w:sz w:val="24"/>
        </w:rPr>
        <w:t>l’écosystème de données européen et la résilience de celui-ci seront également encouragées par des mesures visant à promouvoir un marché unique de la cybersécurité, comme indiqué dans la stratégie en matière de cybersécurité</w:t>
      </w:r>
      <w:r>
        <w:rPr>
          <w:rStyle w:val="FootnoteReference"/>
          <w:rFonts w:ascii="Times New Roman" w:hAnsi="Times New Roman"/>
          <w:noProof/>
          <w:sz w:val="24"/>
        </w:rPr>
        <w:footnoteReference w:id="42"/>
      </w:r>
      <w:r>
        <w:rPr>
          <w:rFonts w:ascii="Times New Roman" w:hAnsi="Times New Roman"/>
          <w:noProof/>
          <w:sz w:val="24"/>
        </w:rPr>
        <w:t xml:space="preserve">. </w:t>
      </w:r>
    </w:p>
    <w:p w:rsidR="00EB371E" w:rsidRDefault="00EB371E">
      <w:pPr>
        <w:spacing w:after="0" w:line="240" w:lineRule="auto"/>
        <w:jc w:val="both"/>
        <w:rPr>
          <w:rFonts w:ascii="Times New Roman" w:hAnsi="Times New Roman" w:cs="Times New Roman"/>
          <w:noProof/>
          <w:sz w:val="24"/>
          <w:szCs w:val="24"/>
        </w:rPr>
      </w:pPr>
    </w:p>
    <w:p w:rsidR="00EB371E" w:rsidRDefault="00EF242D">
      <w:pPr>
        <w:spacing w:after="0" w:line="240" w:lineRule="auto"/>
        <w:jc w:val="both"/>
        <w:rPr>
          <w:rFonts w:ascii="Times New Roman" w:hAnsi="Times New Roman" w:cs="Times New Roman"/>
          <w:noProof/>
          <w:color w:val="000000" w:themeColor="text1"/>
          <w:sz w:val="24"/>
          <w:szCs w:val="24"/>
        </w:rPr>
      </w:pPr>
      <w:r>
        <w:rPr>
          <w:rFonts w:ascii="Times New Roman" w:hAnsi="Times New Roman"/>
          <w:noProof/>
          <w:sz w:val="24"/>
        </w:rPr>
        <w:t>L’accès aux données est ess</w:t>
      </w:r>
      <w:r>
        <w:rPr>
          <w:rFonts w:ascii="Times New Roman" w:hAnsi="Times New Roman"/>
          <w:noProof/>
          <w:sz w:val="24"/>
        </w:rPr>
        <w:t>entiel pour l’économie des données. Avec l’adoption du règlement sur la libre circulation des données à caractère non personnel</w:t>
      </w:r>
      <w:r>
        <w:rPr>
          <w:rStyle w:val="FootnoteReference"/>
          <w:rFonts w:ascii="Times New Roman" w:hAnsi="Times New Roman"/>
          <w:noProof/>
          <w:sz w:val="24"/>
        </w:rPr>
        <w:footnoteReference w:id="43"/>
      </w:r>
      <w:r>
        <w:rPr>
          <w:rFonts w:ascii="Times New Roman" w:hAnsi="Times New Roman"/>
          <w:noProof/>
          <w:sz w:val="24"/>
        </w:rPr>
        <w:t>, les obstacles à cette libre circulation deviendront illégaux, ce qui facilitera l’exercice d’activités transfrontières au sein</w:t>
      </w:r>
      <w:r>
        <w:rPr>
          <w:rFonts w:ascii="Times New Roman" w:hAnsi="Times New Roman"/>
          <w:noProof/>
          <w:sz w:val="24"/>
        </w:rPr>
        <w:t xml:space="preserve"> de l’économie des données de l’Union. De même, grâce à l’adoption de la version révisée de la directive concernant la réutilisation des informations du secteur public</w:t>
      </w:r>
      <w:r>
        <w:rPr>
          <w:rStyle w:val="FootnoteReference"/>
          <w:rFonts w:ascii="Times New Roman" w:hAnsi="Times New Roman"/>
          <w:noProof/>
          <w:sz w:val="24"/>
        </w:rPr>
        <w:footnoteReference w:id="44"/>
      </w:r>
      <w:r>
        <w:rPr>
          <w:rFonts w:ascii="Times New Roman" w:hAnsi="Times New Roman"/>
          <w:noProof/>
          <w:sz w:val="24"/>
        </w:rPr>
        <w:t>, davantage de données de qualité élevée seront mises à la disposition des entreprises e</w:t>
      </w:r>
      <w:r>
        <w:rPr>
          <w:rFonts w:ascii="Times New Roman" w:hAnsi="Times New Roman"/>
          <w:noProof/>
          <w:sz w:val="24"/>
        </w:rPr>
        <w:t>t des innovateurs. Pour pouvoir développer les outils nécessaires en vue d’une utilisation efficiente des données, l’Union européenne doit renforcer ses capacités en matière d’intelligence artificielle, de calcul à haute performance et de technologies quan</w:t>
      </w:r>
      <w:r>
        <w:rPr>
          <w:rFonts w:ascii="Times New Roman" w:hAnsi="Times New Roman"/>
          <w:noProof/>
          <w:sz w:val="24"/>
        </w:rPr>
        <w:t xml:space="preserve">tiques. </w:t>
      </w:r>
      <w:r>
        <w:rPr>
          <w:rFonts w:ascii="Times New Roman" w:hAnsi="Times New Roman"/>
          <w:noProof/>
          <w:color w:val="000000" w:themeColor="text1"/>
          <w:sz w:val="24"/>
        </w:rPr>
        <w:t>Dans le domaine de l’intelligence artificielle, sont déjà à l'étude un plan coordonné en vue de la détermination et de la mobilisation des investissements nécessaires, ainsi que des lignes directrices en matière d’éthique portant sur le développeme</w:t>
      </w:r>
      <w:r>
        <w:rPr>
          <w:rFonts w:ascii="Times New Roman" w:hAnsi="Times New Roman"/>
          <w:noProof/>
          <w:color w:val="000000" w:themeColor="text1"/>
          <w:sz w:val="24"/>
        </w:rPr>
        <w:t>nt et l’utilisation de ces technologies lorsqu’elles interagissent avec des êtres humains.</w:t>
      </w:r>
    </w:p>
    <w:p w:rsidR="00EB371E" w:rsidRDefault="00EB371E">
      <w:pPr>
        <w:spacing w:after="0" w:line="240" w:lineRule="auto"/>
        <w:jc w:val="both"/>
        <w:rPr>
          <w:rFonts w:ascii="Times New Roman" w:hAnsi="Times New Roman" w:cs="Times New Roman"/>
          <w:noProof/>
          <w:sz w:val="24"/>
          <w:szCs w:val="24"/>
        </w:rPr>
      </w:pPr>
    </w:p>
    <w:p w:rsidR="00EB371E" w:rsidRDefault="00EF242D">
      <w:pPr>
        <w:keepNext/>
        <w:spacing w:after="120" w:line="240" w:lineRule="auto"/>
        <w:ind w:left="709" w:hanging="709"/>
        <w:jc w:val="both"/>
        <w:rPr>
          <w:rFonts w:ascii="Times New Roman" w:hAnsi="Times New Roman" w:cs="Times New Roman"/>
          <w:b/>
          <w:noProof/>
          <w:color w:val="262626"/>
          <w:sz w:val="24"/>
          <w:szCs w:val="24"/>
        </w:rPr>
      </w:pPr>
      <w:r>
        <w:rPr>
          <w:rFonts w:ascii="Times New Roman" w:hAnsi="Times New Roman"/>
          <w:b/>
          <w:noProof/>
          <w:color w:val="262626"/>
          <w:sz w:val="24"/>
        </w:rPr>
        <w:t>3.3</w:t>
      </w:r>
      <w:r>
        <w:rPr>
          <w:noProof/>
        </w:rPr>
        <w:tab/>
      </w:r>
      <w:r>
        <w:rPr>
          <w:rFonts w:ascii="Times New Roman" w:hAnsi="Times New Roman"/>
          <w:b/>
          <w:noProof/>
          <w:color w:val="262626"/>
          <w:sz w:val="24"/>
        </w:rPr>
        <w:t xml:space="preserve">Tenir compte des nouvelles préférences des consommateurs et des investisseurs dans une économie circulaire et dans le cadre d’un financement durable </w:t>
      </w:r>
    </w:p>
    <w:p w:rsidR="00EB371E" w:rsidRDefault="00EF242D">
      <w:pPr>
        <w:spacing w:after="0" w:line="240" w:lineRule="auto"/>
        <w:jc w:val="both"/>
        <w:rPr>
          <w:rFonts w:ascii="Times New Roman" w:hAnsi="Times New Roman" w:cs="Times New Roman"/>
          <w:noProof/>
          <w:sz w:val="24"/>
          <w:szCs w:val="24"/>
        </w:rPr>
      </w:pPr>
      <w:r>
        <w:rPr>
          <w:rFonts w:ascii="Times New Roman" w:hAnsi="Times New Roman"/>
          <w:noProof/>
          <w:sz w:val="24"/>
        </w:rPr>
        <w:t>Les consom</w:t>
      </w:r>
      <w:r>
        <w:rPr>
          <w:rFonts w:ascii="Times New Roman" w:hAnsi="Times New Roman"/>
          <w:noProof/>
          <w:sz w:val="24"/>
        </w:rPr>
        <w:t>mateurs se tournent de plus en plus souvent vers des produits et des services qui ont été élaborés et qui fonctionnent de manière durable. Cette tendance doit être encouragée, car elle contribue à une économie plus circulaire et sobre en carbone et offre d</w:t>
      </w:r>
      <w:r>
        <w:rPr>
          <w:rFonts w:ascii="Times New Roman" w:hAnsi="Times New Roman"/>
          <w:noProof/>
          <w:sz w:val="24"/>
        </w:rPr>
        <w:t>e nouvelles perspectives commerciales.</w:t>
      </w:r>
      <w:r>
        <w:rPr>
          <w:rFonts w:ascii="Times New Roman" w:hAnsi="Times New Roman"/>
          <w:noProof/>
        </w:rPr>
        <w:t xml:space="preserve"> </w:t>
      </w:r>
      <w:r>
        <w:rPr>
          <w:rFonts w:ascii="Times New Roman" w:hAnsi="Times New Roman"/>
          <w:noProof/>
          <w:sz w:val="24"/>
        </w:rPr>
        <w:t>Toutefois, une multiplication d’initiatives au niveau national ou local peut entraîner une fragmentation et, finalement, entraver la réalisation de ces objectifs</w:t>
      </w:r>
      <w:r>
        <w:rPr>
          <w:rFonts w:ascii="Times New Roman" w:hAnsi="Times New Roman"/>
          <w:i/>
          <w:noProof/>
          <w:sz w:val="24"/>
        </w:rPr>
        <w:t>.</w:t>
      </w:r>
      <w:r>
        <w:rPr>
          <w:rFonts w:ascii="Times New Roman" w:hAnsi="Times New Roman"/>
          <w:noProof/>
          <w:sz w:val="24"/>
        </w:rPr>
        <w:t xml:space="preserve"> Par une action au niveau de l’Union, </w:t>
      </w:r>
      <w:r>
        <w:rPr>
          <w:rFonts w:ascii="Times New Roman" w:hAnsi="Times New Roman"/>
          <w:noProof/>
          <w:color w:val="262626"/>
          <w:sz w:val="24"/>
        </w:rPr>
        <w:t xml:space="preserve">le marché unique </w:t>
      </w:r>
      <w:r>
        <w:rPr>
          <w:rFonts w:ascii="Times New Roman" w:hAnsi="Times New Roman"/>
          <w:noProof/>
          <w:color w:val="262626"/>
          <w:sz w:val="24"/>
        </w:rPr>
        <w:t>permet de garantir des conditions favorables aux investissements et à l’innovation tout en contribuant à une réalisation plus efficace des objectifs en matière de climat, de santé publique et de durabilité</w:t>
      </w:r>
      <w:r>
        <w:rPr>
          <w:rStyle w:val="FootnoteReference"/>
          <w:rFonts w:ascii="Times New Roman" w:hAnsi="Times New Roman"/>
          <w:noProof/>
          <w:sz w:val="24"/>
        </w:rPr>
        <w:footnoteReference w:id="45"/>
      </w:r>
      <w:r>
        <w:rPr>
          <w:rFonts w:ascii="Times New Roman" w:hAnsi="Times New Roman"/>
          <w:noProof/>
          <w:color w:val="262626"/>
          <w:sz w:val="24"/>
        </w:rPr>
        <w:t>.</w:t>
      </w:r>
      <w:r>
        <w:rPr>
          <w:rFonts w:ascii="Times New Roman" w:hAnsi="Times New Roman"/>
          <w:noProof/>
          <w:sz w:val="24"/>
        </w:rPr>
        <w:t xml:space="preserve"> </w:t>
      </w:r>
    </w:p>
    <w:p w:rsidR="00EB371E" w:rsidRDefault="00EB371E">
      <w:pPr>
        <w:spacing w:after="0" w:line="240" w:lineRule="auto"/>
        <w:jc w:val="both"/>
        <w:rPr>
          <w:rFonts w:ascii="Times New Roman" w:hAnsi="Times New Roman" w:cs="Times New Roman"/>
          <w:noProof/>
          <w:sz w:val="24"/>
          <w:szCs w:val="24"/>
        </w:rPr>
      </w:pPr>
    </w:p>
    <w:p w:rsidR="00EB371E" w:rsidRDefault="00EF242D">
      <w:pPr>
        <w:spacing w:after="0" w:line="240" w:lineRule="auto"/>
        <w:jc w:val="both"/>
        <w:rPr>
          <w:rFonts w:ascii="Times New Roman" w:hAnsi="Times New Roman" w:cs="Times New Roman"/>
          <w:noProof/>
          <w:color w:val="262626"/>
          <w:sz w:val="24"/>
          <w:szCs w:val="24"/>
        </w:rPr>
      </w:pPr>
      <w:r>
        <w:rPr>
          <w:rFonts w:ascii="Times New Roman" w:hAnsi="Times New Roman"/>
          <w:noProof/>
          <w:sz w:val="24"/>
        </w:rPr>
        <w:t>L’</w:t>
      </w:r>
      <w:r>
        <w:rPr>
          <w:rFonts w:ascii="Times New Roman" w:hAnsi="Times New Roman"/>
          <w:noProof/>
          <w:color w:val="262626"/>
          <w:sz w:val="24"/>
        </w:rPr>
        <w:t xml:space="preserve">économie circulaire, qui préserve la valeur </w:t>
      </w:r>
      <w:r>
        <w:rPr>
          <w:rFonts w:ascii="Times New Roman" w:hAnsi="Times New Roman"/>
          <w:noProof/>
          <w:color w:val="262626"/>
          <w:sz w:val="24"/>
        </w:rPr>
        <w:t>des produits, des matières et des ressources aussi longtemps que possible et réduit au minimum la production de déchets, doit devenir une caractéristique intrinsèque du marché unique. Dans le cadre de son plan d’action en faveur de l’économie circulaire</w:t>
      </w:r>
      <w:r>
        <w:rPr>
          <w:rStyle w:val="FootnoteReference"/>
          <w:rFonts w:ascii="Times New Roman" w:hAnsi="Times New Roman"/>
          <w:noProof/>
          <w:color w:val="262626"/>
          <w:sz w:val="24"/>
        </w:rPr>
        <w:footnoteReference w:id="46"/>
      </w:r>
      <w:r>
        <w:rPr>
          <w:rFonts w:ascii="Times New Roman" w:hAnsi="Times New Roman"/>
          <w:noProof/>
          <w:color w:val="262626"/>
          <w:sz w:val="24"/>
        </w:rPr>
        <w:t xml:space="preserve">, </w:t>
      </w:r>
      <w:r>
        <w:rPr>
          <w:rFonts w:ascii="Times New Roman" w:hAnsi="Times New Roman"/>
          <w:noProof/>
          <w:color w:val="262626"/>
          <w:sz w:val="24"/>
        </w:rPr>
        <w:t>la Commission a mis en place plusieurs actions visant à soutenir l’économie circulaire à chaque étape de la chaîne de valeur – de la conception et la production à la consommation, à la réparation et à la refabrication, à la gestion des déchets et aux matiè</w:t>
      </w:r>
      <w:r>
        <w:rPr>
          <w:rFonts w:ascii="Times New Roman" w:hAnsi="Times New Roman"/>
          <w:noProof/>
          <w:color w:val="262626"/>
          <w:sz w:val="24"/>
        </w:rPr>
        <w:t xml:space="preserve">res premières secondaires qui sont réintroduites dans l’économie. Cette méthode a déjà été appliquée aux plastiques, </w:t>
      </w:r>
      <w:r>
        <w:rPr>
          <w:rFonts w:ascii="Times New Roman" w:hAnsi="Times New Roman"/>
          <w:noProof/>
          <w:sz w:val="24"/>
        </w:rPr>
        <w:t>le potentiel de recyclage des déchets plastiques restant largement inexploité. D’ici à 2030, tous les emballages en plastique devraient pou</w:t>
      </w:r>
      <w:r>
        <w:rPr>
          <w:rFonts w:ascii="Times New Roman" w:hAnsi="Times New Roman"/>
          <w:noProof/>
          <w:sz w:val="24"/>
        </w:rPr>
        <w:t xml:space="preserve">voir être recyclés avec un bon rapport coût-efficacité. La Commission a également proposé des règles communes visant à interdire les produits en plastique à usage unique et à prévenir la fragmentation du marché unique qui aurait pu résulter de l’existence </w:t>
      </w:r>
      <w:r>
        <w:rPr>
          <w:rFonts w:ascii="Times New Roman" w:hAnsi="Times New Roman"/>
          <w:noProof/>
          <w:sz w:val="24"/>
        </w:rPr>
        <w:t xml:space="preserve">de réglementations nationales différentes. </w:t>
      </w:r>
    </w:p>
    <w:p w:rsidR="00EB371E" w:rsidRDefault="00EB371E">
      <w:pPr>
        <w:spacing w:after="0" w:line="240" w:lineRule="auto"/>
        <w:jc w:val="both"/>
        <w:rPr>
          <w:noProof/>
        </w:rPr>
      </w:pPr>
    </w:p>
    <w:p w:rsidR="00EB371E" w:rsidRDefault="00EF242D">
      <w:pPr>
        <w:spacing w:after="0" w:line="240" w:lineRule="auto"/>
        <w:jc w:val="both"/>
        <w:rPr>
          <w:rFonts w:ascii="Times New Roman" w:hAnsi="Times New Roman" w:cs="Times New Roman"/>
          <w:noProof/>
          <w:sz w:val="24"/>
          <w:szCs w:val="24"/>
        </w:rPr>
      </w:pPr>
      <w:r>
        <w:rPr>
          <w:rFonts w:ascii="Times New Roman" w:hAnsi="Times New Roman"/>
          <w:noProof/>
          <w:sz w:val="24"/>
        </w:rPr>
        <w:t>La mise en place d’un marché unique des capitaux peut aussi aider l’Union à respecter les engagements qu’elle a pris dans le cadre de l’accord de Paris</w:t>
      </w:r>
      <w:r>
        <w:rPr>
          <w:rStyle w:val="FootnoteReference"/>
          <w:rFonts w:ascii="Times New Roman" w:hAnsi="Times New Roman"/>
          <w:noProof/>
          <w:sz w:val="24"/>
        </w:rPr>
        <w:footnoteReference w:id="47"/>
      </w:r>
      <w:r>
        <w:rPr>
          <w:rFonts w:ascii="Times New Roman" w:hAnsi="Times New Roman"/>
          <w:noProof/>
          <w:sz w:val="24"/>
        </w:rPr>
        <w:t>. Pour que des capitaux privés puissent alimenter des proje</w:t>
      </w:r>
      <w:r>
        <w:rPr>
          <w:rFonts w:ascii="Times New Roman" w:hAnsi="Times New Roman"/>
          <w:noProof/>
          <w:sz w:val="24"/>
        </w:rPr>
        <w:t>ts durables, les acteurs du marché financier ont besoin de conditions de concurrence équitables. Face à une demande croissante, la Commission a présenté un plan d’action sur le financement de la croissance durable</w:t>
      </w:r>
      <w:r>
        <w:rPr>
          <w:rStyle w:val="FootnoteReference"/>
          <w:rFonts w:ascii="Times New Roman" w:hAnsi="Times New Roman"/>
          <w:noProof/>
          <w:sz w:val="24"/>
        </w:rPr>
        <w:footnoteReference w:id="48"/>
      </w:r>
      <w:r>
        <w:rPr>
          <w:rFonts w:ascii="Times New Roman" w:hAnsi="Times New Roman"/>
          <w:noProof/>
          <w:sz w:val="24"/>
        </w:rPr>
        <w:t xml:space="preserve"> et a proposé des règles devant permettre </w:t>
      </w:r>
      <w:r>
        <w:rPr>
          <w:rFonts w:ascii="Times New Roman" w:hAnsi="Times New Roman"/>
          <w:noProof/>
          <w:sz w:val="24"/>
        </w:rPr>
        <w:t>une compréhension commune des produits financiers durables et conduire à la transparence nécessaire au développement de ceux-ci</w:t>
      </w:r>
      <w:r>
        <w:rPr>
          <w:rStyle w:val="FootnoteReference"/>
          <w:rFonts w:ascii="Times New Roman" w:hAnsi="Times New Roman"/>
          <w:noProof/>
          <w:sz w:val="24"/>
        </w:rPr>
        <w:footnoteReference w:id="49"/>
      </w:r>
      <w:r>
        <w:rPr>
          <w:rFonts w:ascii="Times New Roman" w:hAnsi="Times New Roman"/>
          <w:noProof/>
          <w:sz w:val="24"/>
        </w:rPr>
        <w:t>. Afin d’exposer sa conception des réductions des émissions de gaz à effet de serre à long terme dans l’Union européenne, la Com</w:t>
      </w:r>
      <w:r>
        <w:rPr>
          <w:rFonts w:ascii="Times New Roman" w:hAnsi="Times New Roman"/>
          <w:noProof/>
          <w:sz w:val="24"/>
        </w:rPr>
        <w:t>mission présentera prochainement une stratégie tenant compte des objectifs de l’accord de Paris sur le climat.</w:t>
      </w:r>
      <w:r>
        <w:rPr>
          <w:noProof/>
        </w:rPr>
        <w:t xml:space="preserve"> </w:t>
      </w:r>
      <w:r>
        <w:rPr>
          <w:rFonts w:ascii="Times New Roman" w:hAnsi="Times New Roman"/>
          <w:noProof/>
          <w:sz w:val="24"/>
        </w:rPr>
        <w:t>Elle soumettra aussi prochainement un document de réflexion sur la voie à suivre pour parvenir à une Europe durable à l'horizon 2030, faisant sui</w:t>
      </w:r>
      <w:r>
        <w:rPr>
          <w:rFonts w:ascii="Times New Roman" w:hAnsi="Times New Roman"/>
          <w:noProof/>
          <w:sz w:val="24"/>
        </w:rPr>
        <w:t>te aux objectifs de développement durable des Nations unies.</w:t>
      </w:r>
    </w:p>
    <w:p w:rsidR="00EB371E" w:rsidRDefault="00EB371E">
      <w:pPr>
        <w:spacing w:after="0"/>
        <w:rPr>
          <w:rFonts w:ascii="Times New Roman" w:hAnsi="Times New Roman"/>
          <w:noProof/>
          <w:sz w:val="24"/>
        </w:rPr>
      </w:pPr>
    </w:p>
    <w:p w:rsidR="00EB371E" w:rsidRDefault="00EF242D">
      <w:pPr>
        <w:pStyle w:val="Heading2"/>
        <w:keepLines w:val="0"/>
        <w:spacing w:before="0" w:after="120" w:line="240" w:lineRule="auto"/>
        <w:ind w:left="709" w:hanging="709"/>
        <w:rPr>
          <w:rFonts w:ascii="Times New Roman" w:hAnsi="Times New Roman" w:cs="Times New Roman"/>
          <w:noProof/>
          <w:color w:val="auto"/>
          <w:sz w:val="24"/>
          <w:szCs w:val="24"/>
        </w:rPr>
      </w:pPr>
      <w:r>
        <w:rPr>
          <w:rFonts w:ascii="Times New Roman" w:hAnsi="Times New Roman"/>
          <w:noProof/>
          <w:color w:val="auto"/>
          <w:sz w:val="24"/>
        </w:rPr>
        <w:t>3.4</w:t>
      </w:r>
      <w:r>
        <w:rPr>
          <w:noProof/>
        </w:rPr>
        <w:tab/>
      </w:r>
      <w:r>
        <w:rPr>
          <w:rFonts w:ascii="Times New Roman" w:hAnsi="Times New Roman"/>
          <w:noProof/>
          <w:color w:val="auto"/>
          <w:sz w:val="24"/>
        </w:rPr>
        <w:t>Difficultés persistantes sur les marchés des produits et des services</w:t>
      </w:r>
    </w:p>
    <w:p w:rsidR="00EB371E" w:rsidRDefault="00EF242D">
      <w:pPr>
        <w:spacing w:after="0" w:line="240" w:lineRule="auto"/>
        <w:jc w:val="both"/>
        <w:rPr>
          <w:rFonts w:ascii="Times New Roman" w:hAnsi="Times New Roman" w:cs="Times New Roman"/>
          <w:noProof/>
          <w:sz w:val="24"/>
          <w:szCs w:val="24"/>
        </w:rPr>
      </w:pPr>
      <w:r>
        <w:rPr>
          <w:rFonts w:ascii="Times New Roman" w:hAnsi="Times New Roman"/>
          <w:noProof/>
          <w:sz w:val="24"/>
        </w:rPr>
        <w:t>Le marché unique constitue un instrument puissant aux fins de la diffusion de l’innovation et des nouvelles technologies</w:t>
      </w:r>
      <w:r>
        <w:rPr>
          <w:rFonts w:ascii="Times New Roman" w:hAnsi="Times New Roman"/>
          <w:noProof/>
          <w:sz w:val="24"/>
        </w:rPr>
        <w:t xml:space="preserve"> qui améliorent la productivité des économies européennes et sont sources de progrès social pour les citoyens. Il a été estimé que la promotion de nouvelles réformes visant à améliorer le fonctionnement du marché unique pour les produits manufacturés, qui </w:t>
      </w:r>
      <w:r>
        <w:rPr>
          <w:rFonts w:ascii="Times New Roman" w:hAnsi="Times New Roman"/>
          <w:noProof/>
          <w:sz w:val="24"/>
        </w:rPr>
        <w:t>est déjà une réussite en soi, pourrait générer pas moins de 183 milliards d’EUR par an</w:t>
      </w:r>
      <w:r>
        <w:rPr>
          <w:rStyle w:val="FootnoteReference"/>
          <w:rFonts w:ascii="Times New Roman" w:hAnsi="Times New Roman"/>
          <w:noProof/>
          <w:sz w:val="24"/>
        </w:rPr>
        <w:footnoteReference w:id="50"/>
      </w:r>
      <w:r>
        <w:rPr>
          <w:rFonts w:ascii="Times New Roman" w:hAnsi="Times New Roman"/>
          <w:noProof/>
          <w:sz w:val="24"/>
        </w:rPr>
        <w:t xml:space="preserve">. Les résultats les plus satisfaisants consisteraient cependant en une intégration accrue des services, et plus particulièrement des services aux entreprises, en raison </w:t>
      </w:r>
      <w:r>
        <w:rPr>
          <w:rFonts w:ascii="Times New Roman" w:hAnsi="Times New Roman"/>
          <w:noProof/>
          <w:sz w:val="24"/>
        </w:rPr>
        <w:t>notamment de l’intégration plus grande des activités de production et de services, comme c’est le cas pour l’économie des données. Selon les estimations, les gains possibles en la matière pourraient atteindre 338 milliards d’EUR par an</w:t>
      </w:r>
      <w:r>
        <w:rPr>
          <w:rStyle w:val="FootnoteReference"/>
          <w:rFonts w:ascii="Times New Roman" w:hAnsi="Times New Roman"/>
          <w:noProof/>
          <w:sz w:val="24"/>
        </w:rPr>
        <w:footnoteReference w:id="51"/>
      </w:r>
      <w:r>
        <w:rPr>
          <w:rFonts w:ascii="Times New Roman" w:hAnsi="Times New Roman"/>
          <w:noProof/>
          <w:sz w:val="24"/>
        </w:rPr>
        <w:t>. Conjointement avec</w:t>
      </w:r>
      <w:r>
        <w:rPr>
          <w:rFonts w:ascii="Times New Roman" w:hAnsi="Times New Roman"/>
          <w:noProof/>
          <w:sz w:val="24"/>
        </w:rPr>
        <w:t xml:space="preserve"> la fiscalité et les droits sociaux, les services constituent un domaine dans lequel l’écart entre la rhétorique sur l’intégration du marché unique et la mise en œuvre des mesures nécessaires est le plus évident</w:t>
      </w:r>
      <w:r>
        <w:rPr>
          <w:rStyle w:val="FootnoteReference"/>
          <w:rFonts w:ascii="Times New Roman" w:hAnsi="Times New Roman"/>
          <w:noProof/>
          <w:sz w:val="24"/>
        </w:rPr>
        <w:footnoteReference w:id="52"/>
      </w:r>
      <w:r>
        <w:rPr>
          <w:rFonts w:ascii="Times New Roman" w:hAnsi="Times New Roman"/>
          <w:noProof/>
          <w:sz w:val="24"/>
        </w:rPr>
        <w:t xml:space="preserve">. </w:t>
      </w:r>
    </w:p>
    <w:p w:rsidR="00EB371E" w:rsidRDefault="00EB371E">
      <w:pPr>
        <w:spacing w:after="0" w:line="240" w:lineRule="auto"/>
        <w:jc w:val="both"/>
        <w:rPr>
          <w:rFonts w:ascii="Times New Roman" w:hAnsi="Times New Roman" w:cs="Times New Roman"/>
          <w:noProof/>
          <w:sz w:val="24"/>
          <w:szCs w:val="24"/>
        </w:rPr>
      </w:pPr>
    </w:p>
    <w:p w:rsidR="00EB371E" w:rsidRDefault="00EF242D">
      <w:pPr>
        <w:spacing w:after="0" w:line="240" w:lineRule="auto"/>
        <w:jc w:val="both"/>
        <w:rPr>
          <w:rFonts w:ascii="Times New Roman" w:hAnsi="Times New Roman" w:cs="Times New Roman"/>
          <w:noProof/>
          <w:sz w:val="24"/>
          <w:szCs w:val="24"/>
        </w:rPr>
      </w:pPr>
      <w:r>
        <w:rPr>
          <w:rFonts w:ascii="Times New Roman" w:hAnsi="Times New Roman"/>
          <w:noProof/>
          <w:sz w:val="24"/>
        </w:rPr>
        <w:t>Les échanges de produits fondés sur le p</w:t>
      </w:r>
      <w:r>
        <w:rPr>
          <w:rFonts w:ascii="Times New Roman" w:hAnsi="Times New Roman"/>
          <w:noProof/>
          <w:sz w:val="24"/>
        </w:rPr>
        <w:t>rincipe de reconnaissance mutuelle en l’absence de règles harmonisées au niveau de l’Union demeurent nettement inférieurs aux échanges de produits soumis à de telles règles (soit 35 % de la consommation intérieure, contre 55 %)</w:t>
      </w:r>
      <w:r>
        <w:rPr>
          <w:rStyle w:val="FootnoteReference"/>
          <w:rFonts w:ascii="Times New Roman" w:hAnsi="Times New Roman"/>
          <w:noProof/>
          <w:sz w:val="24"/>
        </w:rPr>
        <w:footnoteReference w:id="53"/>
      </w:r>
      <w:r>
        <w:rPr>
          <w:rFonts w:ascii="Times New Roman" w:hAnsi="Times New Roman"/>
          <w:noProof/>
          <w:sz w:val="24"/>
        </w:rPr>
        <w:t>. Afin de remédier à cette d</w:t>
      </w:r>
      <w:r>
        <w:rPr>
          <w:rFonts w:ascii="Times New Roman" w:hAnsi="Times New Roman"/>
          <w:noProof/>
          <w:sz w:val="24"/>
        </w:rPr>
        <w:t>ifficulté, la Commission a proposé en 2017 le paquet «Produits»</w:t>
      </w:r>
      <w:r>
        <w:rPr>
          <w:rStyle w:val="FootnoteReference"/>
          <w:rFonts w:ascii="Times New Roman" w:hAnsi="Times New Roman"/>
          <w:noProof/>
          <w:sz w:val="24"/>
        </w:rPr>
        <w:footnoteReference w:id="54"/>
      </w:r>
      <w:r>
        <w:rPr>
          <w:rFonts w:ascii="Times New Roman" w:hAnsi="Times New Roman"/>
          <w:noProof/>
          <w:sz w:val="24"/>
        </w:rPr>
        <w:t>, grâce auquel il sera plus facile pour les entreprises de commercialiser leurs produits dans d’autres États membres et d’apporter la preuve que ceux-ci sont conformes à la réglementation de l</w:t>
      </w:r>
      <w:r>
        <w:rPr>
          <w:rFonts w:ascii="Times New Roman" w:hAnsi="Times New Roman"/>
          <w:noProof/>
          <w:sz w:val="24"/>
        </w:rPr>
        <w:t xml:space="preserve">eur propre pays. </w:t>
      </w:r>
    </w:p>
    <w:p w:rsidR="00EB371E" w:rsidRDefault="00EB371E">
      <w:pPr>
        <w:spacing w:after="0" w:line="240" w:lineRule="auto"/>
        <w:jc w:val="both"/>
        <w:rPr>
          <w:rFonts w:ascii="Times New Roman" w:hAnsi="Times New Roman" w:cs="Times New Roman"/>
          <w:noProof/>
          <w:sz w:val="24"/>
          <w:szCs w:val="24"/>
        </w:rPr>
      </w:pPr>
    </w:p>
    <w:tbl>
      <w:tblPr>
        <w:tblStyle w:val="TableGrid"/>
        <w:tblW w:w="0" w:type="auto"/>
        <w:tblLook w:val="04A0" w:firstRow="1" w:lastRow="0" w:firstColumn="1" w:lastColumn="0" w:noHBand="0" w:noVBand="1"/>
      </w:tblPr>
      <w:tblGrid>
        <w:gridCol w:w="9212"/>
      </w:tblGrid>
      <w:tr w:rsidR="00EB371E">
        <w:tc>
          <w:tcPr>
            <w:tcW w:w="9212" w:type="dxa"/>
          </w:tcPr>
          <w:p w:rsidR="00EB371E" w:rsidRDefault="00EF242D">
            <w:pPr>
              <w:jc w:val="both"/>
              <w:rPr>
                <w:rFonts w:ascii="Times New Roman" w:hAnsi="Times New Roman" w:cs="Times New Roman"/>
                <w:i/>
                <w:noProof/>
                <w:sz w:val="24"/>
                <w:szCs w:val="24"/>
              </w:rPr>
            </w:pPr>
            <w:r>
              <w:rPr>
                <w:rFonts w:ascii="Times New Roman" w:hAnsi="Times New Roman" w:cs="Times New Roman"/>
                <w:i/>
                <w:noProof/>
                <w:sz w:val="24"/>
                <w:szCs w:val="24"/>
              </w:rPr>
              <w:t xml:space="preserve">La normalisation a joué un rôle clé dans le développement du marché unique en encourageant la concurrence fondée sur le marché et en contribuant à garantir l’interopérabilité des produits et des services. Les produits qui respectent des </w:t>
            </w:r>
            <w:r>
              <w:rPr>
                <w:rFonts w:ascii="Times New Roman" w:hAnsi="Times New Roman" w:cs="Times New Roman"/>
                <w:i/>
                <w:noProof/>
                <w:sz w:val="24"/>
                <w:szCs w:val="24"/>
              </w:rPr>
              <w:t>normes volontaires et harmonisées approuvées au niveau de l’Union bénéficient d’une présomption de conformité et peuvent par conséquent circuler librement dans le marché unique. Cela s’est avéré très utile dans le domaine de l’ingénierie ou des technologie</w:t>
            </w:r>
            <w:r>
              <w:rPr>
                <w:rFonts w:ascii="Times New Roman" w:hAnsi="Times New Roman" w:cs="Times New Roman"/>
                <w:i/>
                <w:noProof/>
                <w:sz w:val="24"/>
                <w:szCs w:val="24"/>
              </w:rPr>
              <w:t>s de l’information, par exemple. Bien que des normes harmonisées soient élaborées par des organismes européens de normalisation, elles sont établies à l’initiative et sous la direction et le contrôle de la Commission, qui en assume la responsabilité finale</w:t>
            </w:r>
            <w:r>
              <w:rPr>
                <w:rFonts w:ascii="Times New Roman" w:hAnsi="Times New Roman" w:cs="Times New Roman"/>
                <w:i/>
                <w:noProof/>
                <w:sz w:val="24"/>
                <w:szCs w:val="24"/>
              </w:rPr>
              <w:t>, comme l’a rappelé la Cour de justice de l’Union européenne en 2016</w:t>
            </w:r>
            <w:r>
              <w:rPr>
                <w:rStyle w:val="FootnoteReference"/>
                <w:rFonts w:ascii="Times New Roman" w:hAnsi="Times New Roman" w:cs="Times New Roman"/>
                <w:i/>
                <w:noProof/>
                <w:sz w:val="24"/>
                <w:szCs w:val="24"/>
              </w:rPr>
              <w:footnoteReference w:id="55"/>
            </w:r>
            <w:r>
              <w:rPr>
                <w:rFonts w:ascii="Times New Roman" w:hAnsi="Times New Roman" w:cs="Times New Roman"/>
                <w:i/>
                <w:noProof/>
                <w:sz w:val="24"/>
                <w:szCs w:val="24"/>
              </w:rPr>
              <w:t>. Même si le système actuel est fonctionnel, la Commission reconnaît que de nouvelles améliorations sont nécessaires. Elle a par conséquent présenté un plan d’action en plus de la présent</w:t>
            </w:r>
            <w:r>
              <w:rPr>
                <w:rFonts w:ascii="Times New Roman" w:hAnsi="Times New Roman" w:cs="Times New Roman"/>
                <w:i/>
                <w:noProof/>
                <w:sz w:val="24"/>
                <w:szCs w:val="24"/>
              </w:rPr>
              <w:t>e communication afin d’accroître la rapidité, l’efficience et la transparence de l’élaboration de normes harmonisées</w:t>
            </w:r>
            <w:r>
              <w:rPr>
                <w:rStyle w:val="FootnoteReference"/>
                <w:rFonts w:ascii="Times New Roman" w:hAnsi="Times New Roman"/>
                <w:i/>
                <w:noProof/>
                <w:sz w:val="24"/>
              </w:rPr>
              <w:footnoteReference w:id="56"/>
            </w:r>
            <w:r>
              <w:rPr>
                <w:i/>
                <w:noProof/>
              </w:rPr>
              <w:t xml:space="preserve">. </w:t>
            </w:r>
          </w:p>
        </w:tc>
      </w:tr>
    </w:tbl>
    <w:p w:rsidR="00EB371E" w:rsidRDefault="00EB371E">
      <w:pPr>
        <w:spacing w:after="0" w:line="240" w:lineRule="auto"/>
        <w:jc w:val="both"/>
        <w:rPr>
          <w:rFonts w:ascii="Times New Roman" w:hAnsi="Times New Roman" w:cs="Times New Roman"/>
          <w:noProof/>
          <w:sz w:val="24"/>
          <w:szCs w:val="24"/>
        </w:rPr>
      </w:pPr>
    </w:p>
    <w:p w:rsidR="00EB371E" w:rsidRDefault="00EF242D">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L’Union européenne est une économie de services (soit 70 % du produit intérieur brut de l’Union) et pourtant, les échanges </w:t>
      </w:r>
      <w:r>
        <w:rPr>
          <w:rFonts w:ascii="Times New Roman" w:hAnsi="Times New Roman"/>
          <w:noProof/>
          <w:sz w:val="24"/>
        </w:rPr>
        <w:t>transfrontières portent essentiellement sur des marchandises. Seuls 20 % des services font l’objet d’échanges transfrontières, qui ne représentent que 5 % du produit intérieur brut de l’Union</w:t>
      </w:r>
      <w:r>
        <w:rPr>
          <w:rStyle w:val="FootnoteReference"/>
          <w:rFonts w:ascii="Times New Roman" w:hAnsi="Times New Roman"/>
          <w:noProof/>
          <w:sz w:val="24"/>
        </w:rPr>
        <w:footnoteReference w:id="57"/>
      </w:r>
      <w:r>
        <w:rPr>
          <w:rFonts w:ascii="Times New Roman" w:hAnsi="Times New Roman"/>
          <w:noProof/>
          <w:sz w:val="24"/>
        </w:rPr>
        <w:t xml:space="preserve">. De larges pans de l’économie des services, en particulier les </w:t>
      </w:r>
      <w:r>
        <w:rPr>
          <w:rFonts w:ascii="Times New Roman" w:hAnsi="Times New Roman"/>
          <w:noProof/>
          <w:sz w:val="24"/>
        </w:rPr>
        <w:t>services aux entreprises et les industries de réseau, ne tirent pas parti du marché unique. Dans le cas des services aux entreprises (11 % du produit intérieur brut de l’Union), les entreprises européennes achètent rarement des services à des comptables ou</w:t>
      </w:r>
      <w:r>
        <w:rPr>
          <w:rFonts w:ascii="Times New Roman" w:hAnsi="Times New Roman"/>
          <w:noProof/>
          <w:sz w:val="24"/>
        </w:rPr>
        <w:t xml:space="preserve"> à des conseillers fiscaux étrangers. Les services aux entreprises constituent un exemple de services revêtant un intérêt de plus en plus grand pour le secteur manufacturier: près de 80 % des produits des services juridiques, comptables, d’ingénierie et ar</w:t>
      </w:r>
      <w:r>
        <w:rPr>
          <w:rFonts w:ascii="Times New Roman" w:hAnsi="Times New Roman"/>
          <w:noProof/>
          <w:sz w:val="24"/>
        </w:rPr>
        <w:t>chitecturaux sont, en réalité, utilisés comme intrants intermédiaires pour d’autres secteurs, notamment les activités de production. De même, les restrictions dans le secteur du détail ont des retombées négatives sur d’autres secteurs de l’économie, notamm</w:t>
      </w:r>
      <w:r>
        <w:rPr>
          <w:rFonts w:ascii="Times New Roman" w:hAnsi="Times New Roman"/>
          <w:noProof/>
          <w:sz w:val="24"/>
        </w:rPr>
        <w:t>ent en amont dans le secteur manufacturier</w:t>
      </w:r>
      <w:r>
        <w:rPr>
          <w:rStyle w:val="FootnoteReference"/>
          <w:rFonts w:ascii="Times New Roman" w:hAnsi="Times New Roman"/>
          <w:noProof/>
          <w:sz w:val="24"/>
        </w:rPr>
        <w:footnoteReference w:id="58"/>
      </w:r>
      <w:r>
        <w:rPr>
          <w:rFonts w:ascii="Times New Roman" w:hAnsi="Times New Roman"/>
          <w:noProof/>
          <w:sz w:val="24"/>
        </w:rPr>
        <w:t>.</w:t>
      </w:r>
    </w:p>
    <w:p w:rsidR="00EB371E" w:rsidRDefault="00EB371E">
      <w:pPr>
        <w:spacing w:after="0" w:line="240" w:lineRule="auto"/>
        <w:jc w:val="both"/>
        <w:rPr>
          <w:rFonts w:ascii="Times New Roman" w:hAnsi="Times New Roman" w:cs="Times New Roman"/>
          <w:noProof/>
          <w:sz w:val="24"/>
          <w:szCs w:val="24"/>
        </w:rPr>
      </w:pPr>
    </w:p>
    <w:p w:rsidR="00EB371E" w:rsidRDefault="00EF242D">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Au vu de la concurrence croissante sur les marchés mondiaux des produits manufacturés, l’avantage concurrentiel de l’Union réside de plus en plus dans les services utilisés comme facteurs de production et dans </w:t>
      </w:r>
      <w:r>
        <w:rPr>
          <w:rFonts w:ascii="Times New Roman" w:hAnsi="Times New Roman"/>
          <w:noProof/>
          <w:sz w:val="24"/>
        </w:rPr>
        <w:t>la composante «services» de la chaîne de valeur globale. La mise en place d’un marché plus dynamique pour ce qui est de la prestation de services transfrontières dans l’Union constitue par conséquent un élément clé de la compétitivité future de l’industrie</w:t>
      </w:r>
      <w:r>
        <w:rPr>
          <w:rFonts w:ascii="Times New Roman" w:hAnsi="Times New Roman"/>
          <w:noProof/>
          <w:sz w:val="24"/>
        </w:rPr>
        <w:t xml:space="preserve"> de l’Union. La multiplicité des exigences légales et réglementaires au niveau national dans de nombreux secteurs liés aux services explique en partie la faiblesse des activités transfrontières dans ce domaine. Ces exigences, qui couvrent des aspects tels </w:t>
      </w:r>
      <w:r>
        <w:rPr>
          <w:rFonts w:ascii="Times New Roman" w:hAnsi="Times New Roman"/>
          <w:noProof/>
          <w:sz w:val="24"/>
        </w:rPr>
        <w:t>que la forme juridique et la détention du capital, l'interdiction d’activités pluridisciplinaires et la publicité, existent plus particulièrement dans le domaine des services professionnels fortement réglementés. Pour éviter les abus ou les exigences dispr</w:t>
      </w:r>
      <w:r>
        <w:rPr>
          <w:rFonts w:ascii="Times New Roman" w:hAnsi="Times New Roman"/>
          <w:noProof/>
          <w:sz w:val="24"/>
        </w:rPr>
        <w:t>oportionnées, une proposition de la Commission, adoptée récemment, prévoit la réalisation, par les États membres, de contrôles de proportionnalité avant l’adoption de nouvelles règles relatives aux professions réglementées</w:t>
      </w:r>
      <w:r>
        <w:rPr>
          <w:rStyle w:val="FootnoteReference"/>
          <w:rFonts w:ascii="Times New Roman" w:hAnsi="Times New Roman"/>
          <w:noProof/>
          <w:sz w:val="24"/>
        </w:rPr>
        <w:footnoteReference w:id="59"/>
      </w:r>
      <w:r>
        <w:rPr>
          <w:rFonts w:ascii="Times New Roman" w:hAnsi="Times New Roman"/>
          <w:noProof/>
          <w:sz w:val="24"/>
        </w:rPr>
        <w:t>. La Commission a également propo</w:t>
      </w:r>
      <w:r>
        <w:rPr>
          <w:rFonts w:ascii="Times New Roman" w:hAnsi="Times New Roman"/>
          <w:noProof/>
          <w:sz w:val="24"/>
        </w:rPr>
        <w:t>sé que les États membres notifient leurs projets de réglementation dans le domaine des services</w:t>
      </w:r>
      <w:r>
        <w:rPr>
          <w:rStyle w:val="FootnoteReference"/>
          <w:rFonts w:ascii="Times New Roman" w:hAnsi="Times New Roman"/>
          <w:noProof/>
          <w:sz w:val="24"/>
        </w:rPr>
        <w:footnoteReference w:id="60"/>
      </w:r>
      <w:r>
        <w:rPr>
          <w:rFonts w:ascii="Times New Roman" w:hAnsi="Times New Roman"/>
          <w:b/>
          <w:noProof/>
          <w:sz w:val="24"/>
        </w:rPr>
        <w:t xml:space="preserve"> </w:t>
      </w:r>
      <w:r>
        <w:rPr>
          <w:rFonts w:ascii="Times New Roman" w:hAnsi="Times New Roman"/>
          <w:noProof/>
          <w:sz w:val="24"/>
        </w:rPr>
        <w:t xml:space="preserve">afin de lui permettre d’apprécier leur conformité avec le droit de l’Union préalablement à leur adoption. Cette proposition est toujours en cours d'examen par </w:t>
      </w:r>
      <w:r>
        <w:rPr>
          <w:rFonts w:ascii="Times New Roman" w:hAnsi="Times New Roman"/>
          <w:noProof/>
          <w:sz w:val="24"/>
        </w:rPr>
        <w:t xml:space="preserve">les colégislateurs et constitue un nouvel exemple d’une situation dans laquelle le souhait d’accomplir des progrès dans la réalisation du marché unique ne correspond pas totalement à la volonté politique d’adopter les mesures nécessaires. </w:t>
      </w:r>
    </w:p>
    <w:p w:rsidR="00EB371E" w:rsidRDefault="00EB371E">
      <w:pPr>
        <w:spacing w:after="0" w:line="240" w:lineRule="auto"/>
        <w:jc w:val="both"/>
        <w:rPr>
          <w:rFonts w:ascii="Times New Roman" w:hAnsi="Times New Roman" w:cs="Times New Roman"/>
          <w:noProof/>
          <w:sz w:val="24"/>
          <w:szCs w:val="24"/>
        </w:rPr>
      </w:pPr>
    </w:p>
    <w:p w:rsidR="00EB371E" w:rsidRDefault="00EF242D">
      <w:pPr>
        <w:spacing w:after="0" w:line="240" w:lineRule="auto"/>
        <w:jc w:val="both"/>
        <w:rPr>
          <w:rFonts w:ascii="Times New Roman" w:hAnsi="Times New Roman" w:cs="Times New Roman"/>
          <w:noProof/>
          <w:sz w:val="24"/>
          <w:szCs w:val="24"/>
        </w:rPr>
      </w:pPr>
      <w:r>
        <w:rPr>
          <w:rFonts w:ascii="Times New Roman" w:hAnsi="Times New Roman"/>
          <w:noProof/>
          <w:sz w:val="24"/>
        </w:rPr>
        <w:t>La Commission a</w:t>
      </w:r>
      <w:r>
        <w:rPr>
          <w:rFonts w:ascii="Times New Roman" w:hAnsi="Times New Roman"/>
          <w:noProof/>
          <w:sz w:val="24"/>
        </w:rPr>
        <w:t xml:space="preserve">, par ailleurs, proposé d’actualiser les règles ayant trait à la </w:t>
      </w:r>
      <w:r>
        <w:rPr>
          <w:rFonts w:ascii="Times New Roman" w:hAnsi="Times New Roman"/>
          <w:b/>
          <w:noProof/>
          <w:sz w:val="24"/>
        </w:rPr>
        <w:t xml:space="preserve"> </w:t>
      </w:r>
      <w:r>
        <w:rPr>
          <w:rFonts w:ascii="Times New Roman" w:hAnsi="Times New Roman"/>
          <w:noProof/>
          <w:sz w:val="24"/>
        </w:rPr>
        <w:t>coordination de la sécurité sociale</w:t>
      </w:r>
      <w:r>
        <w:rPr>
          <w:rStyle w:val="FootnoteReference"/>
          <w:rFonts w:ascii="Times New Roman" w:hAnsi="Times New Roman"/>
          <w:noProof/>
          <w:sz w:val="24"/>
        </w:rPr>
        <w:footnoteReference w:id="61"/>
      </w:r>
      <w:r>
        <w:rPr>
          <w:rFonts w:ascii="Times New Roman" w:hAnsi="Times New Roman"/>
          <w:noProof/>
          <w:sz w:val="24"/>
        </w:rPr>
        <w:t xml:space="preserve"> afin de faciliter encore la protection des droits sociaux des travailleurs en situation transfrontalière et de permettre aux autorités nationales de proc</w:t>
      </w:r>
      <w:r>
        <w:rPr>
          <w:rFonts w:ascii="Times New Roman" w:hAnsi="Times New Roman"/>
          <w:noProof/>
          <w:sz w:val="24"/>
        </w:rPr>
        <w:t>éder à des contrôles antifraude plus efficaces. La nouvelle Autorité européenne du travail contribuera également à renforcer la coopération entre les États membres dans ce domaine et à garantir que ceux-ci ont accès aux informations correctes sur la mobili</w:t>
      </w:r>
      <w:r>
        <w:rPr>
          <w:rFonts w:ascii="Times New Roman" w:hAnsi="Times New Roman"/>
          <w:noProof/>
          <w:sz w:val="24"/>
        </w:rPr>
        <w:t xml:space="preserve">té de la main-d'œuvre. </w:t>
      </w:r>
    </w:p>
    <w:p w:rsidR="00EB371E" w:rsidRDefault="00EB371E">
      <w:pPr>
        <w:spacing w:after="0" w:line="240" w:lineRule="auto"/>
        <w:jc w:val="both"/>
        <w:rPr>
          <w:rFonts w:ascii="Times New Roman" w:hAnsi="Times New Roman" w:cs="Times New Roman"/>
          <w:noProof/>
          <w:sz w:val="24"/>
          <w:szCs w:val="24"/>
        </w:rPr>
      </w:pPr>
    </w:p>
    <w:p w:rsidR="00EB371E" w:rsidRDefault="00EF242D">
      <w:pPr>
        <w:spacing w:after="0" w:line="240" w:lineRule="auto"/>
        <w:jc w:val="both"/>
        <w:rPr>
          <w:rFonts w:ascii="Times New Roman" w:hAnsi="Times New Roman" w:cs="Times New Roman"/>
          <w:noProof/>
          <w:sz w:val="24"/>
          <w:szCs w:val="24"/>
        </w:rPr>
      </w:pPr>
      <w:r>
        <w:rPr>
          <w:rFonts w:ascii="Times New Roman" w:hAnsi="Times New Roman"/>
          <w:noProof/>
          <w:sz w:val="24"/>
        </w:rPr>
        <w:t>Les secteurs à forte intensité de droits de propriété intellectuelle représentent une part importante de l’économie européenne (soit 39 % du produit intérieur brut de l’Union et 35 % des emplois dans l’Union). Au nombre des avancée</w:t>
      </w:r>
      <w:r>
        <w:rPr>
          <w:rFonts w:ascii="Times New Roman" w:hAnsi="Times New Roman"/>
          <w:noProof/>
          <w:sz w:val="24"/>
        </w:rPr>
        <w:t>s récentes réalisées dans ce domaine figure l’adoption, en 2015, de la version révisée de la directive relative aux marques</w:t>
      </w:r>
      <w:r>
        <w:rPr>
          <w:rStyle w:val="FootnoteReference"/>
          <w:rFonts w:ascii="Times New Roman" w:hAnsi="Times New Roman"/>
          <w:noProof/>
          <w:sz w:val="24"/>
        </w:rPr>
        <w:footnoteReference w:id="62"/>
      </w:r>
      <w:r>
        <w:rPr>
          <w:rFonts w:ascii="Times New Roman" w:hAnsi="Times New Roman"/>
          <w:noProof/>
          <w:sz w:val="24"/>
        </w:rPr>
        <w:t>, qui modernise davantage l’acquis européen, déjà très important, dans ce domaine. Toutefois, pour pouvoir profiter de tous les avan</w:t>
      </w:r>
      <w:r>
        <w:rPr>
          <w:rFonts w:ascii="Times New Roman" w:hAnsi="Times New Roman"/>
          <w:noProof/>
          <w:sz w:val="24"/>
        </w:rPr>
        <w:t xml:space="preserve">tages d’un système de brevet unitaire, il faut que l’accord relatif à une juridiction unifiée du brevet, qui est toujours pendant, entre en vigueur. </w:t>
      </w:r>
    </w:p>
    <w:p w:rsidR="00EB371E" w:rsidRDefault="00EB371E">
      <w:pPr>
        <w:spacing w:after="0" w:line="240" w:lineRule="auto"/>
        <w:jc w:val="both"/>
        <w:rPr>
          <w:rFonts w:ascii="Times New Roman" w:hAnsi="Times New Roman" w:cs="Times New Roman"/>
          <w:noProof/>
          <w:sz w:val="24"/>
          <w:szCs w:val="24"/>
        </w:rPr>
      </w:pPr>
    </w:p>
    <w:p w:rsidR="00EB371E" w:rsidRDefault="00EF242D">
      <w:pPr>
        <w:pStyle w:val="Heading2"/>
        <w:keepLines w:val="0"/>
        <w:spacing w:before="0" w:line="240" w:lineRule="auto"/>
        <w:ind w:left="709" w:hanging="709"/>
        <w:rPr>
          <w:rFonts w:ascii="Times New Roman" w:hAnsi="Times New Roman" w:cs="Times New Roman"/>
          <w:noProof/>
          <w:color w:val="auto"/>
          <w:sz w:val="24"/>
          <w:szCs w:val="24"/>
        </w:rPr>
      </w:pPr>
      <w:r>
        <w:rPr>
          <w:rFonts w:ascii="Times New Roman" w:hAnsi="Times New Roman"/>
          <w:noProof/>
          <w:color w:val="auto"/>
          <w:sz w:val="24"/>
        </w:rPr>
        <w:t>3.5</w:t>
      </w:r>
      <w:r>
        <w:rPr>
          <w:noProof/>
        </w:rPr>
        <w:tab/>
      </w:r>
      <w:r>
        <w:rPr>
          <w:rFonts w:ascii="Times New Roman" w:hAnsi="Times New Roman"/>
          <w:noProof/>
          <w:color w:val="auto"/>
          <w:sz w:val="24"/>
        </w:rPr>
        <w:t xml:space="preserve">Problèmes en suspens pour les industries de réseau </w:t>
      </w:r>
    </w:p>
    <w:p w:rsidR="00EB371E" w:rsidRDefault="00EF242D">
      <w:pPr>
        <w:pStyle w:val="Heading2"/>
        <w:keepLines w:val="0"/>
        <w:spacing w:before="0" w:line="120" w:lineRule="auto"/>
        <w:rPr>
          <w:rFonts w:ascii="Times New Roman" w:hAnsi="Times New Roman"/>
          <w:noProof/>
          <w:color w:val="auto"/>
          <w:sz w:val="24"/>
        </w:rPr>
      </w:pPr>
      <w:r>
        <w:rPr>
          <w:rFonts w:ascii="Times New Roman" w:hAnsi="Times New Roman"/>
          <w:noProof/>
          <w:color w:val="auto"/>
          <w:sz w:val="24"/>
        </w:rPr>
        <w:t xml:space="preserve"> </w:t>
      </w:r>
    </w:p>
    <w:p w:rsidR="00EB371E" w:rsidRDefault="00EF242D">
      <w:pPr>
        <w:spacing w:after="0" w:line="240" w:lineRule="auto"/>
        <w:jc w:val="both"/>
        <w:rPr>
          <w:rFonts w:ascii="Times New Roman" w:hAnsi="Times New Roman" w:cs="Times New Roman"/>
          <w:noProof/>
          <w:sz w:val="24"/>
          <w:szCs w:val="24"/>
        </w:rPr>
      </w:pPr>
      <w:r>
        <w:rPr>
          <w:rFonts w:ascii="Times New Roman" w:hAnsi="Times New Roman"/>
          <w:noProof/>
          <w:sz w:val="24"/>
        </w:rPr>
        <w:t>Dans les industries de réseau réglementées, les</w:t>
      </w:r>
      <w:r>
        <w:rPr>
          <w:rFonts w:ascii="Times New Roman" w:hAnsi="Times New Roman"/>
          <w:noProof/>
          <w:sz w:val="24"/>
        </w:rPr>
        <w:t xml:space="preserve"> consommateurs et les entreprises ne tirent pas pleinement profit des avantages de la concurrence. Des progrès satisfaisants ont été réalisés pour ce qui est de l’intégration du marché intérieur de l’énergie, laquelle est commercialisée de plus en plus lib</w:t>
      </w:r>
      <w:r>
        <w:rPr>
          <w:rFonts w:ascii="Times New Roman" w:hAnsi="Times New Roman"/>
          <w:noProof/>
          <w:sz w:val="24"/>
        </w:rPr>
        <w:t xml:space="preserve">rement au-delà des frontières. Toutefois, la diminution sensible des prix de gros de l’électricité – soit près de 40 % de moins entre 2008 et 2017 – n'a pas été totalement répercutée au niveau des prix payés par les consommateurs, qui n’ont diminué que de </w:t>
      </w:r>
      <w:r>
        <w:rPr>
          <w:rFonts w:ascii="Times New Roman" w:hAnsi="Times New Roman"/>
          <w:noProof/>
          <w:sz w:val="24"/>
        </w:rPr>
        <w:t>13 % en moyenne au cours de cette période. Cela tient en partie au pouvoir de marché des opérateurs historiques et en partie aux barrières à l’entrée de nouveaux concurrents, telles que les prix réglementés. La nouvelle organisation du marché proposée dans</w:t>
      </w:r>
      <w:r>
        <w:rPr>
          <w:rFonts w:ascii="Times New Roman" w:hAnsi="Times New Roman"/>
          <w:noProof/>
          <w:sz w:val="24"/>
        </w:rPr>
        <w:t xml:space="preserve"> le cadre du train de mesures intitulé «Une énergie propre pour tous les Européens»</w:t>
      </w:r>
      <w:r>
        <w:rPr>
          <w:rStyle w:val="FootnoteReference"/>
          <w:rFonts w:ascii="Times New Roman" w:hAnsi="Times New Roman"/>
          <w:noProof/>
          <w:sz w:val="24"/>
        </w:rPr>
        <w:footnoteReference w:id="63"/>
      </w:r>
      <w:r>
        <w:rPr>
          <w:rFonts w:ascii="Times New Roman" w:hAnsi="Times New Roman"/>
          <w:noProof/>
          <w:sz w:val="24"/>
        </w:rPr>
        <w:t xml:space="preserve"> vise à promouvoir la concurrence en instaurant des conditions équitables pour des technologies de production de l’électricité différentes et en permettant aux consommateur</w:t>
      </w:r>
      <w:r>
        <w:rPr>
          <w:rFonts w:ascii="Times New Roman" w:hAnsi="Times New Roman"/>
          <w:noProof/>
          <w:sz w:val="24"/>
        </w:rPr>
        <w:t>s de devenir de véritables acteurs du marché de l’électricité. Ce train de mesures contribuera également à l’intégration des marchés de l’électricité, du chauffage et du transport grâce à l’utilisation de technologies numériques, ce qui accroîtra la concur</w:t>
      </w:r>
      <w:r>
        <w:rPr>
          <w:rFonts w:ascii="Times New Roman" w:hAnsi="Times New Roman"/>
          <w:noProof/>
          <w:sz w:val="24"/>
        </w:rPr>
        <w:t>rence et concourra à la réalisation des objectifs en matière de décarbonation.</w:t>
      </w:r>
    </w:p>
    <w:p w:rsidR="00EB371E" w:rsidRDefault="00EB371E">
      <w:pPr>
        <w:spacing w:after="0" w:line="240" w:lineRule="auto"/>
        <w:jc w:val="both"/>
        <w:rPr>
          <w:rFonts w:ascii="Times New Roman" w:hAnsi="Times New Roman" w:cs="Times New Roman"/>
          <w:noProof/>
          <w:sz w:val="24"/>
          <w:szCs w:val="24"/>
        </w:rPr>
      </w:pPr>
    </w:p>
    <w:p w:rsidR="00EB371E" w:rsidRDefault="00EF242D">
      <w:pPr>
        <w:spacing w:after="0" w:line="240" w:lineRule="auto"/>
        <w:jc w:val="both"/>
        <w:rPr>
          <w:rFonts w:ascii="Times New Roman" w:hAnsi="Times New Roman" w:cs="Times New Roman"/>
          <w:noProof/>
          <w:sz w:val="24"/>
          <w:szCs w:val="24"/>
        </w:rPr>
      </w:pPr>
      <w:r>
        <w:rPr>
          <w:rFonts w:ascii="Times New Roman" w:hAnsi="Times New Roman"/>
          <w:noProof/>
          <w:sz w:val="24"/>
        </w:rPr>
        <w:t>De nombreux obstacles subsistent dans le domaine du transport et de la mobilité, et les nouveaux concurrents sont souvent confrontés à des restrictions injustifiables en termes</w:t>
      </w:r>
      <w:r>
        <w:rPr>
          <w:rFonts w:ascii="Times New Roman" w:hAnsi="Times New Roman"/>
          <w:noProof/>
          <w:sz w:val="24"/>
        </w:rPr>
        <w:t xml:space="preserve"> d’accès aux services de transport ferroviaire et routier intérieurs.</w:t>
      </w:r>
      <w:r>
        <w:rPr>
          <w:noProof/>
        </w:rPr>
        <w:t xml:space="preserve"> </w:t>
      </w:r>
      <w:r>
        <w:rPr>
          <w:rFonts w:ascii="Times New Roman" w:hAnsi="Times New Roman"/>
          <w:noProof/>
          <w:sz w:val="24"/>
        </w:rPr>
        <w:t>La fragmentation du marché des transports et les écarts existant en matière de législation sociale sont des problèmes qui concernent essentiellement le transport routier. Par ailleurs, u</w:t>
      </w:r>
      <w:r>
        <w:rPr>
          <w:rFonts w:ascii="Times New Roman" w:hAnsi="Times New Roman"/>
          <w:noProof/>
          <w:sz w:val="24"/>
        </w:rPr>
        <w:t>ne interopérabilité insuffisante résultant d’exigences nationales divergentes empêche la concurrence de se déployer pleinement dans les secteurs du fret ferroviaire et des services ferroviaires internationaux. La mise en œuvre du 4</w:t>
      </w:r>
      <w:r>
        <w:rPr>
          <w:rFonts w:ascii="Times New Roman" w:hAnsi="Times New Roman"/>
          <w:noProof/>
          <w:sz w:val="24"/>
          <w:vertAlign w:val="superscript"/>
        </w:rPr>
        <w:t>e</w:t>
      </w:r>
      <w:r>
        <w:rPr>
          <w:rFonts w:ascii="Times New Roman" w:hAnsi="Times New Roman"/>
          <w:noProof/>
          <w:sz w:val="24"/>
        </w:rPr>
        <w:t xml:space="preserve"> paquet ferroviaire amél</w:t>
      </w:r>
      <w:r>
        <w:rPr>
          <w:rFonts w:ascii="Times New Roman" w:hAnsi="Times New Roman"/>
          <w:noProof/>
          <w:sz w:val="24"/>
        </w:rPr>
        <w:t xml:space="preserve">iorera l’interopérabilité et l’ouverture des marchés ferroviaires nationaux (pour les passagers), tandis que l’adoption des actes proposés dans le cadre des </w:t>
      </w:r>
      <w:r>
        <w:rPr>
          <w:rFonts w:ascii="Times New Roman" w:hAnsi="Times New Roman"/>
          <w:noProof/>
          <w:sz w:val="24"/>
          <w:vertAlign w:val="superscript"/>
        </w:rPr>
        <w:t xml:space="preserve"> </w:t>
      </w:r>
      <w:r>
        <w:rPr>
          <w:rFonts w:ascii="Times New Roman" w:hAnsi="Times New Roman"/>
          <w:noProof/>
          <w:sz w:val="24"/>
        </w:rPr>
        <w:t>trois trains de mesure sur la mobilité de 2017 et de 2018 contribuera dans une large mesure à la c</w:t>
      </w:r>
      <w:r>
        <w:rPr>
          <w:rFonts w:ascii="Times New Roman" w:hAnsi="Times New Roman"/>
          <w:noProof/>
          <w:sz w:val="24"/>
        </w:rPr>
        <w:t>réation d’un espace européen unique des transports</w:t>
      </w:r>
      <w:r>
        <w:rPr>
          <w:rStyle w:val="FootnoteReference"/>
          <w:rFonts w:ascii="Times New Roman" w:hAnsi="Times New Roman"/>
          <w:noProof/>
          <w:sz w:val="24"/>
        </w:rPr>
        <w:footnoteReference w:id="64"/>
      </w:r>
      <w:r>
        <w:rPr>
          <w:rFonts w:ascii="Times New Roman" w:hAnsi="Times New Roman"/>
          <w:noProof/>
          <w:sz w:val="24"/>
        </w:rPr>
        <w:t>.</w:t>
      </w:r>
    </w:p>
    <w:p w:rsidR="00EB371E" w:rsidRDefault="00EB371E">
      <w:pPr>
        <w:spacing w:after="0" w:line="240" w:lineRule="auto"/>
        <w:jc w:val="both"/>
        <w:rPr>
          <w:rFonts w:ascii="Times New Roman" w:hAnsi="Times New Roman" w:cs="Times New Roman"/>
          <w:noProof/>
          <w:sz w:val="24"/>
          <w:szCs w:val="24"/>
        </w:rPr>
      </w:pPr>
    </w:p>
    <w:p w:rsidR="00EB371E" w:rsidRDefault="00EF242D">
      <w:pPr>
        <w:spacing w:after="0" w:line="240" w:lineRule="auto"/>
        <w:jc w:val="both"/>
        <w:rPr>
          <w:rFonts w:ascii="Times New Roman" w:hAnsi="Times New Roman" w:cs="Times New Roman"/>
          <w:noProof/>
          <w:sz w:val="24"/>
          <w:szCs w:val="24"/>
        </w:rPr>
      </w:pPr>
      <w:r>
        <w:rPr>
          <w:rFonts w:ascii="Times New Roman" w:hAnsi="Times New Roman"/>
          <w:noProof/>
          <w:sz w:val="24"/>
        </w:rPr>
        <w:t>Le déploiement de la 4G en Europe a été lent en raison de l’existence de règles et d’approches nationales divergentes en ce qui concerne l’attribution des bandes de fréquence. L’adoption récente du plan</w:t>
      </w:r>
      <w:r>
        <w:rPr>
          <w:rFonts w:ascii="Times New Roman" w:hAnsi="Times New Roman"/>
          <w:noProof/>
          <w:sz w:val="24"/>
        </w:rPr>
        <w:t xml:space="preserve"> d’action pour la 5G</w:t>
      </w:r>
      <w:r>
        <w:rPr>
          <w:rStyle w:val="FootnoteReference"/>
          <w:rFonts w:ascii="Times New Roman" w:hAnsi="Times New Roman"/>
          <w:noProof/>
          <w:sz w:val="24"/>
        </w:rPr>
        <w:footnoteReference w:id="65"/>
      </w:r>
      <w:r>
        <w:rPr>
          <w:rFonts w:ascii="Times New Roman" w:hAnsi="Times New Roman"/>
          <w:noProof/>
          <w:sz w:val="24"/>
        </w:rPr>
        <w:t xml:space="preserve"> et du code des communications électroniques européen</w:t>
      </w:r>
      <w:r>
        <w:rPr>
          <w:rStyle w:val="FootnoteReference"/>
          <w:rFonts w:ascii="Times New Roman" w:hAnsi="Times New Roman"/>
          <w:noProof/>
          <w:sz w:val="24"/>
        </w:rPr>
        <w:footnoteReference w:id="66"/>
      </w:r>
      <w:r>
        <w:rPr>
          <w:rFonts w:ascii="Times New Roman" w:hAnsi="Times New Roman"/>
          <w:noProof/>
          <w:sz w:val="24"/>
        </w:rPr>
        <w:t>, qui contient de nouvelles règles applicables à la gestion du spectre radioélectrique, garantira la disponibilité de bandes pour les nouveaux services 5G d’ici à 2020 sur l’ensembl</w:t>
      </w:r>
      <w:r>
        <w:rPr>
          <w:rFonts w:ascii="Times New Roman" w:hAnsi="Times New Roman"/>
          <w:noProof/>
          <w:sz w:val="24"/>
        </w:rPr>
        <w:t>e du territoire de l’Union dans des conditions techniques identiques. Elle encouragera le déploiement de la 5G et fournira également des incitations en vue du développement de réseaux de téléphonie fixes et mobiles à très grande capacité, essentiels pour l</w:t>
      </w:r>
      <w:r>
        <w:rPr>
          <w:rFonts w:ascii="Times New Roman" w:hAnsi="Times New Roman"/>
          <w:noProof/>
          <w:sz w:val="24"/>
        </w:rPr>
        <w:t>’économie des données, l’intelligence artificielle et la numérisation de notre économie et de notre société.</w:t>
      </w:r>
    </w:p>
    <w:p w:rsidR="00EB371E" w:rsidRDefault="00EB371E">
      <w:pPr>
        <w:spacing w:after="0" w:line="240" w:lineRule="auto"/>
        <w:jc w:val="both"/>
        <w:rPr>
          <w:rFonts w:ascii="Times New Roman" w:hAnsi="Times New Roman" w:cs="Times New Roman"/>
          <w:noProof/>
          <w:sz w:val="24"/>
          <w:szCs w:val="24"/>
        </w:rPr>
      </w:pPr>
    </w:p>
    <w:p w:rsidR="00EB371E" w:rsidRDefault="00EF242D">
      <w:pPr>
        <w:pStyle w:val="Heading2"/>
        <w:keepLines w:val="0"/>
        <w:spacing w:before="0" w:after="120" w:line="240" w:lineRule="auto"/>
        <w:ind w:left="709" w:hanging="709"/>
        <w:rPr>
          <w:rFonts w:ascii="Times New Roman" w:hAnsi="Times New Roman" w:cs="Times New Roman"/>
          <w:noProof/>
          <w:color w:val="auto"/>
          <w:sz w:val="24"/>
          <w:szCs w:val="24"/>
        </w:rPr>
      </w:pPr>
      <w:r>
        <w:rPr>
          <w:rFonts w:ascii="Times New Roman" w:hAnsi="Times New Roman"/>
          <w:noProof/>
          <w:color w:val="auto"/>
          <w:sz w:val="24"/>
        </w:rPr>
        <w:t>3.6</w:t>
      </w:r>
      <w:r>
        <w:rPr>
          <w:noProof/>
        </w:rPr>
        <w:tab/>
      </w:r>
      <w:r>
        <w:rPr>
          <w:rFonts w:ascii="Times New Roman" w:hAnsi="Times New Roman"/>
          <w:noProof/>
          <w:color w:val="auto"/>
          <w:sz w:val="24"/>
        </w:rPr>
        <w:t>Vers une intégration accrue des marchés des capitaux et une union bancaire à part entière</w:t>
      </w:r>
    </w:p>
    <w:p w:rsidR="00EB371E" w:rsidRDefault="00EF242D">
      <w:pPr>
        <w:spacing w:after="0" w:line="240" w:lineRule="auto"/>
        <w:jc w:val="both"/>
        <w:rPr>
          <w:rFonts w:ascii="Times New Roman" w:hAnsi="Times New Roman" w:cs="Times New Roman"/>
          <w:noProof/>
          <w:sz w:val="24"/>
          <w:szCs w:val="24"/>
        </w:rPr>
      </w:pPr>
      <w:r>
        <w:rPr>
          <w:rFonts w:ascii="Times New Roman" w:hAnsi="Times New Roman"/>
          <w:noProof/>
          <w:sz w:val="24"/>
        </w:rPr>
        <w:t>Les consommateurs et les entreprises européens ne bé</w:t>
      </w:r>
      <w:r>
        <w:rPr>
          <w:rFonts w:ascii="Times New Roman" w:hAnsi="Times New Roman"/>
          <w:noProof/>
          <w:sz w:val="24"/>
        </w:rPr>
        <w:t>néficient toujours pas de toutes les perspectives, de l’efficience et de la sécurité accrues que leur offriraient des marchés des capitaux pleinement intégrés et une union bancaire à part entière. Avec l’introduction de l’euro, l’intégration des marchés fi</w:t>
      </w:r>
      <w:r>
        <w:rPr>
          <w:rFonts w:ascii="Times New Roman" w:hAnsi="Times New Roman"/>
          <w:noProof/>
          <w:sz w:val="24"/>
        </w:rPr>
        <w:t>nanciers de l’Union est devenue encore plus importante. Dans de nombreux États membres, la crise financière a eu une incidence considérable sur le crédit bancaire, qui a entraîné une diminution du crédit disponible pour les entreprises et des perturbations</w:t>
      </w:r>
      <w:r>
        <w:rPr>
          <w:rFonts w:ascii="Times New Roman" w:hAnsi="Times New Roman"/>
          <w:noProof/>
          <w:sz w:val="24"/>
        </w:rPr>
        <w:t xml:space="preserve"> graves au sein de l’économie réelle. Le crédit bancaire transfrontière et les autres sources de financement sont toujours trop peu développés en Europe. L’Europe ne compte que 26 «licornes» (jeunes pousses dont la valorisation atteint plus d’un milliard d</w:t>
      </w:r>
      <w:r>
        <w:rPr>
          <w:rFonts w:ascii="Times New Roman" w:hAnsi="Times New Roman"/>
          <w:noProof/>
          <w:sz w:val="24"/>
        </w:rPr>
        <w:t>e dollars), contre 106 aux États-Unis et 59 en Chine. Afin d’encourager la réalisation de nouveaux investissements privés et publics dans l’économie, il convient de redoubler d’efforts pour déterminer les obstacles existant au niveau de l’Union et y remédi</w:t>
      </w:r>
      <w:r>
        <w:rPr>
          <w:rFonts w:ascii="Times New Roman" w:hAnsi="Times New Roman"/>
          <w:noProof/>
          <w:sz w:val="24"/>
        </w:rPr>
        <w:t>er, ainsi que cela est indiqué dans la communication intitulée «Plan d'investissement pour l'Europe: premier bilan et prochaines étapes» adoptée ce jour par la Commission</w:t>
      </w:r>
      <w:r>
        <w:rPr>
          <w:rStyle w:val="FootnoteReference"/>
          <w:rFonts w:ascii="Times New Roman" w:hAnsi="Times New Roman"/>
          <w:noProof/>
          <w:sz w:val="24"/>
        </w:rPr>
        <w:footnoteReference w:id="67"/>
      </w:r>
      <w:r>
        <w:rPr>
          <w:rFonts w:ascii="Times New Roman" w:hAnsi="Times New Roman"/>
          <w:noProof/>
          <w:sz w:val="24"/>
        </w:rPr>
        <w:t>.</w:t>
      </w:r>
    </w:p>
    <w:p w:rsidR="00EB371E" w:rsidRDefault="00EB371E">
      <w:pPr>
        <w:spacing w:after="0" w:line="240" w:lineRule="auto"/>
        <w:jc w:val="both"/>
        <w:rPr>
          <w:rFonts w:ascii="Times New Roman" w:hAnsi="Times New Roman" w:cs="Times New Roman"/>
          <w:noProof/>
          <w:sz w:val="24"/>
          <w:szCs w:val="24"/>
        </w:rPr>
      </w:pPr>
    </w:p>
    <w:p w:rsidR="00EB371E" w:rsidRDefault="00EF242D">
      <w:pPr>
        <w:spacing w:after="0" w:line="240" w:lineRule="auto"/>
        <w:jc w:val="both"/>
        <w:rPr>
          <w:rFonts w:ascii="Times New Roman" w:hAnsi="Times New Roman"/>
          <w:noProof/>
          <w:sz w:val="24"/>
          <w:szCs w:val="24"/>
        </w:rPr>
      </w:pPr>
      <w:r>
        <w:rPr>
          <w:rFonts w:ascii="Times New Roman" w:hAnsi="Times New Roman"/>
          <w:noProof/>
          <w:sz w:val="24"/>
        </w:rPr>
        <w:t xml:space="preserve">La diversification des sources de financement pour les entreprises de l’Union </w:t>
      </w:r>
      <w:r>
        <w:rPr>
          <w:rFonts w:ascii="Times New Roman" w:hAnsi="Times New Roman"/>
          <w:noProof/>
          <w:sz w:val="24"/>
        </w:rPr>
        <w:t>constitue une priorité de l’union des marchés des capitaux. La Commission a élaboré des propositions en vue d’attirer de nouveaux investisseurs (comme la proposition relative au financement participatif, par exemple), d’améliorer la capacité de prêt des ba</w:t>
      </w:r>
      <w:r>
        <w:rPr>
          <w:rFonts w:ascii="Times New Roman" w:hAnsi="Times New Roman"/>
          <w:noProof/>
          <w:sz w:val="24"/>
        </w:rPr>
        <w:t>nques au moyen de règles permettant une simplification, une transparence accrue et une normalisation des titrisations, ainsi que d’éliminer les obstacles aux investissements transfrontières. Des règles plus strictes en matière de protection des consommateu</w:t>
      </w:r>
      <w:r>
        <w:rPr>
          <w:rFonts w:ascii="Times New Roman" w:hAnsi="Times New Roman"/>
          <w:noProof/>
          <w:sz w:val="24"/>
        </w:rPr>
        <w:t>rs et des investisseurs sont essentielles pour instaurer un climat de confiance et la stabilité nécessaire à une activité bancaire plus intense à l’échelle transfrontière. La proposition de la Commission relative à un produit paneuropéen d’épargne-retraite</w:t>
      </w:r>
      <w:r>
        <w:rPr>
          <w:rFonts w:ascii="Times New Roman" w:hAnsi="Times New Roman"/>
          <w:noProof/>
          <w:sz w:val="24"/>
        </w:rPr>
        <w:t xml:space="preserve"> individuelle</w:t>
      </w:r>
      <w:r>
        <w:rPr>
          <w:rStyle w:val="FootnoteReference"/>
          <w:rFonts w:ascii="Times New Roman" w:hAnsi="Times New Roman"/>
          <w:noProof/>
          <w:sz w:val="24"/>
        </w:rPr>
        <w:footnoteReference w:id="68"/>
      </w:r>
      <w:r>
        <w:rPr>
          <w:rFonts w:ascii="Times New Roman" w:hAnsi="Times New Roman"/>
          <w:noProof/>
          <w:sz w:val="24"/>
        </w:rPr>
        <w:t xml:space="preserve"> offrira aux citoyens davantage de possibilités d’épargner en vue de la retraite, y compris dans un contexte transfrontière. Les États membres devraient préserver son caractère paneuropéen au profit de l’ensemble des citoyens de l’Union et ve</w:t>
      </w:r>
      <w:r>
        <w:rPr>
          <w:rFonts w:ascii="Times New Roman" w:hAnsi="Times New Roman"/>
          <w:noProof/>
          <w:sz w:val="24"/>
        </w:rPr>
        <w:t>iller à ce que le recours futur à ce produit ne soit pas entravé par des règles fiscales et des structures complexes divergentes. Tel était l’un des principaux objectifs de l’union bancaire, outre celui d’une intégration plus poussée des systèmes bancaires</w:t>
      </w:r>
      <w:r>
        <w:rPr>
          <w:rFonts w:ascii="Times New Roman" w:hAnsi="Times New Roman"/>
          <w:noProof/>
          <w:sz w:val="24"/>
        </w:rPr>
        <w:t xml:space="preserve"> européens et d’une rupture des liens entre les banques et les émetteurs souverains. Depuis 2012, deux piliers de l’union bancaire ont été posés, à savoir un mécanisme de surveillance unique et un mécanisme de résolution unique pour les banques, doté de so</w:t>
      </w:r>
      <w:r>
        <w:rPr>
          <w:rFonts w:ascii="Times New Roman" w:hAnsi="Times New Roman"/>
          <w:noProof/>
          <w:sz w:val="24"/>
        </w:rPr>
        <w:t>n propre fonds de résolution unique et financé par les banques. Des travaux sont en cours en ce qui concerne la mise en œuvre effective du dispositif de soutien commun du fonds de résolution unique, qui sera fourni par le mécanisme européen de stabilité. E</w:t>
      </w:r>
      <w:r>
        <w:rPr>
          <w:rFonts w:ascii="Times New Roman" w:hAnsi="Times New Roman"/>
          <w:noProof/>
          <w:sz w:val="24"/>
        </w:rPr>
        <w:t>n outre, la Commission a présenté une proposition concernant un système européen d'assurance des dépôts</w:t>
      </w:r>
      <w:r>
        <w:rPr>
          <w:rStyle w:val="FootnoteReference"/>
          <w:rFonts w:ascii="Times New Roman" w:hAnsi="Times New Roman"/>
          <w:noProof/>
          <w:sz w:val="24"/>
        </w:rPr>
        <w:footnoteReference w:id="69"/>
      </w:r>
      <w:r>
        <w:rPr>
          <w:rFonts w:ascii="Times New Roman" w:hAnsi="Times New Roman"/>
          <w:noProof/>
          <w:sz w:val="24"/>
        </w:rPr>
        <w:t xml:space="preserve"> afin d’offrir le même niveau de protection aux déposants dans l’ensemble de la zone euro. L’achèvement de l'union bancaire et de l'union des marchés de</w:t>
      </w:r>
      <w:r>
        <w:rPr>
          <w:rFonts w:ascii="Times New Roman" w:hAnsi="Times New Roman"/>
          <w:noProof/>
          <w:sz w:val="24"/>
        </w:rPr>
        <w:t>s capitaux revêt à présent un caractère urgent.</w:t>
      </w:r>
    </w:p>
    <w:p w:rsidR="00EB371E" w:rsidRDefault="00EB371E">
      <w:pPr>
        <w:spacing w:after="0" w:line="240" w:lineRule="auto"/>
        <w:jc w:val="both"/>
        <w:rPr>
          <w:rFonts w:ascii="Times New Roman" w:hAnsi="Times New Roman"/>
          <w:noProof/>
          <w:sz w:val="24"/>
          <w:szCs w:val="24"/>
        </w:rPr>
      </w:pPr>
    </w:p>
    <w:p w:rsidR="00EB371E" w:rsidRDefault="00EF242D">
      <w:pPr>
        <w:spacing w:after="0" w:line="240" w:lineRule="auto"/>
        <w:jc w:val="center"/>
        <w:rPr>
          <w:rFonts w:ascii="Times New Roman" w:hAnsi="Times New Roman"/>
          <w:noProof/>
          <w:sz w:val="16"/>
          <w:szCs w:val="24"/>
        </w:rPr>
      </w:pPr>
      <w:r>
        <w:rPr>
          <w:rFonts w:ascii="Times New Roman" w:hAnsi="Times New Roman"/>
          <w:noProof/>
          <w:sz w:val="24"/>
          <w:szCs w:val="24"/>
          <w:lang w:val="en-GB" w:eastAsia="en-GB" w:bidi="ar-SA"/>
        </w:rPr>
        <w:pict>
          <v:shape id="_x0000_i1026" type="#_x0000_t75" style="width:453.75pt;height:324pt">
            <v:imagedata r:id="rId23" o:title="cmu-benefits_fr"/>
          </v:shape>
        </w:pict>
      </w:r>
    </w:p>
    <w:p w:rsidR="00EB371E" w:rsidRDefault="00EF242D">
      <w:pPr>
        <w:spacing w:after="0" w:line="240" w:lineRule="auto"/>
        <w:jc w:val="right"/>
        <w:rPr>
          <w:rFonts w:ascii="Times New Roman" w:hAnsi="Times New Roman" w:cs="Times New Roman"/>
          <w:i/>
          <w:noProof/>
          <w:sz w:val="16"/>
          <w:szCs w:val="16"/>
        </w:rPr>
      </w:pPr>
      <w:r>
        <w:rPr>
          <w:rFonts w:ascii="Times New Roman" w:hAnsi="Times New Roman"/>
          <w:i/>
          <w:noProof/>
          <w:sz w:val="16"/>
        </w:rPr>
        <w:t xml:space="preserve">Source: Commission européenne </w:t>
      </w:r>
    </w:p>
    <w:p w:rsidR="00EB371E" w:rsidRDefault="00EB371E">
      <w:pPr>
        <w:spacing w:after="0" w:line="240" w:lineRule="auto"/>
        <w:rPr>
          <w:rFonts w:ascii="Times New Roman" w:hAnsi="Times New Roman" w:cs="Times New Roman"/>
          <w:i/>
          <w:noProof/>
          <w:sz w:val="24"/>
          <w:szCs w:val="24"/>
        </w:rPr>
      </w:pPr>
    </w:p>
    <w:p w:rsidR="00EB371E" w:rsidRDefault="00EF242D">
      <w:pPr>
        <w:keepNext/>
        <w:spacing w:after="120"/>
        <w:rPr>
          <w:rFonts w:ascii="Times New Roman" w:hAnsi="Times New Roman" w:cs="Times New Roman"/>
          <w:b/>
          <w:noProof/>
          <w:sz w:val="24"/>
          <w:szCs w:val="24"/>
        </w:rPr>
      </w:pPr>
      <w:r>
        <w:rPr>
          <w:rFonts w:ascii="Times New Roman" w:hAnsi="Times New Roman"/>
          <w:b/>
          <w:noProof/>
          <w:sz w:val="24"/>
        </w:rPr>
        <w:t>3.7</w:t>
      </w:r>
      <w:r>
        <w:rPr>
          <w:noProof/>
        </w:rPr>
        <w:tab/>
      </w:r>
      <w:r>
        <w:rPr>
          <w:rFonts w:ascii="Times New Roman" w:hAnsi="Times New Roman"/>
          <w:b/>
          <w:noProof/>
          <w:sz w:val="24"/>
        </w:rPr>
        <w:t>Réduire la charge administrative et faciliter le respect de la réglementation fiscale</w:t>
      </w:r>
    </w:p>
    <w:p w:rsidR="00EB371E" w:rsidRDefault="00EF242D">
      <w:pPr>
        <w:spacing w:after="0" w:line="240" w:lineRule="auto"/>
        <w:jc w:val="both"/>
        <w:rPr>
          <w:rFonts w:ascii="Times New Roman" w:hAnsi="Times New Roman" w:cs="Times New Roman"/>
          <w:noProof/>
          <w:sz w:val="24"/>
          <w:szCs w:val="24"/>
        </w:rPr>
      </w:pPr>
      <w:r>
        <w:rPr>
          <w:rFonts w:ascii="Times New Roman" w:hAnsi="Times New Roman"/>
          <w:noProof/>
          <w:sz w:val="24"/>
        </w:rPr>
        <w:t>Les obstacles administratifs et réglementaires continuent de décourager les petites</w:t>
      </w:r>
      <w:r>
        <w:rPr>
          <w:rFonts w:ascii="Times New Roman" w:hAnsi="Times New Roman"/>
          <w:noProof/>
          <w:sz w:val="24"/>
        </w:rPr>
        <w:t xml:space="preserve"> entreprises de développer leurs activités par-delà les frontières. Une enquête récente</w:t>
      </w:r>
      <w:r>
        <w:rPr>
          <w:rStyle w:val="FootnoteReference"/>
          <w:rFonts w:ascii="Times New Roman" w:hAnsi="Times New Roman"/>
          <w:noProof/>
          <w:sz w:val="24"/>
        </w:rPr>
        <w:footnoteReference w:id="70"/>
      </w:r>
      <w:r>
        <w:rPr>
          <w:rFonts w:ascii="Times New Roman" w:hAnsi="Times New Roman"/>
          <w:noProof/>
          <w:sz w:val="24"/>
        </w:rPr>
        <w:t xml:space="preserve"> montre que la complexité administrative (83 %) inquiète davantage les entreprises que les barrières linguistiques (45 %) lorsqu’elles franchissent les frontières. Les </w:t>
      </w:r>
      <w:r>
        <w:rPr>
          <w:rFonts w:ascii="Times New Roman" w:hAnsi="Times New Roman"/>
          <w:noProof/>
          <w:sz w:val="24"/>
        </w:rPr>
        <w:t xml:space="preserve">coûts liés au respect d’exigences et de procédures nationales divergentes peuvent être hors de portée des citoyens, des petites et moyennes entreprises et des jeunes pousses. </w:t>
      </w:r>
    </w:p>
    <w:p w:rsidR="00EB371E" w:rsidRDefault="00EB371E">
      <w:pPr>
        <w:spacing w:after="0" w:line="240" w:lineRule="auto"/>
        <w:jc w:val="both"/>
        <w:rPr>
          <w:rFonts w:ascii="Times New Roman" w:hAnsi="Times New Roman" w:cs="Times New Roman"/>
          <w:noProof/>
          <w:sz w:val="24"/>
          <w:szCs w:val="24"/>
        </w:rPr>
      </w:pPr>
    </w:p>
    <w:p w:rsidR="00EB371E" w:rsidRDefault="00EF242D">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Au niveau de l’Union, un soutien concret a été mis en place et se développe de </w:t>
      </w:r>
      <w:r>
        <w:rPr>
          <w:rFonts w:ascii="Times New Roman" w:hAnsi="Times New Roman"/>
          <w:noProof/>
          <w:sz w:val="24"/>
        </w:rPr>
        <w:t>plus en plus. Il s’agit par exemple du portail «L'Europe est à vous – Entreprises» et du réseau Entreprise Europe. Le règlement relatif au portail numérique unique qui a été adopté récemment facilitera encore l’accès des citoyens et des entreprises à des i</w:t>
      </w:r>
      <w:r>
        <w:rPr>
          <w:rFonts w:ascii="Times New Roman" w:hAnsi="Times New Roman"/>
          <w:noProof/>
          <w:sz w:val="24"/>
        </w:rPr>
        <w:t xml:space="preserve">nformations en ligne sur leurs droits au sein du marché unique. Des règles communes en matière d’identification électronique et de services de confiance offrent aux citoyens et aux entreprises des outils sûrs et transparents qui permettent une interaction </w:t>
      </w:r>
      <w:r>
        <w:rPr>
          <w:rFonts w:ascii="Times New Roman" w:hAnsi="Times New Roman"/>
          <w:noProof/>
          <w:sz w:val="24"/>
        </w:rPr>
        <w:t>numérique avec les administrations publiques et le secteur privé. Dans le cadre du paquet sur le droit européen des sociétés</w:t>
      </w:r>
      <w:r>
        <w:rPr>
          <w:rStyle w:val="FootnoteReference"/>
          <w:rFonts w:ascii="Times New Roman" w:hAnsi="Times New Roman"/>
          <w:noProof/>
          <w:sz w:val="24"/>
        </w:rPr>
        <w:footnoteReference w:id="71"/>
      </w:r>
      <w:r>
        <w:rPr>
          <w:rFonts w:ascii="Times New Roman" w:hAnsi="Times New Roman"/>
          <w:noProof/>
          <w:sz w:val="24"/>
        </w:rPr>
        <w:t>, la Commission a également proposé de nouvelles règles concernant la définition de procédures communes claires et harmonisées deva</w:t>
      </w:r>
      <w:r>
        <w:rPr>
          <w:rFonts w:ascii="Times New Roman" w:hAnsi="Times New Roman"/>
          <w:noProof/>
          <w:sz w:val="24"/>
        </w:rPr>
        <w:t>nt permettre aux entreprises de se déplacer d'un État membre à un autre, de fusionner ou de se scinder en plusieurs entités dans un contexte transfrontière, en plus de garanties solides contre les abus. Les entreprises seront également à même de s'immatric</w:t>
      </w:r>
      <w:r>
        <w:rPr>
          <w:rFonts w:ascii="Times New Roman" w:hAnsi="Times New Roman"/>
          <w:noProof/>
          <w:sz w:val="24"/>
        </w:rPr>
        <w:t>uler, d’établir de nouvelles succursales ou de déposer des actes en ligne.</w:t>
      </w:r>
    </w:p>
    <w:p w:rsidR="00EB371E" w:rsidRDefault="00EB371E">
      <w:pPr>
        <w:spacing w:after="0" w:line="240" w:lineRule="auto"/>
        <w:jc w:val="both"/>
        <w:rPr>
          <w:rFonts w:ascii="Times New Roman" w:hAnsi="Times New Roman" w:cs="Times New Roman"/>
          <w:noProof/>
          <w:sz w:val="24"/>
          <w:szCs w:val="24"/>
        </w:rPr>
      </w:pPr>
    </w:p>
    <w:p w:rsidR="00EB371E" w:rsidRDefault="00EF242D">
      <w:pPr>
        <w:spacing w:after="0" w:line="240" w:lineRule="auto"/>
        <w:jc w:val="both"/>
        <w:rPr>
          <w:rFonts w:ascii="Times New Roman" w:hAnsi="Times New Roman" w:cs="Times New Roman"/>
          <w:noProof/>
          <w:sz w:val="24"/>
          <w:szCs w:val="24"/>
        </w:rPr>
      </w:pPr>
      <w:r>
        <w:rPr>
          <w:rFonts w:ascii="Times New Roman" w:hAnsi="Times New Roman"/>
          <w:noProof/>
          <w:sz w:val="24"/>
        </w:rPr>
        <w:t>La transformation numérique est susceptible de réduire considérablement les charges administratives et d’améliorer les conditions-cadres des investissements des entreprises, par ex</w:t>
      </w:r>
      <w:r>
        <w:rPr>
          <w:rFonts w:ascii="Times New Roman" w:hAnsi="Times New Roman"/>
          <w:noProof/>
          <w:sz w:val="24"/>
        </w:rPr>
        <w:t>emple dans le domaine de la passation de marchés publics en ligne. Une enquête réalisée en 2016 a révélé que 82 % des services publics étaient disponibles en ligne en Europe. L’écart entre les pays les moins performants et les plus performants en la matièr</w:t>
      </w:r>
      <w:r>
        <w:rPr>
          <w:rFonts w:ascii="Times New Roman" w:hAnsi="Times New Roman"/>
          <w:noProof/>
          <w:sz w:val="24"/>
        </w:rPr>
        <w:t>e se réduit. La priorité est donnée à la réalisation de nouvelles avancées dans la mise en œuvre du plan d'action pour l'administration électronique</w:t>
      </w:r>
      <w:r>
        <w:rPr>
          <w:rStyle w:val="FootnoteReference"/>
          <w:rFonts w:ascii="Times New Roman" w:hAnsi="Times New Roman"/>
          <w:noProof/>
          <w:sz w:val="24"/>
        </w:rPr>
        <w:footnoteReference w:id="72"/>
      </w:r>
      <w:r>
        <w:rPr>
          <w:rFonts w:ascii="Times New Roman" w:hAnsi="Times New Roman"/>
          <w:noProof/>
          <w:sz w:val="24"/>
        </w:rPr>
        <w:t xml:space="preserve"> adopté en 2016. Celui-ci comprend des initiatives facilitant l’échange d’informations ainsi que l’élaborat</w:t>
      </w:r>
      <w:r>
        <w:rPr>
          <w:rFonts w:ascii="Times New Roman" w:hAnsi="Times New Roman"/>
          <w:noProof/>
          <w:sz w:val="24"/>
        </w:rPr>
        <w:t xml:space="preserve">ion et l’utilisation des outils informatiques nécessaires, tels que le système d’interconnexion des registres du commerce (BRIS), les services de santé en ligne transfrontières et les infrastructures de services numériques. </w:t>
      </w:r>
    </w:p>
    <w:p w:rsidR="00EB371E" w:rsidRDefault="00EB371E">
      <w:pPr>
        <w:spacing w:after="0" w:line="240" w:lineRule="auto"/>
        <w:jc w:val="both"/>
        <w:rPr>
          <w:rFonts w:ascii="Times New Roman" w:hAnsi="Times New Roman" w:cs="Times New Roman"/>
          <w:noProof/>
          <w:sz w:val="24"/>
          <w:szCs w:val="24"/>
        </w:rPr>
      </w:pPr>
    </w:p>
    <w:p w:rsidR="00EB371E" w:rsidRDefault="00EF242D">
      <w:pPr>
        <w:spacing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Les technologies numériques pe</w:t>
      </w:r>
      <w:r>
        <w:rPr>
          <w:rFonts w:ascii="Times New Roman" w:hAnsi="Times New Roman"/>
          <w:noProof/>
          <w:color w:val="000000" w:themeColor="text1"/>
          <w:sz w:val="24"/>
        </w:rPr>
        <w:t>uvent également permettre une simplification de la mise en conformité et une réduction des coûts dans le domaine de la fiscalité. Le respect des règles en matière de TVA est considéré comme l’un des principaux obstacles à l’activité transfrontière. L’initi</w:t>
      </w:r>
      <w:r>
        <w:rPr>
          <w:rFonts w:ascii="Times New Roman" w:hAnsi="Times New Roman"/>
          <w:noProof/>
          <w:color w:val="000000" w:themeColor="text1"/>
          <w:sz w:val="24"/>
        </w:rPr>
        <w:t>ative intitulée «mini-guichet unique en matière de TVA» a déjà permis à des entreprises d’économiser plus de 500 millions d’EUR. Sur cette base, les colégislateurs se sont entendus en décembre 2017 sur une série de mesures introduisant des règles plus simp</w:t>
      </w:r>
      <w:r>
        <w:rPr>
          <w:rFonts w:ascii="Times New Roman" w:hAnsi="Times New Roman"/>
          <w:noProof/>
          <w:color w:val="000000" w:themeColor="text1"/>
          <w:sz w:val="24"/>
        </w:rPr>
        <w:t>les et plus efficaces pour les entreprises qui vendent des produits en ligne. La proposition de la Commission consistant à réduire la charge administrative que représente la TVA pour les petites et moyennes entreprises</w:t>
      </w:r>
      <w:r>
        <w:rPr>
          <w:rStyle w:val="FootnoteReference"/>
          <w:rFonts w:ascii="Times New Roman" w:hAnsi="Times New Roman"/>
          <w:noProof/>
          <w:color w:val="000000" w:themeColor="text1"/>
          <w:sz w:val="24"/>
        </w:rPr>
        <w:footnoteReference w:id="73"/>
      </w:r>
      <w:r>
        <w:rPr>
          <w:rFonts w:ascii="Times New Roman" w:hAnsi="Times New Roman"/>
          <w:noProof/>
          <w:color w:val="000000" w:themeColor="text1"/>
          <w:sz w:val="24"/>
        </w:rPr>
        <w:t xml:space="preserve"> pourrait contribuer à accroître les échanges transfrontières de ces dernières de quelque 13 %. L’adoption de la proposition relative à une assiette commune consolidée pour l'impôt sur les sociétés (ACCIS)</w:t>
      </w:r>
      <w:r>
        <w:rPr>
          <w:rStyle w:val="FootnoteReference"/>
          <w:rFonts w:ascii="Times New Roman" w:hAnsi="Times New Roman"/>
          <w:noProof/>
          <w:color w:val="000000" w:themeColor="text1"/>
          <w:sz w:val="24"/>
        </w:rPr>
        <w:footnoteReference w:id="74"/>
      </w:r>
      <w:r>
        <w:rPr>
          <w:rFonts w:ascii="Times New Roman" w:hAnsi="Times New Roman"/>
          <w:noProof/>
          <w:color w:val="000000" w:themeColor="text1"/>
          <w:sz w:val="24"/>
        </w:rPr>
        <w:t xml:space="preserve"> réduirait de près de 65 % les coûts annuels suppl</w:t>
      </w:r>
      <w:r>
        <w:rPr>
          <w:rFonts w:ascii="Times New Roman" w:hAnsi="Times New Roman"/>
          <w:noProof/>
          <w:color w:val="000000" w:themeColor="text1"/>
          <w:sz w:val="24"/>
        </w:rPr>
        <w:t>émentaires de mise en conformité dans le domaine fiscal qu'entraîne la création d’une nouvelle filiale dans un autre État membre. Cette diminution conduirait à elle seule à une augmentation des investissements pouvant aller jusqu’à 3,4 % et à une hausse du</w:t>
      </w:r>
      <w:r>
        <w:rPr>
          <w:rFonts w:ascii="Times New Roman" w:hAnsi="Times New Roman"/>
          <w:noProof/>
          <w:color w:val="000000" w:themeColor="text1"/>
          <w:sz w:val="24"/>
        </w:rPr>
        <w:t xml:space="preserve"> produit intérieur brut de l’Union pouvant atteindre 1,2 %. Mais il reste encore beaucoup à faire. Aujourd’hui, le marché unique demeure nettement sous-développé dans le domaine fiscal. Les États membres doivent agir avec résolution afin d'adopter les prop</w:t>
      </w:r>
      <w:r>
        <w:rPr>
          <w:rFonts w:ascii="Times New Roman" w:hAnsi="Times New Roman"/>
          <w:noProof/>
          <w:color w:val="000000" w:themeColor="text1"/>
          <w:sz w:val="24"/>
        </w:rPr>
        <w:t>ositions essentielles pour la compétitivité future de l’Union qui sont toujours en cours d'examen. Eu égard aux difficultés que rencontrent les États membres pour parvenir à un accord unanime au sein du Conseil sur d’importantes propositions en matière fis</w:t>
      </w:r>
      <w:r>
        <w:rPr>
          <w:rFonts w:ascii="Times New Roman" w:hAnsi="Times New Roman"/>
          <w:noProof/>
          <w:color w:val="000000" w:themeColor="text1"/>
          <w:sz w:val="24"/>
        </w:rPr>
        <w:t>cale, la Commission présentera prochainement une communication examinant la possibilité d’un passage au vote à la majorité qualifiée pour certaines questions fiscales</w:t>
      </w:r>
      <w:r>
        <w:rPr>
          <w:rFonts w:ascii="Times New Roman" w:hAnsi="Times New Roman"/>
          <w:b/>
          <w:noProof/>
          <w:color w:val="000000" w:themeColor="text1"/>
          <w:sz w:val="24"/>
        </w:rPr>
        <w:t>.</w:t>
      </w:r>
      <w:r>
        <w:rPr>
          <w:rFonts w:ascii="Times New Roman" w:hAnsi="Times New Roman"/>
          <w:noProof/>
          <w:color w:val="000000" w:themeColor="text1"/>
          <w:sz w:val="24"/>
        </w:rPr>
        <w:t xml:space="preserve"> Ces aspects requièrent une réflexion plus approfondie dans la perspective du débat sur l</w:t>
      </w:r>
      <w:r>
        <w:rPr>
          <w:rFonts w:ascii="Times New Roman" w:hAnsi="Times New Roman"/>
          <w:noProof/>
          <w:color w:val="000000" w:themeColor="text1"/>
          <w:sz w:val="24"/>
        </w:rPr>
        <w:t xml:space="preserve">’avenir de l’Europe qui se déroulera à Sibiu le 9 mai 2019. </w:t>
      </w:r>
    </w:p>
    <w:p w:rsidR="00EB371E" w:rsidRDefault="00EB371E">
      <w:pPr>
        <w:spacing w:after="0" w:line="240" w:lineRule="auto"/>
        <w:rPr>
          <w:rFonts w:ascii="Calibri" w:hAnsi="Calibri" w:cs="Calibri"/>
          <w:noProof/>
          <w:color w:val="1F497D"/>
        </w:rPr>
      </w:pPr>
    </w:p>
    <w:p w:rsidR="00EB371E" w:rsidRDefault="00EB371E">
      <w:pPr>
        <w:spacing w:after="0" w:line="240" w:lineRule="auto"/>
        <w:jc w:val="both"/>
        <w:rPr>
          <w:rFonts w:ascii="Times New Roman" w:hAnsi="Times New Roman" w:cs="Times New Roman"/>
          <w:noProof/>
          <w:sz w:val="24"/>
          <w:szCs w:val="24"/>
        </w:rPr>
      </w:pPr>
    </w:p>
    <w:p w:rsidR="00EB371E" w:rsidRDefault="00EF242D">
      <w:pPr>
        <w:pStyle w:val="Heading2"/>
        <w:keepLines w:val="0"/>
        <w:spacing w:before="0" w:after="120" w:line="240" w:lineRule="auto"/>
        <w:ind w:left="709" w:hanging="709"/>
        <w:rPr>
          <w:rFonts w:ascii="Times New Roman" w:hAnsi="Times New Roman" w:cs="Times New Roman"/>
          <w:noProof/>
          <w:color w:val="auto"/>
          <w:sz w:val="24"/>
          <w:szCs w:val="24"/>
        </w:rPr>
      </w:pPr>
      <w:r>
        <w:rPr>
          <w:rFonts w:ascii="Times New Roman" w:hAnsi="Times New Roman"/>
          <w:noProof/>
          <w:color w:val="auto"/>
          <w:sz w:val="24"/>
        </w:rPr>
        <w:t>3.8</w:t>
      </w:r>
      <w:r>
        <w:rPr>
          <w:noProof/>
        </w:rPr>
        <w:tab/>
      </w:r>
      <w:r>
        <w:rPr>
          <w:rFonts w:ascii="Times New Roman" w:hAnsi="Times New Roman"/>
          <w:noProof/>
          <w:color w:val="auto"/>
          <w:sz w:val="24"/>
        </w:rPr>
        <w:t>Mesures de facilitation</w:t>
      </w:r>
    </w:p>
    <w:p w:rsidR="00EB371E" w:rsidRDefault="00EF242D">
      <w:pPr>
        <w:pStyle w:val="Heading2"/>
        <w:keepNext w:val="0"/>
        <w:keepLines w:val="0"/>
        <w:spacing w:before="0" w:line="240" w:lineRule="auto"/>
        <w:jc w:val="both"/>
        <w:rPr>
          <w:rFonts w:ascii="Times New Roman" w:eastAsia="Times New Roman" w:hAnsi="Times New Roman" w:cs="Times New Roman"/>
          <w:b w:val="0"/>
          <w:i/>
          <w:noProof/>
          <w:color w:val="000000" w:themeColor="text1"/>
          <w:sz w:val="24"/>
          <w:szCs w:val="24"/>
        </w:rPr>
      </w:pPr>
      <w:r>
        <w:rPr>
          <w:rFonts w:ascii="Times New Roman" w:hAnsi="Times New Roman"/>
          <w:b w:val="0"/>
          <w:noProof/>
          <w:color w:val="000000" w:themeColor="text1"/>
          <w:sz w:val="24"/>
        </w:rPr>
        <w:t>Les règles ne suffisent pas en soi à assurer le bon fonctionnement du marché unique, et la capacité de vendre des produits et de fournir des services dans l’Union dé</w:t>
      </w:r>
      <w:r>
        <w:rPr>
          <w:rFonts w:ascii="Times New Roman" w:hAnsi="Times New Roman"/>
          <w:b w:val="0"/>
          <w:noProof/>
          <w:color w:val="000000" w:themeColor="text1"/>
          <w:sz w:val="24"/>
        </w:rPr>
        <w:t>pend de la disponibilité d’infrastructures ou de réseaux dans les domaines des transports, de l’énergie et des télécommunications, par exemple, ainsi que de l’accès à ces infrastructures ou à ces réseaux. L’Union européenne a investi dans ces domaines et a</w:t>
      </w:r>
      <w:r>
        <w:rPr>
          <w:rFonts w:ascii="Times New Roman" w:hAnsi="Times New Roman"/>
          <w:b w:val="0"/>
          <w:noProof/>
          <w:color w:val="000000" w:themeColor="text1"/>
          <w:sz w:val="24"/>
        </w:rPr>
        <w:t xml:space="preserve"> facilité la réalisation d’investissements publics et privés. Au cours de la période 2014-2020, le mécanisme pour l’interconnexion en Europe, le Fonds européen pour les investissements stratégiques et le programme Horizon 2020 devraient permettre le financ</w:t>
      </w:r>
      <w:r>
        <w:rPr>
          <w:rFonts w:ascii="Times New Roman" w:hAnsi="Times New Roman"/>
          <w:b w:val="0"/>
          <w:noProof/>
          <w:color w:val="000000" w:themeColor="text1"/>
          <w:sz w:val="24"/>
        </w:rPr>
        <w:t xml:space="preserve">ement de plus de 2 000 projets dans les domaines des transports, de l’énergie et des télécommunications en faveur de réseaux hautement performants, durables et interconnectés. </w:t>
      </w:r>
    </w:p>
    <w:p w:rsidR="00EB371E" w:rsidRDefault="00EB371E">
      <w:pPr>
        <w:spacing w:after="0" w:line="240" w:lineRule="auto"/>
        <w:jc w:val="both"/>
        <w:rPr>
          <w:rFonts w:ascii="Times New Roman" w:hAnsi="Times New Roman" w:cs="Times New Roman"/>
          <w:noProof/>
          <w:sz w:val="24"/>
          <w:szCs w:val="24"/>
        </w:rPr>
      </w:pPr>
    </w:p>
    <w:p w:rsidR="00EB371E" w:rsidRDefault="00EF242D">
      <w:pPr>
        <w:spacing w:after="0" w:line="240" w:lineRule="auto"/>
        <w:jc w:val="both"/>
        <w:rPr>
          <w:rFonts w:ascii="Times New Roman" w:hAnsi="Times New Roman" w:cs="Times New Roman"/>
          <w:noProof/>
          <w:sz w:val="24"/>
          <w:szCs w:val="24"/>
        </w:rPr>
      </w:pPr>
      <w:r>
        <w:rPr>
          <w:rFonts w:ascii="Times New Roman" w:hAnsi="Times New Roman"/>
          <w:noProof/>
          <w:sz w:val="24"/>
        </w:rPr>
        <w:t>Pour la période 2021-2027, la Commission a proposé un budget plus simple, plus</w:t>
      </w:r>
      <w:r>
        <w:rPr>
          <w:rFonts w:ascii="Times New Roman" w:hAnsi="Times New Roman"/>
          <w:noProof/>
          <w:sz w:val="24"/>
        </w:rPr>
        <w:t xml:space="preserve"> rationnel et plus souple qui permettra d’apporter un soutien plus efficace dans tous ces domaines essentiels au développement du marché unique. Il inclut notamment le nouveau mécanisme pour l’interconnexion en Europe qui a été proposé, le programme pour u</w:t>
      </w:r>
      <w:r>
        <w:rPr>
          <w:rFonts w:ascii="Times New Roman" w:hAnsi="Times New Roman"/>
          <w:noProof/>
          <w:sz w:val="24"/>
        </w:rPr>
        <w:t>ne Europe numérique et le programme spatial, ainsi que les fonds structurels et d'investissement. Ces programmes contribueront à promouvoir des initiatives telles que le déploiement de corridors 5G transfrontières pour la conduite connectée et automatisée,</w:t>
      </w:r>
      <w:r>
        <w:rPr>
          <w:rFonts w:ascii="Times New Roman" w:hAnsi="Times New Roman"/>
          <w:noProof/>
          <w:sz w:val="24"/>
        </w:rPr>
        <w:t xml:space="preserve"> l’observation et la navigation par satellite, le calcul à haute performance, l’intelligence artificielle ou la cybersécurité. Parallèlement, le nouveau programme Horizon Europe continuera de soutenir les futures recherches concernant ces technologies. Pou</w:t>
      </w:r>
      <w:r>
        <w:rPr>
          <w:rFonts w:ascii="Times New Roman" w:hAnsi="Times New Roman"/>
          <w:noProof/>
          <w:sz w:val="24"/>
        </w:rPr>
        <w:t>r que le marché unique puisse produire des résultats sur le terrain, il est également nécessaire que l’Union apporte un soutien financier aux administrations nationales. Cela est particulièrement vrai pour la coopération administrative, les activités conce</w:t>
      </w:r>
      <w:r>
        <w:rPr>
          <w:rFonts w:ascii="Times New Roman" w:hAnsi="Times New Roman"/>
          <w:noProof/>
          <w:sz w:val="24"/>
        </w:rPr>
        <w:t>rnant la mise en œuvre effective des règles, l’accès des citoyens et des entreprises à l’information et le renforcement des capacités. Les entreprises qui souhaitent avoir accès au marché unique en vue de développer leurs activités doivent également être s</w:t>
      </w:r>
      <w:r>
        <w:rPr>
          <w:rFonts w:ascii="Times New Roman" w:hAnsi="Times New Roman"/>
          <w:noProof/>
          <w:sz w:val="24"/>
        </w:rPr>
        <w:t>outenues. Ce soutien est prévu par des programmes futurs tels que le programme du marché unique, InvestEU ou la coopération en matière de douanes et de fiscalité. Un accord rapide sur les propositions de la Commission relatives au budget 2021-2027 permettr</w:t>
      </w:r>
      <w:r>
        <w:rPr>
          <w:rFonts w:ascii="Times New Roman" w:hAnsi="Times New Roman"/>
          <w:noProof/>
          <w:sz w:val="24"/>
        </w:rPr>
        <w:t>a de déployer ce soutien en temps utile.</w:t>
      </w:r>
    </w:p>
    <w:p w:rsidR="00EB371E" w:rsidRDefault="00EB371E">
      <w:pPr>
        <w:spacing w:after="0" w:line="240" w:lineRule="auto"/>
        <w:jc w:val="both"/>
        <w:rPr>
          <w:rFonts w:ascii="Times New Roman" w:hAnsi="Times New Roman" w:cs="Times New Roman"/>
          <w:noProof/>
          <w:sz w:val="24"/>
          <w:szCs w:val="24"/>
        </w:rPr>
      </w:pPr>
    </w:p>
    <w:p w:rsidR="00EB371E" w:rsidRDefault="00EF242D">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L’éducation et la formation tout au long de la vie, qui relèvent de la compétence des États membres, facilitent l’acquisition des compétences qui peuvent encourager la mobilité de la main-d'œuvre au sein du marché </w:t>
      </w:r>
      <w:r>
        <w:rPr>
          <w:rFonts w:ascii="Times New Roman" w:hAnsi="Times New Roman"/>
          <w:noProof/>
          <w:sz w:val="24"/>
        </w:rPr>
        <w:t>unique, laquelle peut, à son tour, faciliter l’acquisition de nouvelles qualifications et compétences. L’Union peut aider les États membres à obtenir de meilleurs résultats, grâce par exemple à la nouvelle stratégie en matière de compétences pour l’Europe,</w:t>
      </w:r>
      <w:r>
        <w:rPr>
          <w:rFonts w:ascii="Times New Roman" w:hAnsi="Times New Roman"/>
          <w:noProof/>
          <w:sz w:val="24"/>
        </w:rPr>
        <w:t xml:space="preserve"> à la coalition en faveur des compétences et des emplois numériques, à l’espace européen de l’éducation</w:t>
      </w:r>
      <w:r>
        <w:rPr>
          <w:rStyle w:val="FootnoteReference"/>
          <w:rFonts w:ascii="Times New Roman" w:hAnsi="Times New Roman"/>
          <w:noProof/>
          <w:sz w:val="24"/>
        </w:rPr>
        <w:footnoteReference w:id="75"/>
      </w:r>
      <w:r>
        <w:rPr>
          <w:rFonts w:ascii="Times New Roman" w:hAnsi="Times New Roman"/>
          <w:noProof/>
          <w:sz w:val="24"/>
        </w:rPr>
        <w:t xml:space="preserve"> et à l’espace européen de la recherche. La langue reste souvent un obstacle pratique à la mobilité de la main-d'œuvre, à l’établissement d’une entrepri</w:t>
      </w:r>
      <w:r>
        <w:rPr>
          <w:rFonts w:ascii="Times New Roman" w:hAnsi="Times New Roman"/>
          <w:noProof/>
          <w:sz w:val="24"/>
        </w:rPr>
        <w:t>se dans un autre État membre ou à l’exercice d’activités transfrontières. Dans le domaine des marchés publics, par exemple, 23 % des entreprises consultées considèrent la langue comme constituant un «obstacle de taille» au dépôt d’offres transfrontières. L</w:t>
      </w:r>
      <w:r>
        <w:rPr>
          <w:rFonts w:ascii="Times New Roman" w:hAnsi="Times New Roman"/>
          <w:noProof/>
          <w:sz w:val="24"/>
        </w:rPr>
        <w:t>’enseignement, les échanges Erasmus et, dans une certaine mesure, la traduction automatique peuvent constituer une partie de la solution en la matière. Le portail numérique unique mentionné plus haut prévoit que les citoyens et les entreprises doivent disp</w:t>
      </w:r>
      <w:r>
        <w:rPr>
          <w:rFonts w:ascii="Times New Roman" w:hAnsi="Times New Roman"/>
          <w:noProof/>
          <w:sz w:val="24"/>
        </w:rPr>
        <w:t xml:space="preserve">oser d’informations dans une autre langue au moins. En outre, des initiatives bilatérales comme les centres européens des consommateurs se sont révélées efficaces pour instaurer un climat de confiance au-delà des frontières linguistiques. </w:t>
      </w:r>
    </w:p>
    <w:p w:rsidR="00EB371E" w:rsidRDefault="00EB371E">
      <w:pPr>
        <w:spacing w:after="0" w:line="240" w:lineRule="auto"/>
        <w:jc w:val="both"/>
        <w:rPr>
          <w:rFonts w:ascii="Times New Roman" w:hAnsi="Times New Roman" w:cs="Times New Roman"/>
          <w:b/>
          <w:noProof/>
          <w:color w:val="000000" w:themeColor="text1"/>
          <w:sz w:val="28"/>
          <w:szCs w:val="28"/>
        </w:rPr>
      </w:pPr>
    </w:p>
    <w:p w:rsidR="00EB371E" w:rsidRDefault="00EF242D">
      <w:pPr>
        <w:keepNext/>
        <w:spacing w:after="120" w:line="240" w:lineRule="auto"/>
        <w:jc w:val="both"/>
        <w:rPr>
          <w:rFonts w:ascii="Times New Roman" w:hAnsi="Times New Roman" w:cs="Times New Roman"/>
          <w:i/>
          <w:noProof/>
          <w:color w:val="000000" w:themeColor="text1"/>
        </w:rPr>
      </w:pPr>
      <w:r>
        <w:rPr>
          <w:rFonts w:ascii="Times New Roman" w:hAnsi="Times New Roman"/>
          <w:b/>
          <w:noProof/>
          <w:color w:val="000000" w:themeColor="text1"/>
          <w:sz w:val="24"/>
        </w:rPr>
        <w:t>Conclusion</w:t>
      </w:r>
    </w:p>
    <w:p w:rsidR="00EB371E" w:rsidRDefault="00EB371E">
      <w:pPr>
        <w:spacing w:after="0" w:line="120" w:lineRule="auto"/>
        <w:jc w:val="both"/>
        <w:rPr>
          <w:rFonts w:ascii="Times New Roman" w:hAnsi="Times New Roman" w:cs="Times New Roman"/>
          <w:noProof/>
          <w:color w:val="000000" w:themeColor="text1"/>
          <w:sz w:val="24"/>
          <w:szCs w:val="24"/>
        </w:rPr>
      </w:pPr>
    </w:p>
    <w:p w:rsidR="00EB371E" w:rsidRDefault="00EF242D">
      <w:pPr>
        <w:spacing w:after="0" w:line="240" w:lineRule="auto"/>
        <w:jc w:val="both"/>
        <w:rPr>
          <w:rFonts w:ascii="Times New Roman" w:hAnsi="Times New Roman" w:cs="Times New Roman"/>
          <w:noProof/>
          <w:color w:val="000000" w:themeColor="text1"/>
          <w:sz w:val="24"/>
          <w:szCs w:val="24"/>
        </w:rPr>
      </w:pPr>
      <w:r>
        <w:rPr>
          <w:rFonts w:ascii="Times New Roman" w:hAnsi="Times New Roman"/>
          <w:noProof/>
          <w:sz w:val="24"/>
        </w:rPr>
        <w:t xml:space="preserve">Vingt-cinq ans après sa création, </w:t>
      </w:r>
      <w:r>
        <w:rPr>
          <w:rFonts w:ascii="Times New Roman" w:hAnsi="Times New Roman"/>
          <w:noProof/>
          <w:color w:val="000000" w:themeColor="text1"/>
          <w:sz w:val="24"/>
        </w:rPr>
        <w:t>le marché unique recèle toujours un important potentiel inexploité. Il constitue le meilleur atout de l’Europe pour générer de la croissance, stimuler l’innovation, attirer les investissements et favoriser la compétitivité</w:t>
      </w:r>
      <w:r>
        <w:rPr>
          <w:rFonts w:ascii="Times New Roman" w:hAnsi="Times New Roman"/>
          <w:noProof/>
          <w:color w:val="000000" w:themeColor="text1"/>
          <w:sz w:val="24"/>
        </w:rPr>
        <w:t xml:space="preserve"> des entreprises européennes sur des marchés mondialisés. Il présente également des avantages évidents pour les citoyens. Grâce au marché unique, les Européens peuvent étudier, voyager, vivre et travailler là où ils le souhaitent. Ils bénéficient d’un choi</w:t>
      </w:r>
      <w:r>
        <w:rPr>
          <w:rFonts w:ascii="Times New Roman" w:hAnsi="Times New Roman"/>
          <w:noProof/>
          <w:color w:val="000000" w:themeColor="text1"/>
          <w:sz w:val="24"/>
        </w:rPr>
        <w:t>x plus étendu et de prix moins élevés, ainsi que de normes strictes en matière de protection de l’environnement, de protection sociale et de protection des consommateurs. Face à une croissance limitée et à une concurrence internationale croissante, le prog</w:t>
      </w:r>
      <w:r>
        <w:rPr>
          <w:rFonts w:ascii="Times New Roman" w:hAnsi="Times New Roman"/>
          <w:noProof/>
          <w:color w:val="000000" w:themeColor="text1"/>
          <w:sz w:val="24"/>
        </w:rPr>
        <w:t xml:space="preserve">ramme pour le marché unique continuera d'être essentiel pour rendre l’économie européenne plus résiliente, plus innovante, plus productive, plus équitable et plus inclusive. </w:t>
      </w:r>
    </w:p>
    <w:p w:rsidR="00EB371E" w:rsidRDefault="00EB371E">
      <w:pPr>
        <w:spacing w:after="0" w:line="240" w:lineRule="auto"/>
        <w:jc w:val="both"/>
        <w:rPr>
          <w:rFonts w:ascii="Times New Roman" w:hAnsi="Times New Roman" w:cs="Times New Roman"/>
          <w:noProof/>
          <w:color w:val="000000" w:themeColor="text1"/>
          <w:sz w:val="24"/>
          <w:szCs w:val="24"/>
        </w:rPr>
      </w:pPr>
    </w:p>
    <w:p w:rsidR="00EB371E" w:rsidRDefault="00EF242D">
      <w:pPr>
        <w:spacing w:after="0" w:line="240" w:lineRule="auto"/>
        <w:jc w:val="both"/>
        <w:rPr>
          <w:rFonts w:ascii="Times New Roman" w:hAnsi="Times New Roman" w:cs="Times New Roman"/>
          <w:noProof/>
          <w:sz w:val="24"/>
          <w:szCs w:val="24"/>
        </w:rPr>
      </w:pPr>
      <w:r>
        <w:rPr>
          <w:rFonts w:ascii="Times New Roman" w:hAnsi="Times New Roman"/>
          <w:noProof/>
          <w:color w:val="000000" w:themeColor="text1"/>
          <w:sz w:val="24"/>
        </w:rPr>
        <w:t xml:space="preserve">L’Union européenne doit montrer la voie et faire preuve de courage politique si </w:t>
      </w:r>
      <w:r>
        <w:rPr>
          <w:rFonts w:ascii="Times New Roman" w:hAnsi="Times New Roman"/>
          <w:noProof/>
          <w:color w:val="000000" w:themeColor="text1"/>
          <w:sz w:val="24"/>
        </w:rPr>
        <w:t>elle veut donner une nouvelle dimension au marché unique. Une volonté politique forte est nécessaire pour approfondir l'intégration dans les domaines du marché unique caractérisés par un important potentiel inexploité, tels que les services et la fiscalité</w:t>
      </w:r>
      <w:r>
        <w:rPr>
          <w:rFonts w:ascii="Times New Roman" w:hAnsi="Times New Roman"/>
          <w:noProof/>
          <w:color w:val="000000" w:themeColor="text1"/>
          <w:sz w:val="24"/>
        </w:rPr>
        <w:t>, et pour promouvoir l’équité et l’inclusion. Il conviendra aussi de se doter d'un programme ambitieux pour garantir une adaptation constante et opportune aux nouveaux défis, nécessitant un approfondissement de l’intégration du marché unique, de façon à pr</w:t>
      </w:r>
      <w:r>
        <w:rPr>
          <w:rFonts w:ascii="Times New Roman" w:hAnsi="Times New Roman"/>
          <w:noProof/>
          <w:color w:val="000000" w:themeColor="text1"/>
          <w:sz w:val="24"/>
        </w:rPr>
        <w:t xml:space="preserve">évenir la réapparition d’obstacles sur les marchés traditionnels et l’émergence de nouvelles barrières dans des secteurs stratégiques pour l’avenir, tels que la numérisation et l’intelligence artificielle ou l’économie circulaire et sobre en carbone. Nous </w:t>
      </w:r>
      <w:r>
        <w:rPr>
          <w:rFonts w:ascii="Times New Roman" w:hAnsi="Times New Roman"/>
          <w:noProof/>
          <w:color w:val="000000" w:themeColor="text1"/>
          <w:sz w:val="24"/>
        </w:rPr>
        <w:t xml:space="preserve">devons plus que jamais mettre nos actes en accord avec notre discours et mener un débat ouvert au plus haut niveau </w:t>
      </w:r>
      <w:r>
        <w:rPr>
          <w:rFonts w:ascii="Times New Roman" w:hAnsi="Times New Roman"/>
          <w:noProof/>
          <w:sz w:val="24"/>
        </w:rPr>
        <w:t xml:space="preserve">afin d'obtenir  un engagement renouvelé des dirigeants en faveur du marché unique dans toutes ses dimensions. </w:t>
      </w:r>
    </w:p>
    <w:p w:rsidR="00EB371E" w:rsidRDefault="00EB371E">
      <w:pPr>
        <w:spacing w:after="0" w:line="240" w:lineRule="auto"/>
        <w:jc w:val="both"/>
        <w:rPr>
          <w:rFonts w:ascii="Times New Roman" w:hAnsi="Times New Roman" w:cs="Times New Roman"/>
          <w:noProof/>
          <w:sz w:val="24"/>
          <w:szCs w:val="24"/>
        </w:rPr>
      </w:pPr>
    </w:p>
    <w:p w:rsidR="00EB371E" w:rsidRDefault="00EF242D">
      <w:pPr>
        <w:spacing w:after="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Dans un monde où le multilaté</w:t>
      </w:r>
      <w:r>
        <w:rPr>
          <w:rFonts w:ascii="Times New Roman" w:hAnsi="Times New Roman"/>
          <w:noProof/>
          <w:color w:val="000000" w:themeColor="text1"/>
          <w:sz w:val="24"/>
        </w:rPr>
        <w:t>ralisme est contesté, le marché unique se justifie encore plus qu’il y a 25 ans. Il ne constitue pas une fin en soi, mais un instrument permettant de garantir le bien-être des citoyens et la compétitivité de l’économie de l’Union européenne. Il constitue u</w:t>
      </w:r>
      <w:r>
        <w:rPr>
          <w:rFonts w:ascii="Times New Roman" w:hAnsi="Times New Roman"/>
          <w:noProof/>
          <w:color w:val="000000" w:themeColor="text1"/>
          <w:sz w:val="24"/>
        </w:rPr>
        <w:t xml:space="preserve">n fondement essentiel pour une monnaie unique stable et résiliente. Il sous-tend la position et l’influence de l’Union dans le monde. La Commission intensifiera donc sa surveillance et son analyse du marché unique </w:t>
      </w:r>
      <w:r>
        <w:rPr>
          <w:rFonts w:ascii="Times New Roman" w:hAnsi="Times New Roman"/>
          <w:noProof/>
          <w:sz w:val="24"/>
        </w:rPr>
        <w:t>en étroite collaboration avec les États me</w:t>
      </w:r>
      <w:r>
        <w:rPr>
          <w:rFonts w:ascii="Times New Roman" w:hAnsi="Times New Roman"/>
          <w:noProof/>
          <w:sz w:val="24"/>
        </w:rPr>
        <w:t xml:space="preserve">mbres </w:t>
      </w:r>
      <w:r>
        <w:rPr>
          <w:rFonts w:ascii="Times New Roman" w:hAnsi="Times New Roman"/>
          <w:noProof/>
          <w:color w:val="000000" w:themeColor="text1"/>
          <w:sz w:val="24"/>
        </w:rPr>
        <w:t>et informera le Conseil européen des avancées en la matière. De même, la Commission:</w:t>
      </w:r>
    </w:p>
    <w:p w:rsidR="00EB371E" w:rsidRDefault="00EB371E">
      <w:pPr>
        <w:pStyle w:val="ListParagraph"/>
        <w:spacing w:after="0" w:line="120" w:lineRule="auto"/>
        <w:ind w:left="425"/>
        <w:jc w:val="both"/>
        <w:rPr>
          <w:rFonts w:ascii="Times New Roman" w:hAnsi="Times New Roman" w:cs="Times New Roman"/>
          <w:noProof/>
          <w:sz w:val="24"/>
          <w:szCs w:val="24"/>
        </w:rPr>
      </w:pPr>
    </w:p>
    <w:p w:rsidR="00EB371E" w:rsidRDefault="00EF242D">
      <w:pPr>
        <w:pStyle w:val="ListParagraph"/>
        <w:numPr>
          <w:ilvl w:val="0"/>
          <w:numId w:val="37"/>
        </w:numPr>
        <w:spacing w:after="0" w:line="240" w:lineRule="auto"/>
        <w:ind w:left="426" w:hanging="426"/>
        <w:jc w:val="both"/>
        <w:rPr>
          <w:rFonts w:ascii="Times New Roman" w:hAnsi="Times New Roman" w:cs="Times New Roman"/>
          <w:noProof/>
          <w:sz w:val="24"/>
          <w:szCs w:val="24"/>
        </w:rPr>
      </w:pPr>
      <w:r>
        <w:rPr>
          <w:rFonts w:ascii="Times New Roman" w:hAnsi="Times New Roman"/>
          <w:noProof/>
          <w:sz w:val="24"/>
        </w:rPr>
        <w:t>invite le Conseil européen à veiller à ce que le Conseil œuvre sans tarder, conjointement avec le Parlement européen, à l’adoption, d’ici à la fin du mois de mars 2</w:t>
      </w:r>
      <w:r>
        <w:rPr>
          <w:rFonts w:ascii="Times New Roman" w:hAnsi="Times New Roman"/>
          <w:noProof/>
          <w:sz w:val="24"/>
        </w:rPr>
        <w:t>019, des initiatives législatives présentées dans le cadre de la stratégie pour le marché unique, de la stratégie pour un marché unique numérique, de l'union des marchés des capitaux et de l’union bancaire, comme indiqué à l’annexe I, ainsi que d’autres in</w:t>
      </w:r>
      <w:r>
        <w:rPr>
          <w:rFonts w:ascii="Times New Roman" w:hAnsi="Times New Roman"/>
          <w:noProof/>
          <w:sz w:val="24"/>
        </w:rPr>
        <w:t>itiatives mentionnées dans la présente communication, parmi lesquelles la dimension sociale, la protection des consommateurs et l’énergie et les transports;</w:t>
      </w:r>
    </w:p>
    <w:p w:rsidR="00EB371E" w:rsidRDefault="00EB371E">
      <w:pPr>
        <w:spacing w:after="0" w:line="120" w:lineRule="auto"/>
        <w:ind w:left="425"/>
        <w:contextualSpacing/>
        <w:jc w:val="both"/>
        <w:rPr>
          <w:rFonts w:ascii="Times New Roman" w:hAnsi="Times New Roman" w:cs="Times New Roman"/>
          <w:noProof/>
          <w:sz w:val="24"/>
          <w:szCs w:val="24"/>
        </w:rPr>
      </w:pPr>
    </w:p>
    <w:p w:rsidR="00EB371E" w:rsidRDefault="00EF242D">
      <w:pPr>
        <w:pStyle w:val="ListParagraph"/>
        <w:numPr>
          <w:ilvl w:val="0"/>
          <w:numId w:val="37"/>
        </w:numPr>
        <w:spacing w:after="0" w:line="240" w:lineRule="auto"/>
        <w:ind w:left="426" w:hanging="426"/>
        <w:jc w:val="both"/>
        <w:rPr>
          <w:rFonts w:ascii="Times New Roman" w:hAnsi="Times New Roman" w:cs="Times New Roman"/>
          <w:noProof/>
          <w:sz w:val="24"/>
          <w:szCs w:val="24"/>
        </w:rPr>
      </w:pPr>
      <w:r>
        <w:rPr>
          <w:rFonts w:ascii="Times New Roman" w:hAnsi="Times New Roman"/>
          <w:noProof/>
          <w:sz w:val="24"/>
        </w:rPr>
        <w:t>invite le Conseil européen à veiller à ce que les administrations nationales, régionales et locale</w:t>
      </w:r>
      <w:r>
        <w:rPr>
          <w:rFonts w:ascii="Times New Roman" w:hAnsi="Times New Roman"/>
          <w:noProof/>
          <w:sz w:val="24"/>
        </w:rPr>
        <w:t xml:space="preserve">s, avec l’appui de la Commission, intensifient leurs efforts en vue de la transposition, de l’application et de la mise en œuvre effective de la législation relative au marché unique en évitant toute «surtransposition»; </w:t>
      </w:r>
    </w:p>
    <w:p w:rsidR="00EB371E" w:rsidRDefault="00EB371E">
      <w:pPr>
        <w:spacing w:after="0" w:line="120" w:lineRule="auto"/>
        <w:ind w:left="425"/>
        <w:contextualSpacing/>
        <w:jc w:val="both"/>
        <w:rPr>
          <w:rFonts w:ascii="Times New Roman" w:hAnsi="Times New Roman" w:cs="Times New Roman"/>
          <w:noProof/>
          <w:sz w:val="24"/>
          <w:szCs w:val="24"/>
        </w:rPr>
      </w:pPr>
    </w:p>
    <w:p w:rsidR="00EB371E" w:rsidRDefault="00EF242D">
      <w:pPr>
        <w:pStyle w:val="ListParagraph"/>
        <w:numPr>
          <w:ilvl w:val="0"/>
          <w:numId w:val="37"/>
        </w:numPr>
        <w:spacing w:after="0" w:line="240" w:lineRule="auto"/>
        <w:ind w:left="426" w:hanging="426"/>
        <w:jc w:val="both"/>
        <w:rPr>
          <w:rFonts w:ascii="Times New Roman" w:hAnsi="Times New Roman" w:cs="Times New Roman"/>
          <w:noProof/>
          <w:sz w:val="24"/>
          <w:szCs w:val="24"/>
        </w:rPr>
      </w:pPr>
      <w:r>
        <w:rPr>
          <w:rFonts w:ascii="Times New Roman" w:hAnsi="Times New Roman"/>
          <w:noProof/>
          <w:sz w:val="24"/>
        </w:rPr>
        <w:t>appelle les membres du Conseil eur</w:t>
      </w:r>
      <w:r>
        <w:rPr>
          <w:rFonts w:ascii="Times New Roman" w:hAnsi="Times New Roman"/>
          <w:noProof/>
          <w:sz w:val="24"/>
        </w:rPr>
        <w:t>opéen à renouveler les contacts avec les citoyens et les entreprises afin de promouvoir un soutien politique et public constant en faveur du marché unique, notamment dans le contexte des élections au Parlement européen;</w:t>
      </w:r>
    </w:p>
    <w:p w:rsidR="00EB371E" w:rsidRDefault="00EB371E">
      <w:pPr>
        <w:pStyle w:val="ListParagraph"/>
        <w:spacing w:after="0" w:line="120" w:lineRule="auto"/>
        <w:ind w:left="425"/>
        <w:jc w:val="both"/>
        <w:rPr>
          <w:rFonts w:ascii="Times New Roman" w:hAnsi="Times New Roman" w:cs="Times New Roman"/>
          <w:noProof/>
          <w:sz w:val="24"/>
          <w:szCs w:val="24"/>
        </w:rPr>
      </w:pPr>
    </w:p>
    <w:p w:rsidR="00EB371E" w:rsidRDefault="00EF242D">
      <w:pPr>
        <w:pStyle w:val="ListParagraph"/>
        <w:numPr>
          <w:ilvl w:val="0"/>
          <w:numId w:val="37"/>
        </w:numPr>
        <w:spacing w:after="0" w:line="240" w:lineRule="auto"/>
        <w:ind w:left="426" w:hanging="426"/>
        <w:jc w:val="both"/>
        <w:rPr>
          <w:rFonts w:ascii="Times New Roman" w:hAnsi="Times New Roman" w:cs="Times New Roman"/>
          <w:noProof/>
          <w:sz w:val="24"/>
          <w:szCs w:val="24"/>
        </w:rPr>
      </w:pPr>
      <w:r>
        <w:rPr>
          <w:rFonts w:ascii="Times New Roman" w:hAnsi="Times New Roman"/>
          <w:noProof/>
          <w:sz w:val="24"/>
        </w:rPr>
        <w:t>invite le Conseil européen, en s’ap</w:t>
      </w:r>
      <w:r>
        <w:rPr>
          <w:rFonts w:ascii="Times New Roman" w:hAnsi="Times New Roman"/>
          <w:noProof/>
          <w:sz w:val="24"/>
        </w:rPr>
        <w:t>puyant sur la présente communication, à débattre de façon approfondie, au niveau des dirigeants, du marché unique dans toutes ses dimensions, dans le but de définir des priorités d’action et des mécanismes appropriés communs permettant de faire en sorte qu</w:t>
      </w:r>
      <w:r>
        <w:rPr>
          <w:rFonts w:ascii="Times New Roman" w:hAnsi="Times New Roman"/>
          <w:noProof/>
          <w:sz w:val="24"/>
        </w:rPr>
        <w:t>e la volonté politique renouvelée qui est indispensable au marché unique se traduise par l’obtention de résultats concrets à tous les niveaux de gouvernance.</w:t>
      </w:r>
    </w:p>
    <w:sectPr w:rsidR="00EB371E">
      <w:headerReference w:type="even" r:id="rId24"/>
      <w:headerReference w:type="default" r:id="rId25"/>
      <w:footerReference w:type="even" r:id="rId26"/>
      <w:footerReference w:type="default" r:id="rId27"/>
      <w:headerReference w:type="first" r:id="rId28"/>
      <w:footerReference w:type="first" r:id="rId29"/>
      <w:pgSz w:w="11906" w:h="16838"/>
      <w:pgMar w:top="993"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371E" w:rsidRDefault="00EF242D">
      <w:pPr>
        <w:spacing w:after="0" w:line="240" w:lineRule="auto"/>
      </w:pPr>
      <w:r>
        <w:separator/>
      </w:r>
    </w:p>
  </w:endnote>
  <w:endnote w:type="continuationSeparator" w:id="0">
    <w:p w:rsidR="00EB371E" w:rsidRDefault="00EF242D">
      <w:pPr>
        <w:spacing w:after="0" w:line="240" w:lineRule="auto"/>
      </w:pPr>
      <w:r>
        <w:continuationSeparator/>
      </w:r>
    </w:p>
  </w:endnote>
  <w:endnote w:type="continuationNotice" w:id="1">
    <w:p w:rsidR="00EB371E" w:rsidRDefault="00EB371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EC Square Sans Cond Pro">
    <w:panose1 w:val="020B0506040000020004"/>
    <w:charset w:val="00"/>
    <w:family w:val="swiss"/>
    <w:pitch w:val="variable"/>
    <w:sig w:usb0="A00002BF" w:usb1="500000DB"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inion Pro">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EC Square Sans Cond Pro Medium">
    <w:panose1 w:val="020B0606000000020004"/>
    <w:charset w:val="00"/>
    <w:family w:val="swiss"/>
    <w:pitch w:val="variable"/>
    <w:sig w:usb0="A00002BF" w:usb1="500000D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242D" w:rsidRPr="00EF242D" w:rsidRDefault="00EF242D" w:rsidP="00EF24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242D" w:rsidRPr="00EF242D" w:rsidRDefault="00EF242D" w:rsidP="00EF242D">
    <w:pPr>
      <w:pStyle w:val="FooterCoverPage"/>
      <w:rPr>
        <w:rFonts w:ascii="Arial" w:hAnsi="Arial" w:cs="Arial"/>
        <w:b/>
        <w:sz w:val="48"/>
      </w:rPr>
    </w:pPr>
    <w:r w:rsidRPr="00EF242D">
      <w:rPr>
        <w:rFonts w:ascii="Arial" w:hAnsi="Arial" w:cs="Arial"/>
        <w:b/>
        <w:sz w:val="48"/>
      </w:rPr>
      <w:t>FR</w:t>
    </w:r>
    <w:r w:rsidRPr="00EF242D">
      <w:rPr>
        <w:rFonts w:ascii="Arial" w:hAnsi="Arial" w:cs="Arial"/>
        <w:b/>
        <w:sz w:val="48"/>
      </w:rPr>
      <w:tab/>
    </w:r>
    <w:r w:rsidRPr="00EF242D">
      <w:rPr>
        <w:rFonts w:ascii="Arial" w:hAnsi="Arial" w:cs="Arial"/>
        <w:b/>
        <w:sz w:val="48"/>
      </w:rPr>
      <w:tab/>
    </w:r>
    <w:r w:rsidRPr="00EF242D">
      <w:tab/>
    </w:r>
    <w:r w:rsidRPr="00EF242D">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242D" w:rsidRPr="00EF242D" w:rsidRDefault="00EF242D" w:rsidP="00EF242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371E" w:rsidRDefault="00EB371E">
    <w:pPr>
      <w:pStyle w:val="Footer"/>
    </w:pPr>
  </w:p>
  <w:p w:rsidR="00EB371E" w:rsidRDefault="00EB371E"/>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6374237"/>
      <w:docPartObj>
        <w:docPartGallery w:val="Page Numbers (Bottom of Page)"/>
        <w:docPartUnique/>
      </w:docPartObj>
    </w:sdtPr>
    <w:sdtEndPr>
      <w:rPr>
        <w:rFonts w:ascii="Times New Roman" w:hAnsi="Times New Roman" w:cs="Times New Roman"/>
        <w:noProof/>
      </w:rPr>
    </w:sdtEndPr>
    <w:sdtContent>
      <w:p w:rsidR="00EB371E" w:rsidRDefault="00EF242D">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1</w:t>
        </w:r>
        <w:r>
          <w:rPr>
            <w:rFonts w:ascii="Times New Roman" w:hAnsi="Times New Roman" w:cs="Times New Roman"/>
            <w:noProof/>
          </w:rPr>
          <w:fldChar w:fldCharType="end"/>
        </w:r>
      </w:p>
    </w:sdtContent>
  </w:sdt>
  <w:p w:rsidR="00EB371E" w:rsidRDefault="00EB371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371E" w:rsidRDefault="00EB37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371E" w:rsidRDefault="00EF242D">
      <w:pPr>
        <w:spacing w:after="0" w:line="240" w:lineRule="auto"/>
      </w:pPr>
      <w:r>
        <w:separator/>
      </w:r>
    </w:p>
  </w:footnote>
  <w:footnote w:type="continuationSeparator" w:id="0">
    <w:p w:rsidR="00EB371E" w:rsidRDefault="00EF242D">
      <w:pPr>
        <w:spacing w:after="0" w:line="240" w:lineRule="auto"/>
      </w:pPr>
      <w:r>
        <w:continuationSeparator/>
      </w:r>
    </w:p>
  </w:footnote>
  <w:footnote w:type="continuationNotice" w:id="1">
    <w:p w:rsidR="00EB371E" w:rsidRDefault="00EB371E">
      <w:pPr>
        <w:spacing w:after="0" w:line="240" w:lineRule="auto"/>
      </w:pPr>
    </w:p>
  </w:footnote>
  <w:footnote w:id="2">
    <w:p w:rsidR="00EB371E" w:rsidRDefault="00EF242D">
      <w:pPr>
        <w:pStyle w:val="FootnoteText"/>
        <w:tabs>
          <w:tab w:val="left" w:pos="210"/>
        </w:tabs>
        <w:ind w:left="224" w:hanging="224"/>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Discours de M. Draghi, Economic and Monetary Union: past and present (Union économique et monétaire, passé et présent), 19 septembre 2018, Berlin, </w:t>
      </w:r>
      <w:hyperlink r:id="rId1">
        <w:r>
          <w:rPr>
            <w:rStyle w:val="Hyperlink"/>
            <w:rFonts w:ascii="Times New Roman" w:hAnsi="Times New Roman"/>
          </w:rPr>
          <w:t xml:space="preserve"> https://www.ecb.e</w:t>
        </w:r>
        <w:r>
          <w:rPr>
            <w:rStyle w:val="Hyperlink"/>
            <w:rFonts w:ascii="Times New Roman" w:hAnsi="Times New Roman"/>
          </w:rPr>
          <w:t>uropa.eu/press/key/date/2018/html/ecb.sp180919.en.html</w:t>
        </w:r>
      </w:hyperlink>
      <w:r>
        <w:rPr>
          <w:rStyle w:val="Hyperlink"/>
          <w:rFonts w:ascii="Times New Roman" w:hAnsi="Times New Roman"/>
        </w:rPr>
        <w:t>.</w:t>
      </w:r>
      <w:r>
        <w:rPr>
          <w:rFonts w:ascii="Times New Roman" w:hAnsi="Times New Roman"/>
        </w:rPr>
        <w:t xml:space="preserve"> </w:t>
      </w:r>
    </w:p>
  </w:footnote>
  <w:footnote w:id="3">
    <w:p w:rsidR="00EB371E" w:rsidRDefault="00EF242D">
      <w:pPr>
        <w:pStyle w:val="FootnoteText"/>
        <w:tabs>
          <w:tab w:val="left" w:pos="210"/>
        </w:tabs>
        <w:ind w:left="224" w:hanging="224"/>
        <w:jc w:val="both"/>
      </w:pPr>
      <w:r>
        <w:rPr>
          <w:rStyle w:val="FootnoteReference"/>
        </w:rPr>
        <w:footnoteRef/>
      </w:r>
      <w:r>
        <w:t xml:space="preserve"> </w:t>
      </w:r>
      <w:r>
        <w:tab/>
      </w:r>
      <w:r>
        <w:rPr>
          <w:rFonts w:ascii="Times New Roman" w:hAnsi="Times New Roman"/>
        </w:rPr>
        <w:t>Respectivement le COM(2018) 770 et le COM(2018) 771.</w:t>
      </w:r>
    </w:p>
  </w:footnote>
  <w:footnote w:id="4">
    <w:p w:rsidR="00EB371E" w:rsidRDefault="00EF242D">
      <w:pPr>
        <w:pStyle w:val="FootnoteText"/>
        <w:tabs>
          <w:tab w:val="left" w:pos="210"/>
        </w:tabs>
        <w:ind w:left="224" w:hanging="22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Eurobaromètre standard 89, Printemps 2018.</w:t>
      </w:r>
    </w:p>
  </w:footnote>
  <w:footnote w:id="5">
    <w:p w:rsidR="00EB371E" w:rsidRDefault="00EF242D">
      <w:pPr>
        <w:pStyle w:val="FootnoteText"/>
        <w:tabs>
          <w:tab w:val="left" w:pos="210"/>
        </w:tabs>
        <w:ind w:left="224" w:hanging="22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SWD(2018) 198.</w:t>
      </w:r>
    </w:p>
  </w:footnote>
  <w:footnote w:id="6">
    <w:p w:rsidR="00EB371E" w:rsidRDefault="00EF242D">
      <w:pPr>
        <w:pStyle w:val="FootnoteText"/>
        <w:tabs>
          <w:tab w:val="left" w:pos="210"/>
        </w:tabs>
        <w:ind w:left="224" w:hanging="22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Indice relatif à l’économie et à la société numériques (DESI) 2018, SWD(2018</w:t>
      </w:r>
      <w:r>
        <w:rPr>
          <w:rFonts w:ascii="Times New Roman" w:hAnsi="Times New Roman"/>
        </w:rPr>
        <w:t>) 198; période de référence: 2006-2015.</w:t>
      </w:r>
    </w:p>
  </w:footnote>
  <w:footnote w:id="7">
    <w:p w:rsidR="00EB371E" w:rsidRDefault="00EF242D">
      <w:pPr>
        <w:pStyle w:val="FootnoteText"/>
        <w:tabs>
          <w:tab w:val="left" w:pos="210"/>
        </w:tabs>
        <w:ind w:left="224" w:hanging="224"/>
        <w:jc w:val="both"/>
      </w:pPr>
      <w:r>
        <w:rPr>
          <w:rStyle w:val="FootnoteReference"/>
        </w:rPr>
        <w:footnoteRef/>
      </w:r>
      <w:r>
        <w:t xml:space="preserve"> </w:t>
      </w:r>
      <w:r>
        <w:tab/>
      </w:r>
      <w:r>
        <w:rPr>
          <w:rFonts w:ascii="Times New Roman" w:hAnsi="Times New Roman"/>
        </w:rPr>
        <w:t>Règlement (UE) n° 924/2009.</w:t>
      </w:r>
    </w:p>
  </w:footnote>
  <w:footnote w:id="8">
    <w:p w:rsidR="00EB371E" w:rsidRDefault="00EF242D">
      <w:pPr>
        <w:pStyle w:val="FootnoteText"/>
        <w:tabs>
          <w:tab w:val="left" w:pos="210"/>
        </w:tabs>
        <w:ind w:left="224" w:hanging="22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COM(2017) 534. </w:t>
      </w:r>
    </w:p>
  </w:footnote>
  <w:footnote w:id="9">
    <w:p w:rsidR="00EB371E" w:rsidRDefault="00EF242D">
      <w:pPr>
        <w:pStyle w:val="FootnoteText"/>
        <w:tabs>
          <w:tab w:val="left" w:pos="210"/>
        </w:tabs>
        <w:ind w:left="224" w:hanging="22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La mobilité intra-UE des personnes correspond au nombre total de citoyens de l’Union européenne de tous âges vivant dans un autre État membre, qui inclut donc les </w:t>
      </w:r>
      <w:r>
        <w:rPr>
          <w:rFonts w:ascii="Times New Roman" w:hAnsi="Times New Roman"/>
        </w:rPr>
        <w:t>retraités, les étudiants et les travailleurs.</w:t>
      </w:r>
    </w:p>
  </w:footnote>
  <w:footnote w:id="10">
    <w:p w:rsidR="00EB371E" w:rsidRDefault="00EF242D">
      <w:pPr>
        <w:pStyle w:val="FootnoteText"/>
        <w:tabs>
          <w:tab w:val="left" w:pos="210"/>
        </w:tabs>
        <w:ind w:left="224" w:hanging="224"/>
        <w:jc w:val="both"/>
        <w:rPr>
          <w:rFonts w:ascii="Times New Roman" w:hAnsi="Times New Roman" w:cs="Times New Roman"/>
        </w:rPr>
      </w:pPr>
      <w:r>
        <w:rPr>
          <w:rStyle w:val="FootnoteReference"/>
        </w:rPr>
        <w:footnoteRef/>
      </w:r>
      <w:r>
        <w:tab/>
      </w:r>
      <w:r>
        <w:rPr>
          <w:rFonts w:ascii="Times New Roman" w:hAnsi="Times New Roman"/>
        </w:rPr>
        <w:t>Ce chiffre inclut 4,4 millions d’étudiants de l’enseignement supérieur, 1,4 million de jeunes participants à un échange, 1,3 million de participants à un programme d’enseignement et de formation professionnel</w:t>
      </w:r>
      <w:r>
        <w:rPr>
          <w:rFonts w:ascii="Times New Roman" w:hAnsi="Times New Roman"/>
        </w:rPr>
        <w:t xml:space="preserve">s, 1,8 million de membres du personnel des secteurs concernés, 100 000 bénévoles et 100 000 participants à Erasmus Mundus. </w:t>
      </w:r>
    </w:p>
  </w:footnote>
  <w:footnote w:id="11">
    <w:p w:rsidR="00EB371E" w:rsidRDefault="00EF242D">
      <w:pPr>
        <w:pStyle w:val="FootnoteText"/>
        <w:tabs>
          <w:tab w:val="left" w:pos="210"/>
        </w:tabs>
        <w:ind w:left="224" w:hanging="22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COM(2017) 250.</w:t>
      </w:r>
    </w:p>
  </w:footnote>
  <w:footnote w:id="12">
    <w:p w:rsidR="00EB371E" w:rsidRDefault="00EF242D">
      <w:pPr>
        <w:pStyle w:val="FootnoteText"/>
        <w:tabs>
          <w:tab w:val="left" w:pos="210"/>
        </w:tabs>
        <w:ind w:left="224" w:hanging="22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Les marchés publics représentent une part substantielle des investissements publics dans l’économie de l’Union:</w:t>
      </w:r>
      <w:r>
        <w:rPr>
          <w:rFonts w:ascii="Times New Roman" w:hAnsi="Times New Roman"/>
        </w:rPr>
        <w:t xml:space="preserve"> deux mille milliards d’EUR par an, soit 14 % du produit intérieur brut de l’Union. COM(2017) 572. </w:t>
      </w:r>
    </w:p>
  </w:footnote>
  <w:footnote w:id="13">
    <w:p w:rsidR="00EB371E" w:rsidRDefault="00EF242D">
      <w:pPr>
        <w:pStyle w:val="FootnoteText"/>
        <w:tabs>
          <w:tab w:val="left" w:pos="210"/>
        </w:tabs>
        <w:ind w:left="224" w:hanging="22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Actuellement, 13 484 établissements financiers utilisent 359 953 passeports pour fournir leurs services financiers dans l’Union.</w:t>
      </w:r>
    </w:p>
  </w:footnote>
  <w:footnote w:id="14">
    <w:p w:rsidR="00EB371E" w:rsidRDefault="00EF242D">
      <w:pPr>
        <w:pStyle w:val="FootnoteText"/>
        <w:tabs>
          <w:tab w:val="left" w:pos="210"/>
        </w:tabs>
        <w:ind w:left="224" w:hanging="22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Données pour 2017.</w:t>
      </w:r>
    </w:p>
  </w:footnote>
  <w:footnote w:id="15">
    <w:p w:rsidR="00EB371E" w:rsidRDefault="00EF242D">
      <w:pPr>
        <w:pStyle w:val="FootnoteText"/>
        <w:tabs>
          <w:tab w:val="left" w:pos="210"/>
        </w:tabs>
        <w:ind w:left="224" w:hanging="22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Le «Marché commun du Sud» composé de l’Argentine, du Brésil, du Paraguay et de l’Uruguay.</w:t>
      </w:r>
    </w:p>
  </w:footnote>
  <w:footnote w:id="16">
    <w:p w:rsidR="00EB371E" w:rsidRDefault="00EF242D">
      <w:pPr>
        <w:pStyle w:val="FootnoteText"/>
        <w:tabs>
          <w:tab w:val="left" w:pos="210"/>
        </w:tabs>
        <w:ind w:left="224" w:hanging="224"/>
        <w:jc w:val="both"/>
        <w:rPr>
          <w:rFonts w:ascii="Times New Roman" w:hAnsi="Times New Roman" w:cs="Times New Roman"/>
        </w:rPr>
      </w:pPr>
      <w:r>
        <w:rPr>
          <w:rStyle w:val="FootnoteReference"/>
        </w:rPr>
        <w:footnoteRef/>
      </w:r>
      <w:r>
        <w:t xml:space="preserve"> </w:t>
      </w:r>
      <w:r>
        <w:tab/>
      </w:r>
      <w:r>
        <w:rPr>
          <w:rFonts w:ascii="Times New Roman" w:hAnsi="Times New Roman"/>
        </w:rPr>
        <w:t>Les chiffres sont nettement plus élevés pour le secteur automobile (32 %) et l’industrie chimique (31 %), en augmentation par rapport au chiffre de 23 % enregistr</w:t>
      </w:r>
      <w:r>
        <w:rPr>
          <w:rFonts w:ascii="Times New Roman" w:hAnsi="Times New Roman"/>
        </w:rPr>
        <w:t>é en 2000 pour les deux secteurs.</w:t>
      </w:r>
    </w:p>
  </w:footnote>
  <w:footnote w:id="17">
    <w:p w:rsidR="00EB371E" w:rsidRDefault="00EF242D">
      <w:pPr>
        <w:pStyle w:val="FootnoteText"/>
        <w:tabs>
          <w:tab w:val="left" w:pos="210"/>
        </w:tabs>
        <w:ind w:left="224" w:hanging="22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Voir, par exemple, le document intitulé «25 years of the European Single Market - Study funded by the Danish Business Authority» (25 ans de marché unique européen - Étude financée par l’autorité danoise chargée des entr</w:t>
      </w:r>
      <w:r>
        <w:rPr>
          <w:rFonts w:ascii="Times New Roman" w:hAnsi="Times New Roman"/>
        </w:rPr>
        <w:t xml:space="preserve">eprises), </w:t>
      </w:r>
      <w:hyperlink r:id="rId2">
        <w:r>
          <w:rPr>
            <w:rStyle w:val="Hyperlink"/>
            <w:rFonts w:ascii="Times New Roman" w:hAnsi="Times New Roman"/>
          </w:rPr>
          <w:t>http://www.hbseconomics.dk/wp-content/uploads/2018/09/25-years-of-the-Single-Market.pdf</w:t>
        </w:r>
      </w:hyperlink>
      <w:r>
        <w:rPr>
          <w:rFonts w:ascii="Times New Roman" w:hAnsi="Times New Roman"/>
        </w:rPr>
        <w:t xml:space="preserve">. </w:t>
      </w:r>
    </w:p>
  </w:footnote>
  <w:footnote w:id="18">
    <w:p w:rsidR="00EB371E" w:rsidRDefault="00EF242D">
      <w:pPr>
        <w:pStyle w:val="FootnoteText"/>
        <w:tabs>
          <w:tab w:val="left" w:pos="210"/>
        </w:tabs>
        <w:ind w:left="224" w:hanging="22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Résolution du Parlement européen du 26 mai 201</w:t>
      </w:r>
      <w:r>
        <w:rPr>
          <w:rFonts w:ascii="Times New Roman" w:hAnsi="Times New Roman"/>
        </w:rPr>
        <w:t xml:space="preserve">6 sur la stratégie pour le marché unique, 2015/2354(INI); résolution du Parlement européen du 19 janvier 2016 «Vers un acte sur le marché unique numérique», 2015/2147(INI). </w:t>
      </w:r>
    </w:p>
  </w:footnote>
  <w:footnote w:id="19">
    <w:p w:rsidR="00EB371E" w:rsidRDefault="00EF242D">
      <w:pPr>
        <w:pStyle w:val="FootnoteText"/>
        <w:tabs>
          <w:tab w:val="left" w:pos="210"/>
        </w:tabs>
        <w:ind w:left="224" w:hanging="224"/>
        <w:jc w:val="both"/>
      </w:pPr>
      <w:r>
        <w:rPr>
          <w:rStyle w:val="FootnoteReference"/>
        </w:rPr>
        <w:footnoteRef/>
      </w:r>
      <w:r>
        <w:t xml:space="preserve"> </w:t>
      </w:r>
      <w:r>
        <w:tab/>
      </w:r>
      <w:r>
        <w:rPr>
          <w:rFonts w:ascii="Times New Roman" w:hAnsi="Times New Roman"/>
        </w:rPr>
        <w:t>Voir également, au niveau des États membres, l’initiative française visant à dé</w:t>
      </w:r>
      <w:r>
        <w:rPr>
          <w:rFonts w:ascii="Times New Roman" w:hAnsi="Times New Roman"/>
        </w:rPr>
        <w:t>celer et supprimer plusieurs cas de «surtransposition» en lien avec la transposition de directives de l’Union,</w:t>
      </w:r>
      <w:r>
        <w:t xml:space="preserve"> </w:t>
      </w:r>
      <w:hyperlink r:id="rId3">
        <w:r>
          <w:rPr>
            <w:rStyle w:val="Hyperlink"/>
            <w:rFonts w:ascii="Times New Roman" w:hAnsi="Times New Roman"/>
          </w:rPr>
          <w:t>https://ue.delegfrance.org/suppression-de-sur-transpositions</w:t>
        </w:r>
      </w:hyperlink>
      <w:r>
        <w:rPr>
          <w:rFonts w:ascii="Times New Roman" w:hAnsi="Times New Roman"/>
        </w:rPr>
        <w:t xml:space="preserve">. </w:t>
      </w:r>
    </w:p>
  </w:footnote>
  <w:footnote w:id="20">
    <w:p w:rsidR="00EB371E" w:rsidRDefault="00EF242D">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lang w:val="pt-PT"/>
        </w:rPr>
        <w:t xml:space="preserve"> </w:t>
      </w:r>
      <w:r>
        <w:rPr>
          <w:lang w:val="pt-PT"/>
        </w:rPr>
        <w:tab/>
      </w:r>
      <w:r>
        <w:rPr>
          <w:rFonts w:ascii="Times New Roman" w:hAnsi="Times New Roman"/>
          <w:lang w:val="pt-PT"/>
        </w:rPr>
        <w:t>JO L 123 du 12.5.2016, p. 1.</w:t>
      </w:r>
    </w:p>
  </w:footnote>
  <w:footnote w:id="21">
    <w:p w:rsidR="00EB371E" w:rsidRDefault="00EF242D">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lang w:val="pt-PT"/>
        </w:rPr>
        <w:t xml:space="preserve"> </w:t>
      </w:r>
      <w:r>
        <w:rPr>
          <w:lang w:val="pt-PT"/>
        </w:rPr>
        <w:tab/>
      </w:r>
      <w:r>
        <w:rPr>
          <w:rFonts w:ascii="Times New Roman" w:hAnsi="Times New Roman"/>
          <w:lang w:val="pt-PT"/>
        </w:rPr>
        <w:t>COM(2018) 131.</w:t>
      </w:r>
    </w:p>
  </w:footnote>
  <w:footnote w:id="22">
    <w:p w:rsidR="00EB371E" w:rsidRDefault="00EF242D">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lang w:val="pt-PT"/>
        </w:rPr>
        <w:t xml:space="preserve"> </w:t>
      </w:r>
      <w:r>
        <w:rPr>
          <w:lang w:val="pt-PT"/>
        </w:rPr>
        <w:tab/>
      </w:r>
      <w:r>
        <w:rPr>
          <w:rFonts w:ascii="Times New Roman" w:hAnsi="Times New Roman"/>
          <w:lang w:val="pt-PT"/>
        </w:rPr>
        <w:t>COM(2018) 364.</w:t>
      </w:r>
    </w:p>
  </w:footnote>
  <w:footnote w:id="23">
    <w:p w:rsidR="00EB371E" w:rsidRDefault="00EF242D">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lang w:val="pt-PT"/>
        </w:rPr>
        <w:t xml:space="preserve"> </w:t>
      </w:r>
      <w:r>
        <w:rPr>
          <w:lang w:val="pt-PT"/>
        </w:rPr>
        <w:tab/>
      </w:r>
      <w:r>
        <w:rPr>
          <w:rFonts w:ascii="Times New Roman" w:hAnsi="Times New Roman"/>
          <w:lang w:val="pt-PT"/>
        </w:rPr>
        <w:t>COM(2018) 183.</w:t>
      </w:r>
    </w:p>
  </w:footnote>
  <w:footnote w:id="24">
    <w:p w:rsidR="00EB371E" w:rsidRDefault="00EF242D">
      <w:pPr>
        <w:pStyle w:val="FootnoteText"/>
        <w:tabs>
          <w:tab w:val="left" w:pos="210"/>
        </w:tabs>
        <w:ind w:left="224" w:hanging="224"/>
        <w:jc w:val="both"/>
        <w:rPr>
          <w:rFonts w:ascii="Times New Roman" w:hAnsi="Times New Roman" w:cs="Times New Roman"/>
          <w:lang w:val="pt-PT"/>
        </w:rPr>
      </w:pPr>
      <w:r>
        <w:rPr>
          <w:rStyle w:val="FootnoteReference"/>
        </w:rPr>
        <w:footnoteRef/>
      </w:r>
      <w:r>
        <w:rPr>
          <w:lang w:val="pt-PT"/>
        </w:rPr>
        <w:t xml:space="preserve"> </w:t>
      </w:r>
      <w:r>
        <w:rPr>
          <w:lang w:val="pt-PT"/>
        </w:rPr>
        <w:tab/>
      </w:r>
      <w:r>
        <w:rPr>
          <w:rFonts w:ascii="Times New Roman" w:hAnsi="Times New Roman"/>
          <w:lang w:val="pt-PT"/>
        </w:rPr>
        <w:t>COM(2018) 218.</w:t>
      </w:r>
    </w:p>
  </w:footnote>
  <w:footnote w:id="25">
    <w:p w:rsidR="00EB371E" w:rsidRDefault="00EF242D">
      <w:pPr>
        <w:pStyle w:val="FootnoteText"/>
        <w:tabs>
          <w:tab w:val="left" w:pos="210"/>
        </w:tabs>
        <w:ind w:left="224" w:hanging="224"/>
        <w:jc w:val="both"/>
        <w:rPr>
          <w:rFonts w:ascii="Times New Roman" w:hAnsi="Times New Roman" w:cs="Times New Roman"/>
          <w:lang w:val="pt-PT"/>
        </w:rPr>
      </w:pPr>
      <w:r>
        <w:rPr>
          <w:rStyle w:val="FootnoteReference"/>
        </w:rPr>
        <w:footnoteRef/>
      </w:r>
      <w:r>
        <w:rPr>
          <w:lang w:val="pt-PT"/>
        </w:rPr>
        <w:t xml:space="preserve"> </w:t>
      </w:r>
      <w:r>
        <w:rPr>
          <w:lang w:val="pt-PT"/>
        </w:rPr>
        <w:tab/>
      </w:r>
      <w:r>
        <w:rPr>
          <w:rFonts w:ascii="Times New Roman" w:hAnsi="Times New Roman"/>
          <w:lang w:val="pt-PT"/>
        </w:rPr>
        <w:t>C(2016) 8600.</w:t>
      </w:r>
    </w:p>
  </w:footnote>
  <w:footnote w:id="26">
    <w:p w:rsidR="00EB371E" w:rsidRDefault="00EF242D">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lang w:val="pt-PT"/>
        </w:rPr>
        <w:t xml:space="preserve"> </w:t>
      </w:r>
      <w:r>
        <w:rPr>
          <w:lang w:val="pt-PT"/>
        </w:rPr>
        <w:tab/>
      </w:r>
      <w:r>
        <w:rPr>
          <w:rFonts w:ascii="Times New Roman" w:hAnsi="Times New Roman"/>
          <w:lang w:val="pt-PT"/>
        </w:rPr>
        <w:t>Respectivement le COM(2017) 536 et le COM(2018) 645.</w:t>
      </w:r>
    </w:p>
  </w:footnote>
  <w:footnote w:id="27">
    <w:p w:rsidR="00EB371E" w:rsidRDefault="00EF242D">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lang w:val="pt-PT"/>
        </w:rPr>
        <w:t xml:space="preserve"> </w:t>
      </w:r>
      <w:r>
        <w:rPr>
          <w:lang w:val="pt-PT"/>
        </w:rPr>
        <w:tab/>
      </w:r>
      <w:r>
        <w:rPr>
          <w:rFonts w:ascii="Times New Roman" w:hAnsi="Times New Roman"/>
          <w:lang w:val="pt-PT"/>
        </w:rPr>
        <w:t>2017/C 18/02.</w:t>
      </w:r>
    </w:p>
  </w:footnote>
  <w:footnote w:id="28">
    <w:p w:rsidR="00EB371E" w:rsidRDefault="00EF242D">
      <w:pPr>
        <w:pStyle w:val="FootnoteText"/>
        <w:tabs>
          <w:tab w:val="left" w:pos="210"/>
        </w:tabs>
        <w:ind w:left="224" w:hanging="224"/>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Discours de M. Draghi, «Economic and Monetary Union: past and present» (Union économique et monétaire, passé et présent), 19 septembre 2018, Berlin, </w:t>
      </w:r>
      <w:hyperlink r:id="rId4">
        <w:r>
          <w:rPr>
            <w:rStyle w:val="Hyperlink"/>
            <w:rFonts w:ascii="Times New Roman" w:hAnsi="Times New Roman"/>
          </w:rPr>
          <w:t xml:space="preserve"> https://www.ecb</w:t>
        </w:r>
        <w:r>
          <w:rPr>
            <w:rStyle w:val="Hyperlink"/>
            <w:rFonts w:ascii="Times New Roman" w:hAnsi="Times New Roman"/>
          </w:rPr>
          <w:t>.europa.eu/press/key/date/2018/html/ecb.sp180919.en.html</w:t>
        </w:r>
      </w:hyperlink>
      <w:r>
        <w:rPr>
          <w:rFonts w:ascii="Times New Roman" w:hAnsi="Times New Roman"/>
        </w:rPr>
        <w:t xml:space="preserve">. </w:t>
      </w:r>
    </w:p>
  </w:footnote>
  <w:footnote w:id="29">
    <w:p w:rsidR="00EB371E" w:rsidRDefault="00EF242D">
      <w:pPr>
        <w:tabs>
          <w:tab w:val="left" w:pos="210"/>
        </w:tabs>
        <w:spacing w:after="0" w:line="240" w:lineRule="auto"/>
        <w:ind w:left="224" w:hanging="224"/>
        <w:jc w:val="both"/>
        <w:rPr>
          <w:rFonts w:ascii="Times New Roman" w:hAnsi="Times New Roman" w:cs="Times New Roman"/>
          <w:noProof/>
          <w:sz w:val="24"/>
          <w:szCs w:val="24"/>
        </w:rPr>
      </w:pPr>
      <w:r>
        <w:rPr>
          <w:rStyle w:val="FootnoteReference"/>
        </w:rPr>
        <w:footnoteRef/>
      </w:r>
      <w:r>
        <w:t xml:space="preserve"> </w:t>
      </w:r>
      <w:r>
        <w:tab/>
      </w:r>
      <w:r>
        <w:rPr>
          <w:rFonts w:ascii="Times New Roman" w:hAnsi="Times New Roman"/>
          <w:sz w:val="20"/>
        </w:rPr>
        <w:t>En 2018, la Commission a présenté son plan d’action pour les technologies financières [COM(2018) 109] devant permettre au secteur financier de l’Union de tirer parti des avantages de la numérisa</w:t>
      </w:r>
      <w:r>
        <w:rPr>
          <w:rFonts w:ascii="Times New Roman" w:hAnsi="Times New Roman"/>
          <w:sz w:val="20"/>
        </w:rPr>
        <w:t>tion et de l’innovation technologique, fournissant de la sorte aux entreprises et aux consommateurs des services financiers innovants et accessibles.</w:t>
      </w:r>
    </w:p>
  </w:footnote>
  <w:footnote w:id="30">
    <w:p w:rsidR="00EB371E" w:rsidRDefault="00EF242D">
      <w:pPr>
        <w:pStyle w:val="FootnoteText"/>
        <w:tabs>
          <w:tab w:val="left" w:pos="210"/>
          <w:tab w:val="left" w:pos="426"/>
        </w:tabs>
        <w:ind w:left="224" w:hanging="22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hyperlink r:id="rId5">
        <w:r>
          <w:rPr>
            <w:rStyle w:val="Hyperlink"/>
            <w:rFonts w:ascii="Times New Roman" w:hAnsi="Times New Roman"/>
          </w:rPr>
          <w:t>http://ec.europa.eu/eurostat/statistics-explained/index.php/E-commerce_statistics_for_individuals</w:t>
        </w:r>
      </w:hyperlink>
      <w:r>
        <w:rPr>
          <w:rFonts w:ascii="Times New Roman" w:hAnsi="Times New Roman"/>
        </w:rPr>
        <w:t xml:space="preserve">; </w:t>
      </w:r>
      <w:hyperlink r:id="rId6">
        <w:r>
          <w:rPr>
            <w:rStyle w:val="Hyperlink"/>
            <w:rFonts w:ascii="Times New Roman" w:hAnsi="Times New Roman"/>
          </w:rPr>
          <w:t>http://ec.europa.eu/eurostat/statistics-ex</w:t>
        </w:r>
        <w:r>
          <w:rPr>
            <w:rStyle w:val="Hyperlink"/>
            <w:rFonts w:ascii="Times New Roman" w:hAnsi="Times New Roman"/>
          </w:rPr>
          <w:t>plained/index.php/E-commerce_statistics</w:t>
        </w:r>
      </w:hyperlink>
      <w:r>
        <w:rPr>
          <w:rStyle w:val="Hyperlink"/>
          <w:rFonts w:ascii="Times New Roman" w:hAnsi="Times New Roman"/>
        </w:rPr>
        <w:t>.</w:t>
      </w:r>
    </w:p>
  </w:footnote>
  <w:footnote w:id="31">
    <w:p w:rsidR="00EB371E" w:rsidRDefault="00EF242D">
      <w:pPr>
        <w:pStyle w:val="FootnoteText"/>
        <w:tabs>
          <w:tab w:val="left" w:pos="210"/>
        </w:tabs>
        <w:ind w:left="224" w:hanging="224"/>
        <w:jc w:val="both"/>
        <w:rPr>
          <w:rFonts w:ascii="Times New Roman" w:hAnsi="Times New Roman" w:cs="Times New Roman"/>
          <w:lang w:val="en-GB"/>
        </w:rPr>
      </w:pPr>
      <w:r>
        <w:rPr>
          <w:rStyle w:val="FootnoteReference"/>
          <w:rFonts w:ascii="Times New Roman" w:hAnsi="Times New Roman"/>
        </w:rPr>
        <w:footnoteRef/>
      </w:r>
      <w:r>
        <w:rPr>
          <w:rFonts w:ascii="Times New Roman" w:hAnsi="Times New Roman"/>
          <w:lang w:val="en-GB"/>
        </w:rPr>
        <w:t xml:space="preserve"> </w:t>
      </w:r>
      <w:r>
        <w:rPr>
          <w:lang w:val="en-GB"/>
        </w:rPr>
        <w:tab/>
      </w:r>
      <w:r>
        <w:rPr>
          <w:rFonts w:ascii="Times New Roman" w:hAnsi="Times New Roman"/>
          <w:lang w:val="en-GB"/>
        </w:rPr>
        <w:t xml:space="preserve">SWD(2017) 229; </w:t>
      </w:r>
      <w:hyperlink r:id="rId7">
        <w:r>
          <w:rPr>
            <w:rStyle w:val="Hyperlink"/>
            <w:rFonts w:ascii="Times New Roman" w:hAnsi="Times New Roman"/>
            <w:lang w:val="en-GB"/>
          </w:rPr>
          <w:t>https://ec.europa.eu/info/sites/info/files/geoblocking-final-report_en.pdf</w:t>
        </w:r>
      </w:hyperlink>
      <w:r>
        <w:rPr>
          <w:rFonts w:ascii="Times New Roman" w:hAnsi="Times New Roman"/>
          <w:lang w:val="en-GB"/>
        </w:rPr>
        <w:t xml:space="preserve">. </w:t>
      </w:r>
      <w:r>
        <w:rPr>
          <w:rFonts w:ascii="Times New Roman" w:hAnsi="Times New Roman"/>
          <w:color w:val="000000" w:themeColor="text1"/>
          <w:lang w:val="en-GB"/>
        </w:rPr>
        <w:t xml:space="preserve">  </w:t>
      </w:r>
    </w:p>
  </w:footnote>
  <w:footnote w:id="32">
    <w:p w:rsidR="00EB371E" w:rsidRDefault="00EF242D">
      <w:pPr>
        <w:pStyle w:val="FootnoteText"/>
        <w:tabs>
          <w:tab w:val="left" w:pos="210"/>
        </w:tabs>
        <w:ind w:left="224" w:hanging="224"/>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Règlement (UE) 2018/3</w:t>
      </w:r>
      <w:r>
        <w:rPr>
          <w:rFonts w:ascii="Times New Roman" w:hAnsi="Times New Roman"/>
        </w:rPr>
        <w:t>02.</w:t>
      </w:r>
    </w:p>
  </w:footnote>
  <w:footnote w:id="33">
    <w:p w:rsidR="00EB371E" w:rsidRDefault="00EF242D">
      <w:pPr>
        <w:pStyle w:val="FootnoteText"/>
        <w:tabs>
          <w:tab w:val="left" w:pos="210"/>
        </w:tabs>
        <w:ind w:left="224" w:hanging="224"/>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Règlement (UE) 2018/644.</w:t>
      </w:r>
    </w:p>
  </w:footnote>
  <w:footnote w:id="34">
    <w:p w:rsidR="00EB371E" w:rsidRDefault="00EF242D">
      <w:pPr>
        <w:pStyle w:val="FootnoteText"/>
        <w:tabs>
          <w:tab w:val="left" w:pos="210"/>
        </w:tabs>
        <w:ind w:left="224" w:hanging="224"/>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Directive (UE) 2017/2455.</w:t>
      </w:r>
    </w:p>
  </w:footnote>
  <w:footnote w:id="35">
    <w:p w:rsidR="00EB371E" w:rsidRDefault="00EF242D">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lang w:val="pt-PT"/>
        </w:rPr>
        <w:t xml:space="preserve"> </w:t>
      </w:r>
      <w:r>
        <w:rPr>
          <w:lang w:val="pt-PT"/>
        </w:rPr>
        <w:tab/>
      </w:r>
      <w:r>
        <w:rPr>
          <w:rFonts w:ascii="Times New Roman" w:hAnsi="Times New Roman"/>
          <w:lang w:val="pt-PT"/>
        </w:rPr>
        <w:t>Règlement (UE) 2017/2394.</w:t>
      </w:r>
    </w:p>
  </w:footnote>
  <w:footnote w:id="36">
    <w:p w:rsidR="00EB371E" w:rsidRDefault="00EF242D">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lang w:val="pt-PT"/>
        </w:rPr>
        <w:t xml:space="preserve"> </w:t>
      </w:r>
      <w:r>
        <w:rPr>
          <w:lang w:val="pt-PT"/>
        </w:rPr>
        <w:tab/>
      </w:r>
      <w:r>
        <w:rPr>
          <w:rFonts w:ascii="Times New Roman" w:hAnsi="Times New Roman"/>
          <w:lang w:val="pt-PT"/>
        </w:rPr>
        <w:t>COM(2015) 634; COM(2015) 635.</w:t>
      </w:r>
    </w:p>
  </w:footnote>
  <w:footnote w:id="37">
    <w:p w:rsidR="00EB371E" w:rsidRDefault="00EF242D">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lang w:val="pt-PT"/>
        </w:rPr>
        <w:t xml:space="preserve"> </w:t>
      </w:r>
      <w:r>
        <w:rPr>
          <w:lang w:val="pt-PT"/>
        </w:rPr>
        <w:tab/>
      </w:r>
      <w:r>
        <w:rPr>
          <w:rFonts w:ascii="Times New Roman" w:hAnsi="Times New Roman"/>
          <w:lang w:val="pt-PT"/>
        </w:rPr>
        <w:t>COM(2018) 238.</w:t>
      </w:r>
    </w:p>
  </w:footnote>
  <w:footnote w:id="38">
    <w:p w:rsidR="00EB371E" w:rsidRDefault="00EF242D">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lang w:val="pt-PT"/>
        </w:rPr>
        <w:t xml:space="preserve"> </w:t>
      </w:r>
      <w:r>
        <w:rPr>
          <w:lang w:val="pt-PT"/>
        </w:rPr>
        <w:tab/>
      </w:r>
      <w:r>
        <w:rPr>
          <w:rFonts w:ascii="Times New Roman" w:hAnsi="Times New Roman"/>
          <w:lang w:val="pt-PT"/>
        </w:rPr>
        <w:t>COM(2016) 594; COM(2016) 593; COM(2018) 147; COM(2018) 148; COM(2018) 329.</w:t>
      </w:r>
    </w:p>
  </w:footnote>
  <w:footnote w:id="39">
    <w:p w:rsidR="00EB371E" w:rsidRDefault="00EF242D">
      <w:pPr>
        <w:pStyle w:val="FootnoteText"/>
        <w:tabs>
          <w:tab w:val="left" w:pos="210"/>
        </w:tabs>
        <w:ind w:left="224" w:hanging="22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Près d’un citoyen sur cinq déclare</w:t>
      </w:r>
      <w:r>
        <w:rPr>
          <w:rFonts w:ascii="Times New Roman" w:hAnsi="Times New Roman"/>
        </w:rPr>
        <w:t xml:space="preserve"> avoir déjà proposé ou pouvoir envisager de proposer des services sur des plateformes - voir l’Eurobaromètre Flash 467/2018, «The Use of the Collaborative Economy» (L’utilisation de l’économie collaborative).</w:t>
      </w:r>
    </w:p>
  </w:footnote>
  <w:footnote w:id="40">
    <w:p w:rsidR="00EB371E" w:rsidRDefault="00EF242D">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lang w:val="pt-PT"/>
        </w:rPr>
        <w:t xml:space="preserve"> </w:t>
      </w:r>
      <w:r>
        <w:rPr>
          <w:lang w:val="pt-PT"/>
        </w:rPr>
        <w:tab/>
      </w:r>
      <w:r>
        <w:rPr>
          <w:rFonts w:ascii="Times New Roman" w:hAnsi="Times New Roman"/>
          <w:lang w:val="pt-PT"/>
        </w:rPr>
        <w:t>COM(2017) 797.</w:t>
      </w:r>
    </w:p>
  </w:footnote>
  <w:footnote w:id="41">
    <w:p w:rsidR="00EB371E" w:rsidRDefault="00EF242D">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lang w:val="pt-PT"/>
        </w:rPr>
        <w:t xml:space="preserve"> </w:t>
      </w:r>
      <w:r>
        <w:rPr>
          <w:lang w:val="pt-PT"/>
        </w:rPr>
        <w:tab/>
      </w:r>
      <w:r>
        <w:rPr>
          <w:rFonts w:ascii="Times New Roman" w:hAnsi="Times New Roman"/>
          <w:lang w:val="pt-PT"/>
        </w:rPr>
        <w:t>COM(2017) 10.</w:t>
      </w:r>
    </w:p>
  </w:footnote>
  <w:footnote w:id="42">
    <w:p w:rsidR="00EB371E" w:rsidRDefault="00EF242D">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color w:val="244061" w:themeColor="accent1" w:themeShade="80"/>
        </w:rPr>
        <w:footnoteRef/>
      </w:r>
      <w:r>
        <w:rPr>
          <w:rFonts w:ascii="Times New Roman" w:hAnsi="Times New Roman"/>
          <w:color w:val="244061" w:themeColor="accent1" w:themeShade="80"/>
          <w:lang w:val="pt-PT"/>
        </w:rPr>
        <w:t xml:space="preserve"> </w:t>
      </w:r>
      <w:r>
        <w:rPr>
          <w:lang w:val="pt-PT"/>
        </w:rPr>
        <w:tab/>
      </w:r>
      <w:r>
        <w:rPr>
          <w:rFonts w:ascii="Times New Roman" w:hAnsi="Times New Roman"/>
          <w:color w:val="244061" w:themeColor="accent1" w:themeShade="80"/>
          <w:lang w:val="pt-PT"/>
        </w:rPr>
        <w:t>JOIN/2017</w:t>
      </w:r>
      <w:r>
        <w:rPr>
          <w:rFonts w:ascii="Times New Roman" w:hAnsi="Times New Roman"/>
          <w:color w:val="244061" w:themeColor="accent1" w:themeShade="80"/>
          <w:lang w:val="pt-PT"/>
        </w:rPr>
        <w:t>/0450.</w:t>
      </w:r>
    </w:p>
  </w:footnote>
  <w:footnote w:id="43">
    <w:p w:rsidR="00EB371E" w:rsidRDefault="00EF242D">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lang w:val="pt-PT"/>
        </w:rPr>
        <w:t xml:space="preserve"> </w:t>
      </w:r>
      <w:r>
        <w:rPr>
          <w:lang w:val="pt-PT"/>
        </w:rPr>
        <w:tab/>
      </w:r>
      <w:r>
        <w:rPr>
          <w:rFonts w:ascii="Times New Roman" w:hAnsi="Times New Roman"/>
          <w:lang w:val="pt-PT"/>
        </w:rPr>
        <w:t>COM(2017) 495.</w:t>
      </w:r>
    </w:p>
  </w:footnote>
  <w:footnote w:id="44">
    <w:p w:rsidR="00EB371E" w:rsidRDefault="00EF242D">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lang w:val="pt-PT"/>
        </w:rPr>
        <w:t xml:space="preserve"> </w:t>
      </w:r>
      <w:r>
        <w:rPr>
          <w:lang w:val="pt-PT"/>
        </w:rPr>
        <w:tab/>
      </w:r>
      <w:r>
        <w:rPr>
          <w:rFonts w:ascii="Times New Roman" w:hAnsi="Times New Roman"/>
          <w:lang w:val="pt-PT"/>
        </w:rPr>
        <w:t>COM(2018) 234.</w:t>
      </w:r>
    </w:p>
  </w:footnote>
  <w:footnote w:id="45">
    <w:p w:rsidR="00EB371E" w:rsidRDefault="00EF242D">
      <w:pPr>
        <w:pStyle w:val="FootnoteText"/>
        <w:tabs>
          <w:tab w:val="left" w:pos="210"/>
        </w:tabs>
        <w:ind w:left="224" w:hanging="22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Voir, par exemple, COM(2013) 196.</w:t>
      </w:r>
    </w:p>
  </w:footnote>
  <w:footnote w:id="46">
    <w:p w:rsidR="00EB371E" w:rsidRDefault="00EF242D">
      <w:pPr>
        <w:pStyle w:val="FootnoteText"/>
        <w:tabs>
          <w:tab w:val="left" w:pos="210"/>
        </w:tabs>
        <w:ind w:left="224" w:hanging="22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COM(2015) 614.</w:t>
      </w:r>
    </w:p>
  </w:footnote>
  <w:footnote w:id="47">
    <w:p w:rsidR="00EB371E" w:rsidRDefault="00EF242D">
      <w:pPr>
        <w:pStyle w:val="FootnoteText"/>
        <w:tabs>
          <w:tab w:val="left" w:pos="210"/>
        </w:tabs>
        <w:ind w:left="224" w:hanging="22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Accord du 12 décembre 2015 dans le cadre de la convention-cadre des Nations unies sur les changements climatiques (CCNUCC).</w:t>
      </w:r>
      <w:r>
        <w:rPr>
          <w:rFonts w:ascii="Times New Roman" w:hAnsi="Times New Roman"/>
          <w:highlight w:val="yellow"/>
        </w:rPr>
        <w:t xml:space="preserve"> </w:t>
      </w:r>
    </w:p>
  </w:footnote>
  <w:footnote w:id="48">
    <w:p w:rsidR="00EB371E" w:rsidRDefault="00EF242D">
      <w:pPr>
        <w:pStyle w:val="FootnoteText"/>
        <w:tabs>
          <w:tab w:val="left" w:pos="210"/>
        </w:tabs>
        <w:ind w:left="224" w:hanging="224"/>
        <w:jc w:val="both"/>
        <w:rPr>
          <w:rFonts w:ascii="Times New Roman" w:hAnsi="Times New Roman" w:cs="Times New Roman"/>
          <w:lang w:val="pt-PT"/>
        </w:rPr>
      </w:pPr>
      <w:r>
        <w:rPr>
          <w:rStyle w:val="FootnoteReference"/>
        </w:rPr>
        <w:footnoteRef/>
      </w:r>
      <w:r>
        <w:rPr>
          <w:lang w:val="pt-PT"/>
        </w:rPr>
        <w:t xml:space="preserve"> </w:t>
      </w:r>
      <w:r>
        <w:rPr>
          <w:lang w:val="pt-PT"/>
        </w:rPr>
        <w:tab/>
      </w:r>
      <w:r>
        <w:rPr>
          <w:rFonts w:ascii="Times New Roman" w:hAnsi="Times New Roman"/>
          <w:lang w:val="pt-PT"/>
        </w:rPr>
        <w:t>COM(2018) 097.</w:t>
      </w:r>
    </w:p>
  </w:footnote>
  <w:footnote w:id="49">
    <w:p w:rsidR="00EB371E" w:rsidRDefault="00EF242D">
      <w:pPr>
        <w:pStyle w:val="FootnoteText"/>
        <w:tabs>
          <w:tab w:val="left" w:pos="210"/>
        </w:tabs>
        <w:ind w:left="224" w:hanging="224"/>
        <w:jc w:val="both"/>
        <w:rPr>
          <w:rFonts w:ascii="Times New Roman" w:hAnsi="Times New Roman" w:cs="Times New Roman"/>
          <w:lang w:val="pt-PT"/>
        </w:rPr>
      </w:pPr>
      <w:r>
        <w:rPr>
          <w:rStyle w:val="FootnoteReference"/>
        </w:rPr>
        <w:footnoteRef/>
      </w:r>
      <w:r>
        <w:rPr>
          <w:lang w:val="pt-PT"/>
        </w:rPr>
        <w:t xml:space="preserve"> </w:t>
      </w:r>
      <w:r>
        <w:rPr>
          <w:lang w:val="pt-PT"/>
        </w:rPr>
        <w:tab/>
      </w:r>
      <w:r>
        <w:rPr>
          <w:rFonts w:ascii="Times New Roman" w:hAnsi="Times New Roman"/>
          <w:lang w:val="pt-PT"/>
        </w:rPr>
        <w:t>COM(2018)</w:t>
      </w:r>
      <w:r>
        <w:rPr>
          <w:rFonts w:ascii="Times New Roman" w:hAnsi="Times New Roman"/>
          <w:lang w:val="pt-PT"/>
        </w:rPr>
        <w:t xml:space="preserve"> 353, COM(2018) 354 et COM(2018) 355.</w:t>
      </w:r>
    </w:p>
  </w:footnote>
  <w:footnote w:id="50">
    <w:p w:rsidR="00EB371E" w:rsidRDefault="00EF242D">
      <w:pPr>
        <w:pStyle w:val="FootnoteText"/>
        <w:tabs>
          <w:tab w:val="left" w:pos="210"/>
        </w:tabs>
        <w:ind w:left="224" w:hanging="22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«Évaluer le coût de la non-Europe 2014-19», Service de recherche du Parlement européen,</w:t>
      </w:r>
      <w:r>
        <w:t xml:space="preserve"> </w:t>
      </w:r>
      <w:hyperlink r:id="rId8">
        <w:r>
          <w:rPr>
            <w:rStyle w:val="Hyperlink"/>
            <w:rFonts w:ascii="Times New Roman" w:hAnsi="Times New Roman"/>
          </w:rPr>
          <w:t>http://www.europarl.e</w:t>
        </w:r>
        <w:r>
          <w:rPr>
            <w:rStyle w:val="Hyperlink"/>
            <w:rFonts w:ascii="Times New Roman" w:hAnsi="Times New Roman"/>
          </w:rPr>
          <w:t>uropa.eu/EPRS/EPRS_Mapping_the_Cost_of_Non-Europe-June%202014.pdf</w:t>
        </w:r>
      </w:hyperlink>
      <w:r>
        <w:rPr>
          <w:rFonts w:ascii="Times New Roman" w:hAnsi="Times New Roman"/>
        </w:rPr>
        <w:t xml:space="preserve">. </w:t>
      </w:r>
    </w:p>
  </w:footnote>
  <w:footnote w:id="51">
    <w:p w:rsidR="00EB371E" w:rsidRDefault="00EF242D">
      <w:pPr>
        <w:pStyle w:val="FootnoteText"/>
        <w:tabs>
          <w:tab w:val="left" w:pos="210"/>
        </w:tabs>
        <w:ind w:left="224" w:hanging="22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«Évaluer le coût de la non-Europe 2014-19», Service de recherche du Parlement européen. </w:t>
      </w:r>
    </w:p>
  </w:footnote>
  <w:footnote w:id="52">
    <w:p w:rsidR="00EB371E" w:rsidRDefault="00EF242D">
      <w:pPr>
        <w:pStyle w:val="FootnoteText"/>
        <w:tabs>
          <w:tab w:val="left" w:pos="210"/>
        </w:tabs>
        <w:ind w:left="224" w:hanging="22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Voir également le rapport de Copenhagen Economics intitulé «Making EU Trade in services work </w:t>
      </w:r>
      <w:r>
        <w:rPr>
          <w:rFonts w:ascii="Times New Roman" w:hAnsi="Times New Roman"/>
        </w:rPr>
        <w:t>for all» (Pour un commerce de services de l'UE performant pour tous), novembre 2018.</w:t>
      </w:r>
    </w:p>
  </w:footnote>
  <w:footnote w:id="53">
    <w:p w:rsidR="00EB371E" w:rsidRDefault="00EF242D">
      <w:pPr>
        <w:pStyle w:val="FootnoteText"/>
        <w:tabs>
          <w:tab w:val="left" w:pos="210"/>
        </w:tabs>
        <w:ind w:left="224" w:hanging="224"/>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SWD(2017) 475.</w:t>
      </w:r>
    </w:p>
  </w:footnote>
  <w:footnote w:id="54">
    <w:p w:rsidR="00EB371E" w:rsidRDefault="00EF242D">
      <w:pPr>
        <w:pStyle w:val="FootnoteText"/>
        <w:tabs>
          <w:tab w:val="left" w:pos="210"/>
        </w:tabs>
        <w:ind w:left="224" w:hanging="224"/>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COM(2017) 787.</w:t>
      </w:r>
    </w:p>
  </w:footnote>
  <w:footnote w:id="55">
    <w:p w:rsidR="00EB371E" w:rsidRDefault="00EF242D">
      <w:pPr>
        <w:pStyle w:val="FootnoteText"/>
        <w:tabs>
          <w:tab w:val="left" w:pos="210"/>
        </w:tabs>
        <w:ind w:left="224" w:hanging="224"/>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Affaire C-613/14, James Elliott Construction, </w:t>
      </w:r>
      <w:r>
        <w:rPr>
          <w:rStyle w:val="outputecliaff"/>
          <w:rFonts w:ascii="Times New Roman" w:hAnsi="Times New Roman"/>
        </w:rPr>
        <w:t>ECLI:EU:C:2016:821.</w:t>
      </w:r>
    </w:p>
  </w:footnote>
  <w:footnote w:id="56">
    <w:p w:rsidR="00EB371E" w:rsidRDefault="00EF242D">
      <w:pPr>
        <w:pStyle w:val="FootnoteText"/>
        <w:tabs>
          <w:tab w:val="left" w:pos="210"/>
        </w:tabs>
        <w:ind w:left="224" w:hanging="224"/>
        <w:jc w:val="both"/>
        <w:rPr>
          <w:rFonts w:ascii="Times New Roman" w:hAnsi="Times New Roman" w:cs="Times New Roman"/>
          <w:lang w:val="fr-BE"/>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COM(2018) 764.</w:t>
      </w:r>
    </w:p>
  </w:footnote>
  <w:footnote w:id="57">
    <w:p w:rsidR="00EB371E" w:rsidRDefault="00EF242D">
      <w:pPr>
        <w:pStyle w:val="FootnoteText"/>
        <w:tabs>
          <w:tab w:val="left" w:pos="210"/>
        </w:tabs>
        <w:ind w:left="224" w:hanging="224"/>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Discours de M. Draghi, «Economic and Monetary</w:t>
      </w:r>
      <w:r>
        <w:rPr>
          <w:rFonts w:ascii="Times New Roman" w:hAnsi="Times New Roman"/>
        </w:rPr>
        <w:t xml:space="preserve"> Union: past and present» (Union économique et monétaire, passé et présent), 19 septembre 2018, Berlin, </w:t>
      </w:r>
      <w:hyperlink r:id="rId9">
        <w:r>
          <w:rPr>
            <w:rStyle w:val="Hyperlink"/>
            <w:rFonts w:ascii="Times New Roman" w:hAnsi="Times New Roman"/>
          </w:rPr>
          <w:t>https://www.ecb.europa.eu/press/key/date/2018/html/ecb.sp1809</w:t>
        </w:r>
        <w:r>
          <w:rPr>
            <w:rStyle w:val="Hyperlink"/>
            <w:rFonts w:ascii="Times New Roman" w:hAnsi="Times New Roman"/>
          </w:rPr>
          <w:t>19.en.html</w:t>
        </w:r>
      </w:hyperlink>
      <w:r>
        <w:rPr>
          <w:rFonts w:ascii="Times New Roman" w:hAnsi="Times New Roman"/>
        </w:rPr>
        <w:t xml:space="preserve">. </w:t>
      </w:r>
    </w:p>
  </w:footnote>
  <w:footnote w:id="58">
    <w:p w:rsidR="00EB371E" w:rsidRDefault="00EF242D">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lang w:val="pt-PT"/>
        </w:rPr>
        <w:t xml:space="preserve"> </w:t>
      </w:r>
      <w:r>
        <w:rPr>
          <w:lang w:val="pt-PT"/>
        </w:rPr>
        <w:tab/>
      </w:r>
      <w:r>
        <w:rPr>
          <w:rFonts w:ascii="Times New Roman" w:hAnsi="Times New Roman"/>
          <w:lang w:val="pt-PT"/>
        </w:rPr>
        <w:t>COM(2018) 219.</w:t>
      </w:r>
    </w:p>
  </w:footnote>
  <w:footnote w:id="59">
    <w:p w:rsidR="00EB371E" w:rsidRDefault="00EF242D">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lang w:val="pt-PT"/>
        </w:rPr>
        <w:t xml:space="preserve"> </w:t>
      </w:r>
      <w:r>
        <w:rPr>
          <w:lang w:val="pt-PT"/>
        </w:rPr>
        <w:tab/>
      </w:r>
      <w:r>
        <w:rPr>
          <w:rFonts w:ascii="Times New Roman" w:hAnsi="Times New Roman"/>
          <w:lang w:val="pt-PT"/>
        </w:rPr>
        <w:t>Directive (UE) 2018/958.</w:t>
      </w:r>
    </w:p>
  </w:footnote>
  <w:footnote w:id="60">
    <w:p w:rsidR="00EB371E" w:rsidRDefault="00EF242D">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lang w:val="pt-PT"/>
        </w:rPr>
        <w:t xml:space="preserve"> </w:t>
      </w:r>
      <w:r>
        <w:rPr>
          <w:lang w:val="pt-PT"/>
        </w:rPr>
        <w:tab/>
      </w:r>
      <w:r>
        <w:rPr>
          <w:rFonts w:ascii="Times New Roman" w:hAnsi="Times New Roman"/>
          <w:lang w:val="pt-PT"/>
        </w:rPr>
        <w:t>COM(2016) 821.</w:t>
      </w:r>
    </w:p>
  </w:footnote>
  <w:footnote w:id="61">
    <w:p w:rsidR="00EB371E" w:rsidRDefault="00EF242D">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lang w:val="pt-PT"/>
        </w:rPr>
        <w:t xml:space="preserve"> </w:t>
      </w:r>
      <w:r>
        <w:rPr>
          <w:lang w:val="pt-PT"/>
        </w:rPr>
        <w:tab/>
      </w:r>
      <w:r>
        <w:rPr>
          <w:rFonts w:ascii="Times New Roman" w:hAnsi="Times New Roman"/>
          <w:lang w:val="pt-PT"/>
        </w:rPr>
        <w:t>COM(2016) 815.</w:t>
      </w:r>
    </w:p>
  </w:footnote>
  <w:footnote w:id="62">
    <w:p w:rsidR="00EB371E" w:rsidRDefault="00EF242D">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lang w:val="pt-PT"/>
        </w:rPr>
        <w:t xml:space="preserve"> </w:t>
      </w:r>
      <w:r>
        <w:rPr>
          <w:lang w:val="pt-PT"/>
        </w:rPr>
        <w:tab/>
      </w:r>
      <w:r>
        <w:rPr>
          <w:rFonts w:ascii="Times New Roman" w:hAnsi="Times New Roman"/>
          <w:lang w:val="pt-PT"/>
        </w:rPr>
        <w:t>Directive (UE) 2015/2436.</w:t>
      </w:r>
    </w:p>
  </w:footnote>
  <w:footnote w:id="63">
    <w:p w:rsidR="00EB371E" w:rsidRDefault="00EF242D">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lang w:val="pt-PT"/>
        </w:rPr>
        <w:t xml:space="preserve"> </w:t>
      </w:r>
      <w:r>
        <w:rPr>
          <w:lang w:val="pt-PT"/>
        </w:rPr>
        <w:tab/>
      </w:r>
      <w:r>
        <w:rPr>
          <w:rFonts w:ascii="Times New Roman" w:hAnsi="Times New Roman"/>
          <w:lang w:val="pt-PT"/>
        </w:rPr>
        <w:t>COM(2016) 860.</w:t>
      </w:r>
    </w:p>
  </w:footnote>
  <w:footnote w:id="64">
    <w:p w:rsidR="00EB371E" w:rsidRDefault="00EF242D">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lang w:val="pt-PT"/>
        </w:rPr>
        <w:t xml:space="preserve"> </w:t>
      </w:r>
      <w:r>
        <w:rPr>
          <w:lang w:val="pt-PT"/>
        </w:rPr>
        <w:tab/>
      </w:r>
      <w:r>
        <w:rPr>
          <w:rFonts w:ascii="Times New Roman" w:hAnsi="Times New Roman"/>
          <w:lang w:val="pt-PT"/>
        </w:rPr>
        <w:t>COM(2011) 144.</w:t>
      </w:r>
    </w:p>
  </w:footnote>
  <w:footnote w:id="65">
    <w:p w:rsidR="00EB371E" w:rsidRDefault="00EF242D">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lang w:val="pt-PT"/>
        </w:rPr>
        <w:t xml:space="preserve"> </w:t>
      </w:r>
      <w:r>
        <w:rPr>
          <w:lang w:val="pt-PT"/>
        </w:rPr>
        <w:tab/>
      </w:r>
      <w:r>
        <w:rPr>
          <w:rFonts w:ascii="Times New Roman" w:hAnsi="Times New Roman"/>
          <w:lang w:val="pt-PT"/>
        </w:rPr>
        <w:t>COM(2016) 588.</w:t>
      </w:r>
    </w:p>
  </w:footnote>
  <w:footnote w:id="66">
    <w:p w:rsidR="00EB371E" w:rsidRDefault="00EF242D">
      <w:pPr>
        <w:pStyle w:val="FootnoteText"/>
        <w:tabs>
          <w:tab w:val="left" w:pos="210"/>
        </w:tabs>
        <w:ind w:left="224" w:hanging="22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COM(2016) 590.</w:t>
      </w:r>
    </w:p>
  </w:footnote>
  <w:footnote w:id="67">
    <w:p w:rsidR="00EB371E" w:rsidRDefault="00EF242D">
      <w:pPr>
        <w:pStyle w:val="FootnoteText"/>
        <w:tabs>
          <w:tab w:val="left" w:pos="210"/>
        </w:tabs>
        <w:ind w:left="224" w:hanging="22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COM(2018) 771.</w:t>
      </w:r>
    </w:p>
  </w:footnote>
  <w:footnote w:id="68">
    <w:p w:rsidR="00EB371E" w:rsidRDefault="00EF242D">
      <w:pPr>
        <w:pStyle w:val="FootnoteText"/>
        <w:tabs>
          <w:tab w:val="left" w:pos="210"/>
        </w:tabs>
        <w:ind w:left="224" w:hanging="224"/>
        <w:jc w:val="both"/>
        <w:rPr>
          <w:rFonts w:ascii="Times New Roman" w:hAnsi="Times New Roman" w:cs="Times New Roman"/>
        </w:rPr>
      </w:pPr>
      <w:r>
        <w:rPr>
          <w:rStyle w:val="FootnoteReference"/>
        </w:rPr>
        <w:footnoteRef/>
      </w:r>
      <w:r>
        <w:t xml:space="preserve"> </w:t>
      </w:r>
      <w:r>
        <w:tab/>
      </w:r>
      <w:r>
        <w:rPr>
          <w:rFonts w:ascii="Times New Roman" w:hAnsi="Times New Roman"/>
        </w:rPr>
        <w:t>COM(2017) 343.</w:t>
      </w:r>
    </w:p>
  </w:footnote>
  <w:footnote w:id="69">
    <w:p w:rsidR="00EB371E" w:rsidRDefault="00EF242D">
      <w:pPr>
        <w:pStyle w:val="FootnoteText"/>
        <w:tabs>
          <w:tab w:val="left" w:pos="210"/>
        </w:tabs>
        <w:ind w:left="224" w:hanging="22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COM(2015) 586.</w:t>
      </w:r>
    </w:p>
  </w:footnote>
  <w:footnote w:id="70">
    <w:p w:rsidR="00EB371E" w:rsidRDefault="00EF242D">
      <w:pPr>
        <w:pStyle w:val="FootnoteText"/>
        <w:tabs>
          <w:tab w:val="left" w:pos="210"/>
        </w:tabs>
        <w:ind w:left="224" w:hanging="224"/>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Enquête menée par Eurochambres durant l’été 2015 auprès de 592 entrepreneurs de l’Union. </w:t>
      </w:r>
    </w:p>
  </w:footnote>
  <w:footnote w:id="71">
    <w:p w:rsidR="00EB371E" w:rsidRDefault="00EF242D">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lang w:val="pt-PT"/>
        </w:rPr>
        <w:t xml:space="preserve"> </w:t>
      </w:r>
      <w:r>
        <w:rPr>
          <w:lang w:val="pt-PT"/>
        </w:rPr>
        <w:tab/>
      </w:r>
      <w:r>
        <w:rPr>
          <w:rFonts w:ascii="Times New Roman" w:hAnsi="Times New Roman"/>
          <w:lang w:val="pt-PT"/>
        </w:rPr>
        <w:t>COM(2018) 239; COM(2018) 241.</w:t>
      </w:r>
    </w:p>
  </w:footnote>
  <w:footnote w:id="72">
    <w:p w:rsidR="00EB371E" w:rsidRDefault="00EF242D">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lang w:val="pt-PT"/>
        </w:rPr>
        <w:t xml:space="preserve"> </w:t>
      </w:r>
      <w:r>
        <w:rPr>
          <w:lang w:val="pt-PT"/>
        </w:rPr>
        <w:tab/>
      </w:r>
      <w:r>
        <w:rPr>
          <w:rFonts w:ascii="Times New Roman" w:hAnsi="Times New Roman"/>
          <w:lang w:val="pt-PT"/>
        </w:rPr>
        <w:t>COM(2016) 179.</w:t>
      </w:r>
    </w:p>
  </w:footnote>
  <w:footnote w:id="73">
    <w:p w:rsidR="00EB371E" w:rsidRDefault="00EF242D">
      <w:pPr>
        <w:pStyle w:val="FootnoteText"/>
        <w:tabs>
          <w:tab w:val="left" w:pos="210"/>
        </w:tabs>
        <w:ind w:left="224" w:hanging="224"/>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lang w:val="pt-PT"/>
        </w:rPr>
        <w:t xml:space="preserve"> </w:t>
      </w:r>
      <w:r>
        <w:rPr>
          <w:lang w:val="pt-PT"/>
        </w:rPr>
        <w:tab/>
      </w:r>
      <w:r>
        <w:rPr>
          <w:rFonts w:ascii="Times New Roman" w:hAnsi="Times New Roman"/>
          <w:lang w:val="pt-PT"/>
        </w:rPr>
        <w:t>COM(2018) 21.</w:t>
      </w:r>
    </w:p>
  </w:footnote>
  <w:footnote w:id="74">
    <w:p w:rsidR="00EB371E" w:rsidRDefault="00EF242D">
      <w:pPr>
        <w:pStyle w:val="FootnoteText"/>
        <w:rPr>
          <w:lang w:val="pt-PT"/>
        </w:rPr>
      </w:pPr>
      <w:r>
        <w:rPr>
          <w:rStyle w:val="FootnoteReference"/>
        </w:rPr>
        <w:footnoteRef/>
      </w:r>
      <w:r>
        <w:rPr>
          <w:lang w:val="pt-PT"/>
        </w:rPr>
        <w:t xml:space="preserve"> </w:t>
      </w:r>
      <w:r>
        <w:rPr>
          <w:rFonts w:ascii="Times New Roman" w:hAnsi="Times New Roman"/>
          <w:lang w:val="pt-PT"/>
        </w:rPr>
        <w:t>COM(2016) 685; COM(2016) 683.</w:t>
      </w:r>
    </w:p>
  </w:footnote>
  <w:footnote w:id="75">
    <w:p w:rsidR="00EB371E" w:rsidRDefault="00EF242D">
      <w:pPr>
        <w:pStyle w:val="FootnoteText"/>
        <w:tabs>
          <w:tab w:val="left" w:pos="210"/>
        </w:tabs>
        <w:ind w:left="224" w:hanging="224"/>
        <w:jc w:val="both"/>
        <w:rPr>
          <w:rFonts w:ascii="Times New Roman" w:hAnsi="Times New Roman" w:cs="Times New Roman"/>
        </w:rPr>
      </w:pPr>
      <w:r>
        <w:rPr>
          <w:rStyle w:val="FootnoteReference"/>
        </w:rPr>
        <w:footnoteRef/>
      </w:r>
      <w:r>
        <w:t xml:space="preserve"> </w:t>
      </w:r>
      <w:r>
        <w:tab/>
      </w:r>
      <w:r>
        <w:rPr>
          <w:rFonts w:ascii="Times New Roman" w:hAnsi="Times New Roman"/>
        </w:rPr>
        <w:t>L’objectif de cette initiative phare de l’Union est de garantir</w:t>
      </w:r>
      <w:r>
        <w:rPr>
          <w:rFonts w:ascii="Times New Roman" w:hAnsi="Times New Roman"/>
        </w:rPr>
        <w:t xml:space="preserve"> qu’aucune frontière n’empêche l’apprentissage, l’étude et la recherche.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242D" w:rsidRPr="00EF242D" w:rsidRDefault="00EF242D" w:rsidP="00EF24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242D" w:rsidRPr="00EF242D" w:rsidRDefault="00EF242D" w:rsidP="00EF242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242D" w:rsidRPr="00EF242D" w:rsidRDefault="00EF242D" w:rsidP="00EF242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371E" w:rsidRDefault="00EB371E">
    <w:pPr>
      <w:pStyle w:val="Header"/>
    </w:pPr>
  </w:p>
  <w:p w:rsidR="00EB371E" w:rsidRDefault="00EB371E"/>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371E" w:rsidRDefault="00EB371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371E" w:rsidRDefault="00EB37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52FC7"/>
    <w:multiLevelType w:val="multilevel"/>
    <w:tmpl w:val="082838B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C942B2D"/>
    <w:multiLevelType w:val="multilevel"/>
    <w:tmpl w:val="0E588E5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1B92967"/>
    <w:multiLevelType w:val="multilevel"/>
    <w:tmpl w:val="16146A6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47740D1"/>
    <w:multiLevelType w:val="hybridMultilevel"/>
    <w:tmpl w:val="E5906B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C355C38"/>
    <w:multiLevelType w:val="multilevel"/>
    <w:tmpl w:val="6AC2197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b w:val="0"/>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5618313A"/>
    <w:multiLevelType w:val="hybridMultilevel"/>
    <w:tmpl w:val="74961F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C353A2D"/>
    <w:multiLevelType w:val="hybridMultilevel"/>
    <w:tmpl w:val="22849760"/>
    <w:lvl w:ilvl="0" w:tplc="DF8A647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2EB15EA"/>
    <w:multiLevelType w:val="hybridMultilevel"/>
    <w:tmpl w:val="D3C6D914"/>
    <w:lvl w:ilvl="0" w:tplc="6E74E312">
      <w:start w:val="1"/>
      <w:numFmt w:val="bullet"/>
      <w:lvlText w:val=""/>
      <w:lvlJc w:val="left"/>
      <w:pPr>
        <w:ind w:left="360" w:hanging="360"/>
      </w:pPr>
      <w:rPr>
        <w:rFonts w:ascii="Symbol" w:hAnsi="Symbol" w:hint="default"/>
      </w:rPr>
    </w:lvl>
    <w:lvl w:ilvl="1" w:tplc="080C0003">
      <w:start w:val="1"/>
      <w:numFmt w:val="bullet"/>
      <w:lvlText w:val="o"/>
      <w:lvlJc w:val="left"/>
      <w:pPr>
        <w:ind w:left="1080" w:hanging="360"/>
      </w:pPr>
      <w:rPr>
        <w:rFonts w:ascii="Courier New" w:hAnsi="Courier New" w:cs="Courier New" w:hint="default"/>
      </w:rPr>
    </w:lvl>
    <w:lvl w:ilvl="2" w:tplc="080C0005">
      <w:start w:val="1"/>
      <w:numFmt w:val="bullet"/>
      <w:lvlText w:val=""/>
      <w:lvlJc w:val="left"/>
      <w:pPr>
        <w:ind w:left="1800" w:hanging="360"/>
      </w:pPr>
      <w:rPr>
        <w:rFonts w:ascii="Wingdings" w:hAnsi="Wingdings" w:hint="default"/>
      </w:rPr>
    </w:lvl>
    <w:lvl w:ilvl="3" w:tplc="080C0001">
      <w:start w:val="1"/>
      <w:numFmt w:val="bullet"/>
      <w:lvlText w:val=""/>
      <w:lvlJc w:val="left"/>
      <w:pPr>
        <w:ind w:left="2520" w:hanging="360"/>
      </w:pPr>
      <w:rPr>
        <w:rFonts w:ascii="Symbol" w:hAnsi="Symbol" w:hint="default"/>
      </w:rPr>
    </w:lvl>
    <w:lvl w:ilvl="4" w:tplc="080C0003">
      <w:start w:val="1"/>
      <w:numFmt w:val="bullet"/>
      <w:lvlText w:val="o"/>
      <w:lvlJc w:val="left"/>
      <w:pPr>
        <w:ind w:left="3240" w:hanging="360"/>
      </w:pPr>
      <w:rPr>
        <w:rFonts w:ascii="Courier New" w:hAnsi="Courier New" w:cs="Courier New" w:hint="default"/>
      </w:rPr>
    </w:lvl>
    <w:lvl w:ilvl="5" w:tplc="080C0005">
      <w:start w:val="1"/>
      <w:numFmt w:val="bullet"/>
      <w:lvlText w:val=""/>
      <w:lvlJc w:val="left"/>
      <w:pPr>
        <w:ind w:left="3960" w:hanging="360"/>
      </w:pPr>
      <w:rPr>
        <w:rFonts w:ascii="Wingdings" w:hAnsi="Wingdings" w:hint="default"/>
      </w:rPr>
    </w:lvl>
    <w:lvl w:ilvl="6" w:tplc="080C0001">
      <w:start w:val="1"/>
      <w:numFmt w:val="bullet"/>
      <w:lvlText w:val=""/>
      <w:lvlJc w:val="left"/>
      <w:pPr>
        <w:ind w:left="4680" w:hanging="360"/>
      </w:pPr>
      <w:rPr>
        <w:rFonts w:ascii="Symbol" w:hAnsi="Symbol" w:hint="default"/>
      </w:rPr>
    </w:lvl>
    <w:lvl w:ilvl="7" w:tplc="080C0003">
      <w:start w:val="1"/>
      <w:numFmt w:val="bullet"/>
      <w:lvlText w:val="o"/>
      <w:lvlJc w:val="left"/>
      <w:pPr>
        <w:ind w:left="5400" w:hanging="360"/>
      </w:pPr>
      <w:rPr>
        <w:rFonts w:ascii="Courier New" w:hAnsi="Courier New" w:cs="Courier New" w:hint="default"/>
      </w:rPr>
    </w:lvl>
    <w:lvl w:ilvl="8" w:tplc="080C0005">
      <w:start w:val="1"/>
      <w:numFmt w:val="bullet"/>
      <w:lvlText w:val=""/>
      <w:lvlJc w:val="left"/>
      <w:pPr>
        <w:ind w:left="6120" w:hanging="360"/>
      </w:pPr>
      <w:rPr>
        <w:rFonts w:ascii="Wingdings" w:hAnsi="Wingdings" w:hint="default"/>
      </w:rPr>
    </w:lvl>
  </w:abstractNum>
  <w:abstractNum w:abstractNumId="8" w15:restartNumberingAfterBreak="0">
    <w:nsid w:val="72BB4B9E"/>
    <w:multiLevelType w:val="multilevel"/>
    <w:tmpl w:val="2F2E44B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76915EC6"/>
    <w:multiLevelType w:val="multilevel"/>
    <w:tmpl w:val="926CD99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7E8B71A4"/>
    <w:multiLevelType w:val="multilevel"/>
    <w:tmpl w:val="51F80EC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10"/>
  </w:num>
  <w:num w:numId="2">
    <w:abstractNumId w:val="1"/>
  </w:num>
  <w:num w:numId="3">
    <w:abstractNumId w:val="8"/>
  </w:num>
  <w:num w:numId="4">
    <w:abstractNumId w:val="4"/>
  </w:num>
  <w:num w:numId="5">
    <w:abstractNumId w:val="2"/>
  </w:num>
  <w:num w:numId="6">
    <w:abstractNumId w:val="9"/>
  </w:num>
  <w:num w:numId="7">
    <w:abstractNumId w:val="0"/>
  </w:num>
  <w:num w:numId="8">
    <w:abstractNumId w:val="3"/>
  </w:num>
  <w:num w:numId="9">
    <w:abstractNumId w:val="10"/>
  </w:num>
  <w:num w:numId="10">
    <w:abstractNumId w:val="10"/>
  </w:num>
  <w:num w:numId="11">
    <w:abstractNumId w:val="10"/>
  </w:num>
  <w:num w:numId="12">
    <w:abstractNumId w:val="10"/>
  </w:num>
  <w:num w:numId="13">
    <w:abstractNumId w:val="10"/>
  </w:num>
  <w:num w:numId="14">
    <w:abstractNumId w:val="10"/>
  </w:num>
  <w:num w:numId="15">
    <w:abstractNumId w:val="10"/>
  </w:num>
  <w:num w:numId="16">
    <w:abstractNumId w:val="10"/>
  </w:num>
  <w:num w:numId="17">
    <w:abstractNumId w:val="10"/>
  </w:num>
  <w:num w:numId="18">
    <w:abstractNumId w:val="10"/>
  </w:num>
  <w:num w:numId="19">
    <w:abstractNumId w:val="10"/>
  </w:num>
  <w:num w:numId="20">
    <w:abstractNumId w:val="10"/>
  </w:num>
  <w:num w:numId="21">
    <w:abstractNumId w:val="10"/>
  </w:num>
  <w:num w:numId="22">
    <w:abstractNumId w:val="10"/>
  </w:num>
  <w:num w:numId="23">
    <w:abstractNumId w:val="10"/>
  </w:num>
  <w:num w:numId="24">
    <w:abstractNumId w:val="10"/>
  </w:num>
  <w:num w:numId="25">
    <w:abstractNumId w:val="10"/>
  </w:num>
  <w:num w:numId="26">
    <w:abstractNumId w:val="10"/>
  </w:num>
  <w:num w:numId="27">
    <w:abstractNumId w:val="10"/>
  </w:num>
  <w:num w:numId="28">
    <w:abstractNumId w:val="10"/>
  </w:num>
  <w:num w:numId="29">
    <w:abstractNumId w:val="10"/>
  </w:num>
  <w:num w:numId="30">
    <w:abstractNumId w:val="5"/>
  </w:num>
  <w:num w:numId="31">
    <w:abstractNumId w:val="10"/>
  </w:num>
  <w:num w:numId="32">
    <w:abstractNumId w:val="10"/>
  </w:num>
  <w:num w:numId="33">
    <w:abstractNumId w:val="10"/>
  </w:num>
  <w:num w:numId="34">
    <w:abstractNumId w:val="10"/>
  </w:num>
  <w:num w:numId="35">
    <w:abstractNumId w:val="7"/>
  </w:num>
  <w:num w:numId="36">
    <w:abstractNumId w:val="7"/>
  </w:num>
  <w:num w:numId="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hideSpellingErrors/>
  <w:hideGrammaticalErrors/>
  <w:defaultTabStop w:val="720"/>
  <w:hyphenationZone w:val="425"/>
  <w:characterSpacingControl w:val="doNotCompress"/>
  <w:hdrShapeDefaults>
    <o:shapedefaults v:ext="edit" spidmax="2048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A8070720-3F98-49BF-B77E-3BDBB660A5EC"/>
    <w:docVar w:name="LW_COVERPAGE_TYPE" w:val="1"/>
    <w:docVar w:name="LW_CROSSREFERENCE" w:val="&lt;UNUSED&gt;"/>
    <w:docVar w:name="LW_DocType" w:val="NORMAL"/>
    <w:docVar w:name="LW_EMISSION" w:val="22.11.2018"/>
    <w:docVar w:name="LW_EMISSION_ISODATE" w:val="2018-11-22"/>
    <w:docVar w:name="LW_EMISSION_LOCATION" w:val="BRX"/>
    <w:docVar w:name="LW_EMISSION_PREFIX" w:val="Bruxelles, le "/>
    <w:docVar w:name="LW_EMISSION_SUFFIX" w:val=" "/>
    <w:docVar w:name="LW_ID_DOCTYPE_NONLW" w:val="CP-009"/>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8) 77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Le marché unique dans un monde qui change_x000d__x000d__x000b__x000d__x000d__x000d__x000d__x000d__x000d__x000b__x000d__x000d__x000d__x000d__x000d_Un atout sans égal nécessitant une volonté politique renouvelée"/>
    <w:docVar w:name="LW_TYPE.DOC.CP" w:val="COMMUNICATION DE LA COMMISSION"/>
    <w:docVar w:name="LW_TYPE.DOC.CP.USERTEXT" w:val="AU PARLEMENT EUROPÉEN, AU CONSEIL EUROPÉEN, AU CONSEIL, AU COMITÉ ÉCONOMIQUE ET SOCIAL EUROPÉEN ET AU COMITÉ DES RÉGIONS_x000b_"/>
  </w:docVars>
  <w:rsids>
    <w:rsidRoot w:val="00EB371E"/>
    <w:rsid w:val="00EB371E"/>
    <w:rsid w:val="00EF242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spacing w:before="100" w:beforeAutospacing="1" w:after="0" w:line="240" w:lineRule="auto"/>
      <w:outlineLvl w:val="2"/>
    </w:pPr>
    <w:rPr>
      <w:rFonts w:ascii="EC Square Sans Cond Pro" w:eastAsiaTheme="majorEastAsia" w:hAnsi="EC Square Sans Cond Pro" w:cstheme="majorBidi"/>
      <w:b/>
      <w:bCs/>
      <w:color w:val="4F81BD" w:themeColor="accent1"/>
      <w:sz w:val="28"/>
      <w:szCs w:val="28"/>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Pr>
      <w:rFonts w:ascii="EC Square Sans Cond Pro" w:eastAsiaTheme="majorEastAsia" w:hAnsi="EC Square Sans Cond Pro" w:cstheme="majorBidi"/>
      <w:b/>
      <w:bCs/>
      <w:color w:val="4F81BD" w:themeColor="accent1"/>
      <w:sz w:val="28"/>
      <w:szCs w:val="28"/>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paragraph" w:styleId="FootnoteText">
    <w:name w:val="footnote text"/>
    <w:aliases w:val="Footnote text,fn,Schriftart: 9 pt,Schriftart: 10 pt,Schriftart: 8 pt,WB-Fußnotentext,Voetnoottekst Char,Voetnoottekst Char1,Voetnoottekst Char2 Char Char,Voetnoottekst Char Char1 Char Char,Voetnoottekst Char1 Char Char Char Char,ft,Fußnote"/>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Footnote text Char,fn Char,Schriftart: 9 pt Char,Schriftart: 10 pt Char,Schriftart: 8 pt Char,WB-Fußnotentext Char,Voetnoottekst Char Char,Voetnoottekst Char1 Char,Voetnoottekst Char2 Char Char Char,ft Char,Fußnote Char"/>
    <w:basedOn w:val="DefaultParagraphFont"/>
    <w:link w:val="FootnoteText"/>
    <w:uiPriority w:val="99"/>
    <w:qFormat/>
    <w:rPr>
      <w:sz w:val="20"/>
      <w:szCs w:val="20"/>
    </w:rPr>
  </w:style>
  <w:style w:type="character" w:styleId="FootnoteReference">
    <w:name w:val="footnote reference"/>
    <w:aliases w:val="Footnote Reference Superscript,BVI fnr,Footnote symbol,Footnote reference number,number,note TESI,SUPERS,EN Footnote Reference,Times 10 Point,Exposant 3 Point,Footnote Reference_LVL6,Footnote,Footnote number, BVI fnr,Nota,Ref,styl,o"/>
    <w:basedOn w:val="DefaultParagraphFont"/>
    <w:uiPriority w:val="99"/>
    <w:unhideWhenUsed/>
    <w:qFormat/>
    <w:rPr>
      <w:vertAlign w:val="superscript"/>
    </w:rPr>
  </w:style>
  <w:style w:type="paragraph" w:styleId="ListParagraph">
    <w:name w:val="List Paragraph"/>
    <w:aliases w:val="Normal bullet 2,Bullet list,List Paragraph1,Numbered List,1st level - Bullet List Paragraph,Lettre d'introduction,Paragrafo elenco,List Paragraph11,Normal bullet 21,List Paragraph111,Bullet list1,List Paragraph (numbered (a)),Dot pt,L,N,3"/>
    <w:basedOn w:val="Normal"/>
    <w:link w:val="ListParagraphChar"/>
    <w:uiPriority w:val="34"/>
    <w:qFormat/>
    <w:pPr>
      <w:ind w:left="720"/>
      <w:contextualSpacing/>
    </w:p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Bullet list Char,List Paragraph1 Char,Numbered List Char,1st level - Bullet List Paragraph Char,Lettre d'introduction Char,Paragrafo elenco Char,List Paragraph11 Char,Normal bullet 21 Char,List Paragraph111 Char"/>
    <w:link w:val="ListParagraph"/>
    <w:uiPriority w:val="34"/>
    <w:qFormat/>
    <w:locked/>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Hyperlink">
    <w:name w:val="Hyperlink"/>
    <w:basedOn w:val="DefaultParagraphFont"/>
    <w:uiPriority w:val="99"/>
    <w:unhideWhenUsed/>
    <w:rPr>
      <w:color w:val="0000FF"/>
      <w:u w:val="single"/>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st1">
    <w:name w:val="st1"/>
    <w:basedOn w:val="DefaultParagraphFont"/>
  </w:style>
  <w:style w:type="paragraph" w:styleId="Revision">
    <w:name w:val="Revision"/>
    <w:hidden/>
    <w:uiPriority w:val="99"/>
    <w:semiHidden/>
    <w:pPr>
      <w:spacing w:after="0" w:line="240" w:lineRule="auto"/>
    </w:pPr>
  </w:style>
  <w:style w:type="character" w:styleId="Emphasis">
    <w:name w:val="Emphasis"/>
    <w:basedOn w:val="DefaultParagraphFont"/>
    <w:uiPriority w:val="20"/>
    <w:qFormat/>
    <w:rPr>
      <w:i/>
      <w:iCs/>
    </w:rPr>
  </w:style>
  <w:style w:type="paragraph" w:customStyle="1" w:styleId="FootnoteReferenceSuperscriptZchn">
    <w:name w:val="Footnote Reference Superscript Zchn"/>
    <w:aliases w:val="BVI fnr Zchn,Footnote symbol Zchn,Footnote reference number Zchn,note TESI Zchn,Appel note de bas de p Zchn,Nota Zchn,SUPERS Zchn,Footnote number Zchn,EN Footnote Reference Zchn, BVI fnr Zchn"/>
    <w:basedOn w:val="Normal"/>
    <w:uiPriority w:val="99"/>
    <w:pPr>
      <w:spacing w:after="160" w:line="240" w:lineRule="exact"/>
      <w:jc w:val="both"/>
    </w:pPr>
    <w:rPr>
      <w:vertAlign w:val="superscript"/>
    </w:rPr>
  </w:style>
  <w:style w:type="character" w:customStyle="1" w:styleId="outputecliaff">
    <w:name w:val="outputecliaff"/>
    <w:basedOn w:val="DefaultParagraphFont"/>
  </w:style>
  <w:style w:type="paragraph" w:styleId="PlainText">
    <w:name w:val="Plain Text"/>
    <w:basedOn w:val="Normal"/>
    <w:link w:val="PlainTextChar"/>
    <w:uiPriority w:val="99"/>
    <w:semiHidden/>
    <w:unhideWhenUsed/>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Pr>
      <w:rFonts w:ascii="Consolas" w:hAnsi="Consolas"/>
      <w:sz w:val="21"/>
      <w:szCs w:val="21"/>
    </w:rPr>
  </w:style>
  <w:style w:type="paragraph" w:customStyle="1" w:styleId="BasicParagraph">
    <w:name w:val="[Basic Paragraph]"/>
    <w:basedOn w:val="Normal"/>
    <w:uiPriority w:val="99"/>
    <w:pPr>
      <w:autoSpaceDE w:val="0"/>
      <w:autoSpaceDN w:val="0"/>
      <w:adjustRightInd w:val="0"/>
      <w:spacing w:after="0" w:line="288" w:lineRule="auto"/>
      <w:textAlignment w:val="center"/>
    </w:pPr>
    <w:rPr>
      <w:rFonts w:ascii="Minion Pro" w:hAnsi="Minion Pro" w:cs="Minion Pro"/>
      <w:color w:val="000000"/>
      <w:sz w:val="24"/>
      <w:szCs w:val="24"/>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753983">
      <w:bodyDiv w:val="1"/>
      <w:marLeft w:val="0"/>
      <w:marRight w:val="0"/>
      <w:marTop w:val="0"/>
      <w:marBottom w:val="0"/>
      <w:divBdr>
        <w:top w:val="none" w:sz="0" w:space="0" w:color="auto"/>
        <w:left w:val="none" w:sz="0" w:space="0" w:color="auto"/>
        <w:bottom w:val="none" w:sz="0" w:space="0" w:color="auto"/>
        <w:right w:val="none" w:sz="0" w:space="0" w:color="auto"/>
      </w:divBdr>
    </w:div>
    <w:div w:id="151799141">
      <w:bodyDiv w:val="1"/>
      <w:marLeft w:val="0"/>
      <w:marRight w:val="0"/>
      <w:marTop w:val="0"/>
      <w:marBottom w:val="0"/>
      <w:divBdr>
        <w:top w:val="none" w:sz="0" w:space="0" w:color="auto"/>
        <w:left w:val="none" w:sz="0" w:space="0" w:color="auto"/>
        <w:bottom w:val="none" w:sz="0" w:space="0" w:color="auto"/>
        <w:right w:val="none" w:sz="0" w:space="0" w:color="auto"/>
      </w:divBdr>
    </w:div>
    <w:div w:id="181818410">
      <w:bodyDiv w:val="1"/>
      <w:marLeft w:val="0"/>
      <w:marRight w:val="0"/>
      <w:marTop w:val="0"/>
      <w:marBottom w:val="0"/>
      <w:divBdr>
        <w:top w:val="none" w:sz="0" w:space="0" w:color="auto"/>
        <w:left w:val="none" w:sz="0" w:space="0" w:color="auto"/>
        <w:bottom w:val="none" w:sz="0" w:space="0" w:color="auto"/>
        <w:right w:val="none" w:sz="0" w:space="0" w:color="auto"/>
      </w:divBdr>
    </w:div>
    <w:div w:id="280262697">
      <w:bodyDiv w:val="1"/>
      <w:marLeft w:val="0"/>
      <w:marRight w:val="0"/>
      <w:marTop w:val="0"/>
      <w:marBottom w:val="0"/>
      <w:divBdr>
        <w:top w:val="none" w:sz="0" w:space="0" w:color="auto"/>
        <w:left w:val="none" w:sz="0" w:space="0" w:color="auto"/>
        <w:bottom w:val="none" w:sz="0" w:space="0" w:color="auto"/>
        <w:right w:val="none" w:sz="0" w:space="0" w:color="auto"/>
      </w:divBdr>
    </w:div>
    <w:div w:id="304163584">
      <w:bodyDiv w:val="1"/>
      <w:marLeft w:val="0"/>
      <w:marRight w:val="0"/>
      <w:marTop w:val="0"/>
      <w:marBottom w:val="0"/>
      <w:divBdr>
        <w:top w:val="none" w:sz="0" w:space="0" w:color="auto"/>
        <w:left w:val="none" w:sz="0" w:space="0" w:color="auto"/>
        <w:bottom w:val="none" w:sz="0" w:space="0" w:color="auto"/>
        <w:right w:val="none" w:sz="0" w:space="0" w:color="auto"/>
      </w:divBdr>
    </w:div>
    <w:div w:id="762184150">
      <w:bodyDiv w:val="1"/>
      <w:marLeft w:val="0"/>
      <w:marRight w:val="0"/>
      <w:marTop w:val="0"/>
      <w:marBottom w:val="0"/>
      <w:divBdr>
        <w:top w:val="none" w:sz="0" w:space="0" w:color="auto"/>
        <w:left w:val="none" w:sz="0" w:space="0" w:color="auto"/>
        <w:bottom w:val="none" w:sz="0" w:space="0" w:color="auto"/>
        <w:right w:val="none" w:sz="0" w:space="0" w:color="auto"/>
      </w:divBdr>
    </w:div>
    <w:div w:id="805392624">
      <w:bodyDiv w:val="1"/>
      <w:marLeft w:val="0"/>
      <w:marRight w:val="0"/>
      <w:marTop w:val="0"/>
      <w:marBottom w:val="0"/>
      <w:divBdr>
        <w:top w:val="none" w:sz="0" w:space="0" w:color="auto"/>
        <w:left w:val="none" w:sz="0" w:space="0" w:color="auto"/>
        <w:bottom w:val="none" w:sz="0" w:space="0" w:color="auto"/>
        <w:right w:val="none" w:sz="0" w:space="0" w:color="auto"/>
      </w:divBdr>
      <w:divsChild>
        <w:div w:id="685404039">
          <w:marLeft w:val="0"/>
          <w:marRight w:val="0"/>
          <w:marTop w:val="0"/>
          <w:marBottom w:val="0"/>
          <w:divBdr>
            <w:top w:val="none" w:sz="0" w:space="0" w:color="auto"/>
            <w:left w:val="none" w:sz="0" w:space="0" w:color="auto"/>
            <w:bottom w:val="none" w:sz="0" w:space="0" w:color="auto"/>
            <w:right w:val="none" w:sz="0" w:space="0" w:color="auto"/>
          </w:divBdr>
          <w:divsChild>
            <w:div w:id="215050242">
              <w:marLeft w:val="0"/>
              <w:marRight w:val="0"/>
              <w:marTop w:val="0"/>
              <w:marBottom w:val="0"/>
              <w:divBdr>
                <w:top w:val="none" w:sz="0" w:space="0" w:color="auto"/>
                <w:left w:val="none" w:sz="0" w:space="0" w:color="auto"/>
                <w:bottom w:val="none" w:sz="0" w:space="0" w:color="auto"/>
                <w:right w:val="none" w:sz="0" w:space="0" w:color="auto"/>
              </w:divBdr>
              <w:divsChild>
                <w:div w:id="39594731">
                  <w:marLeft w:val="0"/>
                  <w:marRight w:val="0"/>
                  <w:marTop w:val="0"/>
                  <w:marBottom w:val="0"/>
                  <w:divBdr>
                    <w:top w:val="none" w:sz="0" w:space="0" w:color="auto"/>
                    <w:left w:val="none" w:sz="0" w:space="0" w:color="auto"/>
                    <w:bottom w:val="none" w:sz="0" w:space="0" w:color="auto"/>
                    <w:right w:val="none" w:sz="0" w:space="0" w:color="auto"/>
                  </w:divBdr>
                  <w:divsChild>
                    <w:div w:id="1744719180">
                      <w:marLeft w:val="0"/>
                      <w:marRight w:val="0"/>
                      <w:marTop w:val="45"/>
                      <w:marBottom w:val="0"/>
                      <w:divBdr>
                        <w:top w:val="none" w:sz="0" w:space="0" w:color="auto"/>
                        <w:left w:val="none" w:sz="0" w:space="0" w:color="auto"/>
                        <w:bottom w:val="none" w:sz="0" w:space="0" w:color="auto"/>
                        <w:right w:val="none" w:sz="0" w:space="0" w:color="auto"/>
                      </w:divBdr>
                      <w:divsChild>
                        <w:div w:id="139613289">
                          <w:marLeft w:val="0"/>
                          <w:marRight w:val="0"/>
                          <w:marTop w:val="0"/>
                          <w:marBottom w:val="0"/>
                          <w:divBdr>
                            <w:top w:val="none" w:sz="0" w:space="0" w:color="auto"/>
                            <w:left w:val="none" w:sz="0" w:space="0" w:color="auto"/>
                            <w:bottom w:val="none" w:sz="0" w:space="0" w:color="auto"/>
                            <w:right w:val="none" w:sz="0" w:space="0" w:color="auto"/>
                          </w:divBdr>
                          <w:divsChild>
                            <w:div w:id="1197622474">
                              <w:marLeft w:val="12300"/>
                              <w:marRight w:val="0"/>
                              <w:marTop w:val="0"/>
                              <w:marBottom w:val="0"/>
                              <w:divBdr>
                                <w:top w:val="none" w:sz="0" w:space="0" w:color="auto"/>
                                <w:left w:val="none" w:sz="0" w:space="0" w:color="auto"/>
                                <w:bottom w:val="none" w:sz="0" w:space="0" w:color="auto"/>
                                <w:right w:val="none" w:sz="0" w:space="0" w:color="auto"/>
                              </w:divBdr>
                              <w:divsChild>
                                <w:div w:id="941645489">
                                  <w:marLeft w:val="0"/>
                                  <w:marRight w:val="0"/>
                                  <w:marTop w:val="0"/>
                                  <w:marBottom w:val="0"/>
                                  <w:divBdr>
                                    <w:top w:val="none" w:sz="0" w:space="0" w:color="auto"/>
                                    <w:left w:val="none" w:sz="0" w:space="0" w:color="auto"/>
                                    <w:bottom w:val="none" w:sz="0" w:space="0" w:color="auto"/>
                                    <w:right w:val="none" w:sz="0" w:space="0" w:color="auto"/>
                                  </w:divBdr>
                                  <w:divsChild>
                                    <w:div w:id="669723516">
                                      <w:marLeft w:val="0"/>
                                      <w:marRight w:val="0"/>
                                      <w:marTop w:val="0"/>
                                      <w:marBottom w:val="390"/>
                                      <w:divBdr>
                                        <w:top w:val="none" w:sz="0" w:space="0" w:color="auto"/>
                                        <w:left w:val="none" w:sz="0" w:space="0" w:color="auto"/>
                                        <w:bottom w:val="none" w:sz="0" w:space="0" w:color="auto"/>
                                        <w:right w:val="none" w:sz="0" w:space="0" w:color="auto"/>
                                      </w:divBdr>
                                      <w:divsChild>
                                        <w:div w:id="223953152">
                                          <w:marLeft w:val="0"/>
                                          <w:marRight w:val="0"/>
                                          <w:marTop w:val="0"/>
                                          <w:marBottom w:val="0"/>
                                          <w:divBdr>
                                            <w:top w:val="none" w:sz="0" w:space="0" w:color="auto"/>
                                            <w:left w:val="none" w:sz="0" w:space="0" w:color="auto"/>
                                            <w:bottom w:val="none" w:sz="0" w:space="0" w:color="auto"/>
                                            <w:right w:val="none" w:sz="0" w:space="0" w:color="auto"/>
                                          </w:divBdr>
                                          <w:divsChild>
                                            <w:div w:id="1281179753">
                                              <w:marLeft w:val="0"/>
                                              <w:marRight w:val="0"/>
                                              <w:marTop w:val="0"/>
                                              <w:marBottom w:val="0"/>
                                              <w:divBdr>
                                                <w:top w:val="none" w:sz="0" w:space="0" w:color="auto"/>
                                                <w:left w:val="none" w:sz="0" w:space="0" w:color="auto"/>
                                                <w:bottom w:val="none" w:sz="0" w:space="0" w:color="auto"/>
                                                <w:right w:val="none" w:sz="0" w:space="0" w:color="auto"/>
                                              </w:divBdr>
                                              <w:divsChild>
                                                <w:div w:id="44183747">
                                                  <w:marLeft w:val="0"/>
                                                  <w:marRight w:val="0"/>
                                                  <w:marTop w:val="0"/>
                                                  <w:marBottom w:val="0"/>
                                                  <w:divBdr>
                                                    <w:top w:val="none" w:sz="0" w:space="0" w:color="auto"/>
                                                    <w:left w:val="none" w:sz="0" w:space="0" w:color="auto"/>
                                                    <w:bottom w:val="none" w:sz="0" w:space="0" w:color="auto"/>
                                                    <w:right w:val="none" w:sz="0" w:space="0" w:color="auto"/>
                                                  </w:divBdr>
                                                  <w:divsChild>
                                                    <w:div w:id="1549298522">
                                                      <w:marLeft w:val="0"/>
                                                      <w:marRight w:val="0"/>
                                                      <w:marTop w:val="0"/>
                                                      <w:marBottom w:val="0"/>
                                                      <w:divBdr>
                                                        <w:top w:val="none" w:sz="0" w:space="0" w:color="auto"/>
                                                        <w:left w:val="none" w:sz="0" w:space="0" w:color="auto"/>
                                                        <w:bottom w:val="none" w:sz="0" w:space="0" w:color="auto"/>
                                                        <w:right w:val="none" w:sz="0" w:space="0" w:color="auto"/>
                                                      </w:divBdr>
                                                      <w:divsChild>
                                                        <w:div w:id="411776646">
                                                          <w:marLeft w:val="0"/>
                                                          <w:marRight w:val="0"/>
                                                          <w:marTop w:val="0"/>
                                                          <w:marBottom w:val="0"/>
                                                          <w:divBdr>
                                                            <w:top w:val="none" w:sz="0" w:space="0" w:color="auto"/>
                                                            <w:left w:val="none" w:sz="0" w:space="0" w:color="auto"/>
                                                            <w:bottom w:val="none" w:sz="0" w:space="0" w:color="auto"/>
                                                            <w:right w:val="none" w:sz="0" w:space="0" w:color="auto"/>
                                                          </w:divBdr>
                                                          <w:divsChild>
                                                            <w:div w:id="1466121688">
                                                              <w:marLeft w:val="0"/>
                                                              <w:marRight w:val="0"/>
                                                              <w:marTop w:val="0"/>
                                                              <w:marBottom w:val="0"/>
                                                              <w:divBdr>
                                                                <w:top w:val="none" w:sz="0" w:space="0" w:color="auto"/>
                                                                <w:left w:val="none" w:sz="0" w:space="0" w:color="auto"/>
                                                                <w:bottom w:val="none" w:sz="0" w:space="0" w:color="auto"/>
                                                                <w:right w:val="none" w:sz="0" w:space="0" w:color="auto"/>
                                                              </w:divBdr>
                                                              <w:divsChild>
                                                                <w:div w:id="835144820">
                                                                  <w:marLeft w:val="0"/>
                                                                  <w:marRight w:val="0"/>
                                                                  <w:marTop w:val="0"/>
                                                                  <w:marBottom w:val="0"/>
                                                                  <w:divBdr>
                                                                    <w:top w:val="none" w:sz="0" w:space="0" w:color="auto"/>
                                                                    <w:left w:val="none" w:sz="0" w:space="0" w:color="auto"/>
                                                                    <w:bottom w:val="none" w:sz="0" w:space="0" w:color="auto"/>
                                                                    <w:right w:val="none" w:sz="0" w:space="0" w:color="auto"/>
                                                                  </w:divBdr>
                                                                  <w:divsChild>
                                                                    <w:div w:id="541094468">
                                                                      <w:marLeft w:val="0"/>
                                                                      <w:marRight w:val="0"/>
                                                                      <w:marTop w:val="0"/>
                                                                      <w:marBottom w:val="0"/>
                                                                      <w:divBdr>
                                                                        <w:top w:val="none" w:sz="0" w:space="0" w:color="auto"/>
                                                                        <w:left w:val="none" w:sz="0" w:space="0" w:color="auto"/>
                                                                        <w:bottom w:val="none" w:sz="0" w:space="0" w:color="auto"/>
                                                                        <w:right w:val="none" w:sz="0" w:space="0" w:color="auto"/>
                                                                      </w:divBdr>
                                                                      <w:divsChild>
                                                                        <w:div w:id="1675066324">
                                                                          <w:marLeft w:val="0"/>
                                                                          <w:marRight w:val="0"/>
                                                                          <w:marTop w:val="0"/>
                                                                          <w:marBottom w:val="0"/>
                                                                          <w:divBdr>
                                                                            <w:top w:val="none" w:sz="0" w:space="0" w:color="auto"/>
                                                                            <w:left w:val="none" w:sz="0" w:space="0" w:color="auto"/>
                                                                            <w:bottom w:val="none" w:sz="0" w:space="0" w:color="auto"/>
                                                                            <w:right w:val="none" w:sz="0" w:space="0" w:color="auto"/>
                                                                          </w:divBdr>
                                                                          <w:divsChild>
                                                                            <w:div w:id="2027323160">
                                                                              <w:marLeft w:val="0"/>
                                                                              <w:marRight w:val="0"/>
                                                                              <w:marTop w:val="0"/>
                                                                              <w:marBottom w:val="0"/>
                                                                              <w:divBdr>
                                                                                <w:top w:val="none" w:sz="0" w:space="0" w:color="auto"/>
                                                                                <w:left w:val="none" w:sz="0" w:space="0" w:color="auto"/>
                                                                                <w:bottom w:val="none" w:sz="0" w:space="0" w:color="auto"/>
                                                                                <w:right w:val="none" w:sz="0" w:space="0" w:color="auto"/>
                                                                              </w:divBdr>
                                                                              <w:divsChild>
                                                                                <w:div w:id="410546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7620545">
                                                                  <w:marLeft w:val="0"/>
                                                                  <w:marRight w:val="0"/>
                                                                  <w:marTop w:val="0"/>
                                                                  <w:marBottom w:val="0"/>
                                                                  <w:divBdr>
                                                                    <w:top w:val="none" w:sz="0" w:space="0" w:color="auto"/>
                                                                    <w:left w:val="none" w:sz="0" w:space="0" w:color="auto"/>
                                                                    <w:bottom w:val="none" w:sz="0" w:space="0" w:color="auto"/>
                                                                    <w:right w:val="none" w:sz="0" w:space="0" w:color="auto"/>
                                                                  </w:divBdr>
                                                                  <w:divsChild>
                                                                    <w:div w:id="1311441858">
                                                                      <w:marLeft w:val="0"/>
                                                                      <w:marRight w:val="0"/>
                                                                      <w:marTop w:val="0"/>
                                                                      <w:marBottom w:val="0"/>
                                                                      <w:divBdr>
                                                                        <w:top w:val="none" w:sz="0" w:space="0" w:color="auto"/>
                                                                        <w:left w:val="none" w:sz="0" w:space="0" w:color="auto"/>
                                                                        <w:bottom w:val="none" w:sz="0" w:space="0" w:color="auto"/>
                                                                        <w:right w:val="none" w:sz="0" w:space="0" w:color="auto"/>
                                                                      </w:divBdr>
                                                                      <w:divsChild>
                                                                        <w:div w:id="41382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860671">
                                                                  <w:marLeft w:val="0"/>
                                                                  <w:marRight w:val="0"/>
                                                                  <w:marTop w:val="0"/>
                                                                  <w:marBottom w:val="0"/>
                                                                  <w:divBdr>
                                                                    <w:top w:val="none" w:sz="0" w:space="0" w:color="auto"/>
                                                                    <w:left w:val="none" w:sz="0" w:space="0" w:color="auto"/>
                                                                    <w:bottom w:val="none" w:sz="0" w:space="0" w:color="auto"/>
                                                                    <w:right w:val="none" w:sz="0" w:space="0" w:color="auto"/>
                                                                  </w:divBdr>
                                                                  <w:divsChild>
                                                                    <w:div w:id="814688030">
                                                                      <w:marLeft w:val="0"/>
                                                                      <w:marRight w:val="0"/>
                                                                      <w:marTop w:val="0"/>
                                                                      <w:marBottom w:val="0"/>
                                                                      <w:divBdr>
                                                                        <w:top w:val="none" w:sz="0" w:space="0" w:color="auto"/>
                                                                        <w:left w:val="none" w:sz="0" w:space="0" w:color="auto"/>
                                                                        <w:bottom w:val="none" w:sz="0" w:space="0" w:color="auto"/>
                                                                        <w:right w:val="none" w:sz="0" w:space="0" w:color="auto"/>
                                                                      </w:divBdr>
                                                                      <w:divsChild>
                                                                        <w:div w:id="693656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410936">
                                                                  <w:marLeft w:val="0"/>
                                                                  <w:marRight w:val="0"/>
                                                                  <w:marTop w:val="0"/>
                                                                  <w:marBottom w:val="0"/>
                                                                  <w:divBdr>
                                                                    <w:top w:val="none" w:sz="0" w:space="0" w:color="auto"/>
                                                                    <w:left w:val="none" w:sz="0" w:space="0" w:color="auto"/>
                                                                    <w:bottom w:val="none" w:sz="0" w:space="0" w:color="auto"/>
                                                                    <w:right w:val="none" w:sz="0" w:space="0" w:color="auto"/>
                                                                  </w:divBdr>
                                                                  <w:divsChild>
                                                                    <w:div w:id="825363090">
                                                                      <w:marLeft w:val="0"/>
                                                                      <w:marRight w:val="0"/>
                                                                      <w:marTop w:val="0"/>
                                                                      <w:marBottom w:val="0"/>
                                                                      <w:divBdr>
                                                                        <w:top w:val="none" w:sz="0" w:space="0" w:color="auto"/>
                                                                        <w:left w:val="none" w:sz="0" w:space="0" w:color="auto"/>
                                                                        <w:bottom w:val="none" w:sz="0" w:space="0" w:color="auto"/>
                                                                        <w:right w:val="none" w:sz="0" w:space="0" w:color="auto"/>
                                                                      </w:divBdr>
                                                                      <w:divsChild>
                                                                        <w:div w:id="149510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202782">
                                                                  <w:marLeft w:val="0"/>
                                                                  <w:marRight w:val="0"/>
                                                                  <w:marTop w:val="0"/>
                                                                  <w:marBottom w:val="0"/>
                                                                  <w:divBdr>
                                                                    <w:top w:val="none" w:sz="0" w:space="0" w:color="auto"/>
                                                                    <w:left w:val="none" w:sz="0" w:space="0" w:color="auto"/>
                                                                    <w:bottom w:val="none" w:sz="0" w:space="0" w:color="auto"/>
                                                                    <w:right w:val="none" w:sz="0" w:space="0" w:color="auto"/>
                                                                  </w:divBdr>
                                                                  <w:divsChild>
                                                                    <w:div w:id="167914611">
                                                                      <w:marLeft w:val="0"/>
                                                                      <w:marRight w:val="0"/>
                                                                      <w:marTop w:val="0"/>
                                                                      <w:marBottom w:val="0"/>
                                                                      <w:divBdr>
                                                                        <w:top w:val="none" w:sz="0" w:space="0" w:color="auto"/>
                                                                        <w:left w:val="none" w:sz="0" w:space="0" w:color="auto"/>
                                                                        <w:bottom w:val="none" w:sz="0" w:space="0" w:color="auto"/>
                                                                        <w:right w:val="none" w:sz="0" w:space="0" w:color="auto"/>
                                                                      </w:divBdr>
                                                                      <w:divsChild>
                                                                        <w:div w:id="2018120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430997">
                                                                  <w:marLeft w:val="0"/>
                                                                  <w:marRight w:val="0"/>
                                                                  <w:marTop w:val="0"/>
                                                                  <w:marBottom w:val="0"/>
                                                                  <w:divBdr>
                                                                    <w:top w:val="none" w:sz="0" w:space="0" w:color="auto"/>
                                                                    <w:left w:val="none" w:sz="0" w:space="0" w:color="auto"/>
                                                                    <w:bottom w:val="none" w:sz="0" w:space="0" w:color="auto"/>
                                                                    <w:right w:val="none" w:sz="0" w:space="0" w:color="auto"/>
                                                                  </w:divBdr>
                                                                  <w:divsChild>
                                                                    <w:div w:id="1883903445">
                                                                      <w:marLeft w:val="0"/>
                                                                      <w:marRight w:val="0"/>
                                                                      <w:marTop w:val="0"/>
                                                                      <w:marBottom w:val="0"/>
                                                                      <w:divBdr>
                                                                        <w:top w:val="none" w:sz="0" w:space="0" w:color="auto"/>
                                                                        <w:left w:val="none" w:sz="0" w:space="0" w:color="auto"/>
                                                                        <w:bottom w:val="none" w:sz="0" w:space="0" w:color="auto"/>
                                                                        <w:right w:val="none" w:sz="0" w:space="0" w:color="auto"/>
                                                                      </w:divBdr>
                                                                      <w:divsChild>
                                                                        <w:div w:id="2116754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043699">
                                                                  <w:marLeft w:val="0"/>
                                                                  <w:marRight w:val="0"/>
                                                                  <w:marTop w:val="0"/>
                                                                  <w:marBottom w:val="0"/>
                                                                  <w:divBdr>
                                                                    <w:top w:val="none" w:sz="0" w:space="0" w:color="auto"/>
                                                                    <w:left w:val="none" w:sz="0" w:space="0" w:color="auto"/>
                                                                    <w:bottom w:val="none" w:sz="0" w:space="0" w:color="auto"/>
                                                                    <w:right w:val="none" w:sz="0" w:space="0" w:color="auto"/>
                                                                  </w:divBdr>
                                                                  <w:divsChild>
                                                                    <w:div w:id="1154177516">
                                                                      <w:marLeft w:val="0"/>
                                                                      <w:marRight w:val="0"/>
                                                                      <w:marTop w:val="0"/>
                                                                      <w:marBottom w:val="0"/>
                                                                      <w:divBdr>
                                                                        <w:top w:val="none" w:sz="0" w:space="0" w:color="auto"/>
                                                                        <w:left w:val="none" w:sz="0" w:space="0" w:color="auto"/>
                                                                        <w:bottom w:val="none" w:sz="0" w:space="0" w:color="auto"/>
                                                                        <w:right w:val="none" w:sz="0" w:space="0" w:color="auto"/>
                                                                      </w:divBdr>
                                                                      <w:divsChild>
                                                                        <w:div w:id="639581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6937642">
      <w:bodyDiv w:val="1"/>
      <w:marLeft w:val="0"/>
      <w:marRight w:val="0"/>
      <w:marTop w:val="0"/>
      <w:marBottom w:val="0"/>
      <w:divBdr>
        <w:top w:val="none" w:sz="0" w:space="0" w:color="auto"/>
        <w:left w:val="none" w:sz="0" w:space="0" w:color="auto"/>
        <w:bottom w:val="none" w:sz="0" w:space="0" w:color="auto"/>
        <w:right w:val="none" w:sz="0" w:space="0" w:color="auto"/>
      </w:divBdr>
    </w:div>
    <w:div w:id="1633898547">
      <w:bodyDiv w:val="1"/>
      <w:marLeft w:val="0"/>
      <w:marRight w:val="0"/>
      <w:marTop w:val="0"/>
      <w:marBottom w:val="0"/>
      <w:divBdr>
        <w:top w:val="none" w:sz="0" w:space="0" w:color="auto"/>
        <w:left w:val="none" w:sz="0" w:space="0" w:color="auto"/>
        <w:bottom w:val="none" w:sz="0" w:space="0" w:color="auto"/>
        <w:right w:val="none" w:sz="0" w:space="0" w:color="auto"/>
      </w:divBdr>
    </w:div>
    <w:div w:id="1847596596">
      <w:bodyDiv w:val="1"/>
      <w:marLeft w:val="0"/>
      <w:marRight w:val="0"/>
      <w:marTop w:val="0"/>
      <w:marBottom w:val="0"/>
      <w:divBdr>
        <w:top w:val="none" w:sz="0" w:space="0" w:color="auto"/>
        <w:left w:val="none" w:sz="0" w:space="0" w:color="auto"/>
        <w:bottom w:val="none" w:sz="0" w:space="0" w:color="auto"/>
        <w:right w:val="none" w:sz="0" w:space="0" w:color="auto"/>
      </w:divBdr>
    </w:div>
    <w:div w:id="1867980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chart" Target="charts/chart1.xm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3.emf"/><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6.png"/><Relationship Id="rId28"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image" Target="media/image2.emf"/><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5.emf"/><Relationship Id="rId27" Type="http://schemas.openxmlformats.org/officeDocument/2006/relationships/footer" Target="footer5.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www.europarl.europa.eu/EPRS/EPRS_Mapping_the_Cost_of_Non-Europe-June%202014.pdf" TargetMode="External"/><Relationship Id="rId3" Type="http://schemas.openxmlformats.org/officeDocument/2006/relationships/hyperlink" Target="https://ue.delegfrance.org/suppression-de-sur-transpositions" TargetMode="External"/><Relationship Id="rId7" Type="http://schemas.openxmlformats.org/officeDocument/2006/relationships/hyperlink" Target="https://ec.europa.eu/info/sites/info/files/geoblocking-final-report_en.pdf" TargetMode="External"/><Relationship Id="rId2" Type="http://schemas.openxmlformats.org/officeDocument/2006/relationships/hyperlink" Target="http://www.hbseconomics.dk/wp-content/uploads/2018/09/25-years-of-the-Single-Market.pdf" TargetMode="External"/><Relationship Id="rId1" Type="http://schemas.openxmlformats.org/officeDocument/2006/relationships/hyperlink" Target="https://www.ecb.europa.eu/press/key/date/2018/html/ecb.sp180919.en.html" TargetMode="External"/><Relationship Id="rId6" Type="http://schemas.openxmlformats.org/officeDocument/2006/relationships/hyperlink" Target="http://ec.europa.eu/eurostat/statistics-explained/index.php/E-commerce_statistics" TargetMode="External"/><Relationship Id="rId5" Type="http://schemas.openxmlformats.org/officeDocument/2006/relationships/hyperlink" Target="http://ec.europa.eu/eurostat/statistics-explained/index.php/E-commerce_statistics_for_individuals" TargetMode="External"/><Relationship Id="rId4" Type="http://schemas.openxmlformats.org/officeDocument/2006/relationships/hyperlink" Target="https://www.ecb.europa.eu/press/key/date/2018/html/ecb.sp180919.en.html" TargetMode="External"/><Relationship Id="rId9" Type="http://schemas.openxmlformats.org/officeDocument/2006/relationships/hyperlink" Target="https://www.ecb.europa.eu/press/key/date/2018/html/ecb.sp180919.en.html"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Mobile citizens</c:v>
                </c:pt>
              </c:strCache>
            </c:strRef>
          </c:tx>
          <c:spPr>
            <a:ln w="19050" cap="rnd">
              <a:solidFill>
                <a:schemeClr val="accent2">
                  <a:lumMod val="75000"/>
                </a:schemeClr>
              </a:solidFill>
              <a:round/>
            </a:ln>
            <a:effectLst/>
          </c:spPr>
          <c:invertIfNegative val="0"/>
          <c:cat>
            <c:numRef>
              <c:f>Sheet1!$A$2:$A$4</c:f>
              <c:numCache>
                <c:formatCode>General</c:formatCode>
                <c:ptCount val="3"/>
                <c:pt idx="0">
                  <c:v>2007</c:v>
                </c:pt>
                <c:pt idx="1">
                  <c:v>2010</c:v>
                </c:pt>
                <c:pt idx="2">
                  <c:v>2017</c:v>
                </c:pt>
              </c:numCache>
            </c:numRef>
          </c:cat>
          <c:val>
            <c:numRef>
              <c:f>Sheet1!$B$2:$B$4</c:f>
              <c:numCache>
                <c:formatCode>General</c:formatCode>
                <c:ptCount val="3"/>
                <c:pt idx="0">
                  <c:v>8</c:v>
                </c:pt>
                <c:pt idx="1">
                  <c:v>12</c:v>
                </c:pt>
                <c:pt idx="2">
                  <c:v>17</c:v>
                </c:pt>
              </c:numCache>
            </c:numRef>
          </c:val>
          <c:extLst xmlns:ve="http://schemas.openxmlformats.org/markup-compatibility/2006" xmlns:o="urn:schemas-microsoft-com:office:office"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dgm="http://schemas.openxmlformats.org/drawingml/2006/diagram" xmlns:p="http://schemas.openxmlformats.org/presentationml/2006/main" xmlns:msxsl="urn:schemas-microsoft-com:xslt" xmlns:DataManagerRef="urn:DataManager">
            <c:ext xmlns:c16="http://schemas.microsoft.com/office/drawing/2014/chart" uri="{C3380CC4-5D6E-409C-BE32-E72D297353CC}">
              <c16:uniqueId val="{00000002-A121-4762-AA59-B3CEF0330387}"/>
            </c:ext>
          </c:extLst>
        </c:ser>
        <c:dLbls>
          <c:showLegendKey val="0"/>
          <c:showVal val="0"/>
          <c:showCatName val="0"/>
          <c:showSerName val="0"/>
          <c:showPercent val="0"/>
          <c:showBubbleSize val="0"/>
        </c:dLbls>
        <c:gapWidth val="150"/>
        <c:axId val="55273728"/>
        <c:axId val="55275520"/>
      </c:barChart>
      <c:catAx>
        <c:axId val="552737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fr-FR"/>
          </a:p>
        </c:txPr>
        <c:crossAx val="55275520"/>
        <c:crosses val="autoZero"/>
        <c:auto val="1"/>
        <c:lblAlgn val="ctr"/>
        <c:lblOffset val="100"/>
        <c:noMultiLvlLbl val="0"/>
      </c:catAx>
      <c:valAx>
        <c:axId val="552755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fr-FR"/>
                  <a:t>Millions de personnes</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fr-FR"/>
          </a:p>
        </c:txPr>
        <c:crossAx val="55273728"/>
        <c:crosses val="autoZero"/>
        <c:crossBetween val="between"/>
      </c:valAx>
      <c:spPr>
        <a:noFill/>
        <a:ln>
          <a:noFill/>
        </a:ln>
        <a:effectLst/>
      </c:spPr>
    </c:plotArea>
    <c:plotVisOnly val="1"/>
    <c:dispBlanksAs val="gap"/>
    <c:showDLblsOverMax val="0"/>
  </c:chart>
  <c:spPr>
    <a:noFill/>
    <a:ln>
      <a:noFill/>
    </a:ln>
    <a:effectLst/>
  </c:spPr>
  <c:txPr>
    <a:bodyPr/>
    <a:lstStyle/>
    <a:p>
      <a:pPr>
        <a:defRPr/>
      </a:pPr>
      <a:endParaRPr lang="fr-F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DocumentLanguage xmlns="6bd4a52e-2f99-4b15-8d06-554c40a38984">EN</EC_Collab_DocumentLanguage>
    <EC_Collab_Status xmlns="6bd4a52e-2f99-4b15-8d06-554c40a38984">Not Started</EC_Collab_Status>
    <EC_Collab_Reference xmlns="6bd4a52e-2f99-4b15-8d06-554c40a3898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2A4E91E4F8467C41BA287E477D1B3A95" ma:contentTypeVersion="1" ma:contentTypeDescription="Create a new document in this library." ma:contentTypeScope="" ma:versionID="a96336c07120f4b798f79f67d92262c7">
  <xsd:schema xmlns:xsd="http://www.w3.org/2001/XMLSchema" xmlns:xs="http://www.w3.org/2001/XMLSchema" xmlns:p="http://schemas.microsoft.com/office/2006/metadata/properties" xmlns:ns3="6bd4a52e-2f99-4b15-8d06-554c40a38984" targetNamespace="http://schemas.microsoft.com/office/2006/metadata/properties" ma:root="true" ma:fieldsID="94ef65a6eda96269cea6906b956cad20" ns3:_="">
    <xsd:import namespace="6bd4a52e-2f99-4b15-8d06-554c40a38984"/>
    <xsd:element name="properties">
      <xsd:complexType>
        <xsd:sequence>
          <xsd:element name="documentManagement">
            <xsd:complexType>
              <xsd:all>
                <xsd:element ref="ns3:EC_Collab_Reference"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d4a52e-2f99-4b15-8d06-554c40a3898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64FF51-3947-40C0-985E-595A3F3AAB2D}">
  <ds:schemaRefs>
    <ds:schemaRef ds:uri="http://purl.org/dc/elements/1.1/"/>
    <ds:schemaRef ds:uri="http://purl.org/dc/dcmitype/"/>
    <ds:schemaRef ds:uri="http://purl.org/dc/terms/"/>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6bd4a52e-2f99-4b15-8d06-554c40a38984"/>
    <ds:schemaRef ds:uri="http://www.w3.org/XML/1998/namespace"/>
  </ds:schemaRefs>
</ds:datastoreItem>
</file>

<file path=customXml/itemProps2.xml><?xml version="1.0" encoding="utf-8"?>
<ds:datastoreItem xmlns:ds="http://schemas.openxmlformats.org/officeDocument/2006/customXml" ds:itemID="{FFF6482E-940A-41E2-9092-97C4DED71F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d4a52e-2f99-4b15-8d06-554c40a389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2FEB27-31AA-4A59-B67A-F3FC22F0E72C}">
  <ds:schemaRefs>
    <ds:schemaRef ds:uri="http://schemas.microsoft.com/sharepoint/v3/contenttype/forms"/>
  </ds:schemaRefs>
</ds:datastoreItem>
</file>

<file path=customXml/itemProps4.xml><?xml version="1.0" encoding="utf-8"?>
<ds:datastoreItem xmlns:ds="http://schemas.openxmlformats.org/officeDocument/2006/customXml" ds:itemID="{C201DDD8-148E-4475-98F2-912F899968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11181</Words>
  <Characters>62953</Characters>
  <Application>Microsoft Office Word</Application>
  <DocSecurity>0</DocSecurity>
  <Lines>953</Lines>
  <Paragraphs>128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74006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2018-11-20T09:38:00Z</dcterms:created>
  <dcterms:modified xsi:type="dcterms:W3CDTF">2018-11-21T16:11:00Z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6.0.1, Build 20180503</vt:lpwstr>
  </property>
  <property fmtid="{D5CDD505-2E9C-101B-9397-08002B2CF9AE}" pid="3" name="DocStatus">
    <vt:lpwstr>Green</vt:lpwstr>
  </property>
  <property fmtid="{D5CDD505-2E9C-101B-9397-08002B2CF9AE}" pid="4" name="ContentTypeId">
    <vt:lpwstr>0x010100258AA79CEB83498886A3A08681123250002A4E91E4F8467C41BA287E477D1B3A95</vt:lpwstr>
  </property>
  <property fmtid="{D5CDD505-2E9C-101B-9397-08002B2CF9AE}" pid="5" name="Level of sensitivity">
    <vt:lpwstr>Standard treatment</vt:lpwstr>
  </property>
  <property fmtid="{D5CDD505-2E9C-101B-9397-08002B2CF9AE}" pid="6" name="Part">
    <vt:lpwstr>1</vt:lpwstr>
  </property>
  <property fmtid="{D5CDD505-2E9C-101B-9397-08002B2CF9AE}" pid="7" name="Total parts">
    <vt:lpwstr>1</vt:lpwstr>
  </property>
  <property fmtid="{D5CDD505-2E9C-101B-9397-08002B2CF9AE}" pid="8" name="Created using">
    <vt:lpwstr>LW 6.0.1, Build 20180503</vt:lpwstr>
  </property>
</Properties>
</file>