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1A91730F-C5C6-43EF-8132-0B77AB46558E" style="width:450.75pt;height:334.5pt">
            <v:imagedata r:id="rId9" o:title=""/>
          </v:shape>
        </w:pict>
      </w:r>
    </w:p>
    <w:bookmarkEnd w:id="0"/>
    <w:p>
      <w:pPr>
        <w:spacing w:after="0" w:line="240" w:lineRule="auto"/>
        <w:rPr>
          <w:rFonts w:ascii="Times New Roman" w:hAnsi="Times New Roman" w:cs="Times New Roman"/>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pStyle w:val="ListParagraph"/>
        <w:numPr>
          <w:ilvl w:val="0"/>
          <w:numId w:val="6"/>
        </w:numPr>
        <w:spacing w:after="240" w:line="240" w:lineRule="auto"/>
        <w:ind w:left="567" w:hanging="567"/>
        <w:contextualSpacing w:val="0"/>
        <w:jc w:val="both"/>
        <w:rPr>
          <w:rFonts w:ascii="Times New Roman Bold" w:hAnsi="Times New Roman Bold" w:cs="Times New Roman"/>
          <w:b/>
          <w:smallCaps/>
          <w:noProof/>
          <w:sz w:val="24"/>
          <w:szCs w:val="24"/>
        </w:rPr>
      </w:pPr>
      <w:bookmarkStart w:id="1" w:name="_GoBack"/>
      <w:bookmarkEnd w:id="1"/>
      <w:r>
        <w:rPr>
          <w:rFonts w:ascii="Times New Roman Bold" w:hAnsi="Times New Roman Bold" w:cs="Times New Roman"/>
          <w:b/>
          <w:smallCaps/>
          <w:noProof/>
          <w:sz w:val="24"/>
          <w:szCs w:val="24"/>
        </w:rPr>
        <w:lastRenderedPageBreak/>
        <w:t xml:space="preserve">Introduction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Illicit firearms and small arms and light weapons (SALW) continue to contribute to instability and violence in the European Union, in its immediate neighbourhood, and in the rest of the world. Illicit weapons are fuelling global terrorism and conflicts, thwarting the EU’s development and crisis</w:t>
      </w:r>
      <w:r>
        <w:rPr>
          <w:rFonts w:ascii="Times New Roman" w:hAnsi="Times New Roman" w:cs="Times New Roman"/>
          <w:noProof/>
          <w:sz w:val="24"/>
          <w:szCs w:val="24"/>
        </w:rPr>
        <w:noBreakHyphen/>
        <w:t xml:space="preserve">management, humanitarian and stabilisation efforts in parts of the EU’s neighbourhood and Africa. Within the EU, illicit firearms have a clear impact on internal security, by fuelling organised crime and providing terrorists with means to carry out attacks on European soil.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2016 United Nations Secretary</w:t>
      </w:r>
      <w:r>
        <w:rPr>
          <w:rFonts w:ascii="Times New Roman" w:hAnsi="Times New Roman" w:cs="Times New Roman"/>
          <w:noProof/>
          <w:sz w:val="24"/>
          <w:szCs w:val="24"/>
        </w:rPr>
        <w:noBreakHyphen/>
        <w:t>General’s report on the illicit trade in small arms and light weapons in all its aspects</w:t>
      </w:r>
      <w:r>
        <w:rPr>
          <w:rStyle w:val="FootnoteReference"/>
          <w:rFonts w:ascii="Times New Roman" w:hAnsi="Times New Roman" w:cs="Times New Roman"/>
          <w:noProof/>
          <w:sz w:val="24"/>
          <w:szCs w:val="24"/>
        </w:rPr>
        <w:footnoteReference w:id="1"/>
      </w:r>
      <w:r>
        <w:rPr>
          <w:rFonts w:ascii="Times New Roman" w:hAnsi="Times New Roman" w:cs="Times New Roman"/>
          <w:noProof/>
          <w:sz w:val="24"/>
          <w:szCs w:val="24"/>
        </w:rPr>
        <w:t xml:space="preserve"> stated that the number of civil wars in the world had tripled over the previous decade. Armed conflict, often fuelled by the proliferation of illicit SALW, is a key factor in depriving almost 800 million people of sufficient food. </w:t>
      </w:r>
    </w:p>
    <w:p>
      <w:pPr>
        <w:spacing w:after="240" w:line="240" w:lineRule="auto"/>
        <w:jc w:val="both"/>
        <w:rPr>
          <w:rFonts w:ascii="Times New Roman" w:hAnsi="Times New Roman" w:cs="Times New Roman"/>
          <w:noProof/>
          <w:sz w:val="24"/>
          <w:szCs w:val="24"/>
        </w:rPr>
      </w:pPr>
      <w:r>
        <w:rPr>
          <w:rFonts w:ascii="Times New Roman" w:hAnsi="Times New Roman" w:cs="Times New Roman"/>
          <w:bCs/>
          <w:noProof/>
          <w:sz w:val="24"/>
          <w:szCs w:val="24"/>
        </w:rPr>
        <w:t xml:space="preserve">Illicit firearms </w:t>
      </w:r>
      <w:r>
        <w:rPr>
          <w:rFonts w:ascii="Times New Roman" w:hAnsi="Times New Roman" w:cs="Times New Roman"/>
          <w:noProof/>
          <w:sz w:val="24"/>
          <w:szCs w:val="24"/>
        </w:rPr>
        <w:t>facilitate trafficking in drugs and human beings through intimidation and coercion, fuel turf conflicts between urban gangs and empower terrorists. Terrorist attacks in Europe have illustrated the link between organised crime and terrorism, notably in the trafficking of firearms, and are a clear indicator of a multidimensional threat involving various areas of crime. Europol’s 2017 Serious and organised crime threat assessment (SOCTA)</w:t>
      </w:r>
      <w:r>
        <w:rPr>
          <w:rStyle w:val="FootnoteReference"/>
          <w:rFonts w:ascii="Times New Roman" w:hAnsi="Times New Roman" w:cs="Times New Roman"/>
          <w:noProof/>
          <w:sz w:val="24"/>
          <w:szCs w:val="24"/>
        </w:rPr>
        <w:footnoteReference w:id="2"/>
      </w:r>
      <w:r>
        <w:rPr>
          <w:rFonts w:ascii="Times New Roman" w:hAnsi="Times New Roman" w:cs="Times New Roman"/>
          <w:noProof/>
          <w:sz w:val="24"/>
          <w:szCs w:val="24"/>
        </w:rPr>
        <w:t xml:space="preserve"> noted that recent terrorist attacks both inside the EU and elsewhere, carried out by jihadist terrorists using trafficked firearms, had demonstrated the lethal consequences of this illicit trade.</w:t>
      </w:r>
    </w:p>
    <w:p>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In 2005, the European Council adopted an EU strategy to combat illicit accumulation and trafficking of SALW and their ammunition</w:t>
      </w:r>
      <w:r>
        <w:rPr>
          <w:rStyle w:val="FootnoteReference"/>
          <w:rFonts w:ascii="Times New Roman" w:hAnsi="Times New Roman" w:cs="Times New Roman"/>
          <w:noProof/>
          <w:sz w:val="24"/>
          <w:szCs w:val="24"/>
        </w:rPr>
        <w:footnoteReference w:id="3"/>
      </w:r>
      <w:r>
        <w:rPr>
          <w:rFonts w:ascii="Times New Roman" w:hAnsi="Times New Roman" w:cs="Times New Roman"/>
          <w:noProof/>
          <w:sz w:val="24"/>
          <w:szCs w:val="24"/>
        </w:rPr>
        <w:t xml:space="preserve"> in support of the UN Programme of Action to prevent, combat and eradicate the illicit trade in small arms and light weapons in all its aspects, as adopted on 20 July 2001.</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xml:space="preserve"> The Commission's 2015 European Agenda on Security</w:t>
      </w:r>
      <w:r>
        <w:rPr>
          <w:rStyle w:val="FootnoteReference"/>
          <w:rFonts w:ascii="Times New Roman" w:hAnsi="Times New Roman" w:cs="Times New Roman"/>
          <w:noProof/>
          <w:sz w:val="24"/>
          <w:szCs w:val="24"/>
        </w:rPr>
        <w:footnoteReference w:id="5"/>
      </w:r>
      <w:r>
        <w:rPr>
          <w:rFonts w:ascii="Times New Roman" w:hAnsi="Times New Roman" w:cs="Times New Roman"/>
          <w:noProof/>
          <w:sz w:val="24"/>
          <w:szCs w:val="24"/>
        </w:rPr>
        <w:t xml:space="preserve"> identified illicit trafficking in firearms as one of the priorities under the overarching objective of disrupting the activities of terrorists and serious organised crime groups. It was followed by an EU action plan against illicit trafficking in and use of firearms and explosives</w:t>
      </w:r>
      <w:r>
        <w:rPr>
          <w:rStyle w:val="FootnoteReference"/>
          <w:rFonts w:ascii="Times New Roman" w:hAnsi="Times New Roman" w:cs="Times New Roman"/>
          <w:noProof/>
          <w:sz w:val="24"/>
          <w:szCs w:val="24"/>
        </w:rPr>
        <w:footnoteReference w:id="6"/>
      </w:r>
      <w:r>
        <w:rPr>
          <w:rFonts w:ascii="Times New Roman" w:hAnsi="Times New Roman" w:cs="Times New Roman"/>
          <w:noProof/>
          <w:sz w:val="24"/>
          <w:szCs w:val="24"/>
        </w:rPr>
        <w:t xml:space="preserve"> and a revision of the Union’s regulatory framework on the legal acquisition and possession of firearms.</w:t>
      </w:r>
      <w:r>
        <w:rPr>
          <w:rStyle w:val="FootnoteReference"/>
          <w:rFonts w:ascii="Times New Roman" w:hAnsi="Times New Roman" w:cs="Times New Roman"/>
          <w:noProof/>
          <w:sz w:val="24"/>
          <w:szCs w:val="24"/>
        </w:rPr>
        <w:footnoteReference w:id="7"/>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order to step up at international level to prevent, combat and eradicate illicit trade in SALW in all its aspects, this Joint Communication from the Commission and the High </w:t>
      </w:r>
      <w:r>
        <w:rPr>
          <w:rFonts w:ascii="Times New Roman" w:hAnsi="Times New Roman" w:cs="Times New Roman"/>
          <w:noProof/>
          <w:sz w:val="24"/>
          <w:szCs w:val="24"/>
        </w:rPr>
        <w:lastRenderedPageBreak/>
        <w:t>Representative of the Union for Foreign Affairs and Security Policy presents elements for a revised SALW strategy, taking into account the evolving security context, the guiding principles of the 2016 EU Global Strategy,</w:t>
      </w:r>
      <w:r>
        <w:rPr>
          <w:rStyle w:val="FootnoteReference"/>
          <w:rFonts w:ascii="Times New Roman" w:hAnsi="Times New Roman" w:cs="Times New Roman"/>
          <w:noProof/>
          <w:sz w:val="24"/>
          <w:szCs w:val="24"/>
        </w:rPr>
        <w:footnoteReference w:id="8"/>
      </w:r>
      <w:r>
        <w:rPr>
          <w:rFonts w:ascii="Times New Roman" w:hAnsi="Times New Roman" w:cs="Times New Roman"/>
          <w:noProof/>
          <w:sz w:val="24"/>
          <w:szCs w:val="24"/>
        </w:rPr>
        <w:t xml:space="preserve"> developments in conventional arms control (such as the entry into force of the Arms Trade Treaty (ATT) in December 2014)</w:t>
      </w:r>
      <w:r>
        <w:rPr>
          <w:rStyle w:val="FootnoteReference"/>
          <w:rFonts w:ascii="Times New Roman" w:hAnsi="Times New Roman" w:cs="Times New Roman"/>
          <w:noProof/>
          <w:sz w:val="24"/>
          <w:szCs w:val="24"/>
        </w:rPr>
        <w:footnoteReference w:id="9"/>
      </w:r>
      <w:r>
        <w:rPr>
          <w:rFonts w:ascii="Times New Roman" w:hAnsi="Times New Roman" w:cs="Times New Roman"/>
          <w:noProof/>
          <w:sz w:val="24"/>
          <w:szCs w:val="24"/>
        </w:rPr>
        <w:t xml:space="preserve"> and actions within the EU implementing the 2015 European Agenda on Security, in order to progress towards a genuine and effective Security Union.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purpose of a revised strategy is to guide integrated, collective and coordinated European action to prevent and curb illicit SALW and their ammunition by terrorists, criminals and other unauthorised actors, and to promote accountability and responsibility with regard to the legal arms trade. </w:t>
      </w:r>
    </w:p>
    <w:p>
      <w:pPr>
        <w:widowControl w:val="0"/>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While the trade in civilian firearms is regulated at EU level</w:t>
      </w:r>
      <w:r>
        <w:rPr>
          <w:rStyle w:val="FootnoteReference"/>
          <w:rFonts w:ascii="Times New Roman" w:hAnsi="Times New Roman" w:cs="Times New Roman"/>
          <w:noProof/>
          <w:sz w:val="24"/>
          <w:szCs w:val="24"/>
        </w:rPr>
        <w:footnoteReference w:id="10"/>
      </w:r>
      <w:r>
        <w:rPr>
          <w:rFonts w:ascii="Times New Roman" w:hAnsi="Times New Roman" w:cs="Times New Roman"/>
          <w:noProof/>
          <w:sz w:val="24"/>
          <w:szCs w:val="24"/>
        </w:rPr>
        <w:t>, Member States align their positions on the export of SALW, as war materials, under the common foreign and security policy (CFSP)</w:t>
      </w:r>
      <w:r>
        <w:rPr>
          <w:rStyle w:val="FootnoteReference"/>
          <w:rFonts w:ascii="Times New Roman" w:hAnsi="Times New Roman" w:cs="Times New Roman"/>
          <w:noProof/>
          <w:sz w:val="24"/>
          <w:szCs w:val="24"/>
        </w:rPr>
        <w:footnoteReference w:id="11"/>
      </w:r>
      <w:r>
        <w:rPr>
          <w:rFonts w:ascii="Times New Roman" w:hAnsi="Times New Roman" w:cs="Times New Roman"/>
          <w:noProof/>
          <w:sz w:val="24"/>
          <w:szCs w:val="24"/>
        </w:rPr>
        <w:t>. The legal distinction between civilian and military</w:t>
      </w:r>
      <w:r>
        <w:rPr>
          <w:rFonts w:ascii="Times New Roman" w:hAnsi="Times New Roman" w:cs="Times New Roman"/>
          <w:noProof/>
          <w:sz w:val="24"/>
          <w:szCs w:val="24"/>
        </w:rPr>
        <w:noBreakHyphen/>
        <w:t xml:space="preserve">grade firearms becomes irrelevant once they are diverted into the illegal circuit. In order to address this threat in a comprehensive way, this Communication covers both civilian and military-grade firearms. </w:t>
      </w:r>
    </w:p>
    <w:p>
      <w:pPr>
        <w:widowControl w:val="0"/>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Military weapons have an indispensable role in the preservation of security, freedom and peace, provided they are used in accordance with International Law, including Human Rights Law and International Humanitarian Law. At the same time, weapons of war are by definition capable of inflicting death and destruction. This ambivalence means that governments that control such weapons must ensure that they are traded in a responsible and accountable way, and prevent their diversion to terrorists, criminals and other unauthorised users in violation of arms embargoes and end-user agreements.</w:t>
      </w:r>
    </w:p>
    <w:p>
      <w:pPr>
        <w:widowControl w:val="0"/>
        <w:spacing w:after="0" w:line="240" w:lineRule="auto"/>
        <w:jc w:val="both"/>
        <w:rPr>
          <w:rFonts w:ascii="Times New Roman" w:hAnsi="Times New Roman" w:cs="Times New Roman"/>
          <w:noProof/>
          <w:sz w:val="24"/>
          <w:szCs w:val="24"/>
        </w:rPr>
      </w:pPr>
    </w:p>
    <w:p>
      <w:pPr>
        <w:widowControl w:val="0"/>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For the purpose of this Communication, the term ‘SALW’</w:t>
      </w:r>
      <w:r>
        <w:rPr>
          <w:rStyle w:val="FootnoteReference"/>
          <w:rFonts w:ascii="Times New Roman" w:hAnsi="Times New Roman" w:cs="Times New Roman"/>
          <w:noProof/>
          <w:sz w:val="24"/>
          <w:szCs w:val="24"/>
        </w:rPr>
        <w:footnoteReference w:id="12"/>
      </w:r>
      <w:r>
        <w:rPr>
          <w:rFonts w:ascii="Times New Roman" w:hAnsi="Times New Roman" w:cs="Times New Roman"/>
          <w:noProof/>
          <w:sz w:val="24"/>
          <w:szCs w:val="24"/>
        </w:rPr>
        <w:t xml:space="preserve"> is used when focusing on military</w:t>
      </w:r>
      <w:r>
        <w:rPr>
          <w:rFonts w:ascii="Times New Roman" w:hAnsi="Times New Roman" w:cs="Times New Roman"/>
          <w:noProof/>
          <w:sz w:val="24"/>
          <w:szCs w:val="24"/>
        </w:rPr>
        <w:noBreakHyphen/>
        <w:t>grade weapons and the term ‘firearms’</w:t>
      </w:r>
      <w:r>
        <w:rPr>
          <w:rStyle w:val="FootnoteReference"/>
          <w:rFonts w:ascii="Times New Roman" w:hAnsi="Times New Roman" w:cs="Times New Roman"/>
          <w:noProof/>
          <w:sz w:val="24"/>
          <w:szCs w:val="24"/>
        </w:rPr>
        <w:footnoteReference w:id="13"/>
      </w:r>
      <w:r>
        <w:rPr>
          <w:rFonts w:ascii="Times New Roman" w:hAnsi="Times New Roman" w:cs="Times New Roman"/>
          <w:noProof/>
          <w:sz w:val="24"/>
          <w:szCs w:val="24"/>
        </w:rPr>
        <w:t xml:space="preserve"> is used expressly to include civilian firearms. </w:t>
      </w:r>
    </w:p>
    <w:p>
      <w:pPr>
        <w:widowControl w:val="0"/>
        <w:spacing w:after="240" w:line="240" w:lineRule="auto"/>
        <w:jc w:val="both"/>
        <w:rPr>
          <w:rFonts w:ascii="Times New Roman" w:hAnsi="Times New Roman" w:cs="Times New Roman"/>
          <w:noProof/>
          <w:sz w:val="24"/>
          <w:szCs w:val="24"/>
        </w:rPr>
      </w:pPr>
    </w:p>
    <w:p>
      <w:pPr>
        <w:widowControl w:val="0"/>
        <w:spacing w:after="240" w:line="240" w:lineRule="auto"/>
        <w:jc w:val="both"/>
        <w:rPr>
          <w:rFonts w:ascii="Times New Roman" w:hAnsi="Times New Roman" w:cs="Times New Roman"/>
          <w:noProof/>
          <w:sz w:val="24"/>
          <w:szCs w:val="24"/>
        </w:rPr>
      </w:pPr>
    </w:p>
    <w:p>
      <w:pPr>
        <w:pStyle w:val="ListParagraph"/>
        <w:numPr>
          <w:ilvl w:val="0"/>
          <w:numId w:val="6"/>
        </w:numPr>
        <w:spacing w:after="240" w:line="240" w:lineRule="auto"/>
        <w:ind w:left="567" w:hanging="567"/>
        <w:contextualSpacing w:val="0"/>
        <w:jc w:val="both"/>
        <w:rPr>
          <w:rFonts w:ascii="Times New Roman Bold" w:hAnsi="Times New Roman Bold" w:cs="Times New Roman"/>
          <w:b/>
          <w:smallCaps/>
          <w:noProof/>
          <w:sz w:val="24"/>
          <w:szCs w:val="24"/>
        </w:rPr>
      </w:pPr>
      <w:r>
        <w:rPr>
          <w:rFonts w:ascii="Times New Roman Bold" w:hAnsi="Times New Roman Bold" w:cs="Times New Roman"/>
          <w:b/>
          <w:smallCaps/>
          <w:noProof/>
          <w:sz w:val="24"/>
          <w:szCs w:val="24"/>
        </w:rPr>
        <w:t>Countering illicit firearms and SALW:  objectives and actions</w:t>
      </w:r>
    </w:p>
    <w:p>
      <w:pPr>
        <w:pStyle w:val="ListParagraph"/>
        <w:keepNext/>
        <w:spacing w:after="240" w:line="240" w:lineRule="auto"/>
        <w:ind w:left="0"/>
        <w:contextualSpacing w:val="0"/>
        <w:jc w:val="both"/>
        <w:rPr>
          <w:rFonts w:ascii="Times New Roman" w:hAnsi="Times New Roman" w:cs="Times New Roman"/>
          <w:noProof/>
          <w:sz w:val="24"/>
          <w:szCs w:val="24"/>
        </w:rPr>
      </w:pPr>
      <w:r>
        <w:rPr>
          <w:rFonts w:ascii="Times New Roman" w:hAnsi="Times New Roman" w:cs="Times New Roman"/>
          <w:noProof/>
          <w:sz w:val="24"/>
          <w:szCs w:val="24"/>
        </w:rPr>
        <w:t>The effective countering of the illicit manufacture, diversion, trade and trafficking of firearms/SALW and their ammunition requires norm and rule setting, implementation, enforcement and communication by government agencies and national, regional and global actors. It requires action addressing all phases in the life</w:t>
      </w:r>
      <w:r>
        <w:rPr>
          <w:rFonts w:ascii="Times New Roman" w:hAnsi="Times New Roman" w:cs="Times New Roman"/>
          <w:noProof/>
          <w:sz w:val="24"/>
          <w:szCs w:val="24"/>
        </w:rPr>
        <w:noBreakHyphen/>
        <w:t xml:space="preserve">cycle of firearms/SALW and ammunitions: manufacture, export, stockpiling and disposal.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In line with the Global Strategy for the European Union’s Foreign and Security Policy and its principles</w:t>
      </w:r>
      <w:r>
        <w:rPr>
          <w:rStyle w:val="FootnoteReference"/>
          <w:rFonts w:ascii="Times New Roman" w:hAnsi="Times New Roman" w:cs="Times New Roman"/>
          <w:noProof/>
          <w:sz w:val="24"/>
          <w:szCs w:val="24"/>
        </w:rPr>
        <w:footnoteReference w:id="14"/>
      </w:r>
      <w:r>
        <w:rPr>
          <w:rFonts w:ascii="Times New Roman" w:hAnsi="Times New Roman" w:cs="Times New Roman"/>
          <w:noProof/>
          <w:sz w:val="24"/>
          <w:szCs w:val="24"/>
        </w:rPr>
        <w:t xml:space="preserve"> as well as the European Agenda on Security, the EU seeks to preserve and protect a peaceful and secure environment for its citizens, and support security and foster development in its neighbourhood and the wider world. To this end, this strategy is guided by the following principles:</w:t>
      </w:r>
    </w:p>
    <w:p>
      <w:pPr>
        <w:pStyle w:val="ListParagraph"/>
        <w:numPr>
          <w:ilvl w:val="0"/>
          <w:numId w:val="10"/>
        </w:numPr>
        <w:spacing w:after="120" w:line="240" w:lineRule="auto"/>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unity – taking a joined-up and coordinated approach across external policies, between Member States and the EU, and between internal and external policies; </w:t>
      </w:r>
    </w:p>
    <w:p>
      <w:pPr>
        <w:pStyle w:val="ListParagraph"/>
        <w:numPr>
          <w:ilvl w:val="0"/>
          <w:numId w:val="10"/>
        </w:numPr>
        <w:spacing w:after="120"/>
        <w:contextualSpacing w:val="0"/>
        <w:jc w:val="both"/>
        <w:rPr>
          <w:rFonts w:ascii="Times New Roman" w:hAnsi="Times New Roman" w:cs="Times New Roman"/>
          <w:noProof/>
          <w:sz w:val="24"/>
          <w:szCs w:val="24"/>
        </w:rPr>
      </w:pPr>
      <w:r>
        <w:rPr>
          <w:rFonts w:ascii="Times New Roman" w:hAnsi="Times New Roman" w:cs="Times New Roman"/>
          <w:bCs/>
          <w:noProof/>
          <w:sz w:val="24"/>
          <w:szCs w:val="24"/>
        </w:rPr>
        <w:t>promoting cooperation and partnership</w:t>
      </w:r>
      <w:r>
        <w:rPr>
          <w:rFonts w:ascii="Times New Roman" w:hAnsi="Times New Roman" w:cs="Times New Roman"/>
          <w:noProof/>
          <w:sz w:val="24"/>
          <w:szCs w:val="24"/>
        </w:rPr>
        <w:t xml:space="preserve"> at all levels; </w:t>
      </w:r>
    </w:p>
    <w:p>
      <w:pPr>
        <w:pStyle w:val="ListParagraph"/>
        <w:numPr>
          <w:ilvl w:val="0"/>
          <w:numId w:val="10"/>
        </w:numPr>
        <w:spacing w:after="120"/>
        <w:jc w:val="both"/>
        <w:rPr>
          <w:rFonts w:ascii="Times New Roman" w:hAnsi="Times New Roman" w:cs="Times New Roman"/>
          <w:noProof/>
          <w:sz w:val="24"/>
          <w:szCs w:val="24"/>
        </w:rPr>
      </w:pPr>
      <w:r>
        <w:rPr>
          <w:rFonts w:ascii="Times New Roman" w:hAnsi="Times New Roman" w:cs="Times New Roman"/>
          <w:noProof/>
          <w:sz w:val="24"/>
          <w:szCs w:val="24"/>
        </w:rPr>
        <w:t xml:space="preserve">taking responsibility in relation to priority regions, especially those likely to pose a threat to the EU’s security and most likely to benefit from EU action; </w:t>
      </w:r>
    </w:p>
    <w:p>
      <w:pPr>
        <w:pStyle w:val="ListParagraph"/>
        <w:numPr>
          <w:ilvl w:val="0"/>
          <w:numId w:val="10"/>
        </w:numPr>
        <w:spacing w:after="240" w:line="240" w:lineRule="auto"/>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promoting a global rules-based cooperative order with multilateralism as its key principle and the UN at its core, based on respect for International Law, including Human Rights and International Humanitarian Law, with a view to creating a peaceful and sustainable world; and </w:t>
      </w:r>
    </w:p>
    <w:p>
      <w:pPr>
        <w:pStyle w:val="ListParagraph"/>
        <w:numPr>
          <w:ilvl w:val="0"/>
          <w:numId w:val="10"/>
        </w:numPr>
        <w:spacing w:after="240"/>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incorporating gender and diversity aspects in SALW-control projects and actions. </w:t>
      </w:r>
    </w:p>
    <w:p>
      <w:pPr>
        <w:keepNext/>
        <w:spacing w:after="240" w:line="240" w:lineRule="auto"/>
        <w:ind w:left="567" w:hanging="567"/>
        <w:jc w:val="both"/>
        <w:rPr>
          <w:rFonts w:ascii="Times New Roman" w:hAnsi="Times New Roman" w:cs="Times New Roman"/>
          <w:b/>
          <w:noProof/>
          <w:sz w:val="24"/>
          <w:szCs w:val="24"/>
        </w:rPr>
      </w:pPr>
      <w:r>
        <w:rPr>
          <w:rFonts w:ascii="Times New Roman" w:hAnsi="Times New Roman" w:cs="Times New Roman"/>
          <w:b/>
          <w:noProof/>
          <w:sz w:val="24"/>
          <w:szCs w:val="24"/>
        </w:rPr>
        <w:t xml:space="preserve">2.1 </w:t>
      </w:r>
      <w:r>
        <w:rPr>
          <w:rFonts w:ascii="Times New Roman" w:hAnsi="Times New Roman" w:cs="Times New Roman"/>
          <w:b/>
          <w:noProof/>
          <w:sz w:val="24"/>
          <w:szCs w:val="24"/>
        </w:rPr>
        <w:tab/>
        <w:t>Strengthening the normative framework for curbing illicit firearms and SALW</w:t>
      </w:r>
    </w:p>
    <w:p>
      <w:pPr>
        <w:keepNext/>
        <w:spacing w:after="240" w:line="240" w:lineRule="auto"/>
        <w:ind w:left="567" w:hanging="567"/>
        <w:jc w:val="both"/>
        <w:rPr>
          <w:rFonts w:ascii="Times New Roman" w:hAnsi="Times New Roman" w:cs="Times New Roman"/>
          <w:b/>
          <w:i/>
          <w:noProof/>
          <w:sz w:val="24"/>
          <w:szCs w:val="24"/>
        </w:rPr>
      </w:pPr>
      <w:r>
        <w:rPr>
          <w:rFonts w:ascii="Times New Roman" w:hAnsi="Times New Roman" w:cs="Times New Roman"/>
          <w:b/>
          <w:noProof/>
          <w:sz w:val="24"/>
          <w:szCs w:val="24"/>
        </w:rPr>
        <w:t>2.1.1.</w:t>
      </w:r>
      <w:r>
        <w:rPr>
          <w:rFonts w:ascii="Times New Roman" w:hAnsi="Times New Roman" w:cs="Times New Roman"/>
          <w:b/>
          <w:noProof/>
          <w:sz w:val="24"/>
          <w:szCs w:val="24"/>
        </w:rPr>
        <w:tab/>
        <w:t xml:space="preserve">UN Programme of Action on SALW and International Tracing Instrument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UN Programme of Action on SALW (UN PoA)</w:t>
      </w:r>
      <w:r>
        <w:rPr>
          <w:rFonts w:ascii="Times New Roman" w:hAnsi="Times New Roman" w:cs="Times New Roman"/>
          <w:noProof/>
          <w:sz w:val="24"/>
          <w:szCs w:val="24"/>
          <w:vertAlign w:val="superscript"/>
        </w:rPr>
        <w:footnoteReference w:id="15"/>
      </w:r>
      <w:r>
        <w:rPr>
          <w:rFonts w:ascii="Times New Roman" w:hAnsi="Times New Roman" w:cs="Times New Roman"/>
          <w:noProof/>
          <w:sz w:val="24"/>
          <w:szCs w:val="24"/>
        </w:rPr>
        <w:t xml:space="preserve"> continues to provide a comprehensive instrument as the only universal framework to cope with the threat posed by illicit SALW. The International Tracing Instrument (ITI)</w:t>
      </w:r>
      <w:r>
        <w:rPr>
          <w:rStyle w:val="FootnoteReference"/>
          <w:rFonts w:ascii="Times New Roman" w:hAnsi="Times New Roman" w:cs="Times New Roman"/>
          <w:noProof/>
          <w:sz w:val="24"/>
          <w:szCs w:val="24"/>
        </w:rPr>
        <w:footnoteReference w:id="16"/>
      </w:r>
      <w:r>
        <w:rPr>
          <w:rFonts w:ascii="Times New Roman" w:hAnsi="Times New Roman" w:cs="Times New Roman"/>
          <w:noProof/>
          <w:sz w:val="24"/>
          <w:szCs w:val="24"/>
          <w:vertAlign w:val="superscript"/>
        </w:rPr>
        <w:t xml:space="preserve"> </w:t>
      </w:r>
      <w:r>
        <w:rPr>
          <w:rFonts w:ascii="Times New Roman" w:hAnsi="Times New Roman" w:cs="Times New Roman"/>
          <w:noProof/>
          <w:sz w:val="24"/>
          <w:szCs w:val="24"/>
        </w:rPr>
        <w:t xml:space="preserve"> is a politically binding instrument outlining requirements and providing a global standard on marking, record-keeping, and tracing of SALW. The main objective of the revised EU strategy remains the full and effective implementation of the UN PoA and the ITI</w:t>
      </w:r>
      <w:r>
        <w:rPr>
          <w:rFonts w:ascii="Times New Roman" w:hAnsi="Times New Roman" w:cs="Times New Roman"/>
          <w:b/>
          <w:noProof/>
          <w:sz w:val="24"/>
          <w:szCs w:val="24"/>
          <w:vertAlign w:val="superscript"/>
        </w:rPr>
        <w:t xml:space="preserve"> </w:t>
      </w:r>
      <w:r>
        <w:rPr>
          <w:rFonts w:ascii="Times New Roman" w:hAnsi="Times New Roman" w:cs="Times New Roman"/>
          <w:noProof/>
          <w:sz w:val="24"/>
          <w:szCs w:val="24"/>
        </w:rPr>
        <w:t xml:space="preserve">at national, regional and global levels. This Communication therefore puts forward measures to improve implementation of the UN PoA at national and regional levels in the EU. It also proposes cooperation and assistance in other regions of the world and at global level. </w:t>
      </w:r>
    </w:p>
    <w:tbl>
      <w:tblPr>
        <w:tblStyle w:val="TableGrid"/>
        <w:tblW w:w="0" w:type="auto"/>
        <w:tblInd w:w="108" w:type="dxa"/>
        <w:tblLook w:val="04A0" w:firstRow="1" w:lastRow="0" w:firstColumn="1" w:lastColumn="0" w:noHBand="0" w:noVBand="1"/>
      </w:tblPr>
      <w:tblGrid>
        <w:gridCol w:w="9072"/>
      </w:tblGrid>
      <w:tr>
        <w:tc>
          <w:tcPr>
            <w:tcW w:w="9072" w:type="dxa"/>
          </w:tcPr>
          <w:p>
            <w:pPr>
              <w:pStyle w:val="PlainText"/>
              <w:keepNext/>
              <w:spacing w:after="120"/>
              <w:jc w:val="both"/>
              <w:rPr>
                <w:rFonts w:ascii="Times New Roman" w:hAnsi="Times New Roman"/>
                <w:b/>
                <w:i/>
                <w:noProof/>
                <w:sz w:val="24"/>
                <w:szCs w:val="24"/>
                <w:lang w:val="en-GB"/>
              </w:rPr>
            </w:pPr>
            <w:r>
              <w:rPr>
                <w:rFonts w:ascii="Times New Roman" w:hAnsi="Times New Roman"/>
                <w:b/>
                <w:i/>
                <w:noProof/>
                <w:sz w:val="24"/>
                <w:szCs w:val="24"/>
                <w:lang w:val="en-GB"/>
              </w:rPr>
              <w:t>Action:</w:t>
            </w:r>
          </w:p>
          <w:p>
            <w:pPr>
              <w:pStyle w:val="NormalWeb"/>
              <w:numPr>
                <w:ilvl w:val="0"/>
                <w:numId w:val="12"/>
              </w:numPr>
              <w:spacing w:before="0" w:beforeAutospacing="0" w:after="0" w:afterAutospacing="0"/>
              <w:ind w:left="317" w:hanging="317"/>
              <w:jc w:val="both"/>
              <w:rPr>
                <w:noProof/>
              </w:rPr>
            </w:pPr>
            <w:r>
              <w:rPr>
                <w:noProof/>
              </w:rPr>
              <w:t xml:space="preserve">The EU </w:t>
            </w:r>
            <w:r>
              <w:rPr>
                <w:noProof/>
                <w:color w:val="000000"/>
              </w:rPr>
              <w:t xml:space="preserve">will continue to support cooperation and assistance for the implementation of the UN PoA, with a focus on regional cooperation, and to participate in and support coordination with other donors. This support will include </w:t>
            </w:r>
            <w:r>
              <w:rPr>
                <w:noProof/>
              </w:rPr>
              <w:t>collection and destruction of surplus SALW and ammunition, physical security and stockpile management for SALW and ammunition, capacity development for marking, record keeping and tracing, capacity development for arms export control, capacity development for law enforcement in countering illicit trafficking, support for embargo monitoring and tracing of diverted weapons.</w:t>
            </w:r>
          </w:p>
          <w:p>
            <w:pPr>
              <w:pStyle w:val="NormalWeb"/>
              <w:spacing w:before="0" w:beforeAutospacing="0" w:after="0" w:afterAutospacing="0"/>
              <w:ind w:left="317"/>
              <w:jc w:val="both"/>
              <w:rPr>
                <w:noProof/>
              </w:rPr>
            </w:pPr>
          </w:p>
          <w:p>
            <w:pPr>
              <w:pStyle w:val="PlainText"/>
              <w:keepNext/>
              <w:spacing w:after="120"/>
              <w:jc w:val="both"/>
              <w:rPr>
                <w:rFonts w:ascii="Times New Roman" w:hAnsi="Times New Roman"/>
                <w:b/>
                <w:i/>
                <w:noProof/>
                <w:sz w:val="24"/>
                <w:szCs w:val="24"/>
                <w:lang w:val="en-GB"/>
              </w:rPr>
            </w:pPr>
            <w:r>
              <w:rPr>
                <w:rFonts w:ascii="Times New Roman" w:hAnsi="Times New Roman"/>
                <w:b/>
                <w:i/>
                <w:noProof/>
                <w:sz w:val="24"/>
                <w:szCs w:val="24"/>
                <w:lang w:val="en-GB"/>
              </w:rPr>
              <w:t>Next steps:</w:t>
            </w:r>
          </w:p>
          <w:p>
            <w:pPr>
              <w:pStyle w:val="PlainText"/>
              <w:numPr>
                <w:ilvl w:val="0"/>
                <w:numId w:val="2"/>
              </w:numPr>
              <w:tabs>
                <w:tab w:val="left" w:pos="0"/>
              </w:tabs>
              <w:spacing w:after="120"/>
              <w:ind w:left="317" w:hanging="317"/>
              <w:jc w:val="both"/>
              <w:rPr>
                <w:rFonts w:ascii="Times New Roman" w:eastAsia="Times New Roman" w:hAnsi="Times New Roman"/>
                <w:noProof/>
                <w:sz w:val="24"/>
                <w:szCs w:val="24"/>
                <w:lang w:val="en-GB" w:eastAsia="en-GB"/>
              </w:rPr>
            </w:pPr>
            <w:r>
              <w:rPr>
                <w:rFonts w:ascii="Times New Roman" w:eastAsia="Times New Roman" w:hAnsi="Times New Roman"/>
                <w:noProof/>
                <w:color w:val="000000"/>
                <w:sz w:val="24"/>
                <w:szCs w:val="24"/>
                <w:lang w:val="en-GB" w:eastAsia="en-GB"/>
              </w:rPr>
              <w:t>Under the UN PoA, new projects will take into account an analysis and comprehensive evaluation, by the High Representative, of the impact and effectiveness of SALW-control projects under the 2005 SALW strategy between 2005 and 2017.</w:t>
            </w:r>
          </w:p>
        </w:tc>
      </w:tr>
    </w:tbl>
    <w:p>
      <w:pPr>
        <w:spacing w:after="0" w:line="240" w:lineRule="auto"/>
        <w:jc w:val="both"/>
        <w:rPr>
          <w:rFonts w:ascii="Times New Roman" w:hAnsi="Times New Roman" w:cs="Times New Roman"/>
          <w:noProof/>
          <w:sz w:val="24"/>
          <w:szCs w:val="24"/>
        </w:rPr>
      </w:pPr>
    </w:p>
    <w:p>
      <w:pPr>
        <w:keepNext/>
        <w:spacing w:after="240" w:line="240" w:lineRule="auto"/>
        <w:jc w:val="both"/>
        <w:rPr>
          <w:rFonts w:ascii="Times New Roman" w:hAnsi="Times New Roman" w:cs="Times New Roman"/>
          <w:b/>
          <w:i/>
          <w:noProof/>
          <w:sz w:val="24"/>
          <w:szCs w:val="24"/>
        </w:rPr>
      </w:pPr>
      <w:r>
        <w:rPr>
          <w:rFonts w:ascii="Times New Roman" w:hAnsi="Times New Roman" w:cs="Times New Roman"/>
          <w:b/>
          <w:noProof/>
          <w:sz w:val="24"/>
          <w:szCs w:val="24"/>
        </w:rPr>
        <w:t xml:space="preserve">2.1.2 </w:t>
      </w:r>
      <w:r>
        <w:rPr>
          <w:rFonts w:ascii="Times New Roman" w:hAnsi="Times New Roman" w:cs="Times New Roman"/>
          <w:b/>
          <w:noProof/>
          <w:sz w:val="24"/>
          <w:szCs w:val="24"/>
        </w:rPr>
        <w:tab/>
        <w:t xml:space="preserve">Arms Trade Treaty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Arms Trade Treaty (ATT)</w:t>
      </w:r>
      <w:r>
        <w:rPr>
          <w:rStyle w:val="FootnoteReference"/>
          <w:rFonts w:ascii="Times New Roman" w:hAnsi="Times New Roman" w:cs="Times New Roman"/>
          <w:noProof/>
          <w:sz w:val="24"/>
          <w:szCs w:val="24"/>
        </w:rPr>
        <w:footnoteReference w:id="17"/>
      </w:r>
      <w:r>
        <w:rPr>
          <w:rFonts w:ascii="Times New Roman" w:hAnsi="Times New Roman" w:cs="Times New Roman"/>
          <w:noProof/>
          <w:sz w:val="24"/>
          <w:szCs w:val="24"/>
        </w:rPr>
        <w:t xml:space="preserve"> establishes the highest possible international standards for regulating, or improving the regulation of, international trade in conventional arms (including SALW) and aims to prevent and eradicate illicit trade in conventional arms and prevent their diversion.</w:t>
      </w:r>
    </w:p>
    <w:tbl>
      <w:tblPr>
        <w:tblStyle w:val="TableGrid"/>
        <w:tblW w:w="0" w:type="auto"/>
        <w:tblInd w:w="108" w:type="dxa"/>
        <w:tblLook w:val="04A0" w:firstRow="1" w:lastRow="0" w:firstColumn="1" w:lastColumn="0" w:noHBand="0" w:noVBand="1"/>
      </w:tblPr>
      <w:tblGrid>
        <w:gridCol w:w="9072"/>
      </w:tblGrid>
      <w:tr>
        <w:tc>
          <w:tcPr>
            <w:tcW w:w="9072" w:type="dxa"/>
          </w:tcPr>
          <w:p>
            <w:pPr>
              <w:pStyle w:val="PlainText"/>
              <w:spacing w:after="120"/>
              <w:jc w:val="both"/>
              <w:rPr>
                <w:rFonts w:ascii="Times New Roman" w:hAnsi="Times New Roman"/>
                <w:b/>
                <w:i/>
                <w:noProof/>
                <w:sz w:val="24"/>
                <w:szCs w:val="24"/>
                <w:lang w:val="en-GB"/>
              </w:rPr>
            </w:pPr>
            <w:r>
              <w:rPr>
                <w:rFonts w:ascii="Times New Roman" w:hAnsi="Times New Roman"/>
                <w:b/>
                <w:i/>
                <w:noProof/>
                <w:sz w:val="24"/>
                <w:szCs w:val="24"/>
                <w:lang w:val="en-GB"/>
              </w:rPr>
              <w:t>Action:</w:t>
            </w:r>
          </w:p>
          <w:p>
            <w:pPr>
              <w:pStyle w:val="PlainText"/>
              <w:numPr>
                <w:ilvl w:val="0"/>
                <w:numId w:val="2"/>
              </w:numPr>
              <w:tabs>
                <w:tab w:val="left" w:pos="0"/>
              </w:tabs>
              <w:spacing w:after="120"/>
              <w:ind w:left="317" w:hanging="317"/>
              <w:jc w:val="both"/>
              <w:rPr>
                <w:rFonts w:ascii="Times New Roman" w:eastAsia="Times New Roman" w:hAnsi="Times New Roman"/>
                <w:noProof/>
                <w:sz w:val="24"/>
                <w:szCs w:val="24"/>
                <w:lang w:val="en-GB" w:eastAsia="en-GB"/>
              </w:rPr>
            </w:pPr>
            <w:r>
              <w:rPr>
                <w:rFonts w:ascii="Times New Roman" w:eastAsia="Times New Roman" w:hAnsi="Times New Roman"/>
                <w:noProof/>
                <w:color w:val="000000"/>
                <w:sz w:val="24"/>
                <w:szCs w:val="24"/>
                <w:lang w:val="en-GB" w:eastAsia="en-GB"/>
              </w:rPr>
              <w:t>The Council is invited to continue supporting the universalisation and implementation of the ATT.</w:t>
            </w:r>
          </w:p>
        </w:tc>
      </w:tr>
    </w:tbl>
    <w:p>
      <w:pPr>
        <w:spacing w:after="0" w:line="240" w:lineRule="auto"/>
        <w:jc w:val="both"/>
        <w:rPr>
          <w:rFonts w:ascii="Times New Roman" w:hAnsi="Times New Roman" w:cs="Times New Roman"/>
          <w:noProof/>
          <w:sz w:val="24"/>
          <w:szCs w:val="24"/>
        </w:rPr>
      </w:pPr>
    </w:p>
    <w:p>
      <w:pPr>
        <w:keepNext/>
        <w:spacing w:after="240" w:line="240" w:lineRule="auto"/>
        <w:ind w:left="567" w:hanging="567"/>
        <w:jc w:val="both"/>
        <w:rPr>
          <w:rFonts w:ascii="Times New Roman" w:hAnsi="Times New Roman" w:cs="Times New Roman"/>
          <w:b/>
          <w:noProof/>
          <w:sz w:val="24"/>
          <w:szCs w:val="24"/>
        </w:rPr>
      </w:pPr>
      <w:r>
        <w:rPr>
          <w:rFonts w:ascii="Times New Roman" w:hAnsi="Times New Roman" w:cs="Times New Roman"/>
          <w:b/>
          <w:noProof/>
          <w:sz w:val="24"/>
          <w:szCs w:val="24"/>
        </w:rPr>
        <w:t xml:space="preserve">2.1.3 </w:t>
      </w:r>
      <w:r>
        <w:rPr>
          <w:rFonts w:ascii="Times New Roman" w:hAnsi="Times New Roman" w:cs="Times New Roman"/>
          <w:b/>
          <w:noProof/>
          <w:sz w:val="24"/>
          <w:szCs w:val="24"/>
        </w:rPr>
        <w:tab/>
        <w:t xml:space="preserve">UN Firearms Protocol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purpose of the UN Firearms Protocol</w:t>
      </w:r>
      <w:r>
        <w:rPr>
          <w:rStyle w:val="FootnoteReference"/>
          <w:rFonts w:ascii="Times New Roman" w:hAnsi="Times New Roman" w:cs="Times New Roman"/>
          <w:noProof/>
          <w:sz w:val="24"/>
          <w:szCs w:val="24"/>
        </w:rPr>
        <w:footnoteReference w:id="18"/>
      </w:r>
      <w:r>
        <w:rPr>
          <w:rFonts w:ascii="Times New Roman" w:hAnsi="Times New Roman" w:cs="Times New Roman"/>
          <w:noProof/>
          <w:sz w:val="24"/>
          <w:szCs w:val="24"/>
        </w:rPr>
        <w:t xml:space="preserve"> is to facilitate and strengthen cooperation in order to prevent, combat and eradicate the illicit manufacture of and trafficking in firearms. The Commission negotiated and signed the protocol on behalf of the EU in 2002. After adopting stronger rules on transfers of civilian firearms both within the Union and elsewhere, the EU was able to ratify it in 2014.</w:t>
      </w:r>
      <w:r>
        <w:rPr>
          <w:rStyle w:val="FootnoteReference"/>
          <w:rFonts w:ascii="Times New Roman" w:eastAsia="SimSun" w:hAnsi="Times New Roman" w:cs="Times New Roman"/>
          <w:iCs/>
          <w:noProof/>
          <w:sz w:val="24"/>
          <w:szCs w:val="24"/>
          <w:lang w:eastAsia="fr-FR"/>
        </w:rPr>
        <w:footnoteReference w:id="19"/>
      </w:r>
    </w:p>
    <w:tbl>
      <w:tblPr>
        <w:tblStyle w:val="TableGrid"/>
        <w:tblW w:w="0" w:type="auto"/>
        <w:tblInd w:w="108" w:type="dxa"/>
        <w:tblLook w:val="04A0" w:firstRow="1" w:lastRow="0" w:firstColumn="1" w:lastColumn="0" w:noHBand="0" w:noVBand="1"/>
      </w:tblPr>
      <w:tblGrid>
        <w:gridCol w:w="9072"/>
      </w:tblGrid>
      <w:tr>
        <w:tc>
          <w:tcPr>
            <w:tcW w:w="9072" w:type="dxa"/>
          </w:tcPr>
          <w:p>
            <w:pPr>
              <w:pStyle w:val="PlainText"/>
              <w:spacing w:after="120"/>
              <w:jc w:val="both"/>
              <w:rPr>
                <w:rFonts w:ascii="Times New Roman" w:hAnsi="Times New Roman"/>
                <w:b/>
                <w:i/>
                <w:noProof/>
                <w:sz w:val="24"/>
                <w:szCs w:val="24"/>
                <w:lang w:val="en-GB"/>
              </w:rPr>
            </w:pPr>
            <w:r>
              <w:rPr>
                <w:rFonts w:ascii="Times New Roman" w:hAnsi="Times New Roman"/>
                <w:b/>
                <w:i/>
                <w:noProof/>
                <w:sz w:val="24"/>
                <w:szCs w:val="24"/>
                <w:lang w:val="en-GB"/>
              </w:rPr>
              <w:t>Action:</w:t>
            </w:r>
          </w:p>
          <w:p>
            <w:pPr>
              <w:pStyle w:val="PlainText"/>
              <w:numPr>
                <w:ilvl w:val="0"/>
                <w:numId w:val="2"/>
              </w:numPr>
              <w:tabs>
                <w:tab w:val="left" w:pos="34"/>
              </w:tabs>
              <w:spacing w:after="120"/>
              <w:ind w:left="317" w:hanging="317"/>
              <w:jc w:val="both"/>
              <w:rPr>
                <w:rFonts w:ascii="Times New Roman" w:eastAsia="Times New Roman" w:hAnsi="Times New Roman"/>
                <w:noProof/>
                <w:sz w:val="24"/>
                <w:szCs w:val="24"/>
                <w:lang w:val="en-GB" w:eastAsia="en-GB"/>
              </w:rPr>
            </w:pPr>
            <w:r>
              <w:rPr>
                <w:rFonts w:ascii="Times New Roman" w:hAnsi="Times New Roman"/>
                <w:noProof/>
                <w:sz w:val="24"/>
                <w:szCs w:val="24"/>
                <w:lang w:val="en-GB"/>
              </w:rPr>
              <w:t xml:space="preserve">The EU will continue to support the implementation of the UN firearms protocol and its review mechanism, </w:t>
            </w:r>
            <w:r>
              <w:rPr>
                <w:rFonts w:ascii="Times New Roman" w:hAnsi="Times New Roman"/>
                <w:iCs/>
                <w:noProof/>
                <w:sz w:val="24"/>
                <w:szCs w:val="24"/>
                <w:lang w:val="en-GB"/>
              </w:rPr>
              <w:t>and to strengthen the capacity of partner countries and sub-regions to implement effective firearms controls in line with the protocol. In particular, the Commission calls on Member States to implement in full its Recommendation of 17 April 2018 on immediate steps to improve security of export, import and transit measures for firearms, their parts and essential components and ammunition.</w:t>
            </w:r>
            <w:r>
              <w:rPr>
                <w:rStyle w:val="FootnoteReference"/>
                <w:rFonts w:ascii="Times New Roman" w:hAnsi="Times New Roman"/>
                <w:iCs/>
                <w:noProof/>
                <w:szCs w:val="24"/>
                <w:lang w:val="en-GB"/>
              </w:rPr>
              <w:footnoteReference w:id="20"/>
            </w:r>
          </w:p>
        </w:tc>
      </w:tr>
    </w:tbl>
    <w:p>
      <w:pPr>
        <w:spacing w:after="0" w:line="240" w:lineRule="auto"/>
        <w:jc w:val="both"/>
        <w:rPr>
          <w:rFonts w:ascii="Times New Roman" w:hAnsi="Times New Roman" w:cs="Times New Roman"/>
          <w:noProof/>
          <w:sz w:val="24"/>
          <w:szCs w:val="24"/>
        </w:rPr>
      </w:pPr>
    </w:p>
    <w:p>
      <w:pPr>
        <w:keepNext/>
        <w:spacing w:after="240" w:line="240" w:lineRule="auto"/>
        <w:ind w:left="567" w:hanging="567"/>
        <w:jc w:val="both"/>
        <w:rPr>
          <w:rFonts w:ascii="Times New Roman" w:hAnsi="Times New Roman" w:cs="Times New Roman"/>
          <w:b/>
          <w:i/>
          <w:noProof/>
          <w:sz w:val="24"/>
          <w:szCs w:val="24"/>
        </w:rPr>
      </w:pPr>
      <w:r>
        <w:rPr>
          <w:rFonts w:ascii="Times New Roman" w:hAnsi="Times New Roman" w:cs="Times New Roman"/>
          <w:b/>
          <w:noProof/>
          <w:sz w:val="24"/>
          <w:szCs w:val="24"/>
        </w:rPr>
        <w:t>2.1.4</w:t>
      </w:r>
      <w:r>
        <w:rPr>
          <w:rFonts w:ascii="Times New Roman" w:hAnsi="Times New Roman" w:cs="Times New Roman"/>
          <w:b/>
          <w:noProof/>
          <w:sz w:val="24"/>
          <w:szCs w:val="24"/>
        </w:rPr>
        <w:tab/>
        <w:t xml:space="preserve">UN Sustainable Development Goals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illicit and uncontrolled spread of SALW threatens to fuel and prolong armed conflicts and armed violence, with adverse effects on good governance, law and order, access to education, healthcare, justice and other civil rights. The links between armed violence, conflict and poor development are well established. With target 16.4 of the UN Sustainable Development Goals (SDGs)</w:t>
      </w:r>
      <w:r>
        <w:rPr>
          <w:rStyle w:val="FootnoteReference"/>
          <w:rFonts w:ascii="Times New Roman" w:hAnsi="Times New Roman" w:cs="Times New Roman"/>
          <w:b/>
          <w:i/>
          <w:noProof/>
          <w:sz w:val="24"/>
          <w:szCs w:val="24"/>
        </w:rPr>
        <w:t xml:space="preserve"> </w:t>
      </w:r>
      <w:r>
        <w:rPr>
          <w:rStyle w:val="FootnoteReference"/>
          <w:rFonts w:ascii="Times New Roman" w:hAnsi="Times New Roman" w:cs="Times New Roman"/>
          <w:b/>
          <w:i/>
          <w:noProof/>
          <w:sz w:val="24"/>
          <w:szCs w:val="24"/>
        </w:rPr>
        <w:footnoteReference w:id="21"/>
      </w:r>
      <w:r>
        <w:rPr>
          <w:rFonts w:ascii="Times New Roman" w:hAnsi="Times New Roman" w:cs="Times New Roman"/>
          <w:noProof/>
          <w:sz w:val="24"/>
          <w:szCs w:val="24"/>
        </w:rPr>
        <w:t xml:space="preserve"> states have committed, by 2030, to significantly reduce illicit financial and arms flows, strengthen the recovery and return of stolen assets and combat all forms of organized crime. Therefore, the strategy should aim to mitigate and prevent negative effects on sustainable development from the illicit trade in SALW and their ammunition. </w:t>
      </w:r>
    </w:p>
    <w:tbl>
      <w:tblPr>
        <w:tblStyle w:val="TableGrid"/>
        <w:tblW w:w="0" w:type="auto"/>
        <w:tblInd w:w="108" w:type="dxa"/>
        <w:tblLook w:val="04A0" w:firstRow="1" w:lastRow="0" w:firstColumn="1" w:lastColumn="0" w:noHBand="0" w:noVBand="1"/>
      </w:tblPr>
      <w:tblGrid>
        <w:gridCol w:w="9072"/>
      </w:tblGrid>
      <w:tr>
        <w:tc>
          <w:tcPr>
            <w:tcW w:w="9072" w:type="dxa"/>
          </w:tcPr>
          <w:p>
            <w:pPr>
              <w:pStyle w:val="PlainText"/>
              <w:spacing w:after="120"/>
              <w:jc w:val="both"/>
              <w:rPr>
                <w:rFonts w:ascii="Times New Roman" w:hAnsi="Times New Roman"/>
                <w:b/>
                <w:i/>
                <w:noProof/>
                <w:sz w:val="24"/>
                <w:szCs w:val="24"/>
                <w:lang w:val="en-GB"/>
              </w:rPr>
            </w:pPr>
            <w:r>
              <w:rPr>
                <w:rFonts w:ascii="Times New Roman" w:hAnsi="Times New Roman"/>
                <w:b/>
                <w:i/>
                <w:noProof/>
                <w:sz w:val="24"/>
                <w:szCs w:val="24"/>
                <w:lang w:val="en-GB"/>
              </w:rPr>
              <w:t>Action:</w:t>
            </w:r>
          </w:p>
          <w:p>
            <w:pPr>
              <w:pStyle w:val="PlainText"/>
              <w:numPr>
                <w:ilvl w:val="0"/>
                <w:numId w:val="2"/>
              </w:numPr>
              <w:tabs>
                <w:tab w:val="left" w:pos="0"/>
              </w:tabs>
              <w:spacing w:after="120"/>
              <w:ind w:left="317" w:hanging="317"/>
              <w:jc w:val="both"/>
              <w:rPr>
                <w:rFonts w:ascii="Times New Roman" w:eastAsia="Times New Roman" w:hAnsi="Times New Roman"/>
                <w:noProof/>
                <w:sz w:val="24"/>
                <w:szCs w:val="24"/>
                <w:lang w:val="en-GB" w:eastAsia="en-GB"/>
              </w:rPr>
            </w:pPr>
            <w:r>
              <w:rPr>
                <w:rFonts w:ascii="Times New Roman" w:eastAsia="Times New Roman" w:hAnsi="Times New Roman"/>
                <w:noProof/>
                <w:color w:val="000000"/>
                <w:sz w:val="24"/>
                <w:szCs w:val="24"/>
                <w:lang w:val="en-GB" w:eastAsia="en-GB"/>
              </w:rPr>
              <w:t>The</w:t>
            </w:r>
            <w:r>
              <w:rPr>
                <w:rFonts w:ascii="Times New Roman" w:hAnsi="Times New Roman"/>
                <w:noProof/>
                <w:sz w:val="24"/>
                <w:szCs w:val="24"/>
                <w:lang w:val="en-GB"/>
              </w:rPr>
              <w:t xml:space="preserve"> EU will contribute to the effort to achieve the UN SDGs, including SDG 16.4 (significant reduction in illicit arms flows by 2030), by helping states and regions to formulate and implement national and regional indicators.</w:t>
            </w:r>
          </w:p>
        </w:tc>
      </w:tr>
    </w:tbl>
    <w:p>
      <w:pPr>
        <w:spacing w:after="0" w:line="240" w:lineRule="auto"/>
        <w:jc w:val="both"/>
        <w:rPr>
          <w:rFonts w:ascii="Times New Roman" w:hAnsi="Times New Roman" w:cs="Times New Roman"/>
          <w:noProof/>
          <w:sz w:val="24"/>
          <w:szCs w:val="24"/>
        </w:rPr>
      </w:pPr>
    </w:p>
    <w:p>
      <w:pPr>
        <w:keepNext/>
        <w:spacing w:after="240" w:line="240" w:lineRule="auto"/>
        <w:ind w:left="567" w:hanging="567"/>
        <w:jc w:val="both"/>
        <w:rPr>
          <w:rFonts w:ascii="Times New Roman" w:hAnsi="Times New Roman" w:cs="Times New Roman"/>
          <w:b/>
          <w:i/>
          <w:noProof/>
          <w:sz w:val="24"/>
          <w:szCs w:val="24"/>
        </w:rPr>
      </w:pPr>
      <w:r>
        <w:rPr>
          <w:rFonts w:ascii="Times New Roman" w:hAnsi="Times New Roman" w:cs="Times New Roman"/>
          <w:b/>
          <w:noProof/>
          <w:sz w:val="24"/>
          <w:szCs w:val="24"/>
        </w:rPr>
        <w:t>2.1.5</w:t>
      </w:r>
      <w:r>
        <w:rPr>
          <w:rFonts w:ascii="Times New Roman" w:hAnsi="Times New Roman" w:cs="Times New Roman"/>
          <w:b/>
          <w:i/>
          <w:noProof/>
          <w:sz w:val="24"/>
          <w:szCs w:val="24"/>
        </w:rPr>
        <w:t xml:space="preserve"> </w:t>
      </w:r>
      <w:r>
        <w:rPr>
          <w:rFonts w:ascii="Times New Roman" w:hAnsi="Times New Roman" w:cs="Times New Roman"/>
          <w:b/>
          <w:i/>
          <w:noProof/>
          <w:sz w:val="24"/>
          <w:szCs w:val="24"/>
        </w:rPr>
        <w:tab/>
      </w:r>
      <w:r>
        <w:rPr>
          <w:rFonts w:ascii="Times New Roman" w:hAnsi="Times New Roman" w:cs="Times New Roman"/>
          <w:b/>
          <w:noProof/>
          <w:sz w:val="24"/>
          <w:szCs w:val="24"/>
        </w:rPr>
        <w:t>Stronger EU norms</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Besides the existing EU norms, the Council is invited to consider a new decision, including improving the traceability of SALW, to improve end-use documentation in SALW export control and to exchange information on diversion. The EU will also continue to propose a standard clause on SALW control in its partnership and trade agreements with other countries. The clause could be updated in line with the new strategy. </w:t>
      </w:r>
    </w:p>
    <w:tbl>
      <w:tblPr>
        <w:tblStyle w:val="TableGrid"/>
        <w:tblW w:w="0" w:type="auto"/>
        <w:tblInd w:w="108" w:type="dxa"/>
        <w:tblLook w:val="04A0" w:firstRow="1" w:lastRow="0" w:firstColumn="1" w:lastColumn="0" w:noHBand="0" w:noVBand="1"/>
      </w:tblPr>
      <w:tblGrid>
        <w:gridCol w:w="9072"/>
      </w:tblGrid>
      <w:tr>
        <w:tc>
          <w:tcPr>
            <w:tcW w:w="9072" w:type="dxa"/>
          </w:tcPr>
          <w:p>
            <w:pPr>
              <w:pStyle w:val="PlainText"/>
              <w:spacing w:after="120"/>
              <w:jc w:val="both"/>
              <w:rPr>
                <w:rFonts w:ascii="Times New Roman" w:hAnsi="Times New Roman"/>
                <w:b/>
                <w:i/>
                <w:noProof/>
                <w:sz w:val="24"/>
                <w:szCs w:val="24"/>
                <w:lang w:val="en-GB"/>
              </w:rPr>
            </w:pPr>
            <w:r>
              <w:rPr>
                <w:rFonts w:ascii="Times New Roman" w:hAnsi="Times New Roman"/>
                <w:b/>
                <w:i/>
                <w:noProof/>
                <w:sz w:val="24"/>
                <w:szCs w:val="24"/>
                <w:lang w:val="en-GB"/>
              </w:rPr>
              <w:t>Action:</w:t>
            </w:r>
          </w:p>
          <w:p>
            <w:pPr>
              <w:pStyle w:val="PlainText"/>
              <w:numPr>
                <w:ilvl w:val="0"/>
                <w:numId w:val="7"/>
              </w:numPr>
              <w:spacing w:after="120"/>
              <w:ind w:left="317" w:hanging="317"/>
              <w:jc w:val="both"/>
              <w:rPr>
                <w:rFonts w:ascii="Times New Roman" w:eastAsia="Times New Roman" w:hAnsi="Times New Roman"/>
                <w:noProof/>
                <w:sz w:val="24"/>
                <w:szCs w:val="24"/>
                <w:lang w:val="en-GB" w:eastAsia="en-GB"/>
              </w:rPr>
            </w:pPr>
            <w:r>
              <w:rPr>
                <w:rFonts w:ascii="Times New Roman" w:hAnsi="Times New Roman"/>
                <w:noProof/>
                <w:sz w:val="24"/>
                <w:szCs w:val="24"/>
                <w:lang w:val="en-GB"/>
              </w:rPr>
              <w:t xml:space="preserve">The EU will </w:t>
            </w:r>
            <w:r>
              <w:rPr>
                <w:rFonts w:ascii="Times New Roman" w:eastAsia="Times New Roman" w:hAnsi="Times New Roman"/>
                <w:noProof/>
                <w:color w:val="000000"/>
                <w:sz w:val="24"/>
                <w:szCs w:val="24"/>
                <w:lang w:val="en-GB" w:eastAsia="en-GB"/>
              </w:rPr>
              <w:t>continue to introduce a standard SALW</w:t>
            </w:r>
            <w:r>
              <w:rPr>
                <w:rFonts w:ascii="Times New Roman" w:eastAsia="Times New Roman" w:hAnsi="Times New Roman"/>
                <w:noProof/>
                <w:color w:val="000000"/>
                <w:sz w:val="24"/>
                <w:szCs w:val="24"/>
                <w:lang w:val="en-GB" w:eastAsia="en-GB"/>
              </w:rPr>
              <w:noBreakHyphen/>
              <w:t>control clause in partnership and trade agreements with other countries</w:t>
            </w:r>
            <w:r>
              <w:rPr>
                <w:rFonts w:ascii="Times New Roman" w:hAnsi="Times New Roman"/>
                <w:noProof/>
                <w:sz w:val="24"/>
                <w:szCs w:val="24"/>
                <w:lang w:val="en-GB"/>
              </w:rPr>
              <w:t>.</w:t>
            </w:r>
          </w:p>
          <w:p>
            <w:pPr>
              <w:pStyle w:val="PlainText"/>
              <w:keepNext/>
              <w:spacing w:after="120"/>
              <w:jc w:val="both"/>
              <w:rPr>
                <w:rFonts w:ascii="Times New Roman" w:hAnsi="Times New Roman"/>
                <w:b/>
                <w:i/>
                <w:noProof/>
                <w:sz w:val="24"/>
                <w:szCs w:val="24"/>
                <w:lang w:val="en-GB"/>
              </w:rPr>
            </w:pPr>
            <w:r>
              <w:rPr>
                <w:rFonts w:ascii="Times New Roman" w:hAnsi="Times New Roman"/>
                <w:b/>
                <w:i/>
                <w:noProof/>
                <w:sz w:val="24"/>
                <w:szCs w:val="24"/>
                <w:lang w:val="en-GB"/>
              </w:rPr>
              <w:t>Next steps:</w:t>
            </w:r>
          </w:p>
          <w:p>
            <w:pPr>
              <w:pStyle w:val="PlainText"/>
              <w:numPr>
                <w:ilvl w:val="0"/>
                <w:numId w:val="2"/>
              </w:numPr>
              <w:tabs>
                <w:tab w:val="left" w:pos="0"/>
              </w:tabs>
              <w:spacing w:after="120"/>
              <w:ind w:left="317" w:hanging="317"/>
              <w:jc w:val="both"/>
              <w:rPr>
                <w:rFonts w:ascii="Times New Roman" w:eastAsia="Times New Roman" w:hAnsi="Times New Roman"/>
                <w:noProof/>
                <w:sz w:val="24"/>
                <w:szCs w:val="24"/>
                <w:lang w:val="en-GB" w:eastAsia="en-GB"/>
              </w:rPr>
            </w:pPr>
            <w:r>
              <w:rPr>
                <w:rFonts w:ascii="Times New Roman" w:hAnsi="Times New Roman"/>
                <w:noProof/>
                <w:sz w:val="24"/>
                <w:szCs w:val="24"/>
                <w:lang w:val="en-GB"/>
              </w:rPr>
              <w:t>The Council is invited to consider a decision on the marking of all SALW to improve traceability; and</w:t>
            </w:r>
          </w:p>
          <w:p>
            <w:pPr>
              <w:pStyle w:val="PlainText"/>
              <w:numPr>
                <w:ilvl w:val="0"/>
                <w:numId w:val="2"/>
              </w:numPr>
              <w:tabs>
                <w:tab w:val="left" w:pos="34"/>
              </w:tabs>
              <w:spacing w:after="120"/>
              <w:ind w:left="317" w:hanging="317"/>
              <w:jc w:val="both"/>
              <w:rPr>
                <w:rFonts w:ascii="Times New Roman" w:eastAsia="Times New Roman" w:hAnsi="Times New Roman"/>
                <w:noProof/>
                <w:sz w:val="24"/>
                <w:szCs w:val="24"/>
                <w:lang w:val="en-GB" w:eastAsia="en-GB"/>
              </w:rPr>
            </w:pPr>
            <w:r>
              <w:rPr>
                <w:rFonts w:ascii="Times New Roman" w:hAnsi="Times New Roman"/>
                <w:noProof/>
                <w:sz w:val="24"/>
                <w:szCs w:val="24"/>
                <w:lang w:val="en-GB"/>
              </w:rPr>
              <w:t xml:space="preserve">The </w:t>
            </w:r>
            <w:r>
              <w:rPr>
                <w:rFonts w:ascii="Times New Roman" w:eastAsia="Times New Roman" w:hAnsi="Times New Roman"/>
                <w:noProof/>
                <w:color w:val="000000"/>
                <w:sz w:val="24"/>
                <w:szCs w:val="24"/>
                <w:lang w:val="en-GB" w:eastAsia="en-GB"/>
              </w:rPr>
              <w:t xml:space="preserve">Commission, </w:t>
            </w:r>
            <w:r>
              <w:rPr>
                <w:rFonts w:ascii="Times New Roman" w:hAnsi="Times New Roman"/>
                <w:noProof/>
                <w:sz w:val="24"/>
                <w:szCs w:val="24"/>
                <w:lang w:val="en-GB"/>
              </w:rPr>
              <w:t>as required by Directive 91/477/EEC</w:t>
            </w:r>
            <w:r>
              <w:rPr>
                <w:rStyle w:val="FootnoteReference"/>
                <w:rFonts w:ascii="Times New Roman" w:hAnsi="Times New Roman"/>
                <w:noProof/>
                <w:sz w:val="24"/>
                <w:szCs w:val="24"/>
                <w:lang w:val="en-GB"/>
              </w:rPr>
              <w:footnoteReference w:id="22"/>
            </w:r>
            <w:r>
              <w:rPr>
                <w:rFonts w:ascii="Times New Roman" w:hAnsi="Times New Roman"/>
                <w:noProof/>
                <w:sz w:val="24"/>
                <w:szCs w:val="24"/>
                <w:lang w:val="en-GB"/>
              </w:rPr>
              <w:t>, will adopt a Delegated Act on exchanging, by electronic means, information on authorisations for the transfer of civilian firearms to another Member State, , and set up an electronic system whereby Member States can exchange such information.</w:t>
            </w:r>
          </w:p>
        </w:tc>
      </w:tr>
    </w:tbl>
    <w:p>
      <w:pPr>
        <w:spacing w:after="0" w:line="240" w:lineRule="auto"/>
        <w:jc w:val="both"/>
        <w:rPr>
          <w:rFonts w:ascii="Times New Roman" w:hAnsi="Times New Roman" w:cs="Times New Roman"/>
          <w:b/>
          <w:noProof/>
          <w:sz w:val="24"/>
          <w:szCs w:val="24"/>
        </w:rPr>
      </w:pPr>
    </w:p>
    <w:p>
      <w:pPr>
        <w:keepNext/>
        <w:spacing w:after="240" w:line="240" w:lineRule="auto"/>
        <w:ind w:left="567" w:hanging="567"/>
        <w:jc w:val="both"/>
        <w:rPr>
          <w:rFonts w:ascii="Times New Roman" w:hAnsi="Times New Roman" w:cs="Times New Roman"/>
          <w:b/>
          <w:noProof/>
          <w:sz w:val="24"/>
          <w:szCs w:val="24"/>
        </w:rPr>
      </w:pPr>
      <w:r>
        <w:rPr>
          <w:rFonts w:ascii="Times New Roman" w:hAnsi="Times New Roman" w:cs="Times New Roman"/>
          <w:b/>
          <w:noProof/>
          <w:sz w:val="24"/>
          <w:szCs w:val="24"/>
        </w:rPr>
        <w:t xml:space="preserve">2.2 </w:t>
      </w:r>
      <w:r>
        <w:rPr>
          <w:rFonts w:ascii="Times New Roman" w:hAnsi="Times New Roman" w:cs="Times New Roman"/>
          <w:b/>
          <w:noProof/>
          <w:sz w:val="24"/>
          <w:szCs w:val="24"/>
        </w:rPr>
        <w:tab/>
        <w:t>Implementation of norms in the different life</w:t>
      </w:r>
      <w:r>
        <w:rPr>
          <w:rFonts w:ascii="Times New Roman" w:hAnsi="Times New Roman" w:cs="Times New Roman"/>
          <w:b/>
          <w:noProof/>
          <w:sz w:val="24"/>
          <w:szCs w:val="24"/>
        </w:rPr>
        <w:noBreakHyphen/>
        <w:t>cycle phases of firearms/SALW</w:t>
      </w:r>
    </w:p>
    <w:p>
      <w:pPr>
        <w:keepNext/>
        <w:spacing w:after="240" w:line="240" w:lineRule="auto"/>
        <w:ind w:left="567" w:hanging="567"/>
        <w:jc w:val="both"/>
        <w:rPr>
          <w:rFonts w:ascii="Times New Roman" w:hAnsi="Times New Roman" w:cs="Times New Roman"/>
          <w:b/>
          <w:i/>
          <w:noProof/>
          <w:sz w:val="24"/>
          <w:szCs w:val="24"/>
        </w:rPr>
      </w:pPr>
      <w:r>
        <w:rPr>
          <w:rFonts w:ascii="Times New Roman" w:hAnsi="Times New Roman" w:cs="Times New Roman"/>
          <w:b/>
          <w:noProof/>
          <w:sz w:val="24"/>
          <w:szCs w:val="24"/>
        </w:rPr>
        <w:t>2.2.1</w:t>
      </w:r>
      <w:r>
        <w:rPr>
          <w:rFonts w:ascii="Times New Roman" w:hAnsi="Times New Roman" w:cs="Times New Roman"/>
          <w:b/>
          <w:i/>
          <w:noProof/>
          <w:sz w:val="24"/>
          <w:szCs w:val="24"/>
        </w:rPr>
        <w:tab/>
        <w:t>Control on firearms and SALW manufacturing</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the EU, the manufacture of firearms and SALW, their parts, accessories and ammunition is well regulated and the rules governing the storage of SALW and their ammunition are designed to minimise diversion risks.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Developments in the design of firearms and SALW such as the increased use of polymer frames and modular design risk undermining the International Tracing Instrument (ITI) which is the global standard on SALW-marking. Action should be undertaken to update the ITI in light of these developments.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 encourages and supports research and development on technology and design features aimed at mitigating the risk of firearms and SALW and ammunition diversion, trafficking and unauthorised use. It promotes the application of new technologies for more effective SALW stockpile management, use-control, marking, tagging, record</w:t>
      </w:r>
      <w:r>
        <w:rPr>
          <w:rFonts w:ascii="Times New Roman" w:hAnsi="Times New Roman" w:cs="Times New Roman"/>
          <w:noProof/>
          <w:sz w:val="24"/>
          <w:szCs w:val="24"/>
        </w:rPr>
        <w:noBreakHyphen/>
        <w:t>keeping and tracing.</w:t>
      </w:r>
    </w:p>
    <w:tbl>
      <w:tblPr>
        <w:tblStyle w:val="TableGrid"/>
        <w:tblW w:w="0" w:type="auto"/>
        <w:tblInd w:w="108" w:type="dxa"/>
        <w:tblLook w:val="04A0" w:firstRow="1" w:lastRow="0" w:firstColumn="1" w:lastColumn="0" w:noHBand="0" w:noVBand="1"/>
      </w:tblPr>
      <w:tblGrid>
        <w:gridCol w:w="9072"/>
      </w:tblGrid>
      <w:tr>
        <w:tc>
          <w:tcPr>
            <w:tcW w:w="9072" w:type="dxa"/>
          </w:tcPr>
          <w:p>
            <w:pPr>
              <w:pStyle w:val="PlainText"/>
              <w:spacing w:after="120"/>
              <w:jc w:val="both"/>
              <w:rPr>
                <w:rFonts w:ascii="Times New Roman" w:hAnsi="Times New Roman"/>
                <w:b/>
                <w:i/>
                <w:noProof/>
                <w:sz w:val="24"/>
                <w:szCs w:val="24"/>
                <w:lang w:val="en-GB"/>
              </w:rPr>
            </w:pPr>
            <w:r>
              <w:rPr>
                <w:rFonts w:ascii="Times New Roman" w:hAnsi="Times New Roman"/>
                <w:b/>
                <w:i/>
                <w:noProof/>
                <w:sz w:val="24"/>
                <w:szCs w:val="24"/>
                <w:lang w:val="en-GB"/>
              </w:rPr>
              <w:t>Actions:</w:t>
            </w:r>
          </w:p>
          <w:p>
            <w:pPr>
              <w:pStyle w:val="PlainText"/>
              <w:numPr>
                <w:ilvl w:val="0"/>
                <w:numId w:val="2"/>
              </w:numPr>
              <w:tabs>
                <w:tab w:val="left" w:pos="-108"/>
              </w:tabs>
              <w:spacing w:after="120"/>
              <w:ind w:left="318" w:hanging="318"/>
              <w:jc w:val="both"/>
              <w:rPr>
                <w:rFonts w:ascii="Times New Roman" w:eastAsia="Times New Roman" w:hAnsi="Times New Roman"/>
                <w:noProof/>
                <w:sz w:val="24"/>
                <w:szCs w:val="24"/>
                <w:lang w:val="en-GB" w:eastAsia="en-GB"/>
              </w:rPr>
            </w:pPr>
            <w:r>
              <w:rPr>
                <w:rFonts w:ascii="Times New Roman" w:eastAsia="Times New Roman" w:hAnsi="Times New Roman"/>
                <w:noProof/>
                <w:sz w:val="24"/>
                <w:szCs w:val="24"/>
                <w:lang w:val="en-GB" w:eastAsia="en-GB"/>
              </w:rPr>
              <w:t>The EU will continue to address the illicit manufacture of firearms and ammunition. The methods of illicit manufacture are permanently evolving and can be facilitated through the use of 3-D printed parts. They include the illicit re-activation of deactivated firearms, craft production and the illicit conversion of alarm or signal guns designed for blank ammunition or flobert guns, the illicit conversion of ammunition and the illicit use of reloading tools. The Commission will closely monitor the implementation of its future Implementing Act laying down technical specifications for alarm signal weapons for the application of Directive 91/477/EEC on control of the acquisition and possession weapons;</w:t>
            </w:r>
            <w:r>
              <w:rPr>
                <w:rStyle w:val="FootnoteReference"/>
                <w:rFonts w:ascii="Times New Roman" w:eastAsia="Times New Roman" w:hAnsi="Times New Roman"/>
                <w:noProof/>
                <w:sz w:val="24"/>
                <w:szCs w:val="24"/>
                <w:lang w:val="en-GB" w:eastAsia="en-GB"/>
              </w:rPr>
              <w:footnoteReference w:id="23"/>
            </w:r>
            <w:r>
              <w:rPr>
                <w:rFonts w:ascii="Times New Roman" w:eastAsia="Times New Roman" w:hAnsi="Times New Roman"/>
                <w:noProof/>
                <w:sz w:val="24"/>
                <w:szCs w:val="24"/>
                <w:lang w:val="en-GB" w:eastAsia="en-GB"/>
              </w:rPr>
              <w:t xml:space="preserve"> and</w:t>
            </w:r>
          </w:p>
          <w:p>
            <w:pPr>
              <w:pStyle w:val="PlainText"/>
              <w:numPr>
                <w:ilvl w:val="0"/>
                <w:numId w:val="2"/>
              </w:numPr>
              <w:tabs>
                <w:tab w:val="left" w:pos="34"/>
              </w:tabs>
              <w:spacing w:after="120"/>
              <w:ind w:left="318" w:hanging="318"/>
              <w:jc w:val="both"/>
              <w:rPr>
                <w:rFonts w:ascii="Times New Roman" w:eastAsia="Times New Roman" w:hAnsi="Times New Roman"/>
                <w:noProof/>
                <w:sz w:val="24"/>
                <w:szCs w:val="24"/>
                <w:lang w:val="en-GB" w:eastAsia="en-GB"/>
              </w:rPr>
            </w:pPr>
            <w:r>
              <w:rPr>
                <w:rFonts w:ascii="Times New Roman" w:eastAsia="Times New Roman" w:hAnsi="Times New Roman"/>
                <w:noProof/>
                <w:sz w:val="24"/>
                <w:szCs w:val="24"/>
                <w:lang w:val="en-GB" w:eastAsia="en-GB"/>
              </w:rPr>
              <w:t xml:space="preserve">As marking and thorough record-keeping are vital for successful tracing, the EU will continue to support the full implementation of the International Tracing Instrument (ITI). </w:t>
            </w:r>
          </w:p>
          <w:p>
            <w:pPr>
              <w:pStyle w:val="PlainText"/>
              <w:spacing w:after="120"/>
              <w:jc w:val="both"/>
              <w:rPr>
                <w:rFonts w:ascii="Times New Roman" w:eastAsia="Times New Roman" w:hAnsi="Times New Roman"/>
                <w:b/>
                <w:i/>
                <w:noProof/>
                <w:color w:val="000000"/>
                <w:sz w:val="24"/>
                <w:szCs w:val="24"/>
                <w:lang w:val="en-GB" w:eastAsia="en-GB"/>
              </w:rPr>
            </w:pPr>
            <w:r>
              <w:rPr>
                <w:rFonts w:ascii="Times New Roman" w:eastAsia="Times New Roman" w:hAnsi="Times New Roman"/>
                <w:b/>
                <w:i/>
                <w:noProof/>
                <w:color w:val="000000"/>
                <w:sz w:val="24"/>
                <w:szCs w:val="24"/>
                <w:lang w:val="en-GB" w:eastAsia="en-GB"/>
              </w:rPr>
              <w:t>Next steps:</w:t>
            </w:r>
          </w:p>
          <w:p>
            <w:pPr>
              <w:pStyle w:val="PlainText"/>
              <w:numPr>
                <w:ilvl w:val="0"/>
                <w:numId w:val="2"/>
              </w:numPr>
              <w:tabs>
                <w:tab w:val="left" w:pos="0"/>
              </w:tabs>
              <w:spacing w:after="120"/>
              <w:ind w:left="318" w:hanging="318"/>
              <w:jc w:val="both"/>
              <w:rPr>
                <w:rFonts w:ascii="Times New Roman" w:eastAsia="Times New Roman" w:hAnsi="Times New Roman"/>
                <w:noProof/>
                <w:color w:val="000000"/>
                <w:sz w:val="24"/>
                <w:szCs w:val="24"/>
                <w:lang w:val="en-GB" w:eastAsia="en-GB"/>
              </w:rPr>
            </w:pPr>
            <w:r>
              <w:rPr>
                <w:rFonts w:ascii="Times New Roman" w:eastAsia="Times New Roman" w:hAnsi="Times New Roman"/>
                <w:noProof/>
                <w:sz w:val="24"/>
                <w:szCs w:val="24"/>
                <w:lang w:val="en-GB" w:eastAsia="en-GB"/>
              </w:rPr>
              <w:t xml:space="preserve">At global level, to preserve and increase the effectiveness of the ITI, the EU and its Member States will take action by proposing to consider an annex to the ITI in the light of developments in </w:t>
            </w:r>
            <w:r>
              <w:rPr>
                <w:rFonts w:ascii="Times New Roman" w:eastAsia="Times New Roman" w:hAnsi="Times New Roman"/>
                <w:noProof/>
                <w:color w:val="000000"/>
                <w:sz w:val="24"/>
                <w:szCs w:val="24"/>
                <w:lang w:val="en-GB" w:eastAsia="en-GB"/>
              </w:rPr>
              <w:t>SALW</w:t>
            </w:r>
            <w:r>
              <w:rPr>
                <w:rFonts w:ascii="Times New Roman" w:eastAsia="Times New Roman" w:hAnsi="Times New Roman"/>
                <w:noProof/>
                <w:sz w:val="24"/>
                <w:szCs w:val="24"/>
                <w:lang w:val="en-GB" w:eastAsia="en-GB"/>
              </w:rPr>
              <w:t xml:space="preserve"> design, such as modular architecture and polymer frames; and</w:t>
            </w:r>
          </w:p>
          <w:p>
            <w:pPr>
              <w:pStyle w:val="PlainText"/>
              <w:numPr>
                <w:ilvl w:val="0"/>
                <w:numId w:val="2"/>
              </w:numPr>
              <w:tabs>
                <w:tab w:val="left" w:pos="0"/>
              </w:tabs>
              <w:spacing w:after="120"/>
              <w:ind w:left="318" w:hanging="318"/>
              <w:jc w:val="both"/>
              <w:rPr>
                <w:rFonts w:ascii="Times New Roman" w:eastAsia="Times New Roman" w:hAnsi="Times New Roman"/>
                <w:noProof/>
                <w:color w:val="000000"/>
                <w:sz w:val="24"/>
                <w:szCs w:val="24"/>
                <w:lang w:val="en-GB" w:eastAsia="en-GB"/>
              </w:rPr>
            </w:pPr>
            <w:r>
              <w:rPr>
                <w:rFonts w:ascii="Times New Roman" w:eastAsia="Times New Roman" w:hAnsi="Times New Roman"/>
                <w:noProof/>
                <w:sz w:val="24"/>
                <w:szCs w:val="24"/>
                <w:lang w:val="en-GB" w:eastAsia="en-GB"/>
              </w:rPr>
              <w:t>The EU will make use of relevant instruments to support research and development in the field of reliable and cost</w:t>
            </w:r>
            <w:r>
              <w:rPr>
                <w:rFonts w:ascii="Times New Roman" w:eastAsia="Times New Roman" w:hAnsi="Times New Roman"/>
                <w:noProof/>
                <w:sz w:val="24"/>
                <w:szCs w:val="24"/>
                <w:lang w:val="en-GB" w:eastAsia="en-GB"/>
              </w:rPr>
              <w:noBreakHyphen/>
              <w:t>effective technology to secure SALW and their ammunition and mitigate the risk of diversion.</w:t>
            </w:r>
          </w:p>
        </w:tc>
      </w:tr>
    </w:tbl>
    <w:p>
      <w:pPr>
        <w:pStyle w:val="PlainText"/>
        <w:jc w:val="both"/>
        <w:rPr>
          <w:rFonts w:ascii="Times New Roman" w:hAnsi="Times New Roman"/>
          <w:noProof/>
          <w:sz w:val="24"/>
          <w:szCs w:val="24"/>
          <w:lang w:val="en-GB"/>
        </w:rPr>
      </w:pPr>
    </w:p>
    <w:p>
      <w:pPr>
        <w:keepNext/>
        <w:spacing w:after="240" w:line="240" w:lineRule="auto"/>
        <w:ind w:left="567" w:hanging="567"/>
        <w:jc w:val="both"/>
        <w:rPr>
          <w:rFonts w:ascii="Times New Roman" w:hAnsi="Times New Roman" w:cs="Times New Roman"/>
          <w:b/>
          <w:noProof/>
          <w:sz w:val="24"/>
          <w:szCs w:val="24"/>
        </w:rPr>
      </w:pPr>
      <w:r>
        <w:rPr>
          <w:rFonts w:ascii="Times New Roman" w:hAnsi="Times New Roman" w:cs="Times New Roman"/>
          <w:b/>
          <w:noProof/>
          <w:sz w:val="24"/>
          <w:szCs w:val="24"/>
        </w:rPr>
        <w:t>2.2.2</w:t>
      </w:r>
      <w:r>
        <w:rPr>
          <w:rFonts w:ascii="Times New Roman" w:hAnsi="Times New Roman" w:cs="Times New Roman"/>
          <w:b/>
          <w:noProof/>
          <w:sz w:val="24"/>
          <w:szCs w:val="24"/>
        </w:rPr>
        <w:tab/>
        <w:t>Controls on the export of SALW and their ammunition</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EU and its Member States support the implementation and universalisation of the Arms Trade Treaty. Building on the implementation of the Arms Trade Treaty, the EU counters diversion by supporting capacities for identifying points of diversion by means of tracing, making better use of information-exchange systems and mitigating the risk of further diversion by cutting supply to identified diverters in the framework of arms export control.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Unregulated brokering remains a source of SALW diversion. The transnational nature of brokering activities requires international cooperation. </w:t>
      </w:r>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9072"/>
      </w:tblGrid>
      <w:tr>
        <w:trPr>
          <w:trHeight w:val="699"/>
        </w:trPr>
        <w:tc>
          <w:tcPr>
            <w:tcW w:w="9072" w:type="dxa"/>
          </w:tcPr>
          <w:p>
            <w:pPr>
              <w:pStyle w:val="PlainText"/>
              <w:spacing w:after="120"/>
              <w:jc w:val="both"/>
              <w:rPr>
                <w:rFonts w:ascii="Times New Roman" w:hAnsi="Times New Roman"/>
                <w:b/>
                <w:i/>
                <w:noProof/>
                <w:sz w:val="24"/>
                <w:szCs w:val="24"/>
                <w:lang w:val="en-GB"/>
              </w:rPr>
            </w:pPr>
            <w:r>
              <w:rPr>
                <w:rFonts w:ascii="Times New Roman" w:hAnsi="Times New Roman"/>
                <w:b/>
                <w:i/>
                <w:noProof/>
                <w:sz w:val="24"/>
                <w:szCs w:val="24"/>
                <w:lang w:val="en-GB"/>
              </w:rPr>
              <w:t>Actions:</w:t>
            </w:r>
          </w:p>
          <w:p>
            <w:pPr>
              <w:pStyle w:val="PlainText"/>
              <w:numPr>
                <w:ilvl w:val="0"/>
                <w:numId w:val="2"/>
              </w:numPr>
              <w:tabs>
                <w:tab w:val="left" w:pos="0"/>
              </w:tabs>
              <w:spacing w:after="120"/>
              <w:ind w:left="318" w:hanging="318"/>
              <w:jc w:val="both"/>
              <w:rPr>
                <w:rFonts w:ascii="Times New Roman" w:eastAsia="Times New Roman" w:hAnsi="Times New Roman"/>
                <w:noProof/>
                <w:color w:val="000000"/>
                <w:sz w:val="24"/>
                <w:szCs w:val="24"/>
                <w:lang w:val="en-GB" w:eastAsia="en-GB"/>
              </w:rPr>
            </w:pPr>
            <w:r>
              <w:rPr>
                <w:rFonts w:ascii="Times New Roman" w:hAnsi="Times New Roman"/>
                <w:noProof/>
                <w:sz w:val="24"/>
                <w:szCs w:val="24"/>
                <w:lang w:val="en-GB"/>
              </w:rPr>
              <w:t xml:space="preserve">The </w:t>
            </w:r>
            <w:r>
              <w:rPr>
                <w:rFonts w:ascii="Times New Roman" w:eastAsia="Times New Roman" w:hAnsi="Times New Roman"/>
                <w:noProof/>
                <w:sz w:val="24"/>
                <w:szCs w:val="24"/>
                <w:lang w:val="en-GB" w:eastAsia="en-GB"/>
              </w:rPr>
              <w:t>EU</w:t>
            </w:r>
            <w:r>
              <w:rPr>
                <w:rFonts w:ascii="Times New Roman" w:hAnsi="Times New Roman"/>
                <w:noProof/>
                <w:sz w:val="24"/>
                <w:szCs w:val="24"/>
                <w:lang w:val="en-GB"/>
              </w:rPr>
              <w:t xml:space="preserve"> will continue to promote responsible and effective arms export control in the EU’s neighbourhood, in accordance with Common Position 2008/944/CFSP for military</w:t>
            </w:r>
            <w:r>
              <w:rPr>
                <w:rFonts w:ascii="Times New Roman" w:hAnsi="Times New Roman"/>
                <w:noProof/>
                <w:sz w:val="24"/>
                <w:szCs w:val="24"/>
                <w:lang w:val="en-GB"/>
              </w:rPr>
              <w:noBreakHyphen/>
              <w:t>grade weapons and Regulation (EU) No 258/2012 for civilian firearms; and</w:t>
            </w:r>
          </w:p>
          <w:p>
            <w:pPr>
              <w:pStyle w:val="PlainText"/>
              <w:numPr>
                <w:ilvl w:val="0"/>
                <w:numId w:val="2"/>
              </w:numPr>
              <w:tabs>
                <w:tab w:val="left" w:pos="0"/>
              </w:tabs>
              <w:spacing w:after="120"/>
              <w:ind w:left="318" w:hanging="318"/>
              <w:jc w:val="both"/>
              <w:rPr>
                <w:rFonts w:ascii="Times New Roman" w:eastAsia="Times New Roman" w:hAnsi="Times New Roman"/>
                <w:noProof/>
                <w:color w:val="000000"/>
                <w:sz w:val="24"/>
                <w:szCs w:val="24"/>
                <w:lang w:val="en-GB" w:eastAsia="en-GB"/>
              </w:rPr>
            </w:pPr>
            <w:r>
              <w:rPr>
                <w:rFonts w:ascii="Times New Roman" w:hAnsi="Times New Roman"/>
                <w:noProof/>
                <w:sz w:val="24"/>
                <w:szCs w:val="24"/>
                <w:lang w:val="en-GB"/>
              </w:rPr>
              <w:t>The High Representative and the Member States will</w:t>
            </w:r>
            <w:r>
              <w:rPr>
                <w:rFonts w:ascii="Times New Roman" w:eastAsia="Times New Roman" w:hAnsi="Times New Roman"/>
                <w:noProof/>
                <w:color w:val="000000"/>
                <w:sz w:val="24"/>
                <w:vertAlign w:val="superscript"/>
                <w:lang w:val="en-GB" w:eastAsia="en-GB"/>
              </w:rPr>
              <w:t xml:space="preserve"> </w:t>
            </w:r>
            <w:r>
              <w:rPr>
                <w:rFonts w:ascii="Times New Roman" w:eastAsia="Times New Roman" w:hAnsi="Times New Roman"/>
                <w:noProof/>
                <w:color w:val="000000"/>
                <w:sz w:val="24"/>
                <w:szCs w:val="24"/>
                <w:lang w:val="en-GB" w:eastAsia="en-GB"/>
              </w:rPr>
              <w:t>ensure the correct and full implementation of Common Position 2003/468/CFSP on arms brokering.</w:t>
            </w:r>
          </w:p>
          <w:p>
            <w:pPr>
              <w:pStyle w:val="PlainText"/>
              <w:keepNext/>
              <w:spacing w:after="120"/>
              <w:jc w:val="both"/>
              <w:rPr>
                <w:rFonts w:ascii="Times New Roman" w:hAnsi="Times New Roman"/>
                <w:b/>
                <w:i/>
                <w:noProof/>
                <w:sz w:val="24"/>
                <w:szCs w:val="24"/>
                <w:lang w:val="en-GB"/>
              </w:rPr>
            </w:pPr>
            <w:r>
              <w:rPr>
                <w:rFonts w:ascii="Times New Roman" w:hAnsi="Times New Roman"/>
                <w:b/>
                <w:i/>
                <w:noProof/>
                <w:sz w:val="24"/>
                <w:szCs w:val="24"/>
                <w:lang w:val="en-GB"/>
              </w:rPr>
              <w:t>Next steps:</w:t>
            </w:r>
          </w:p>
          <w:p>
            <w:pPr>
              <w:pStyle w:val="PlainText"/>
              <w:numPr>
                <w:ilvl w:val="0"/>
                <w:numId w:val="2"/>
              </w:numPr>
              <w:tabs>
                <w:tab w:val="left" w:pos="34"/>
              </w:tabs>
              <w:spacing w:after="120"/>
              <w:ind w:left="318" w:hanging="318"/>
              <w:jc w:val="both"/>
              <w:rPr>
                <w:rFonts w:ascii="Times New Roman" w:hAnsi="Times New Roman"/>
                <w:noProof/>
                <w:sz w:val="24"/>
                <w:szCs w:val="24"/>
                <w:lang w:val="en-GB"/>
              </w:rPr>
            </w:pPr>
            <w:r>
              <w:rPr>
                <w:rFonts w:ascii="Times New Roman" w:hAnsi="Times New Roman"/>
                <w:noProof/>
                <w:sz w:val="24"/>
                <w:szCs w:val="24"/>
                <w:lang w:val="en-GB"/>
              </w:rPr>
              <w:t xml:space="preserve">The </w:t>
            </w:r>
            <w:r>
              <w:rPr>
                <w:rFonts w:ascii="Times New Roman" w:eastAsia="Times New Roman" w:hAnsi="Times New Roman"/>
                <w:noProof/>
                <w:sz w:val="24"/>
                <w:szCs w:val="24"/>
                <w:lang w:val="en-GB" w:eastAsia="en-GB"/>
              </w:rPr>
              <w:t>Commission</w:t>
            </w:r>
            <w:r>
              <w:rPr>
                <w:rFonts w:ascii="Times New Roman" w:hAnsi="Times New Roman"/>
                <w:noProof/>
                <w:sz w:val="24"/>
                <w:szCs w:val="24"/>
                <w:lang w:val="en-GB"/>
              </w:rPr>
              <w:t xml:space="preserve"> continues to monitor the EU system and need for possible improvements for export authorisation and import and transit measures for civilian firearms, their parts, components and ammunition, as indicated in the report adopted by the Commission on 12 December 2017</w:t>
            </w:r>
            <w:r>
              <w:rPr>
                <w:rStyle w:val="FootnoteReference"/>
                <w:rFonts w:ascii="Times New Roman" w:hAnsi="Times New Roman"/>
                <w:noProof/>
                <w:sz w:val="24"/>
                <w:szCs w:val="24"/>
                <w:lang w:val="en-GB"/>
              </w:rPr>
              <w:footnoteReference w:id="24"/>
            </w:r>
            <w:r>
              <w:rPr>
                <w:rFonts w:ascii="Times New Roman" w:hAnsi="Times New Roman"/>
                <w:noProof/>
                <w:sz w:val="24"/>
                <w:szCs w:val="24"/>
                <w:lang w:val="en-GB"/>
              </w:rPr>
              <w:t>;</w:t>
            </w:r>
          </w:p>
          <w:p>
            <w:pPr>
              <w:pStyle w:val="PlainText"/>
              <w:numPr>
                <w:ilvl w:val="0"/>
                <w:numId w:val="2"/>
              </w:numPr>
              <w:tabs>
                <w:tab w:val="left" w:pos="34"/>
              </w:tabs>
              <w:spacing w:after="120"/>
              <w:ind w:left="318" w:hanging="318"/>
              <w:jc w:val="both"/>
              <w:rPr>
                <w:rFonts w:ascii="Times New Roman" w:hAnsi="Times New Roman"/>
                <w:noProof/>
                <w:sz w:val="24"/>
                <w:szCs w:val="24"/>
                <w:lang w:val="en-GB"/>
              </w:rPr>
            </w:pPr>
            <w:r>
              <w:rPr>
                <w:rFonts w:ascii="Times New Roman" w:hAnsi="Times New Roman"/>
                <w:noProof/>
                <w:sz w:val="24"/>
                <w:szCs w:val="24"/>
                <w:lang w:val="en-GB"/>
              </w:rPr>
              <w:t xml:space="preserve">The Council is invited to consider a decision </w:t>
            </w:r>
            <w:r>
              <w:rPr>
                <w:rFonts w:ascii="Times New Roman" w:eastAsia="Times New Roman" w:hAnsi="Times New Roman"/>
                <w:noProof/>
                <w:color w:val="000000"/>
                <w:sz w:val="24"/>
                <w:szCs w:val="24"/>
                <w:lang w:val="en-GB" w:eastAsia="en-GB"/>
              </w:rPr>
              <w:t>on end-user certificates for SALW exports, taking account of the OSCE’s work in this regard</w:t>
            </w:r>
            <w:r>
              <w:rPr>
                <w:rFonts w:ascii="Times New Roman" w:hAnsi="Times New Roman"/>
                <w:noProof/>
                <w:sz w:val="24"/>
                <w:szCs w:val="24"/>
                <w:lang w:val="en-GB"/>
              </w:rPr>
              <w:t>;</w:t>
            </w:r>
          </w:p>
          <w:p>
            <w:pPr>
              <w:pStyle w:val="PlainText"/>
              <w:numPr>
                <w:ilvl w:val="0"/>
                <w:numId w:val="2"/>
              </w:numPr>
              <w:tabs>
                <w:tab w:val="left" w:pos="34"/>
              </w:tabs>
              <w:spacing w:after="120"/>
              <w:ind w:left="318" w:hanging="318"/>
              <w:jc w:val="both"/>
              <w:rPr>
                <w:rFonts w:ascii="Times New Roman" w:hAnsi="Times New Roman"/>
                <w:noProof/>
                <w:sz w:val="24"/>
                <w:szCs w:val="24"/>
                <w:lang w:val="en-GB"/>
              </w:rPr>
            </w:pPr>
            <w:r>
              <w:rPr>
                <w:rFonts w:ascii="Times New Roman" w:hAnsi="Times New Roman"/>
                <w:noProof/>
                <w:sz w:val="24"/>
                <w:szCs w:val="24"/>
                <w:lang w:val="en-GB"/>
              </w:rPr>
              <w:t xml:space="preserve">In agreement with the Member States, the EEAS will </w:t>
            </w:r>
            <w:r>
              <w:rPr>
                <w:rFonts w:ascii="Times New Roman" w:eastAsia="Times New Roman" w:hAnsi="Times New Roman"/>
                <w:noProof/>
                <w:color w:val="000000"/>
                <w:sz w:val="24"/>
                <w:szCs w:val="24"/>
                <w:lang w:val="en-GB" w:eastAsia="en-GB"/>
              </w:rPr>
              <w:t>increase the capacity of the COARM online system</w:t>
            </w:r>
            <w:r>
              <w:rPr>
                <w:rStyle w:val="FootnoteReference"/>
                <w:rFonts w:ascii="Times New Roman" w:eastAsia="Times New Roman" w:hAnsi="Times New Roman"/>
                <w:noProof/>
                <w:color w:val="000000"/>
                <w:sz w:val="24"/>
                <w:szCs w:val="24"/>
                <w:lang w:val="en-GB" w:eastAsia="en-GB"/>
              </w:rPr>
              <w:footnoteReference w:id="25"/>
            </w:r>
            <w:r>
              <w:rPr>
                <w:rFonts w:ascii="Times New Roman" w:eastAsia="Times New Roman" w:hAnsi="Times New Roman"/>
                <w:noProof/>
                <w:color w:val="000000"/>
                <w:sz w:val="24"/>
                <w:szCs w:val="24"/>
                <w:lang w:val="en-GB" w:eastAsia="en-GB"/>
              </w:rPr>
              <w:t xml:space="preserve"> for the exchange of information relevant for diversion risk assessment purposes between Member States’ export control authorities in the context of export licensing, taking into account the security level of the system and the information;</w:t>
            </w:r>
          </w:p>
          <w:p>
            <w:pPr>
              <w:pStyle w:val="PlainText"/>
              <w:numPr>
                <w:ilvl w:val="0"/>
                <w:numId w:val="2"/>
              </w:numPr>
              <w:tabs>
                <w:tab w:val="left" w:pos="34"/>
              </w:tabs>
              <w:spacing w:after="120"/>
              <w:ind w:left="318" w:hanging="318"/>
              <w:jc w:val="both"/>
              <w:rPr>
                <w:rFonts w:ascii="Times New Roman" w:hAnsi="Times New Roman"/>
                <w:noProof/>
                <w:sz w:val="24"/>
                <w:szCs w:val="24"/>
                <w:lang w:val="en-GB"/>
              </w:rPr>
            </w:pPr>
            <w:r>
              <w:rPr>
                <w:rFonts w:ascii="Times New Roman" w:hAnsi="Times New Roman"/>
                <w:noProof/>
                <w:sz w:val="24"/>
                <w:szCs w:val="24"/>
                <w:lang w:val="en-GB"/>
              </w:rPr>
              <w:t>Given the limited scope of the Commission Recommendation of 17 April 2018</w:t>
            </w:r>
            <w:r>
              <w:rPr>
                <w:rStyle w:val="FootnoteReference"/>
                <w:rFonts w:ascii="Times New Roman" w:hAnsi="Times New Roman"/>
                <w:noProof/>
                <w:sz w:val="24"/>
                <w:szCs w:val="24"/>
                <w:lang w:val="en-GB"/>
              </w:rPr>
              <w:footnoteReference w:id="26"/>
            </w:r>
            <w:r>
              <w:rPr>
                <w:rFonts w:ascii="Times New Roman" w:hAnsi="Times New Roman"/>
                <w:noProof/>
                <w:sz w:val="24"/>
                <w:szCs w:val="24"/>
                <w:lang w:val="en-GB"/>
              </w:rPr>
              <w:t>, in the risk assessment prior to granting an export licence for SALW and ammunition, Member States will take into account the diversion record of intended recipients and intermediaries; and</w:t>
            </w:r>
          </w:p>
          <w:p>
            <w:pPr>
              <w:pStyle w:val="PlainText"/>
              <w:numPr>
                <w:ilvl w:val="0"/>
                <w:numId w:val="2"/>
              </w:numPr>
              <w:tabs>
                <w:tab w:val="left" w:pos="34"/>
              </w:tabs>
              <w:spacing w:after="120"/>
              <w:ind w:left="318" w:hanging="318"/>
              <w:jc w:val="both"/>
              <w:rPr>
                <w:rFonts w:ascii="Times New Roman" w:hAnsi="Times New Roman"/>
                <w:noProof/>
                <w:sz w:val="24"/>
                <w:szCs w:val="24"/>
                <w:lang w:val="en-GB"/>
              </w:rPr>
            </w:pPr>
            <w:r>
              <w:rPr>
                <w:rFonts w:ascii="Times New Roman" w:hAnsi="Times New Roman"/>
                <w:noProof/>
                <w:sz w:val="24"/>
                <w:szCs w:val="24"/>
                <w:lang w:val="en-GB"/>
              </w:rPr>
              <w:t>Given the limited scope of the Commission Recommendation of 17 April 2018, the Member States are invited to use the European criminal records information system (ECRIS) and the future ECRIS-TCN (third</w:t>
            </w:r>
            <w:r>
              <w:rPr>
                <w:rFonts w:ascii="Times New Roman" w:hAnsi="Times New Roman"/>
                <w:noProof/>
                <w:sz w:val="24"/>
                <w:szCs w:val="24"/>
                <w:lang w:val="en-GB"/>
              </w:rPr>
              <w:noBreakHyphen/>
              <w:t>country nationals) system to ensure that criminal records information on entities/persons convicted for arms trafficking is available to arms export control authorities for use in their risk assessment of licence application for military technology and equipment.</w:t>
            </w:r>
          </w:p>
        </w:tc>
      </w:tr>
    </w:tbl>
    <w:p>
      <w:pPr>
        <w:pStyle w:val="PlainText"/>
        <w:jc w:val="both"/>
        <w:rPr>
          <w:rFonts w:ascii="Times New Roman" w:hAnsi="Times New Roman"/>
          <w:noProof/>
          <w:sz w:val="24"/>
          <w:szCs w:val="24"/>
          <w:lang w:val="en-GB"/>
        </w:rPr>
      </w:pPr>
    </w:p>
    <w:p>
      <w:pPr>
        <w:keepNext/>
        <w:spacing w:after="240" w:line="240" w:lineRule="auto"/>
        <w:ind w:left="567" w:hanging="567"/>
        <w:jc w:val="both"/>
        <w:rPr>
          <w:rFonts w:ascii="Times New Roman" w:hAnsi="Times New Roman" w:cs="Times New Roman"/>
          <w:b/>
          <w:noProof/>
          <w:sz w:val="24"/>
          <w:szCs w:val="24"/>
        </w:rPr>
      </w:pPr>
      <w:r>
        <w:rPr>
          <w:rFonts w:ascii="Times New Roman" w:hAnsi="Times New Roman" w:cs="Times New Roman"/>
          <w:b/>
          <w:noProof/>
          <w:sz w:val="24"/>
          <w:szCs w:val="24"/>
        </w:rPr>
        <w:t>2.2.3</w:t>
      </w:r>
      <w:r>
        <w:rPr>
          <w:rFonts w:ascii="Times New Roman" w:hAnsi="Times New Roman" w:cs="Times New Roman"/>
          <w:b/>
          <w:noProof/>
          <w:sz w:val="24"/>
          <w:szCs w:val="24"/>
        </w:rPr>
        <w:tab/>
        <w:t>Secure SALW and ammunition stockpile management</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secure management of national small arms and ammunition stockpiles is instrumental in curbing illicit proliferation. Poor stockpile security is a key factor allowing arms and ammunition to be diverted from the licit to the illicit markets. Stockpile security is especially precarious in states affected by violent conflict or weak governance. </w:t>
      </w:r>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9072"/>
      </w:tblGrid>
      <w:tr>
        <w:tc>
          <w:tcPr>
            <w:tcW w:w="9072" w:type="dxa"/>
          </w:tcPr>
          <w:p>
            <w:pPr>
              <w:pStyle w:val="PlainText"/>
              <w:spacing w:after="120"/>
              <w:jc w:val="both"/>
              <w:rPr>
                <w:rFonts w:ascii="Times New Roman" w:hAnsi="Times New Roman"/>
                <w:b/>
                <w:i/>
                <w:noProof/>
                <w:sz w:val="24"/>
                <w:szCs w:val="24"/>
                <w:lang w:val="en-GB"/>
              </w:rPr>
            </w:pPr>
            <w:r>
              <w:rPr>
                <w:rFonts w:ascii="Times New Roman" w:hAnsi="Times New Roman"/>
                <w:b/>
                <w:i/>
                <w:noProof/>
                <w:sz w:val="24"/>
                <w:szCs w:val="24"/>
                <w:lang w:val="en-GB"/>
              </w:rPr>
              <w:t>Actions:</w:t>
            </w:r>
          </w:p>
          <w:p>
            <w:pPr>
              <w:pStyle w:val="PlainText"/>
              <w:numPr>
                <w:ilvl w:val="0"/>
                <w:numId w:val="2"/>
              </w:numPr>
              <w:tabs>
                <w:tab w:val="left" w:pos="34"/>
              </w:tabs>
              <w:spacing w:after="120"/>
              <w:ind w:left="318" w:hanging="318"/>
              <w:jc w:val="both"/>
              <w:rPr>
                <w:rFonts w:ascii="Times New Roman" w:hAnsi="Times New Roman"/>
                <w:noProof/>
                <w:sz w:val="24"/>
                <w:szCs w:val="24"/>
                <w:lang w:val="en-GB"/>
              </w:rPr>
            </w:pPr>
            <w:r>
              <w:rPr>
                <w:rFonts w:ascii="Times New Roman" w:hAnsi="Times New Roman"/>
                <w:noProof/>
                <w:sz w:val="24"/>
                <w:szCs w:val="24"/>
                <w:lang w:val="en-GB"/>
              </w:rPr>
              <w:t xml:space="preserve">The EU and its Member States will </w:t>
            </w:r>
            <w:r>
              <w:rPr>
                <w:rFonts w:ascii="Times New Roman" w:eastAsia="Times New Roman" w:hAnsi="Times New Roman"/>
                <w:noProof/>
                <w:color w:val="000000"/>
                <w:sz w:val="24"/>
                <w:szCs w:val="24"/>
                <w:lang w:val="en-GB" w:eastAsia="en-GB"/>
              </w:rPr>
              <w:t>continue to help other countries to improve the management and security of state-held stockpiles by strengthening national legislative and administrative frameworks and institutions that regulate the legitimate supply and stockpile management of SALW and ammunition for defence and security forces, with a particular focus on marking and record-keeping; and</w:t>
            </w:r>
          </w:p>
          <w:p>
            <w:pPr>
              <w:pStyle w:val="PlainText"/>
              <w:numPr>
                <w:ilvl w:val="0"/>
                <w:numId w:val="2"/>
              </w:numPr>
              <w:tabs>
                <w:tab w:val="left" w:pos="34"/>
              </w:tabs>
              <w:spacing w:after="120"/>
              <w:ind w:left="318" w:hanging="318"/>
              <w:jc w:val="both"/>
              <w:rPr>
                <w:rFonts w:ascii="Times New Roman" w:hAnsi="Times New Roman"/>
                <w:noProof/>
                <w:sz w:val="24"/>
                <w:szCs w:val="24"/>
                <w:lang w:val="en-GB"/>
              </w:rPr>
            </w:pPr>
            <w:r>
              <w:rPr>
                <w:rFonts w:ascii="Times New Roman" w:hAnsi="Times New Roman"/>
                <w:noProof/>
                <w:sz w:val="24"/>
                <w:szCs w:val="24"/>
                <w:lang w:val="en-GB"/>
              </w:rPr>
              <w:t>The EU will</w:t>
            </w:r>
            <w:r>
              <w:rPr>
                <w:rFonts w:ascii="Times New Roman" w:eastAsia="Times New Roman" w:hAnsi="Times New Roman"/>
                <w:noProof/>
                <w:sz w:val="24"/>
                <w:szCs w:val="24"/>
                <w:lang w:val="en-GB" w:eastAsia="en-GB"/>
              </w:rPr>
              <w:t xml:space="preserve"> promote and implement standards and </w:t>
            </w:r>
            <w:r>
              <w:rPr>
                <w:rFonts w:ascii="Times New Roman" w:eastAsia="Times New Roman" w:hAnsi="Times New Roman"/>
                <w:noProof/>
                <w:color w:val="000000"/>
                <w:sz w:val="24"/>
                <w:szCs w:val="24"/>
                <w:lang w:val="en-GB" w:eastAsia="en-GB"/>
              </w:rPr>
              <w:t>good</w:t>
            </w:r>
            <w:r>
              <w:rPr>
                <w:rFonts w:ascii="Times New Roman" w:eastAsia="Times New Roman" w:hAnsi="Times New Roman"/>
                <w:noProof/>
                <w:sz w:val="24"/>
                <w:szCs w:val="24"/>
                <w:lang w:val="en-GB" w:eastAsia="en-GB"/>
              </w:rPr>
              <w:t xml:space="preserve"> practices for the handling of small arms (international small arms control standards (ISACSs)) and ammunition (international ammunition technical guidelines (IATGs)).</w:t>
            </w:r>
          </w:p>
        </w:tc>
      </w:tr>
    </w:tbl>
    <w:p>
      <w:pPr>
        <w:spacing w:after="0" w:line="240" w:lineRule="auto"/>
        <w:jc w:val="both"/>
        <w:rPr>
          <w:rFonts w:ascii="Times New Roman" w:hAnsi="Times New Roman" w:cs="Times New Roman"/>
          <w:noProof/>
          <w:sz w:val="24"/>
          <w:szCs w:val="24"/>
        </w:rPr>
      </w:pPr>
    </w:p>
    <w:p>
      <w:pPr>
        <w:keepNext/>
        <w:spacing w:after="240" w:line="240" w:lineRule="auto"/>
        <w:ind w:left="567" w:hanging="567"/>
        <w:jc w:val="both"/>
        <w:rPr>
          <w:rFonts w:ascii="Times New Roman" w:hAnsi="Times New Roman" w:cs="Times New Roman"/>
          <w:b/>
          <w:noProof/>
          <w:sz w:val="24"/>
          <w:szCs w:val="24"/>
        </w:rPr>
      </w:pPr>
      <w:r>
        <w:rPr>
          <w:rFonts w:ascii="Times New Roman" w:hAnsi="Times New Roman" w:cs="Times New Roman"/>
          <w:b/>
          <w:noProof/>
          <w:sz w:val="24"/>
          <w:szCs w:val="24"/>
        </w:rPr>
        <w:t>2.2.4</w:t>
      </w:r>
      <w:r>
        <w:rPr>
          <w:rFonts w:ascii="Times New Roman" w:hAnsi="Times New Roman" w:cs="Times New Roman"/>
          <w:b/>
          <w:noProof/>
          <w:sz w:val="24"/>
          <w:szCs w:val="24"/>
        </w:rPr>
        <w:tab/>
        <w:t>Responsible disposal of SALW and their ammunition</w:t>
      </w:r>
    </w:p>
    <w:p>
      <w:pPr>
        <w:pStyle w:val="NormalWeb"/>
        <w:spacing w:before="0" w:beforeAutospacing="0" w:after="240" w:afterAutospacing="0"/>
        <w:jc w:val="both"/>
        <w:rPr>
          <w:noProof/>
        </w:rPr>
      </w:pPr>
      <w:r>
        <w:rPr>
          <w:noProof/>
        </w:rPr>
        <w:t>Surpluses of SALW and ammunition arise when stockpiles exceed immediate and projected needs. Also, illicit arms that are seized or collected in the context of voluntary collection or disarmament, demobilisation and re-integration campaigns often end up in stockpiles. The only way to eliminate the risk of these surpluses being diverted is to dispose of them responsibly, preferably by destruction as deactivation can be reversible if not performed according to appropriate standards. Before destroying seized and collected firearms their marking must be recorded in order to allow tracing or other investigations into their origins. The Commission has adopted common guidelines on deactivation standards and techniques</w:t>
      </w:r>
      <w:r>
        <w:rPr>
          <w:rStyle w:val="FootnoteReference"/>
          <w:noProof/>
        </w:rPr>
        <w:footnoteReference w:id="27"/>
      </w:r>
      <w:r>
        <w:rPr>
          <w:noProof/>
        </w:rPr>
        <w:t xml:space="preserve"> which can usefully serve as a global template for the secure and irreversible deactivation of firearms.</w:t>
      </w:r>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9072"/>
      </w:tblGrid>
      <w:tr>
        <w:tc>
          <w:tcPr>
            <w:tcW w:w="9072" w:type="dxa"/>
          </w:tcPr>
          <w:p>
            <w:pPr>
              <w:pStyle w:val="PlainText"/>
              <w:spacing w:after="120"/>
              <w:jc w:val="both"/>
              <w:rPr>
                <w:rFonts w:ascii="Times New Roman" w:hAnsi="Times New Roman"/>
                <w:b/>
                <w:i/>
                <w:noProof/>
                <w:sz w:val="24"/>
                <w:szCs w:val="24"/>
                <w:lang w:val="en-GB"/>
              </w:rPr>
            </w:pPr>
            <w:r>
              <w:rPr>
                <w:rFonts w:ascii="Times New Roman" w:hAnsi="Times New Roman"/>
                <w:b/>
                <w:i/>
                <w:noProof/>
                <w:sz w:val="24"/>
                <w:szCs w:val="24"/>
                <w:lang w:val="en-GB"/>
              </w:rPr>
              <w:t>Actions:</w:t>
            </w:r>
          </w:p>
          <w:p>
            <w:pPr>
              <w:pStyle w:val="PlainText"/>
              <w:numPr>
                <w:ilvl w:val="0"/>
                <w:numId w:val="2"/>
              </w:numPr>
              <w:tabs>
                <w:tab w:val="left" w:pos="0"/>
              </w:tabs>
              <w:spacing w:after="120"/>
              <w:ind w:left="318" w:hanging="318"/>
              <w:jc w:val="both"/>
              <w:rPr>
                <w:rFonts w:ascii="Times New Roman" w:hAnsi="Times New Roman"/>
                <w:noProof/>
                <w:sz w:val="24"/>
                <w:szCs w:val="24"/>
                <w:lang w:val="en-GB"/>
              </w:rPr>
            </w:pPr>
            <w:r>
              <w:rPr>
                <w:rFonts w:ascii="Times New Roman" w:hAnsi="Times New Roman"/>
                <w:noProof/>
                <w:sz w:val="24"/>
                <w:szCs w:val="24"/>
                <w:lang w:val="en-GB"/>
              </w:rPr>
              <w:t xml:space="preserve">The EU and its Member States will promote and assist in the responsible disposal of surplus, seized and </w:t>
            </w:r>
            <w:r>
              <w:rPr>
                <w:rFonts w:ascii="Times New Roman" w:eastAsia="Times New Roman" w:hAnsi="Times New Roman"/>
                <w:noProof/>
                <w:color w:val="000000"/>
                <w:sz w:val="24"/>
                <w:szCs w:val="24"/>
                <w:lang w:val="en-GB" w:eastAsia="en-GB"/>
              </w:rPr>
              <w:t>otherwise</w:t>
            </w:r>
            <w:r>
              <w:rPr>
                <w:rFonts w:ascii="Times New Roman" w:hAnsi="Times New Roman"/>
                <w:noProof/>
                <w:sz w:val="24"/>
                <w:szCs w:val="24"/>
                <w:lang w:val="en-GB"/>
              </w:rPr>
              <w:t xml:space="preserve"> retrieved SALW and ammunition, preferably through destruction; and</w:t>
            </w:r>
          </w:p>
          <w:p>
            <w:pPr>
              <w:pStyle w:val="PlainText"/>
              <w:numPr>
                <w:ilvl w:val="0"/>
                <w:numId w:val="2"/>
              </w:numPr>
              <w:tabs>
                <w:tab w:val="left" w:pos="0"/>
              </w:tabs>
              <w:spacing w:after="120"/>
              <w:ind w:left="318" w:hanging="318"/>
              <w:jc w:val="both"/>
              <w:rPr>
                <w:rFonts w:ascii="Times New Roman" w:hAnsi="Times New Roman"/>
                <w:noProof/>
                <w:sz w:val="24"/>
                <w:szCs w:val="24"/>
                <w:lang w:val="en-GB"/>
              </w:rPr>
            </w:pPr>
            <w:r>
              <w:rPr>
                <w:rFonts w:ascii="Times New Roman" w:hAnsi="Times New Roman"/>
                <w:noProof/>
                <w:sz w:val="24"/>
                <w:szCs w:val="24"/>
                <w:lang w:val="en-GB"/>
              </w:rPr>
              <w:t>To ensure that deactivated firearms are rendered irreversibly inoperable, the Commission, together with the High Representative and the Member States, will promote EU firearms deactivation standards abroad, including through its cooperation with third states.</w:t>
            </w:r>
          </w:p>
        </w:tc>
      </w:tr>
    </w:tbl>
    <w:p>
      <w:pPr>
        <w:autoSpaceDE w:val="0"/>
        <w:autoSpaceDN w:val="0"/>
        <w:adjustRightInd w:val="0"/>
        <w:spacing w:after="0" w:line="240" w:lineRule="auto"/>
        <w:rPr>
          <w:rFonts w:ascii="Times New Roman" w:hAnsi="Times New Roman" w:cs="Times New Roman"/>
          <w:bCs/>
          <w:noProof/>
          <w:sz w:val="24"/>
          <w:szCs w:val="24"/>
        </w:rPr>
      </w:pPr>
    </w:p>
    <w:p>
      <w:pPr>
        <w:keepNext/>
        <w:spacing w:after="240" w:line="240" w:lineRule="auto"/>
        <w:ind w:left="567" w:hanging="567"/>
        <w:jc w:val="both"/>
        <w:rPr>
          <w:rFonts w:ascii="Times New Roman" w:hAnsi="Times New Roman" w:cs="Times New Roman"/>
          <w:b/>
          <w:noProof/>
          <w:sz w:val="24"/>
          <w:szCs w:val="24"/>
        </w:rPr>
      </w:pPr>
      <w:r>
        <w:rPr>
          <w:rFonts w:ascii="Times New Roman" w:hAnsi="Times New Roman" w:cs="Times New Roman"/>
          <w:b/>
          <w:noProof/>
          <w:sz w:val="24"/>
          <w:szCs w:val="24"/>
        </w:rPr>
        <w:t>2.2.5</w:t>
      </w:r>
      <w:r>
        <w:rPr>
          <w:rFonts w:ascii="Times New Roman" w:hAnsi="Times New Roman" w:cs="Times New Roman"/>
          <w:b/>
          <w:noProof/>
          <w:sz w:val="24"/>
          <w:szCs w:val="24"/>
        </w:rPr>
        <w:tab/>
        <w:t>Cross-cutting issues</w:t>
      </w:r>
    </w:p>
    <w:p>
      <w:pPr>
        <w:pStyle w:val="ListParagraph"/>
        <w:spacing w:after="240" w:line="240" w:lineRule="auto"/>
        <w:ind w:left="0"/>
        <w:contextualSpacing w:val="0"/>
        <w:jc w:val="both"/>
        <w:rPr>
          <w:rFonts w:ascii="Times New Roman" w:hAnsi="Times New Roman" w:cs="Times New Roman"/>
          <w:noProof/>
          <w:sz w:val="24"/>
          <w:szCs w:val="24"/>
        </w:rPr>
      </w:pPr>
      <w:r>
        <w:rPr>
          <w:rFonts w:ascii="Times New Roman" w:hAnsi="Times New Roman" w:cs="Times New Roman"/>
          <w:noProof/>
          <w:sz w:val="24"/>
          <w:szCs w:val="24"/>
        </w:rPr>
        <w:t xml:space="preserve">The EU and its Member States are committed to improving the coordination of their actions and initiatives in the fight against firearms trafficking, in order to exploit </w:t>
      </w:r>
      <w:r>
        <w:rPr>
          <w:rFonts w:ascii="Times New Roman" w:eastAsia="Times New Roman" w:hAnsi="Times New Roman" w:cs="Times New Roman"/>
          <w:noProof/>
          <w:color w:val="000000"/>
          <w:sz w:val="24"/>
          <w:szCs w:val="24"/>
          <w:lang w:eastAsia="en-GB"/>
        </w:rPr>
        <w:t xml:space="preserve">synergies, enhance interoperability between relevant databases and other information systems, and </w:t>
      </w:r>
      <w:r>
        <w:rPr>
          <w:rFonts w:ascii="Times New Roman" w:hAnsi="Times New Roman" w:cs="Times New Roman"/>
          <w:noProof/>
          <w:sz w:val="24"/>
          <w:szCs w:val="24"/>
        </w:rPr>
        <w:t>prevent duplication of effort</w:t>
      </w:r>
      <w:r>
        <w:rPr>
          <w:rFonts w:ascii="Times New Roman" w:hAnsi="Times New Roman" w:cs="Times New Roman"/>
          <w:bCs/>
          <w:noProof/>
          <w:sz w:val="24"/>
          <w:szCs w:val="24"/>
        </w:rPr>
        <w:t xml:space="preserve">.  </w:t>
      </w:r>
    </w:p>
    <w:p>
      <w:pPr>
        <w:pStyle w:val="ListParagraph"/>
        <w:spacing w:after="240" w:line="240" w:lineRule="auto"/>
        <w:ind w:left="0"/>
        <w:contextualSpacing w:val="0"/>
        <w:jc w:val="both"/>
        <w:rPr>
          <w:rFonts w:ascii="Times New Roman" w:hAnsi="Times New Roman" w:cs="Times New Roman"/>
          <w:noProof/>
          <w:sz w:val="24"/>
          <w:szCs w:val="24"/>
        </w:rPr>
      </w:pPr>
      <w:r>
        <w:rPr>
          <w:rFonts w:ascii="Times New Roman" w:hAnsi="Times New Roman" w:cs="Times New Roman"/>
          <w:bCs/>
          <w:noProof/>
          <w:sz w:val="24"/>
          <w:szCs w:val="24"/>
        </w:rPr>
        <w:t xml:space="preserve">Improved information sharing, research, data collection and analysis on the various aspects of firearms trafficking and gun crime are essential to compile a good intelligence picture and to keep up-to-date with evolving security needs. </w:t>
      </w:r>
      <w:r>
        <w:rPr>
          <w:rFonts w:ascii="Times New Roman" w:hAnsi="Times New Roman" w:cs="Times New Roman"/>
          <w:noProof/>
          <w:sz w:val="24"/>
          <w:szCs w:val="24"/>
        </w:rPr>
        <w:t>There is a need to improve the use of existing tools and assess possible synergies and interoperability between existing EU and international law</w:t>
      </w:r>
      <w:r>
        <w:rPr>
          <w:rFonts w:ascii="Times New Roman" w:hAnsi="Times New Roman" w:cs="Times New Roman"/>
          <w:noProof/>
          <w:sz w:val="24"/>
          <w:szCs w:val="24"/>
        </w:rPr>
        <w:noBreakHyphen/>
        <w:t>enforcement databases to monitor the trafficking of SALW, inter alia</w:t>
      </w:r>
      <w:r>
        <w:rPr>
          <w:rFonts w:ascii="Times New Roman" w:hAnsi="Times New Roman" w:cs="Times New Roman"/>
          <w:i/>
          <w:noProof/>
          <w:sz w:val="24"/>
          <w:szCs w:val="24"/>
        </w:rPr>
        <w:t xml:space="preserve"> </w:t>
      </w:r>
      <w:r>
        <w:rPr>
          <w:rFonts w:ascii="Times New Roman" w:hAnsi="Times New Roman" w:cs="Times New Roman"/>
          <w:noProof/>
          <w:sz w:val="24"/>
          <w:szCs w:val="24"/>
        </w:rPr>
        <w:t>by collecting, analysing and sharing relevant information. Europol and the European Border and Coast Guard Agency (EBCGA) can play a role in this area and further use of the iARMS system should also be encouraged.</w:t>
      </w:r>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9072"/>
      </w:tblGrid>
      <w:tr>
        <w:tc>
          <w:tcPr>
            <w:tcW w:w="9072" w:type="dxa"/>
          </w:tcPr>
          <w:p>
            <w:pPr>
              <w:pStyle w:val="PlainText"/>
              <w:tabs>
                <w:tab w:val="left" w:pos="377"/>
              </w:tabs>
              <w:spacing w:after="120"/>
              <w:jc w:val="both"/>
              <w:rPr>
                <w:rFonts w:ascii="Times New Roman" w:hAnsi="Times New Roman"/>
                <w:noProof/>
                <w:sz w:val="24"/>
                <w:szCs w:val="24"/>
                <w:lang w:val="en-GB"/>
              </w:rPr>
            </w:pPr>
            <w:r>
              <w:rPr>
                <w:rFonts w:ascii="Times New Roman" w:hAnsi="Times New Roman"/>
                <w:b/>
                <w:i/>
                <w:noProof/>
                <w:sz w:val="24"/>
                <w:szCs w:val="24"/>
                <w:lang w:val="en-GB"/>
              </w:rPr>
              <w:t>Actions:</w:t>
            </w:r>
          </w:p>
          <w:p>
            <w:pPr>
              <w:pStyle w:val="PlainText"/>
              <w:numPr>
                <w:ilvl w:val="0"/>
                <w:numId w:val="2"/>
              </w:numPr>
              <w:tabs>
                <w:tab w:val="left" w:pos="34"/>
              </w:tabs>
              <w:spacing w:after="120"/>
              <w:ind w:left="318" w:hanging="318"/>
              <w:jc w:val="both"/>
              <w:rPr>
                <w:rFonts w:ascii="Times New Roman" w:hAnsi="Times New Roman"/>
                <w:noProof/>
                <w:sz w:val="24"/>
                <w:szCs w:val="24"/>
                <w:lang w:val="en-GB"/>
              </w:rPr>
            </w:pPr>
            <w:r>
              <w:rPr>
                <w:rFonts w:ascii="Times New Roman" w:hAnsi="Times New Roman"/>
                <w:noProof/>
                <w:sz w:val="24"/>
                <w:szCs w:val="24"/>
                <w:lang w:val="en-GB"/>
              </w:rPr>
              <w:t>The EU will encourage further use of the iARMS system;</w:t>
            </w:r>
          </w:p>
          <w:p>
            <w:pPr>
              <w:pStyle w:val="PlainText"/>
              <w:numPr>
                <w:ilvl w:val="0"/>
                <w:numId w:val="2"/>
              </w:numPr>
              <w:tabs>
                <w:tab w:val="left" w:pos="34"/>
              </w:tabs>
              <w:spacing w:after="120"/>
              <w:ind w:left="318" w:hanging="318"/>
              <w:jc w:val="both"/>
              <w:rPr>
                <w:rFonts w:ascii="Times New Roman" w:hAnsi="Times New Roman"/>
                <w:noProof/>
                <w:sz w:val="24"/>
                <w:szCs w:val="24"/>
                <w:lang w:val="en-GB"/>
              </w:rPr>
            </w:pPr>
            <w:r>
              <w:rPr>
                <w:rFonts w:ascii="Times New Roman" w:hAnsi="Times New Roman"/>
                <w:noProof/>
                <w:color w:val="000000"/>
                <w:sz w:val="24"/>
                <w:szCs w:val="24"/>
                <w:lang w:val="en-GB" w:eastAsia="en-GB"/>
              </w:rPr>
              <w:t>The Commission will pursue cooperation with Europol, INTERPOL and the Member States to enhance synergies and interactions between the Schengen Information System (SIS)</w:t>
            </w:r>
            <w:r>
              <w:rPr>
                <w:noProof/>
                <w:vertAlign w:val="superscript"/>
                <w:lang w:val="en-GB"/>
              </w:rPr>
              <w:footnoteReference w:id="28"/>
            </w:r>
            <w:r>
              <w:rPr>
                <w:rFonts w:ascii="Times New Roman" w:hAnsi="Times New Roman"/>
                <w:noProof/>
                <w:color w:val="000000"/>
                <w:sz w:val="24"/>
                <w:szCs w:val="24"/>
                <w:lang w:val="en-GB" w:eastAsia="en-GB"/>
              </w:rPr>
              <w:t xml:space="preserve"> and Interpol’s illicit arms records and tracing management system (iARMS)</w:t>
            </w:r>
            <w:r>
              <w:rPr>
                <w:noProof/>
                <w:vertAlign w:val="superscript"/>
                <w:lang w:val="en-GB"/>
              </w:rPr>
              <w:footnoteReference w:id="29"/>
            </w:r>
            <w:r>
              <w:rPr>
                <w:rFonts w:ascii="Times New Roman" w:hAnsi="Times New Roman"/>
                <w:noProof/>
                <w:color w:val="000000"/>
                <w:sz w:val="24"/>
                <w:szCs w:val="24"/>
                <w:lang w:val="en-GB" w:eastAsia="en-GB"/>
              </w:rPr>
              <w:t xml:space="preserve"> to follow up action envisaged by the EU Action Plan against illicit trafficking in and use of firearms and explosives</w:t>
            </w:r>
            <w:r>
              <w:rPr>
                <w:rStyle w:val="FootnoteReference"/>
                <w:rFonts w:ascii="Times New Roman" w:hAnsi="Times New Roman"/>
                <w:noProof/>
                <w:color w:val="000000"/>
                <w:sz w:val="24"/>
                <w:szCs w:val="24"/>
                <w:lang w:eastAsia="en-GB"/>
              </w:rPr>
              <w:footnoteReference w:id="30"/>
            </w:r>
            <w:r>
              <w:rPr>
                <w:rFonts w:ascii="Times New Roman" w:hAnsi="Times New Roman"/>
                <w:noProof/>
                <w:color w:val="000000"/>
                <w:sz w:val="24"/>
                <w:szCs w:val="24"/>
                <w:lang w:val="en-GB" w:eastAsia="en-GB"/>
              </w:rPr>
              <w:t xml:space="preserve"> </w:t>
            </w:r>
          </w:p>
          <w:p>
            <w:pPr>
              <w:pStyle w:val="PlainText"/>
              <w:numPr>
                <w:ilvl w:val="0"/>
                <w:numId w:val="2"/>
              </w:numPr>
              <w:tabs>
                <w:tab w:val="left" w:pos="34"/>
              </w:tabs>
              <w:spacing w:after="120"/>
              <w:ind w:left="318" w:hanging="318"/>
              <w:jc w:val="both"/>
              <w:rPr>
                <w:rFonts w:ascii="Times New Roman" w:hAnsi="Times New Roman"/>
                <w:noProof/>
                <w:sz w:val="24"/>
                <w:szCs w:val="24"/>
                <w:lang w:val="en-GB"/>
              </w:rPr>
            </w:pPr>
            <w:r>
              <w:rPr>
                <w:rFonts w:ascii="Times New Roman" w:hAnsi="Times New Roman"/>
                <w:bCs/>
                <w:noProof/>
                <w:sz w:val="24"/>
                <w:szCs w:val="24"/>
                <w:lang w:val="en-GB"/>
              </w:rPr>
              <w:t xml:space="preserve">The </w:t>
            </w:r>
            <w:r>
              <w:rPr>
                <w:rFonts w:ascii="Times New Roman" w:hAnsi="Times New Roman"/>
                <w:noProof/>
                <w:sz w:val="24"/>
                <w:szCs w:val="24"/>
                <w:lang w:val="en-GB"/>
              </w:rPr>
              <w:t>Commission</w:t>
            </w:r>
            <w:r>
              <w:rPr>
                <w:rFonts w:ascii="Times New Roman" w:hAnsi="Times New Roman"/>
                <w:bCs/>
                <w:noProof/>
                <w:sz w:val="24"/>
                <w:szCs w:val="24"/>
                <w:lang w:val="en-GB"/>
              </w:rPr>
              <w:t xml:space="preserve"> will continue to carry on supporting and promoting research and actions against firearms trafficking and related crime through the available funding instruments</w:t>
            </w:r>
            <w:r>
              <w:rPr>
                <w:rStyle w:val="FootnoteReference"/>
                <w:rFonts w:ascii="Times New Roman" w:hAnsi="Times New Roman"/>
                <w:bCs/>
                <w:noProof/>
                <w:sz w:val="24"/>
                <w:szCs w:val="24"/>
                <w:lang w:val="en-GB"/>
              </w:rPr>
              <w:footnoteReference w:id="31"/>
            </w:r>
            <w:r>
              <w:rPr>
                <w:rFonts w:ascii="Times New Roman" w:hAnsi="Times New Roman"/>
                <w:bCs/>
                <w:noProof/>
                <w:sz w:val="24"/>
                <w:szCs w:val="24"/>
                <w:lang w:val="en-GB"/>
              </w:rPr>
              <w:t>.</w:t>
            </w:r>
          </w:p>
        </w:tc>
      </w:tr>
    </w:tbl>
    <w:p>
      <w:pPr>
        <w:spacing w:after="0" w:line="240" w:lineRule="auto"/>
        <w:jc w:val="both"/>
        <w:rPr>
          <w:rFonts w:ascii="Times New Roman" w:hAnsi="Times New Roman" w:cs="Times New Roman"/>
          <w:b/>
          <w:noProof/>
          <w:sz w:val="24"/>
          <w:szCs w:val="24"/>
        </w:rPr>
      </w:pPr>
    </w:p>
    <w:p>
      <w:pPr>
        <w:keepNext/>
        <w:spacing w:after="240" w:line="240" w:lineRule="auto"/>
        <w:ind w:left="567" w:hanging="567"/>
        <w:jc w:val="both"/>
        <w:rPr>
          <w:rFonts w:ascii="Times New Roman" w:hAnsi="Times New Roman" w:cs="Times New Roman"/>
          <w:b/>
          <w:noProof/>
          <w:sz w:val="24"/>
          <w:szCs w:val="24"/>
        </w:rPr>
      </w:pPr>
      <w:r>
        <w:rPr>
          <w:rFonts w:ascii="Times New Roman" w:hAnsi="Times New Roman" w:cs="Times New Roman"/>
          <w:b/>
          <w:noProof/>
          <w:sz w:val="24"/>
          <w:szCs w:val="24"/>
        </w:rPr>
        <w:t xml:space="preserve">2.3 </w:t>
      </w:r>
      <w:r>
        <w:rPr>
          <w:rFonts w:ascii="Times New Roman" w:hAnsi="Times New Roman" w:cs="Times New Roman"/>
          <w:b/>
          <w:noProof/>
          <w:sz w:val="24"/>
          <w:szCs w:val="24"/>
        </w:rPr>
        <w:tab/>
        <w:t>Compliance through monitoring and enforcement</w:t>
      </w:r>
    </w:p>
    <w:p>
      <w:pPr>
        <w:pStyle w:val="ListParagraph"/>
        <w:spacing w:after="240" w:line="240" w:lineRule="auto"/>
        <w:ind w:left="0"/>
        <w:contextualSpacing w:val="0"/>
        <w:jc w:val="both"/>
        <w:rPr>
          <w:rFonts w:ascii="Times New Roman" w:hAnsi="Times New Roman"/>
          <w:bCs/>
          <w:noProof/>
          <w:sz w:val="24"/>
          <w:szCs w:val="24"/>
        </w:rPr>
      </w:pPr>
      <w:r>
        <w:rPr>
          <w:rFonts w:ascii="Times New Roman" w:hAnsi="Times New Roman"/>
          <w:noProof/>
          <w:sz w:val="24"/>
          <w:szCs w:val="24"/>
        </w:rPr>
        <w:t>The EU is uniquely placed to help disrupt criminal markets through its legislative and operational work, including police and customs cooperation and funding streams, and through cooperation and engagement with other countries and international organisations in the field of law enforcement</w:t>
      </w:r>
      <w:r>
        <w:rPr>
          <w:rStyle w:val="FootnoteReference"/>
          <w:rFonts w:ascii="Times New Roman" w:hAnsi="Times New Roman"/>
          <w:b/>
          <w:noProof/>
          <w:sz w:val="24"/>
          <w:szCs w:val="24"/>
        </w:rPr>
        <w:footnoteReference w:id="32"/>
      </w:r>
      <w:r>
        <w:rPr>
          <w:rFonts w:ascii="Times New Roman" w:hAnsi="Times New Roman"/>
          <w:noProof/>
          <w:sz w:val="24"/>
          <w:szCs w:val="24"/>
        </w:rPr>
        <w:t xml:space="preserve">. </w:t>
      </w:r>
      <w:r>
        <w:rPr>
          <w:rFonts w:ascii="Times New Roman" w:hAnsi="Times New Roman" w:cs="Times New Roman"/>
          <w:noProof/>
          <w:sz w:val="24"/>
          <w:szCs w:val="24"/>
        </w:rPr>
        <w:t xml:space="preserve">Europol and the European Border and Coast Guard Agency (EBCGA) can play a role in this area. </w:t>
      </w:r>
    </w:p>
    <w:p>
      <w:pPr>
        <w:spacing w:after="240" w:line="240" w:lineRule="auto"/>
        <w:jc w:val="both"/>
        <w:rPr>
          <w:rFonts w:ascii="Times New Roman" w:hAnsi="Times New Roman" w:cs="Times New Roman"/>
          <w:noProof/>
          <w:sz w:val="24"/>
          <w:szCs w:val="24"/>
        </w:rPr>
      </w:pPr>
      <w:r>
        <w:rPr>
          <w:rFonts w:ascii="Times New Roman" w:hAnsi="Times New Roman" w:cs="Times New Roman"/>
          <w:b/>
          <w:noProof/>
          <w:sz w:val="24"/>
          <w:szCs w:val="24"/>
        </w:rPr>
        <w:t>Operational cooperation</w:t>
      </w:r>
      <w:r>
        <w:rPr>
          <w:rFonts w:ascii="Times New Roman" w:hAnsi="Times New Roman" w:cs="Times New Roman"/>
          <w:noProof/>
          <w:sz w:val="24"/>
          <w:szCs w:val="24"/>
        </w:rPr>
        <w:t xml:space="preserve"> is one of the pillars of EU action under the European Agenda on Security. The Europol multiannual policy cycle for organised and serious international crime includes since the 2014-2017 cycle the fight against firearms trafficking among the priority crime areas in which to enhance law</w:t>
      </w:r>
      <w:r>
        <w:rPr>
          <w:rFonts w:ascii="Times New Roman" w:hAnsi="Times New Roman" w:cs="Times New Roman"/>
          <w:noProof/>
          <w:sz w:val="24"/>
          <w:szCs w:val="24"/>
        </w:rPr>
        <w:noBreakHyphen/>
        <w:t>enforcement cooperation.</w:t>
      </w:r>
      <w:r>
        <w:rPr>
          <w:rStyle w:val="FootnoteReference"/>
          <w:rFonts w:ascii="Times New Roman" w:hAnsi="Times New Roman" w:cs="Times New Roman"/>
          <w:noProof/>
          <w:sz w:val="24"/>
          <w:szCs w:val="24"/>
        </w:rPr>
        <w:footnoteReference w:id="33"/>
      </w:r>
      <w:r>
        <w:rPr>
          <w:rFonts w:ascii="Times New Roman" w:hAnsi="Times New Roman" w:cs="Times New Roman"/>
          <w:noProof/>
          <w:sz w:val="24"/>
          <w:szCs w:val="24"/>
        </w:rPr>
        <w:t xml:space="preserve"> The new (2018-2021) policy cycle for organised and serious international crime has maintained this priority.</w:t>
      </w:r>
      <w:r>
        <w:rPr>
          <w:rStyle w:val="FootnoteReference"/>
          <w:rFonts w:ascii="Times New Roman" w:hAnsi="Times New Roman" w:cs="Times New Roman"/>
          <w:noProof/>
          <w:sz w:val="24"/>
          <w:szCs w:val="24"/>
        </w:rPr>
        <w:footnoteReference w:id="34"/>
      </w:r>
      <w:r>
        <w:rPr>
          <w:rFonts w:ascii="Times New Roman" w:hAnsi="Times New Roman" w:cs="Times New Roman"/>
          <w:noProof/>
          <w:sz w:val="24"/>
          <w:szCs w:val="24"/>
        </w:rPr>
        <w:t xml:space="preserve"> In 2017, Europol’s weapons and explosives analysis project received substantially more contributions than in 2016, thus proactively supporting investigative action.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Intelligence on firearm/SALW trafficking is also shared through reports from the EU Intelligence Analysis Centre (EU-INTCEN).</w:t>
      </w:r>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9072"/>
      </w:tblGrid>
      <w:tr>
        <w:tc>
          <w:tcPr>
            <w:tcW w:w="9072" w:type="dxa"/>
          </w:tcPr>
          <w:p>
            <w:pPr>
              <w:pStyle w:val="PlainText"/>
              <w:spacing w:after="120"/>
              <w:jc w:val="both"/>
              <w:rPr>
                <w:rFonts w:ascii="Times New Roman" w:hAnsi="Times New Roman"/>
                <w:b/>
                <w:i/>
                <w:noProof/>
                <w:sz w:val="24"/>
                <w:szCs w:val="24"/>
                <w:lang w:val="en-GB"/>
              </w:rPr>
            </w:pPr>
            <w:r>
              <w:rPr>
                <w:rFonts w:ascii="Times New Roman" w:hAnsi="Times New Roman"/>
                <w:b/>
                <w:i/>
                <w:noProof/>
                <w:sz w:val="24"/>
                <w:szCs w:val="24"/>
                <w:lang w:val="en-GB"/>
              </w:rPr>
              <w:t>Actions:</w:t>
            </w:r>
          </w:p>
          <w:p>
            <w:pPr>
              <w:pStyle w:val="PlainText"/>
              <w:numPr>
                <w:ilvl w:val="0"/>
                <w:numId w:val="2"/>
              </w:numPr>
              <w:tabs>
                <w:tab w:val="left" w:pos="0"/>
              </w:tabs>
              <w:spacing w:after="240"/>
              <w:ind w:left="318" w:hanging="318"/>
              <w:jc w:val="both"/>
              <w:rPr>
                <w:rFonts w:ascii="Times New Roman" w:hAnsi="Times New Roman"/>
                <w:noProof/>
                <w:sz w:val="24"/>
                <w:szCs w:val="24"/>
                <w:lang w:val="en-GB"/>
              </w:rPr>
            </w:pPr>
            <w:r>
              <w:rPr>
                <w:rFonts w:ascii="Times New Roman" w:hAnsi="Times New Roman"/>
                <w:noProof/>
                <w:sz w:val="24"/>
                <w:szCs w:val="24"/>
                <w:lang w:val="en-GB"/>
              </w:rPr>
              <w:t>EU Intelligence Analysis Centre (EU-INTCEN) is requested, where necessary, in cooperation with the Commission, Europol and the EBCGA, to compile reports on SALW and ammunition trafficking;</w:t>
            </w:r>
          </w:p>
          <w:p>
            <w:pPr>
              <w:pStyle w:val="PlainText"/>
              <w:numPr>
                <w:ilvl w:val="0"/>
                <w:numId w:val="2"/>
              </w:numPr>
              <w:tabs>
                <w:tab w:val="left" w:pos="0"/>
              </w:tabs>
              <w:spacing w:after="120"/>
              <w:ind w:left="318" w:hanging="318"/>
              <w:jc w:val="both"/>
              <w:rPr>
                <w:rFonts w:ascii="Times New Roman" w:hAnsi="Times New Roman"/>
                <w:noProof/>
                <w:sz w:val="24"/>
                <w:szCs w:val="24"/>
                <w:lang w:val="en-GB"/>
              </w:rPr>
            </w:pPr>
            <w:r>
              <w:rPr>
                <w:rFonts w:ascii="Times New Roman" w:hAnsi="Times New Roman"/>
                <w:noProof/>
                <w:sz w:val="24"/>
                <w:szCs w:val="24"/>
                <w:lang w:val="en-GB"/>
              </w:rPr>
              <w:t>The EU Agency for Law Enforcement Training (CEPOL) should  continue to arrange training for law</w:t>
            </w:r>
            <w:r>
              <w:rPr>
                <w:rFonts w:ascii="Times New Roman" w:hAnsi="Times New Roman"/>
                <w:noProof/>
                <w:sz w:val="24"/>
                <w:szCs w:val="24"/>
                <w:lang w:val="en-GB"/>
              </w:rPr>
              <w:noBreakHyphen/>
              <w:t>enforcement officials on firearms/SALW trafficking;</w:t>
            </w:r>
          </w:p>
          <w:p>
            <w:pPr>
              <w:pStyle w:val="PlainText"/>
              <w:numPr>
                <w:ilvl w:val="0"/>
                <w:numId w:val="2"/>
              </w:numPr>
              <w:tabs>
                <w:tab w:val="left" w:pos="0"/>
              </w:tabs>
              <w:spacing w:after="240"/>
              <w:ind w:left="318" w:hanging="318"/>
              <w:jc w:val="both"/>
              <w:rPr>
                <w:rFonts w:ascii="Times New Roman" w:hAnsi="Times New Roman"/>
                <w:noProof/>
                <w:sz w:val="24"/>
                <w:szCs w:val="24"/>
                <w:lang w:val="en-GB"/>
              </w:rPr>
            </w:pPr>
            <w:r>
              <w:rPr>
                <w:rFonts w:ascii="Times New Roman" w:hAnsi="Times New Roman"/>
                <w:noProof/>
                <w:sz w:val="24"/>
                <w:szCs w:val="24"/>
                <w:lang w:val="en-GB"/>
              </w:rPr>
              <w:t>The EU will improve cross</w:t>
            </w:r>
            <w:r>
              <w:rPr>
                <w:rFonts w:ascii="Times New Roman" w:hAnsi="Times New Roman"/>
                <w:noProof/>
                <w:sz w:val="24"/>
                <w:szCs w:val="24"/>
                <w:lang w:val="en-GB"/>
              </w:rPr>
              <w:noBreakHyphen/>
              <w:t>border cooperation between judicial and law</w:t>
            </w:r>
            <w:r>
              <w:rPr>
                <w:rFonts w:ascii="Times New Roman" w:hAnsi="Times New Roman"/>
                <w:noProof/>
                <w:sz w:val="24"/>
                <w:szCs w:val="24"/>
                <w:lang w:val="en-GB"/>
              </w:rPr>
              <w:noBreakHyphen/>
              <w:t>enforcement authorities, encourage the relevant Member State authorities, including customs authorities, to establish national focal points on firearms, produce better analysis of all information available in the area of illicit firearms and ensure full participation in the exchange of information with Europol in the area of firearms trafficking; and</w:t>
            </w:r>
          </w:p>
          <w:p>
            <w:pPr>
              <w:pStyle w:val="PlainText"/>
              <w:numPr>
                <w:ilvl w:val="0"/>
                <w:numId w:val="2"/>
              </w:numPr>
              <w:tabs>
                <w:tab w:val="left" w:pos="0"/>
              </w:tabs>
              <w:spacing w:after="240"/>
              <w:ind w:left="318" w:hanging="318"/>
              <w:jc w:val="both"/>
              <w:rPr>
                <w:rFonts w:ascii="Times New Roman" w:hAnsi="Times New Roman"/>
                <w:noProof/>
                <w:sz w:val="24"/>
                <w:szCs w:val="24"/>
                <w:lang w:val="en-GB"/>
              </w:rPr>
            </w:pPr>
            <w:r>
              <w:rPr>
                <w:rFonts w:ascii="Times New Roman" w:hAnsi="Times New Roman"/>
                <w:noProof/>
                <w:sz w:val="24"/>
                <w:szCs w:val="24"/>
                <w:lang w:val="en-GB"/>
              </w:rPr>
              <w:t>All Member States should ensure cooperation in the framework of the EU policy cycle for organised and serious international crime. This should also apply to such information collected and transmitted to the EBCGA in the context of operations coordinated by the Agency.</w:t>
            </w:r>
          </w:p>
        </w:tc>
      </w:tr>
    </w:tbl>
    <w:p>
      <w:pPr>
        <w:pStyle w:val="ListParagraph"/>
        <w:spacing w:after="0" w:line="240" w:lineRule="auto"/>
        <w:contextualSpacing w:val="0"/>
        <w:jc w:val="both"/>
        <w:rPr>
          <w:rFonts w:ascii="Times New Roman" w:hAnsi="Times New Roman" w:cs="Times New Roman"/>
          <w:bCs/>
          <w:noProof/>
          <w:sz w:val="24"/>
          <w:szCs w:val="24"/>
        </w:rPr>
      </w:pPr>
    </w:p>
    <w:p>
      <w:pPr>
        <w:spacing w:after="240" w:line="240" w:lineRule="auto"/>
        <w:ind w:left="567" w:hanging="567"/>
        <w:jc w:val="both"/>
        <w:rPr>
          <w:rFonts w:ascii="Times New Roman" w:hAnsi="Times New Roman" w:cs="Times New Roman"/>
          <w:b/>
          <w:noProof/>
          <w:sz w:val="24"/>
          <w:szCs w:val="24"/>
        </w:rPr>
      </w:pPr>
      <w:r>
        <w:rPr>
          <w:rFonts w:ascii="Times New Roman" w:hAnsi="Times New Roman" w:cs="Times New Roman"/>
          <w:b/>
          <w:noProof/>
          <w:sz w:val="24"/>
          <w:szCs w:val="24"/>
        </w:rPr>
        <w:t xml:space="preserve">2.4 </w:t>
      </w:r>
      <w:r>
        <w:rPr>
          <w:rFonts w:ascii="Times New Roman" w:hAnsi="Times New Roman" w:cs="Times New Roman"/>
          <w:b/>
          <w:noProof/>
          <w:sz w:val="24"/>
          <w:szCs w:val="24"/>
        </w:rPr>
        <w:tab/>
        <w:t>International cooperation and assistance</w:t>
      </w:r>
    </w:p>
    <w:p>
      <w:pPr>
        <w:keepNext/>
        <w:spacing w:after="240" w:line="240" w:lineRule="auto"/>
        <w:ind w:left="567" w:hanging="567"/>
        <w:jc w:val="both"/>
        <w:rPr>
          <w:rFonts w:ascii="Times New Roman" w:hAnsi="Times New Roman" w:cs="Times New Roman"/>
          <w:b/>
          <w:noProof/>
          <w:sz w:val="24"/>
          <w:szCs w:val="24"/>
        </w:rPr>
      </w:pPr>
      <w:r>
        <w:rPr>
          <w:rFonts w:ascii="Times New Roman" w:hAnsi="Times New Roman" w:cs="Times New Roman"/>
          <w:b/>
          <w:noProof/>
          <w:sz w:val="24"/>
          <w:szCs w:val="24"/>
        </w:rPr>
        <w:t xml:space="preserve">2.4.1 </w:t>
      </w:r>
      <w:r>
        <w:rPr>
          <w:rFonts w:ascii="Times New Roman" w:hAnsi="Times New Roman" w:cs="Times New Roman"/>
          <w:b/>
          <w:noProof/>
          <w:sz w:val="24"/>
          <w:szCs w:val="24"/>
        </w:rPr>
        <w:tab/>
        <w:t>At international level</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At international level, the EU supports effective cross-border cooperation between judicial and law</w:t>
      </w:r>
      <w:r>
        <w:rPr>
          <w:rFonts w:ascii="Times New Roman" w:hAnsi="Times New Roman" w:cs="Times New Roman"/>
          <w:noProof/>
          <w:sz w:val="24"/>
          <w:szCs w:val="24"/>
        </w:rPr>
        <w:noBreakHyphen/>
        <w:t xml:space="preserve">enforcement agencies to ensure authorities’ full participation in exchanging information with Europol in the area of firearms trafficking. It aims to </w:t>
      </w:r>
      <w:r>
        <w:rPr>
          <w:rFonts w:ascii="Times New Roman" w:hAnsi="Times New Roman" w:cs="Times New Roman"/>
          <w:bCs/>
          <w:noProof/>
          <w:sz w:val="24"/>
          <w:szCs w:val="24"/>
        </w:rPr>
        <w:t xml:space="preserve">avoid duplication of efforts, ensure coordination with other bilateral, regional and multilateral initiatives, and improve cooperation in investigations of trans-border crimes. </w:t>
      </w:r>
      <w:r>
        <w:rPr>
          <w:rFonts w:ascii="Times New Roman" w:eastAsia="Times New Roman" w:hAnsi="Times New Roman" w:cs="Times New Roman"/>
          <w:noProof/>
          <w:color w:val="000000"/>
          <w:sz w:val="24"/>
          <w:szCs w:val="24"/>
          <w:lang w:eastAsia="en-GB"/>
        </w:rPr>
        <w:t>The EU is a top donor for SALW-control cooperation and assistance to other countries and regional organisations through its Council Decisions and dedicated support through the Instrument contributing to Stability and Peace (IcSP)</w:t>
      </w:r>
      <w:r>
        <w:rPr>
          <w:rStyle w:val="FootnoteReference"/>
          <w:rFonts w:ascii="Times New Roman" w:eastAsia="Times New Roman" w:hAnsi="Times New Roman" w:cs="Times New Roman"/>
          <w:noProof/>
          <w:color w:val="000000"/>
          <w:sz w:val="24"/>
          <w:szCs w:val="24"/>
          <w:lang w:eastAsia="en-GB"/>
        </w:rPr>
        <w:footnoteReference w:id="35"/>
      </w:r>
      <w:r>
        <w:rPr>
          <w:rFonts w:ascii="Times New Roman" w:eastAsia="Times New Roman" w:hAnsi="Times New Roman" w:cs="Times New Roman"/>
          <w:noProof/>
          <w:color w:val="000000"/>
          <w:sz w:val="24"/>
          <w:szCs w:val="24"/>
          <w:lang w:eastAsia="en-GB"/>
        </w:rPr>
        <w:t xml:space="preserve"> and other instruments. The EU supports </w:t>
      </w:r>
      <w:r>
        <w:rPr>
          <w:rFonts w:ascii="Times New Roman" w:hAnsi="Times New Roman" w:cs="Times New Roman"/>
          <w:noProof/>
          <w:sz w:val="24"/>
          <w:szCs w:val="24"/>
        </w:rPr>
        <w:t>the implementation of the UN Programme of Action against illicit SALW, the Arms Trade Treaty and the Firearms Protocol. Although gender</w:t>
      </w:r>
      <w:r>
        <w:rPr>
          <w:rFonts w:ascii="Times New Roman" w:hAnsi="Times New Roman" w:cs="Times New Roman"/>
          <w:noProof/>
          <w:sz w:val="24"/>
          <w:szCs w:val="24"/>
        </w:rPr>
        <w:noBreakHyphen/>
        <w:t>based violence with firearms and SALW in any case constitutes a violation of human rights law and international humanitarian law, the Arms Trade Treaty contains explicit provisions to address the risks of firearms being used in that context. UN Security Council resolutions</w:t>
      </w:r>
      <w:r>
        <w:rPr>
          <w:rStyle w:val="FootnoteReference"/>
          <w:rFonts w:ascii="Times New Roman" w:hAnsi="Times New Roman" w:cs="Times New Roman"/>
          <w:noProof/>
          <w:sz w:val="24"/>
          <w:szCs w:val="24"/>
        </w:rPr>
        <w:footnoteReference w:id="36"/>
      </w:r>
      <w:r>
        <w:rPr>
          <w:rFonts w:ascii="Times New Roman" w:hAnsi="Times New Roman" w:cs="Times New Roman"/>
          <w:noProof/>
          <w:sz w:val="24"/>
          <w:szCs w:val="24"/>
        </w:rPr>
        <w:t xml:space="preserve"> specifically call for the empowerment of women in efforts to prevent, combat and eradicate the illicit transfer, destabilising accumulation and misuse of SALW.</w:t>
      </w:r>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9072"/>
      </w:tblGrid>
      <w:tr>
        <w:tc>
          <w:tcPr>
            <w:tcW w:w="9072" w:type="dxa"/>
          </w:tcPr>
          <w:p>
            <w:pPr>
              <w:pStyle w:val="PlainText"/>
              <w:spacing w:after="120"/>
              <w:jc w:val="both"/>
              <w:rPr>
                <w:rFonts w:ascii="Times New Roman" w:hAnsi="Times New Roman"/>
                <w:b/>
                <w:i/>
                <w:noProof/>
                <w:sz w:val="24"/>
                <w:szCs w:val="24"/>
                <w:lang w:val="en-GB"/>
              </w:rPr>
            </w:pPr>
            <w:r>
              <w:rPr>
                <w:rFonts w:ascii="Times New Roman" w:hAnsi="Times New Roman"/>
                <w:b/>
                <w:i/>
                <w:noProof/>
                <w:sz w:val="24"/>
                <w:szCs w:val="24"/>
                <w:lang w:val="en-GB"/>
              </w:rPr>
              <w:t>Actions:</w:t>
            </w:r>
          </w:p>
          <w:p>
            <w:pPr>
              <w:pStyle w:val="PlainText"/>
              <w:numPr>
                <w:ilvl w:val="0"/>
                <w:numId w:val="2"/>
              </w:numPr>
              <w:tabs>
                <w:tab w:val="left" w:pos="0"/>
              </w:tabs>
              <w:spacing w:after="120"/>
              <w:ind w:left="318" w:hanging="318"/>
              <w:jc w:val="both"/>
              <w:rPr>
                <w:rFonts w:ascii="Times New Roman" w:hAnsi="Times New Roman"/>
                <w:iCs/>
                <w:noProof/>
                <w:sz w:val="24"/>
                <w:szCs w:val="24"/>
                <w:lang w:val="en-GB"/>
              </w:rPr>
            </w:pPr>
            <w:r>
              <w:rPr>
                <w:rFonts w:ascii="Times New Roman" w:hAnsi="Times New Roman"/>
                <w:iCs/>
                <w:noProof/>
                <w:sz w:val="24"/>
                <w:szCs w:val="24"/>
                <w:lang w:val="en-GB"/>
              </w:rPr>
              <w:t>The EU will proactively engage in the global firearms programme of the UN Office on Drugs and Crime (UNODC) on global data collection and analysis on firearms trafficking, and strengthen the capacity of partner countries and sub-regions to implement effective firearms control in line with the firearms protocol;</w:t>
            </w:r>
          </w:p>
          <w:p>
            <w:pPr>
              <w:pStyle w:val="PlainText"/>
              <w:numPr>
                <w:ilvl w:val="0"/>
                <w:numId w:val="2"/>
              </w:numPr>
              <w:tabs>
                <w:tab w:val="left" w:pos="0"/>
              </w:tabs>
              <w:spacing w:after="240"/>
              <w:ind w:left="318" w:hanging="318"/>
              <w:jc w:val="both"/>
              <w:rPr>
                <w:rFonts w:ascii="Times New Roman" w:hAnsi="Times New Roman"/>
                <w:iCs/>
                <w:noProof/>
                <w:sz w:val="24"/>
                <w:szCs w:val="24"/>
                <w:lang w:val="en-GB"/>
              </w:rPr>
            </w:pPr>
            <w:r>
              <w:rPr>
                <w:rFonts w:ascii="Times New Roman" w:hAnsi="Times New Roman"/>
                <w:iCs/>
                <w:noProof/>
                <w:sz w:val="24"/>
                <w:szCs w:val="24"/>
                <w:lang w:val="en-GB"/>
              </w:rPr>
              <w:t xml:space="preserve">The EU will continue to support Interpol's Illicit Arms Records and tracing Management System (iARMS); </w:t>
            </w:r>
          </w:p>
          <w:p>
            <w:pPr>
              <w:pStyle w:val="PlainText"/>
              <w:numPr>
                <w:ilvl w:val="0"/>
                <w:numId w:val="2"/>
              </w:numPr>
              <w:tabs>
                <w:tab w:val="left" w:pos="0"/>
              </w:tabs>
              <w:spacing w:after="120"/>
              <w:ind w:left="318" w:hanging="318"/>
              <w:jc w:val="both"/>
              <w:rPr>
                <w:rFonts w:ascii="Times New Roman" w:hAnsi="Times New Roman"/>
                <w:iCs/>
                <w:noProof/>
                <w:sz w:val="24"/>
                <w:szCs w:val="24"/>
                <w:lang w:val="en-GB"/>
              </w:rPr>
            </w:pPr>
            <w:r>
              <w:rPr>
                <w:rFonts w:ascii="Times New Roman" w:hAnsi="Times New Roman"/>
                <w:iCs/>
                <w:noProof/>
                <w:sz w:val="24"/>
                <w:szCs w:val="24"/>
                <w:lang w:val="en-GB"/>
              </w:rPr>
              <w:t xml:space="preserve">The </w:t>
            </w:r>
            <w:r>
              <w:rPr>
                <w:rFonts w:ascii="Times New Roman" w:hAnsi="Times New Roman"/>
                <w:noProof/>
                <w:sz w:val="24"/>
                <w:szCs w:val="24"/>
                <w:lang w:val="en-GB"/>
              </w:rPr>
              <w:t>EU</w:t>
            </w:r>
            <w:r>
              <w:rPr>
                <w:rFonts w:ascii="Times New Roman" w:hAnsi="Times New Roman"/>
                <w:iCs/>
                <w:noProof/>
                <w:sz w:val="24"/>
                <w:szCs w:val="24"/>
                <w:lang w:val="en-GB"/>
              </w:rPr>
              <w:t xml:space="preserve"> will foster cooperation and information</w:t>
            </w:r>
            <w:r>
              <w:rPr>
                <w:rFonts w:ascii="Times New Roman" w:hAnsi="Times New Roman"/>
                <w:iCs/>
                <w:noProof/>
                <w:sz w:val="24"/>
                <w:szCs w:val="24"/>
                <w:lang w:val="en-GB"/>
              </w:rPr>
              <w:noBreakHyphen/>
              <w:t>sharing, in particular among countries along major trafficking routes to/from the EU;</w:t>
            </w:r>
          </w:p>
          <w:p>
            <w:pPr>
              <w:pStyle w:val="PlainText"/>
              <w:numPr>
                <w:ilvl w:val="0"/>
                <w:numId w:val="2"/>
              </w:numPr>
              <w:tabs>
                <w:tab w:val="left" w:pos="0"/>
              </w:tabs>
              <w:spacing w:after="120"/>
              <w:ind w:left="318" w:hanging="318"/>
              <w:jc w:val="both"/>
              <w:rPr>
                <w:rFonts w:ascii="Times New Roman" w:eastAsia="Times New Roman" w:hAnsi="Times New Roman"/>
                <w:noProof/>
                <w:color w:val="000000"/>
                <w:sz w:val="24"/>
                <w:szCs w:val="24"/>
                <w:lang w:val="en-GB" w:eastAsia="en-GB"/>
              </w:rPr>
            </w:pPr>
            <w:r>
              <w:rPr>
                <w:rFonts w:ascii="Times New Roman" w:hAnsi="Times New Roman"/>
                <w:noProof/>
                <w:sz w:val="24"/>
                <w:szCs w:val="24"/>
                <w:lang w:val="en-GB"/>
              </w:rPr>
              <w:t>The EU will cooperate with the World Customs Organisation (WCO) to implement its SALW strategy;</w:t>
            </w:r>
          </w:p>
          <w:p>
            <w:pPr>
              <w:pStyle w:val="PlainText"/>
              <w:numPr>
                <w:ilvl w:val="0"/>
                <w:numId w:val="2"/>
              </w:numPr>
              <w:tabs>
                <w:tab w:val="left" w:pos="0"/>
              </w:tabs>
              <w:spacing w:after="120"/>
              <w:ind w:left="318" w:hanging="318"/>
              <w:jc w:val="both"/>
              <w:rPr>
                <w:rFonts w:ascii="Times New Roman" w:hAnsi="Times New Roman"/>
                <w:noProof/>
                <w:sz w:val="24"/>
                <w:szCs w:val="24"/>
                <w:lang w:val="en-GB"/>
              </w:rPr>
            </w:pPr>
            <w:r>
              <w:rPr>
                <w:rFonts w:ascii="Times New Roman" w:hAnsi="Times New Roman"/>
                <w:noProof/>
                <w:sz w:val="24"/>
                <w:szCs w:val="24"/>
                <w:lang w:val="en-GB"/>
              </w:rPr>
              <w:t>The High Representative will evaluate  and analyse the impact and effectiveness of EU-supported SALW-control projects in non</w:t>
            </w:r>
            <w:r>
              <w:rPr>
                <w:rFonts w:ascii="Times New Roman" w:hAnsi="Times New Roman"/>
                <w:noProof/>
                <w:sz w:val="24"/>
                <w:szCs w:val="24"/>
                <w:lang w:val="en-GB"/>
              </w:rPr>
              <w:noBreakHyphen/>
              <w:t>EU countries between 2005 and 2018 as part of the implementation of  the 2005 SALW strategy;</w:t>
            </w:r>
          </w:p>
          <w:p>
            <w:pPr>
              <w:pStyle w:val="PlainText"/>
              <w:numPr>
                <w:ilvl w:val="0"/>
                <w:numId w:val="2"/>
              </w:numPr>
              <w:tabs>
                <w:tab w:val="left" w:pos="0"/>
              </w:tabs>
              <w:spacing w:after="120"/>
              <w:ind w:left="318" w:hanging="318"/>
              <w:jc w:val="both"/>
              <w:rPr>
                <w:rFonts w:ascii="Times New Roman" w:hAnsi="Times New Roman"/>
                <w:noProof/>
                <w:sz w:val="24"/>
                <w:szCs w:val="24"/>
                <w:lang w:val="en-GB"/>
              </w:rPr>
            </w:pPr>
            <w:r>
              <w:rPr>
                <w:rFonts w:ascii="Times New Roman" w:hAnsi="Times New Roman"/>
                <w:noProof/>
                <w:sz w:val="24"/>
                <w:szCs w:val="24"/>
                <w:lang w:val="en-GB"/>
              </w:rPr>
              <w:t>The EU will systematically mainstream gender considerations in the design of new projects relating to the fight against gun violence and SALW control in general, and the sharing of good practices in this regard;</w:t>
            </w:r>
          </w:p>
          <w:p>
            <w:pPr>
              <w:pStyle w:val="PlainText"/>
              <w:numPr>
                <w:ilvl w:val="0"/>
                <w:numId w:val="2"/>
              </w:numPr>
              <w:tabs>
                <w:tab w:val="left" w:pos="0"/>
              </w:tabs>
              <w:spacing w:after="120"/>
              <w:ind w:left="318" w:hanging="318"/>
              <w:jc w:val="both"/>
              <w:rPr>
                <w:rFonts w:ascii="Times New Roman" w:eastAsia="Times New Roman" w:hAnsi="Times New Roman"/>
                <w:noProof/>
                <w:color w:val="000000"/>
                <w:sz w:val="24"/>
                <w:szCs w:val="24"/>
                <w:lang w:val="en-GB" w:eastAsia="en-GB"/>
              </w:rPr>
            </w:pPr>
            <w:r>
              <w:rPr>
                <w:rFonts w:ascii="Times New Roman" w:hAnsi="Times New Roman"/>
                <w:noProof/>
                <w:sz w:val="24"/>
                <w:szCs w:val="24"/>
                <w:lang w:val="en-GB"/>
              </w:rPr>
              <w:t>The EU will promote and implement standards and good practices for the handling of small arms (ISACSs); and</w:t>
            </w:r>
          </w:p>
          <w:p>
            <w:pPr>
              <w:pStyle w:val="PlainText"/>
              <w:numPr>
                <w:ilvl w:val="0"/>
                <w:numId w:val="2"/>
              </w:numPr>
              <w:tabs>
                <w:tab w:val="left" w:pos="0"/>
              </w:tabs>
              <w:spacing w:after="120"/>
              <w:ind w:left="318" w:hanging="318"/>
              <w:jc w:val="both"/>
              <w:rPr>
                <w:rFonts w:ascii="Times New Roman" w:eastAsia="Times New Roman" w:hAnsi="Times New Roman"/>
                <w:noProof/>
                <w:color w:val="000000"/>
                <w:sz w:val="24"/>
                <w:szCs w:val="24"/>
                <w:lang w:val="en-GB" w:eastAsia="en-GB"/>
              </w:rPr>
            </w:pPr>
            <w:r>
              <w:rPr>
                <w:rFonts w:ascii="Times New Roman" w:hAnsi="Times New Roman"/>
                <w:noProof/>
                <w:sz w:val="24"/>
                <w:szCs w:val="24"/>
                <w:lang w:val="en-GB"/>
              </w:rPr>
              <w:t>The Member States will improve their cooperation with Europol on illicit firearms trafficking and the use of firearms in non</w:t>
            </w:r>
            <w:r>
              <w:rPr>
                <w:rFonts w:ascii="Times New Roman" w:hAnsi="Times New Roman"/>
                <w:noProof/>
                <w:sz w:val="24"/>
                <w:szCs w:val="24"/>
                <w:lang w:val="en-GB"/>
              </w:rPr>
              <w:noBreakHyphen/>
              <w:t>EU countries, and foster the further involvement of authorities in operational cooperation, the exchange of information and joint law</w:t>
            </w:r>
            <w:r>
              <w:rPr>
                <w:rFonts w:ascii="Times New Roman" w:hAnsi="Times New Roman"/>
                <w:noProof/>
                <w:sz w:val="24"/>
                <w:szCs w:val="24"/>
                <w:lang w:val="en-GB"/>
              </w:rPr>
              <w:noBreakHyphen/>
              <w:t>enforcement action..</w:t>
            </w:r>
          </w:p>
        </w:tc>
      </w:tr>
    </w:tbl>
    <w:p>
      <w:pPr>
        <w:spacing w:after="0" w:line="240" w:lineRule="auto"/>
        <w:jc w:val="both"/>
        <w:rPr>
          <w:rFonts w:ascii="Times New Roman" w:hAnsi="Times New Roman" w:cs="Times New Roman"/>
          <w:noProof/>
          <w:sz w:val="24"/>
          <w:szCs w:val="24"/>
        </w:rPr>
      </w:pP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 already supports the monitoring of illicit SALW flows in conflict</w:t>
      </w:r>
      <w:r>
        <w:rPr>
          <w:rFonts w:ascii="Times New Roman" w:hAnsi="Times New Roman" w:cs="Times New Roman"/>
          <w:noProof/>
          <w:sz w:val="24"/>
          <w:szCs w:val="24"/>
        </w:rPr>
        <w:noBreakHyphen/>
        <w:t>affected areas, in order to identify the most effective ways to cut the supply. Data obtained through the identification and tracing of illicit SALW and ammunition helps improve arms export control, inter alia</w:t>
      </w:r>
      <w:r>
        <w:rPr>
          <w:rFonts w:ascii="Times New Roman" w:hAnsi="Times New Roman" w:cs="Times New Roman"/>
          <w:i/>
          <w:noProof/>
          <w:sz w:val="24"/>
          <w:szCs w:val="24"/>
        </w:rPr>
        <w:t xml:space="preserve"> </w:t>
      </w:r>
      <w:r>
        <w:rPr>
          <w:rFonts w:ascii="Times New Roman" w:hAnsi="Times New Roman" w:cs="Times New Roman"/>
          <w:noProof/>
          <w:sz w:val="24"/>
          <w:szCs w:val="24"/>
        </w:rPr>
        <w:t>through improved risk assessment, end-user certification and end-use monitoring.</w:t>
      </w:r>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9072"/>
      </w:tblGrid>
      <w:tr>
        <w:tc>
          <w:tcPr>
            <w:tcW w:w="9072" w:type="dxa"/>
          </w:tcPr>
          <w:p>
            <w:pPr>
              <w:pStyle w:val="PlainText"/>
              <w:spacing w:after="120"/>
              <w:jc w:val="both"/>
              <w:rPr>
                <w:rFonts w:ascii="Times New Roman" w:hAnsi="Times New Roman"/>
                <w:b/>
                <w:i/>
                <w:noProof/>
                <w:sz w:val="24"/>
                <w:szCs w:val="24"/>
                <w:lang w:val="en-GB"/>
              </w:rPr>
            </w:pPr>
            <w:r>
              <w:rPr>
                <w:rFonts w:ascii="Times New Roman" w:hAnsi="Times New Roman"/>
                <w:b/>
                <w:i/>
                <w:noProof/>
                <w:sz w:val="24"/>
                <w:szCs w:val="24"/>
                <w:lang w:val="en-GB"/>
              </w:rPr>
              <w:t>Actions:</w:t>
            </w:r>
          </w:p>
          <w:p>
            <w:pPr>
              <w:pStyle w:val="PlainText"/>
              <w:numPr>
                <w:ilvl w:val="0"/>
                <w:numId w:val="2"/>
              </w:numPr>
              <w:tabs>
                <w:tab w:val="left" w:pos="377"/>
              </w:tabs>
              <w:spacing w:after="120"/>
              <w:ind w:left="318" w:hanging="284"/>
              <w:jc w:val="both"/>
              <w:rPr>
                <w:rFonts w:ascii="Times New Roman" w:eastAsia="Times New Roman" w:hAnsi="Times New Roman"/>
                <w:noProof/>
                <w:color w:val="000000"/>
                <w:sz w:val="24"/>
                <w:szCs w:val="24"/>
                <w:lang w:val="en-GB" w:eastAsia="en-GB"/>
              </w:rPr>
            </w:pPr>
            <w:r>
              <w:rPr>
                <w:rFonts w:ascii="Times New Roman" w:hAnsi="Times New Roman"/>
                <w:noProof/>
                <w:sz w:val="24"/>
                <w:szCs w:val="24"/>
                <w:lang w:val="en-GB"/>
              </w:rPr>
              <w:t xml:space="preserve">The </w:t>
            </w:r>
            <w:r>
              <w:rPr>
                <w:rFonts w:ascii="Times New Roman" w:hAnsi="Times New Roman"/>
                <w:iCs/>
                <w:noProof/>
                <w:sz w:val="24"/>
                <w:szCs w:val="24"/>
                <w:lang w:val="en-GB"/>
              </w:rPr>
              <w:t>Council</w:t>
            </w:r>
            <w:r>
              <w:rPr>
                <w:rFonts w:ascii="Times New Roman" w:hAnsi="Times New Roman"/>
                <w:noProof/>
                <w:sz w:val="24"/>
                <w:szCs w:val="24"/>
                <w:lang w:val="en-GB"/>
              </w:rPr>
              <w:t xml:space="preserve"> is invited to</w:t>
            </w:r>
            <w:r>
              <w:rPr>
                <w:rFonts w:ascii="Times New Roman" w:eastAsia="Times New Roman" w:hAnsi="Times New Roman"/>
                <w:noProof/>
                <w:color w:val="000000"/>
                <w:sz w:val="24"/>
                <w:szCs w:val="24"/>
                <w:lang w:val="en-GB" w:eastAsia="en-GB"/>
              </w:rPr>
              <w:t xml:space="preserve"> explore modalities to improve the monitoring and enforcement of EU arms embargoes;</w:t>
            </w:r>
          </w:p>
          <w:p>
            <w:pPr>
              <w:pStyle w:val="PlainText"/>
              <w:numPr>
                <w:ilvl w:val="0"/>
                <w:numId w:val="2"/>
              </w:numPr>
              <w:tabs>
                <w:tab w:val="left" w:pos="377"/>
              </w:tabs>
              <w:spacing w:after="120"/>
              <w:ind w:left="318" w:hanging="284"/>
              <w:jc w:val="both"/>
              <w:rPr>
                <w:rFonts w:ascii="Times New Roman" w:eastAsia="Times New Roman" w:hAnsi="Times New Roman"/>
                <w:noProof/>
                <w:color w:val="000000"/>
                <w:sz w:val="24"/>
                <w:szCs w:val="24"/>
                <w:lang w:val="en-GB" w:eastAsia="en-GB"/>
              </w:rPr>
            </w:pPr>
            <w:r>
              <w:rPr>
                <w:rFonts w:ascii="Times New Roman" w:hAnsi="Times New Roman"/>
                <w:noProof/>
                <w:sz w:val="24"/>
                <w:szCs w:val="24"/>
                <w:lang w:val="en-GB"/>
              </w:rPr>
              <w:t>The EU will</w:t>
            </w:r>
            <w:r>
              <w:rPr>
                <w:rFonts w:ascii="Times New Roman" w:eastAsia="Times New Roman" w:hAnsi="Times New Roman"/>
                <w:noProof/>
                <w:color w:val="000000"/>
                <w:sz w:val="24"/>
                <w:szCs w:val="24"/>
                <w:lang w:val="en-GB" w:eastAsia="en-GB"/>
              </w:rPr>
              <w:t xml:space="preserve"> support the work of UN panels that monitor arms embargoes, and </w:t>
            </w:r>
            <w:r>
              <w:rPr>
                <w:rFonts w:ascii="Times New Roman" w:hAnsi="Times New Roman"/>
                <w:iCs/>
                <w:noProof/>
                <w:sz w:val="24"/>
                <w:szCs w:val="24"/>
                <w:lang w:val="en-GB"/>
              </w:rPr>
              <w:t>consider</w:t>
            </w:r>
            <w:r>
              <w:rPr>
                <w:rFonts w:ascii="Times New Roman" w:eastAsia="Times New Roman" w:hAnsi="Times New Roman"/>
                <w:noProof/>
                <w:color w:val="000000"/>
                <w:sz w:val="24"/>
                <w:szCs w:val="24"/>
                <w:lang w:val="en-GB" w:eastAsia="en-GB"/>
              </w:rPr>
              <w:t xml:space="preserve"> ways of improving access to their findings on diversion and illicit firearms and SALW for arms export control purposes;</w:t>
            </w:r>
          </w:p>
          <w:p>
            <w:pPr>
              <w:pStyle w:val="PlainText"/>
              <w:numPr>
                <w:ilvl w:val="0"/>
                <w:numId w:val="2"/>
              </w:numPr>
              <w:spacing w:after="120"/>
              <w:ind w:left="318" w:hanging="284"/>
              <w:jc w:val="both"/>
              <w:rPr>
                <w:rFonts w:ascii="Times New Roman" w:hAnsi="Times New Roman"/>
                <w:noProof/>
                <w:sz w:val="24"/>
                <w:szCs w:val="24"/>
                <w:lang w:val="en-GB"/>
              </w:rPr>
            </w:pPr>
            <w:r>
              <w:rPr>
                <w:rFonts w:ascii="Times New Roman" w:hAnsi="Times New Roman"/>
                <w:noProof/>
                <w:sz w:val="24"/>
                <w:szCs w:val="24"/>
                <w:lang w:val="en-GB"/>
              </w:rPr>
              <w:t>Where relevant and within their mandate and taking account of local buy-in and available resources, the Council is invited to give Common Security and Defence Policy (CSDP) missions and operations a role in supporting SALW awareness and organising SALW-control</w:t>
            </w:r>
            <w:r>
              <w:rPr>
                <w:rFonts w:ascii="Times New Roman" w:hAnsi="Times New Roman"/>
                <w:noProof/>
                <w:sz w:val="24"/>
                <w:szCs w:val="24"/>
                <w:lang w:val="en-GB"/>
              </w:rPr>
              <w:noBreakHyphen/>
              <w:t>related training, supporting proper stockpile management, monitoring movements of illicit SALW and ammunition (including cross-border trafficking), as appropriate. Where applicable and on direction from Member States, CSDP missions and operations could also support the facilitation of the recording, tracing and disposal of seized illicit SALW. The Council could draw on lessons learned from those CSDP engagements where mandates include SALW tasks (eg. EUFOR Althea in Bosnia and Hercegovina);</w:t>
            </w:r>
          </w:p>
          <w:p>
            <w:pPr>
              <w:pStyle w:val="PlainText"/>
              <w:numPr>
                <w:ilvl w:val="0"/>
                <w:numId w:val="2"/>
              </w:numPr>
              <w:tabs>
                <w:tab w:val="left" w:pos="377"/>
              </w:tabs>
              <w:spacing w:after="120"/>
              <w:ind w:left="318" w:hanging="284"/>
              <w:jc w:val="both"/>
              <w:rPr>
                <w:rFonts w:ascii="Times New Roman" w:eastAsia="Times New Roman" w:hAnsi="Times New Roman"/>
                <w:noProof/>
                <w:color w:val="000000"/>
                <w:sz w:val="24"/>
                <w:szCs w:val="24"/>
                <w:lang w:val="en-GB" w:eastAsia="en-GB"/>
              </w:rPr>
            </w:pPr>
            <w:r>
              <w:rPr>
                <w:rFonts w:ascii="Times New Roman" w:hAnsi="Times New Roman"/>
                <w:noProof/>
                <w:sz w:val="24"/>
                <w:szCs w:val="24"/>
                <w:lang w:val="en-GB"/>
              </w:rPr>
              <w:t xml:space="preserve">The EU will continue to fund research efforts targeting the origins of illicit SALW in conflict zones, such as Conflict Armament </w:t>
            </w:r>
            <w:r>
              <w:rPr>
                <w:rFonts w:ascii="Times New Roman" w:hAnsi="Times New Roman"/>
                <w:iCs/>
                <w:noProof/>
                <w:sz w:val="24"/>
                <w:szCs w:val="24"/>
                <w:lang w:val="en-GB"/>
              </w:rPr>
              <w:t>Research’s</w:t>
            </w:r>
            <w:r>
              <w:rPr>
                <w:rFonts w:ascii="Times New Roman" w:hAnsi="Times New Roman"/>
                <w:noProof/>
                <w:sz w:val="24"/>
                <w:szCs w:val="24"/>
                <w:lang w:val="en-GB"/>
              </w:rPr>
              <w:t xml:space="preserve"> iTrace project. It will encourage further research, analysis and studies on the matter, relying on existing capacities such as the EU Non</w:t>
            </w:r>
            <w:r>
              <w:rPr>
                <w:rFonts w:ascii="Times New Roman" w:hAnsi="Times New Roman"/>
                <w:noProof/>
                <w:sz w:val="24"/>
                <w:szCs w:val="24"/>
                <w:lang w:val="en-GB"/>
              </w:rPr>
              <w:noBreakHyphen/>
              <w:t>Proliferation and Disarmament Consortium; and</w:t>
            </w:r>
          </w:p>
          <w:p>
            <w:pPr>
              <w:pStyle w:val="PlainText"/>
              <w:numPr>
                <w:ilvl w:val="0"/>
                <w:numId w:val="2"/>
              </w:numPr>
              <w:tabs>
                <w:tab w:val="left" w:pos="377"/>
              </w:tabs>
              <w:spacing w:after="240"/>
              <w:ind w:left="318" w:hanging="284"/>
              <w:jc w:val="both"/>
              <w:rPr>
                <w:rFonts w:ascii="Times New Roman" w:eastAsia="Times New Roman" w:hAnsi="Times New Roman"/>
                <w:noProof/>
                <w:color w:val="000000"/>
                <w:sz w:val="24"/>
                <w:szCs w:val="24"/>
                <w:lang w:val="en-GB" w:eastAsia="en-GB"/>
              </w:rPr>
            </w:pPr>
            <w:r>
              <w:rPr>
                <w:rFonts w:ascii="Times New Roman" w:hAnsi="Times New Roman"/>
                <w:noProof/>
                <w:sz w:val="24"/>
                <w:szCs w:val="24"/>
                <w:lang w:val="en-GB"/>
              </w:rPr>
              <w:t xml:space="preserve">The EU will support </w:t>
            </w:r>
            <w:r>
              <w:rPr>
                <w:rFonts w:ascii="Times New Roman" w:eastAsia="Times New Roman" w:hAnsi="Times New Roman"/>
                <w:noProof/>
                <w:color w:val="000000"/>
                <w:sz w:val="24"/>
                <w:szCs w:val="24"/>
                <w:lang w:val="en-GB" w:eastAsia="en-GB"/>
              </w:rPr>
              <w:t>national capacities in conflict affected areas to track and trace the origins of illicit SALW and ammunition in conflict zones, also building on the experience of the iTrace project.</w:t>
            </w:r>
          </w:p>
        </w:tc>
      </w:tr>
    </w:tbl>
    <w:p>
      <w:pPr>
        <w:spacing w:after="0" w:line="240" w:lineRule="auto"/>
        <w:jc w:val="both"/>
        <w:rPr>
          <w:rFonts w:ascii="Times New Roman" w:hAnsi="Times New Roman" w:cs="Times New Roman"/>
          <w:bCs/>
          <w:noProof/>
          <w:sz w:val="24"/>
          <w:szCs w:val="24"/>
        </w:rPr>
      </w:pPr>
    </w:p>
    <w:p>
      <w:pPr>
        <w:keepNext/>
        <w:spacing w:after="24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2.4.2</w:t>
      </w:r>
      <w:r>
        <w:rPr>
          <w:rFonts w:ascii="Times New Roman" w:hAnsi="Times New Roman" w:cs="Times New Roman"/>
          <w:b/>
          <w:noProof/>
          <w:sz w:val="24"/>
          <w:szCs w:val="24"/>
        </w:rPr>
        <w:tab/>
        <w:t xml:space="preserve"> At regional level</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At regional level, the EU and its Member States will strengthen law</w:t>
      </w:r>
      <w:r>
        <w:rPr>
          <w:rFonts w:ascii="Times New Roman" w:hAnsi="Times New Roman" w:cs="Times New Roman"/>
          <w:noProof/>
          <w:sz w:val="24"/>
          <w:szCs w:val="24"/>
        </w:rPr>
        <w:noBreakHyphen/>
        <w:t xml:space="preserve">enforcement capabilities in order to identify, disrupt and interdict trafficking networks and prevent firearms from reaching terrorists and criminals via the illicit market, </w:t>
      </w:r>
      <w:r>
        <w:rPr>
          <w:rFonts w:ascii="Times New Roman" w:hAnsi="Times New Roman" w:cs="Times New Roman"/>
          <w:i/>
          <w:noProof/>
          <w:sz w:val="24"/>
          <w:szCs w:val="24"/>
        </w:rPr>
        <w:t xml:space="preserve">inter alia </w:t>
      </w:r>
      <w:r>
        <w:rPr>
          <w:rFonts w:ascii="Times New Roman" w:hAnsi="Times New Roman" w:cs="Times New Roman"/>
          <w:noProof/>
          <w:sz w:val="24"/>
          <w:szCs w:val="24"/>
        </w:rPr>
        <w:t xml:space="preserve">by blocking the illicit financing and transport of arms and enhancing the role of border police, customs and port authorities in tackling illicit arms flows by maritime transport. Due to the cross-border nature of arms trafficking, it is particularly important to involve neighbouring countries, even if they are not directly affected.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 will encourage links between law</w:t>
      </w:r>
      <w:r>
        <w:rPr>
          <w:rFonts w:ascii="Times New Roman" w:hAnsi="Times New Roman" w:cs="Times New Roman"/>
          <w:noProof/>
          <w:sz w:val="24"/>
          <w:szCs w:val="24"/>
        </w:rPr>
        <w:noBreakHyphen/>
        <w:t>enforcement actors dealing with arms trafficking and arms trade and export control authorities, to ensure that information on the major routes of illicit flows into Europe is shared, in order to prompt preventive or remedial action. Action will include fostering information exchange, direct communication between investigative bodies, jointly planned investigations and swift implementation of cooperation requests, all within the established legal framework. There will be a particular focus on trans</w:t>
      </w:r>
      <w:r>
        <w:rPr>
          <w:rFonts w:ascii="Times New Roman" w:hAnsi="Times New Roman" w:cs="Times New Roman"/>
          <w:noProof/>
          <w:sz w:val="24"/>
          <w:szCs w:val="24"/>
        </w:rPr>
        <w:noBreakHyphen/>
        <w:t>border cooperation with the southern and eastern neighbourhoods.</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Europol will give special consideration to support for efforts by Member States’ police and customs authorities, and Union bodies, non</w:t>
      </w:r>
      <w:r>
        <w:rPr>
          <w:rFonts w:ascii="Times New Roman" w:hAnsi="Times New Roman" w:cs="Times New Roman"/>
          <w:noProof/>
          <w:sz w:val="24"/>
          <w:szCs w:val="24"/>
        </w:rPr>
        <w:noBreakHyphen/>
        <w:t>EU countries and international organisations to prevent and combat the forms of criminality within its mandate associated with the illicit activities of criminal organisations and individuals involved in the illegal possession of and trafficking in SALW, including ammunition, parts and components.</w:t>
      </w:r>
    </w:p>
    <w:p>
      <w:pPr>
        <w:spacing w:after="240" w:line="240" w:lineRule="auto"/>
        <w:jc w:val="both"/>
        <w:rPr>
          <w:rFonts w:ascii="Times New Roman" w:hAnsi="Times New Roman" w:cs="Times New Roman"/>
          <w:noProof/>
          <w:sz w:val="24"/>
          <w:szCs w:val="24"/>
        </w:rPr>
      </w:pPr>
      <w:r>
        <w:rPr>
          <w:rFonts w:ascii="Times New Roman" w:hAnsi="Times New Roman"/>
          <w:noProof/>
          <w:sz w:val="24"/>
          <w:szCs w:val="24"/>
        </w:rPr>
        <w:t xml:space="preserve">The EU will strengthen its dialogue and cooperation with regional organisations working on SALW control, by aligning its activities with regional strategies and action plans. </w:t>
      </w:r>
    </w:p>
    <w:p>
      <w:pPr>
        <w:keepNext/>
        <w:spacing w:after="240" w:line="240" w:lineRule="auto"/>
        <w:jc w:val="both"/>
        <w:rPr>
          <w:rFonts w:ascii="Times New Roman" w:hAnsi="Times New Roman" w:cs="Times New Roman"/>
          <w:b/>
          <w:i/>
          <w:noProof/>
          <w:sz w:val="24"/>
          <w:szCs w:val="24"/>
        </w:rPr>
      </w:pPr>
      <w:r>
        <w:rPr>
          <w:rFonts w:ascii="Times New Roman" w:hAnsi="Times New Roman" w:cs="Times New Roman"/>
          <w:b/>
          <w:i/>
          <w:noProof/>
          <w:sz w:val="24"/>
          <w:szCs w:val="24"/>
        </w:rPr>
        <w:t>Western Balkans</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In line with the strategic goals set out in the Commission’s Communication on 'A credible enlargement perspective for and enhanced EU engagement with the western Balkans' (Flagship initiative 2; security and migration),</w:t>
      </w:r>
      <w:r>
        <w:rPr>
          <w:rStyle w:val="FootnoteReference"/>
          <w:rFonts w:ascii="Times New Roman" w:hAnsi="Times New Roman" w:cs="Times New Roman"/>
          <w:noProof/>
          <w:sz w:val="24"/>
          <w:szCs w:val="24"/>
        </w:rPr>
        <w:footnoteReference w:id="37"/>
      </w:r>
      <w:r>
        <w:rPr>
          <w:rFonts w:ascii="Times New Roman" w:hAnsi="Times New Roman" w:cs="Times New Roman"/>
          <w:noProof/>
          <w:sz w:val="24"/>
          <w:szCs w:val="24"/>
        </w:rPr>
        <w:t xml:space="preserve"> the EU will continue its support for </w:t>
      </w:r>
      <w:r>
        <w:rPr>
          <w:rFonts w:ascii="Times New Roman" w:eastAsia="Times New Roman" w:hAnsi="Times New Roman"/>
          <w:noProof/>
          <w:color w:val="000000"/>
          <w:sz w:val="24"/>
          <w:szCs w:val="24"/>
          <w:lang w:eastAsia="en-GB"/>
        </w:rPr>
        <w:t>the UNDP South</w:t>
      </w:r>
      <w:r>
        <w:rPr>
          <w:rFonts w:ascii="Times New Roman" w:eastAsia="Times New Roman" w:hAnsi="Times New Roman"/>
          <w:noProof/>
          <w:color w:val="000000"/>
          <w:sz w:val="24"/>
          <w:szCs w:val="24"/>
          <w:lang w:eastAsia="en-GB"/>
        </w:rPr>
        <w:noBreakHyphen/>
        <w:t xml:space="preserve">Eastern and Eastern Europe Clearinghouse for the control of Small Arms and Light Weapons (SEESAC), </w:t>
      </w:r>
      <w:r>
        <w:rPr>
          <w:rFonts w:ascii="Times New Roman" w:hAnsi="Times New Roman" w:cs="Times New Roman"/>
          <w:noProof/>
          <w:sz w:val="24"/>
          <w:szCs w:val="24"/>
        </w:rPr>
        <w:t xml:space="preserve">maintain cooperation with relevant regional organisations in the field of SALW control and take into account regional initiatives such as the Roadmap addressing illicit SALW in the Western Balkans. More broadly, it will continue to invest in the prevention and resolution of regional conflicts through a broad range of instruments and policies. This strategy focuses on conventional arms control, which is an essential component of broader conflict prevention and counterterrorism policies.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While significant progress has been made in recent years, especially in south</w:t>
      </w:r>
      <w:r>
        <w:rPr>
          <w:rFonts w:ascii="Times New Roman" w:hAnsi="Times New Roman" w:cs="Times New Roman"/>
          <w:noProof/>
          <w:sz w:val="24"/>
          <w:szCs w:val="24"/>
        </w:rPr>
        <w:noBreakHyphen/>
        <w:t>east Europe, the scale of accumulation of SALW and ammunition, inadequate storage conditions, widespread illicit possession and gaps in implementation continue to limit the effectiveness of firearms/SALW control efforts in parts of the western Balkans. In order to address more effectively the supply of illicit firearms and the large stockpile of weapons, priority will be given to surplus destruction, the documenting and tracing of illicit SALW, information-sharing through the use of European, regional and global information exchange channels (e.g. Europol, Interpol), and the setting-up and conduct of joint operations.</w:t>
      </w:r>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9072"/>
      </w:tblGrid>
      <w:tr>
        <w:trPr>
          <w:trHeight w:val="3245"/>
        </w:trPr>
        <w:tc>
          <w:tcPr>
            <w:tcW w:w="9072" w:type="dxa"/>
          </w:tcPr>
          <w:p>
            <w:pPr>
              <w:pStyle w:val="PlainText"/>
              <w:spacing w:after="120"/>
              <w:jc w:val="both"/>
              <w:rPr>
                <w:rFonts w:ascii="Times New Roman" w:hAnsi="Times New Roman"/>
                <w:b/>
                <w:i/>
                <w:noProof/>
                <w:sz w:val="24"/>
                <w:szCs w:val="24"/>
                <w:lang w:val="en-GB"/>
              </w:rPr>
            </w:pPr>
            <w:r>
              <w:rPr>
                <w:rFonts w:ascii="Times New Roman" w:hAnsi="Times New Roman"/>
                <w:b/>
                <w:i/>
                <w:noProof/>
                <w:sz w:val="24"/>
                <w:szCs w:val="24"/>
                <w:lang w:val="en-GB"/>
              </w:rPr>
              <w:t>Actions:</w:t>
            </w:r>
          </w:p>
          <w:p>
            <w:pPr>
              <w:pStyle w:val="PlainText"/>
              <w:numPr>
                <w:ilvl w:val="0"/>
                <w:numId w:val="2"/>
              </w:numPr>
              <w:tabs>
                <w:tab w:val="left" w:pos="0"/>
              </w:tabs>
              <w:spacing w:after="120"/>
              <w:ind w:left="318" w:hanging="318"/>
              <w:jc w:val="both"/>
              <w:rPr>
                <w:rFonts w:ascii="Times New Roman" w:eastAsia="Times New Roman" w:hAnsi="Times New Roman"/>
                <w:noProof/>
                <w:color w:val="000000"/>
                <w:sz w:val="24"/>
                <w:szCs w:val="24"/>
                <w:lang w:val="en-GB" w:eastAsia="en-GB"/>
              </w:rPr>
            </w:pPr>
            <w:r>
              <w:rPr>
                <w:rFonts w:ascii="Times New Roman" w:hAnsi="Times New Roman"/>
                <w:noProof/>
                <w:sz w:val="24"/>
                <w:szCs w:val="24"/>
                <w:lang w:val="en-GB"/>
              </w:rPr>
              <w:t>The EU will</w:t>
            </w:r>
            <w:r>
              <w:rPr>
                <w:rFonts w:ascii="Times New Roman" w:eastAsia="Times New Roman" w:hAnsi="Times New Roman"/>
                <w:noProof/>
                <w:color w:val="000000"/>
                <w:sz w:val="24"/>
                <w:szCs w:val="24"/>
                <w:lang w:val="en-GB" w:eastAsia="en-GB"/>
              </w:rPr>
              <w:t xml:space="preserve"> support efforts to reduce surplus stocks of SALW and ammunition, to reduce illicit possession, to counter diversion and arms trafficking, to improve border controls, to enhance marking, record-keeping and tracing of SALW as well as disposal capacities, to increase awareness, and to support law enforcement capacities,; taking into account the EU’s longstanding support for the UNDP South</w:t>
            </w:r>
            <w:r>
              <w:rPr>
                <w:rFonts w:ascii="Times New Roman" w:eastAsia="Times New Roman" w:hAnsi="Times New Roman"/>
                <w:noProof/>
                <w:color w:val="000000"/>
                <w:sz w:val="24"/>
                <w:szCs w:val="24"/>
                <w:lang w:val="en-GB" w:eastAsia="en-GB"/>
              </w:rPr>
              <w:noBreakHyphen/>
              <w:t>Eastern and Eastern Europe Clearinghouse for the control of Small Arms and Light Weapons (SEESAC), and maintain support for national control systems and take into account relevant regional initiatives for countering illicit SALW and their ammunition such as the Roadmap-initiative;</w:t>
            </w:r>
          </w:p>
          <w:p>
            <w:pPr>
              <w:pStyle w:val="PlainText"/>
              <w:numPr>
                <w:ilvl w:val="0"/>
                <w:numId w:val="2"/>
              </w:numPr>
              <w:tabs>
                <w:tab w:val="left" w:pos="0"/>
              </w:tabs>
              <w:spacing w:after="120"/>
              <w:ind w:left="318" w:hanging="318"/>
              <w:jc w:val="both"/>
              <w:rPr>
                <w:rFonts w:ascii="Times New Roman" w:eastAsia="Times New Roman" w:hAnsi="Times New Roman"/>
                <w:noProof/>
                <w:color w:val="000000"/>
                <w:sz w:val="24"/>
                <w:szCs w:val="24"/>
                <w:lang w:val="en-GB" w:eastAsia="en-GB"/>
              </w:rPr>
            </w:pPr>
            <w:r>
              <w:rPr>
                <w:rFonts w:ascii="Times New Roman" w:hAnsi="Times New Roman"/>
                <w:noProof/>
                <w:sz w:val="24"/>
                <w:szCs w:val="24"/>
                <w:lang w:val="en-GB"/>
              </w:rPr>
              <w:t>The EU and its Member States will</w:t>
            </w:r>
            <w:r>
              <w:rPr>
                <w:rFonts w:ascii="Times New Roman" w:eastAsia="Times New Roman" w:hAnsi="Times New Roman"/>
                <w:noProof/>
                <w:color w:val="000000"/>
                <w:sz w:val="24"/>
                <w:szCs w:val="24"/>
                <w:lang w:val="en-GB" w:eastAsia="en-GB"/>
              </w:rPr>
              <w:t xml:space="preserve"> ensure coherent cooperation between the Union and Western Balkan countries by implementing initiatives to fight against firearms trafficking, as set out in </w:t>
            </w:r>
            <w:r>
              <w:rPr>
                <w:rFonts w:ascii="Times New Roman" w:hAnsi="Times New Roman"/>
                <w:noProof/>
                <w:sz w:val="24"/>
                <w:szCs w:val="24"/>
                <w:lang w:val="en-GB"/>
              </w:rPr>
              <w:t>2018-2021 Policy Cycle for organised and serious international crime includes specific operational (</w:t>
            </w:r>
            <w:r>
              <w:rPr>
                <w:rFonts w:ascii="Times New Roman" w:eastAsia="Times New Roman" w:hAnsi="Times New Roman"/>
                <w:noProof/>
                <w:color w:val="000000"/>
                <w:sz w:val="24"/>
                <w:szCs w:val="24"/>
                <w:lang w:val="en-GB" w:eastAsia="en-GB"/>
              </w:rPr>
              <w:t>EMPACT Firearms)</w:t>
            </w:r>
            <w:r>
              <w:rPr>
                <w:rStyle w:val="FootnoteReference"/>
                <w:rFonts w:ascii="Times New Roman" w:eastAsia="Times New Roman" w:hAnsi="Times New Roman"/>
                <w:noProof/>
                <w:color w:val="000000"/>
                <w:sz w:val="24"/>
                <w:szCs w:val="24"/>
                <w:lang w:val="en-GB" w:eastAsia="en-GB"/>
              </w:rPr>
              <w:footnoteReference w:id="38"/>
            </w:r>
            <w:r>
              <w:rPr>
                <w:rFonts w:ascii="Times New Roman" w:eastAsia="Times New Roman" w:hAnsi="Times New Roman"/>
                <w:noProof/>
                <w:color w:val="000000"/>
                <w:sz w:val="24"/>
                <w:szCs w:val="24"/>
                <w:lang w:val="en-GB" w:eastAsia="en-GB"/>
              </w:rPr>
              <w:t xml:space="preserve"> and the EU-Western Balkans action plan under integrative internal security governance (IISG) in the Western Balkans;</w:t>
            </w:r>
          </w:p>
          <w:p>
            <w:pPr>
              <w:pStyle w:val="PlainText"/>
              <w:numPr>
                <w:ilvl w:val="0"/>
                <w:numId w:val="2"/>
              </w:numPr>
              <w:tabs>
                <w:tab w:val="left" w:pos="0"/>
              </w:tabs>
              <w:spacing w:after="240"/>
              <w:ind w:left="318" w:hanging="318"/>
              <w:jc w:val="both"/>
              <w:rPr>
                <w:rFonts w:ascii="Times New Roman" w:eastAsia="Times New Roman" w:hAnsi="Times New Roman"/>
                <w:noProof/>
                <w:color w:val="000000"/>
                <w:sz w:val="24"/>
                <w:szCs w:val="24"/>
                <w:lang w:val="en-GB" w:eastAsia="en-GB"/>
              </w:rPr>
            </w:pPr>
            <w:r>
              <w:rPr>
                <w:rFonts w:ascii="Times New Roman" w:hAnsi="Times New Roman"/>
                <w:noProof/>
                <w:sz w:val="24"/>
                <w:szCs w:val="24"/>
                <w:lang w:val="en-GB"/>
              </w:rPr>
              <w:t>The EU and its Member States will</w:t>
            </w:r>
            <w:r>
              <w:rPr>
                <w:rFonts w:ascii="Times New Roman" w:eastAsia="Times New Roman" w:hAnsi="Times New Roman"/>
                <w:noProof/>
                <w:color w:val="000000"/>
                <w:sz w:val="24"/>
                <w:szCs w:val="24"/>
                <w:lang w:val="en-GB" w:eastAsia="en-GB"/>
              </w:rPr>
              <w:t xml:space="preserve"> coordinate EU's efforts with other bilateral, regional or multilateral initiatives to reduce the risk of overlap and improve the efficiency of cooperation in investigations of trans-border crimes, in line with the Council conclusions of 13 December 2016;</w:t>
            </w:r>
            <w:r>
              <w:rPr>
                <w:rFonts w:ascii="Times New Roman" w:eastAsia="Times New Roman" w:hAnsi="Times New Roman"/>
                <w:noProof/>
                <w:color w:val="000000"/>
                <w:sz w:val="24"/>
                <w:szCs w:val="24"/>
                <w:vertAlign w:val="superscript"/>
                <w:lang w:val="en-GB" w:eastAsia="en-GB"/>
              </w:rPr>
              <w:footnoteReference w:id="39"/>
            </w:r>
            <w:r>
              <w:rPr>
                <w:rFonts w:ascii="Times New Roman" w:eastAsia="Times New Roman" w:hAnsi="Times New Roman"/>
                <w:noProof/>
                <w:color w:val="000000"/>
                <w:sz w:val="24"/>
                <w:szCs w:val="24"/>
                <w:lang w:val="en-GB" w:eastAsia="en-GB"/>
              </w:rPr>
              <w:t xml:space="preserve"> and</w:t>
            </w:r>
          </w:p>
          <w:p>
            <w:pPr>
              <w:pStyle w:val="PlainText"/>
              <w:keepNext/>
              <w:numPr>
                <w:ilvl w:val="0"/>
                <w:numId w:val="2"/>
              </w:numPr>
              <w:tabs>
                <w:tab w:val="left" w:pos="0"/>
              </w:tabs>
              <w:spacing w:after="120"/>
              <w:ind w:left="318" w:hanging="318"/>
              <w:jc w:val="both"/>
              <w:rPr>
                <w:rFonts w:ascii="Times New Roman" w:hAnsi="Times New Roman"/>
                <w:b/>
                <w:i/>
                <w:noProof/>
                <w:sz w:val="24"/>
                <w:szCs w:val="24"/>
                <w:lang w:val="en-GB"/>
              </w:rPr>
            </w:pPr>
            <w:r>
              <w:rPr>
                <w:rFonts w:ascii="Times New Roman" w:hAnsi="Times New Roman"/>
                <w:noProof/>
                <w:sz w:val="24"/>
                <w:szCs w:val="24"/>
                <w:lang w:val="en-GB"/>
              </w:rPr>
              <w:t>The EU and its Member States will</w:t>
            </w:r>
            <w:r>
              <w:rPr>
                <w:rFonts w:ascii="Times New Roman" w:eastAsia="Times New Roman" w:hAnsi="Times New Roman"/>
                <w:noProof/>
                <w:color w:val="000000"/>
                <w:sz w:val="24"/>
                <w:szCs w:val="24"/>
                <w:lang w:val="en-GB" w:eastAsia="en-GB"/>
              </w:rPr>
              <w:t xml:space="preserve"> make full use of and create synergies between the Europol liaison officers to be deployed in the western Balkans, SEESAC</w:t>
            </w:r>
            <w:r>
              <w:rPr>
                <w:rFonts w:ascii="Times New Roman" w:eastAsia="Times New Roman" w:hAnsi="Times New Roman"/>
                <w:noProof/>
                <w:color w:val="000000"/>
                <w:sz w:val="24"/>
                <w:vertAlign w:val="superscript"/>
                <w:lang w:val="en-GB" w:eastAsia="en-GB"/>
              </w:rPr>
              <w:footnoteReference w:id="40"/>
            </w:r>
            <w:r>
              <w:rPr>
                <w:rFonts w:ascii="Times New Roman" w:eastAsia="Times New Roman" w:hAnsi="Times New Roman"/>
                <w:noProof/>
                <w:color w:val="000000"/>
                <w:sz w:val="24"/>
                <w:szCs w:val="24"/>
                <w:lang w:val="en-GB" w:eastAsia="en-GB"/>
              </w:rPr>
              <w:t xml:space="preserve"> and regional programming under the instrument for pre-accession assistance (IPA) on ‘countering serious crime in the western Balkans’</w:t>
            </w:r>
            <w:r>
              <w:rPr>
                <w:rFonts w:ascii="Times New Roman" w:eastAsia="Times New Roman" w:hAnsi="Times New Roman"/>
                <w:noProof/>
                <w:color w:val="000000"/>
                <w:sz w:val="24"/>
                <w:vertAlign w:val="superscript"/>
                <w:lang w:val="en-GB" w:eastAsia="en-GB"/>
              </w:rPr>
              <w:footnoteReference w:id="41"/>
            </w:r>
            <w:r>
              <w:rPr>
                <w:rFonts w:ascii="Times New Roman" w:eastAsia="Times New Roman" w:hAnsi="Times New Roman"/>
                <w:noProof/>
                <w:color w:val="000000"/>
                <w:sz w:val="24"/>
                <w:szCs w:val="24"/>
                <w:lang w:val="en-GB" w:eastAsia="en-GB"/>
              </w:rPr>
              <w:t xml:space="preserve"> and ‘measuring and assessing organised crime in the western Balkans: supporting evidence-based policy</w:t>
            </w:r>
            <w:r>
              <w:rPr>
                <w:rFonts w:ascii="Times New Roman" w:eastAsia="Times New Roman" w:hAnsi="Times New Roman"/>
                <w:noProof/>
                <w:color w:val="000000"/>
                <w:sz w:val="24"/>
                <w:szCs w:val="24"/>
                <w:lang w:val="en-GB" w:eastAsia="en-GB"/>
              </w:rPr>
              <w:noBreakHyphen/>
              <w:t>making’.</w:t>
            </w:r>
            <w:r>
              <w:rPr>
                <w:rFonts w:ascii="Times New Roman" w:eastAsia="Times New Roman" w:hAnsi="Times New Roman"/>
                <w:noProof/>
                <w:color w:val="000000"/>
                <w:sz w:val="24"/>
                <w:vertAlign w:val="superscript"/>
                <w:lang w:val="en-GB" w:eastAsia="en-GB"/>
              </w:rPr>
              <w:footnoteReference w:id="42"/>
            </w:r>
            <w:r>
              <w:rPr>
                <w:rFonts w:ascii="Times New Roman" w:eastAsia="Times New Roman" w:hAnsi="Times New Roman"/>
                <w:noProof/>
                <w:color w:val="000000"/>
                <w:sz w:val="24"/>
                <w:szCs w:val="24"/>
                <w:lang w:val="en-GB" w:eastAsia="en-GB"/>
              </w:rPr>
              <w:t xml:space="preserve"> </w:t>
            </w:r>
          </w:p>
          <w:p>
            <w:pPr>
              <w:pStyle w:val="PlainText"/>
              <w:keepNext/>
              <w:spacing w:after="120"/>
              <w:jc w:val="both"/>
              <w:rPr>
                <w:rFonts w:ascii="Times New Roman" w:hAnsi="Times New Roman"/>
                <w:b/>
                <w:i/>
                <w:noProof/>
                <w:sz w:val="24"/>
                <w:szCs w:val="24"/>
                <w:lang w:val="en-GB"/>
              </w:rPr>
            </w:pPr>
            <w:r>
              <w:rPr>
                <w:rFonts w:ascii="Times New Roman" w:hAnsi="Times New Roman"/>
                <w:b/>
                <w:i/>
                <w:noProof/>
                <w:sz w:val="24"/>
                <w:szCs w:val="24"/>
                <w:lang w:val="en-GB"/>
              </w:rPr>
              <w:t>Next steps:</w:t>
            </w:r>
          </w:p>
          <w:p>
            <w:pPr>
              <w:pStyle w:val="Default"/>
              <w:numPr>
                <w:ilvl w:val="0"/>
                <w:numId w:val="7"/>
              </w:numPr>
              <w:ind w:left="318" w:hanging="318"/>
              <w:jc w:val="both"/>
              <w:rPr>
                <w:rFonts w:ascii="Times New Roman" w:eastAsia="Times New Roman" w:hAnsi="Times New Roman" w:cs="Times New Roman"/>
                <w:noProof/>
                <w:lang w:eastAsia="en-GB"/>
              </w:rPr>
            </w:pPr>
            <w:r>
              <w:rPr>
                <w:rFonts w:ascii="Times New Roman" w:eastAsia="Times New Roman" w:hAnsi="Times New Roman" w:cs="Times New Roman"/>
                <w:noProof/>
                <w:lang w:eastAsia="en-GB"/>
              </w:rPr>
              <w:t>The Action Plan 2015-2019 on illicit trafficking in firearms will be evaluated to assess its effectiveness in addressing the supply of illicit firearms and the large stockpile of weapons; and</w:t>
            </w:r>
          </w:p>
          <w:p>
            <w:pPr>
              <w:pStyle w:val="Default"/>
              <w:ind w:left="318" w:hanging="318"/>
              <w:jc w:val="both"/>
              <w:rPr>
                <w:rFonts w:ascii="Times New Roman" w:eastAsia="Times New Roman" w:hAnsi="Times New Roman" w:cs="Times New Roman"/>
                <w:noProof/>
                <w:lang w:eastAsia="en-GB"/>
              </w:rPr>
            </w:pPr>
          </w:p>
          <w:p>
            <w:pPr>
              <w:pStyle w:val="Default"/>
              <w:numPr>
                <w:ilvl w:val="0"/>
                <w:numId w:val="7"/>
              </w:numPr>
              <w:ind w:left="318" w:hanging="318"/>
              <w:jc w:val="both"/>
              <w:rPr>
                <w:rFonts w:ascii="Times New Roman" w:eastAsia="Times New Roman" w:hAnsi="Times New Roman" w:cs="Times New Roman"/>
                <w:noProof/>
                <w:lang w:eastAsia="en-GB"/>
              </w:rPr>
            </w:pPr>
            <w:r>
              <w:rPr>
                <w:rFonts w:ascii="Times New Roman" w:eastAsia="Times New Roman" w:hAnsi="Times New Roman" w:cs="Times New Roman"/>
                <w:noProof/>
                <w:lang w:eastAsia="en-GB"/>
              </w:rPr>
              <w:t>The EU Policy Cycle on organised crime will be expanded to the extent possible to include the Western Balkans in its operational activities. Western Balkans countries are to be invited to take part in specific European Multidisciplinary Platform against Criminal Threats projects and to meetings of the Standing Committee on Operational Cooperation on Internal Security, including those held jointly with the Political Security Committee on an ad-hoc basis when the projects are discussed.</w:t>
            </w:r>
          </w:p>
        </w:tc>
      </w:tr>
    </w:tbl>
    <w:p>
      <w:pPr>
        <w:spacing w:after="0" w:line="240" w:lineRule="auto"/>
        <w:jc w:val="both"/>
        <w:rPr>
          <w:rFonts w:ascii="Times New Roman" w:hAnsi="Times New Roman" w:cs="Times New Roman"/>
          <w:noProof/>
          <w:sz w:val="24"/>
          <w:szCs w:val="24"/>
        </w:rPr>
      </w:pPr>
    </w:p>
    <w:p>
      <w:pPr>
        <w:keepNext/>
        <w:spacing w:after="240" w:line="240" w:lineRule="auto"/>
        <w:jc w:val="both"/>
        <w:rPr>
          <w:rFonts w:ascii="Times New Roman" w:hAnsi="Times New Roman" w:cs="Times New Roman"/>
          <w:b/>
          <w:i/>
          <w:noProof/>
          <w:sz w:val="24"/>
          <w:szCs w:val="24"/>
        </w:rPr>
      </w:pPr>
      <w:r>
        <w:rPr>
          <w:rFonts w:ascii="Times New Roman" w:hAnsi="Times New Roman" w:cs="Times New Roman"/>
          <w:b/>
          <w:i/>
          <w:noProof/>
          <w:sz w:val="24"/>
          <w:szCs w:val="24"/>
        </w:rPr>
        <w:t>Eastern Neighbourhood</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current instability in Eastern Europe has raised the level of illicit trafficking of firearms in various countries in the region, such as Ukraine. This presents a significant long</w:t>
      </w:r>
      <w:r>
        <w:rPr>
          <w:rFonts w:ascii="Times New Roman" w:hAnsi="Times New Roman" w:cs="Times New Roman"/>
          <w:noProof/>
          <w:sz w:val="24"/>
          <w:szCs w:val="24"/>
        </w:rPr>
        <w:noBreakHyphen/>
        <w:t xml:space="preserve">term security threat to both Ukraine and the EU. Cooperation between the EU and Ukraine on this issue is thus of mutual interest. The EU is pursuing its bilateral engagement with Ukraine and other countries in the region and systematically integrates the fight against illicit SALW into any dialogue on security matters with partner countries in the neighbourhood. </w:t>
      </w:r>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9072"/>
      </w:tblGrid>
      <w:tr>
        <w:tc>
          <w:tcPr>
            <w:tcW w:w="9072" w:type="dxa"/>
          </w:tcPr>
          <w:p>
            <w:pPr>
              <w:pStyle w:val="PlainText"/>
              <w:spacing w:after="120"/>
              <w:jc w:val="both"/>
              <w:rPr>
                <w:rFonts w:ascii="Times New Roman" w:hAnsi="Times New Roman"/>
                <w:b/>
                <w:i/>
                <w:noProof/>
                <w:sz w:val="24"/>
                <w:szCs w:val="24"/>
                <w:lang w:val="en-GB"/>
              </w:rPr>
            </w:pPr>
            <w:r>
              <w:rPr>
                <w:rFonts w:ascii="Times New Roman" w:hAnsi="Times New Roman"/>
                <w:b/>
                <w:i/>
                <w:noProof/>
                <w:sz w:val="24"/>
                <w:szCs w:val="24"/>
                <w:lang w:val="en-GB"/>
              </w:rPr>
              <w:t>Actions:</w:t>
            </w:r>
          </w:p>
          <w:p>
            <w:pPr>
              <w:pStyle w:val="PlainText"/>
              <w:numPr>
                <w:ilvl w:val="0"/>
                <w:numId w:val="2"/>
              </w:numPr>
              <w:tabs>
                <w:tab w:val="left" w:pos="0"/>
              </w:tabs>
              <w:spacing w:after="120"/>
              <w:ind w:left="318" w:hanging="318"/>
              <w:jc w:val="both"/>
              <w:rPr>
                <w:rFonts w:ascii="Times New Roman" w:hAnsi="Times New Roman"/>
                <w:noProof/>
                <w:sz w:val="24"/>
                <w:szCs w:val="24"/>
                <w:lang w:val="en-GB"/>
              </w:rPr>
            </w:pPr>
            <w:r>
              <w:rPr>
                <w:rFonts w:ascii="Times New Roman" w:hAnsi="Times New Roman"/>
                <w:noProof/>
                <w:sz w:val="24"/>
                <w:szCs w:val="24"/>
                <w:lang w:val="en-GB"/>
              </w:rPr>
              <w:t>The EU and its Member States will integrate the fight against firearms/SALW trafficking in the context of the dialogue on security matters with partner countries in the neighbourhood, such as Ukraine;</w:t>
            </w:r>
          </w:p>
          <w:p>
            <w:pPr>
              <w:pStyle w:val="PlainText"/>
              <w:numPr>
                <w:ilvl w:val="0"/>
                <w:numId w:val="2"/>
              </w:numPr>
              <w:tabs>
                <w:tab w:val="left" w:pos="0"/>
              </w:tabs>
              <w:spacing w:after="120"/>
              <w:ind w:left="318" w:hanging="318"/>
              <w:jc w:val="both"/>
              <w:rPr>
                <w:rFonts w:ascii="Times New Roman" w:hAnsi="Times New Roman"/>
                <w:noProof/>
                <w:sz w:val="24"/>
                <w:szCs w:val="24"/>
                <w:lang w:val="en-GB"/>
              </w:rPr>
            </w:pPr>
            <w:r>
              <w:rPr>
                <w:rFonts w:ascii="Times New Roman" w:hAnsi="Times New Roman"/>
                <w:noProof/>
                <w:sz w:val="24"/>
                <w:szCs w:val="24"/>
                <w:lang w:val="en-GB"/>
              </w:rPr>
              <w:t>The EU and its Member States will establish channels of communication between EU and Ukrainian experts, identify a contact point to ensure smooth cooperation, raise awareness, share best practices and expertise, and identify training needs and other support measures to strengthen Ukraine’s capacities in the field; and</w:t>
            </w:r>
          </w:p>
          <w:p>
            <w:pPr>
              <w:pStyle w:val="PlainText"/>
              <w:numPr>
                <w:ilvl w:val="0"/>
                <w:numId w:val="2"/>
              </w:numPr>
              <w:tabs>
                <w:tab w:val="left" w:pos="0"/>
              </w:tabs>
              <w:spacing w:after="120"/>
              <w:ind w:left="318" w:hanging="318"/>
              <w:jc w:val="both"/>
              <w:rPr>
                <w:rFonts w:ascii="Times New Roman" w:eastAsia="Times New Roman" w:hAnsi="Times New Roman"/>
                <w:noProof/>
                <w:color w:val="000000"/>
                <w:sz w:val="24"/>
                <w:szCs w:val="24"/>
                <w:lang w:val="en-GB" w:eastAsia="en-GB"/>
              </w:rPr>
            </w:pPr>
            <w:r>
              <w:rPr>
                <w:rFonts w:ascii="Times New Roman" w:hAnsi="Times New Roman"/>
                <w:noProof/>
                <w:sz w:val="24"/>
                <w:szCs w:val="24"/>
                <w:lang w:val="en-GB"/>
              </w:rPr>
              <w:t>The EU and its Member States will keep working on a permanent technical roundtable with Ukraine to address the pressing problem of the illicit traffic of firearms and the risks associated with such arms falling into the hands of terrorists and organised crime groups.</w:t>
            </w:r>
          </w:p>
        </w:tc>
      </w:tr>
    </w:tbl>
    <w:p>
      <w:pPr>
        <w:spacing w:after="0" w:line="240" w:lineRule="auto"/>
        <w:jc w:val="both"/>
        <w:rPr>
          <w:rFonts w:ascii="Times New Roman" w:hAnsi="Times New Roman" w:cs="Times New Roman"/>
          <w:noProof/>
          <w:sz w:val="24"/>
          <w:szCs w:val="24"/>
        </w:rPr>
      </w:pPr>
    </w:p>
    <w:p>
      <w:pPr>
        <w:keepNext/>
        <w:spacing w:after="240" w:line="240" w:lineRule="auto"/>
        <w:jc w:val="both"/>
        <w:rPr>
          <w:rFonts w:ascii="Times New Roman" w:hAnsi="Times New Roman" w:cs="Times New Roman"/>
          <w:b/>
          <w:i/>
          <w:noProof/>
          <w:sz w:val="24"/>
          <w:szCs w:val="24"/>
        </w:rPr>
      </w:pPr>
      <w:r>
        <w:rPr>
          <w:rFonts w:ascii="Times New Roman" w:hAnsi="Times New Roman" w:cs="Times New Roman"/>
          <w:b/>
          <w:i/>
          <w:noProof/>
          <w:sz w:val="24"/>
          <w:szCs w:val="24"/>
        </w:rPr>
        <w:t xml:space="preserve">Southern Neighbourhood </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protracted armed conflicts with wide regional repercussions in the Middle East and North Africa (MENA) continue to be fuelled by diversion and trafficking of SALW. Illicit SALW in this region have many sources, including poorly secured stockpiles and SALW originating from EU Member States’ licit production and authorised export and subsequently diverted to unauthorised end-users</w:t>
      </w:r>
    </w:p>
    <w:p>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EU’s 2018-2021 policy cycle for organised and serious international crime includes specific operational actions in those regions to improve cooperation on the illicit trafficking of firearms. Deeper bilateral cooperation is essential to counteracting more effectively the transnational dimension of illegal trafficking in firearms across the region. EU-MENA coordination in this field should therefore be encouraged, bearing in mind the need to avoid duplication of effort and to ensure coherence and coordination with existing initiatives supported or funded by the EU.</w:t>
      </w:r>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9072"/>
      </w:tblGrid>
      <w:tr>
        <w:tc>
          <w:tcPr>
            <w:tcW w:w="9072" w:type="dxa"/>
          </w:tcPr>
          <w:p>
            <w:pPr>
              <w:pStyle w:val="PlainText"/>
              <w:tabs>
                <w:tab w:val="left" w:pos="377"/>
              </w:tabs>
              <w:spacing w:after="120"/>
              <w:jc w:val="both"/>
              <w:rPr>
                <w:rFonts w:ascii="Times New Roman" w:eastAsia="Times New Roman" w:hAnsi="Times New Roman"/>
                <w:b/>
                <w:i/>
                <w:noProof/>
                <w:color w:val="000000"/>
                <w:sz w:val="24"/>
                <w:szCs w:val="24"/>
                <w:lang w:val="en-GB" w:eastAsia="en-GB"/>
              </w:rPr>
            </w:pPr>
            <w:r>
              <w:rPr>
                <w:rFonts w:ascii="Times New Roman" w:hAnsi="Times New Roman"/>
                <w:b/>
                <w:i/>
                <w:noProof/>
                <w:sz w:val="24"/>
                <w:szCs w:val="24"/>
                <w:lang w:val="en-GB"/>
              </w:rPr>
              <w:t>Actions in MENA:</w:t>
            </w:r>
          </w:p>
          <w:p>
            <w:pPr>
              <w:pStyle w:val="PlainText"/>
              <w:numPr>
                <w:ilvl w:val="0"/>
                <w:numId w:val="2"/>
              </w:numPr>
              <w:tabs>
                <w:tab w:val="left" w:pos="0"/>
              </w:tabs>
              <w:spacing w:after="120"/>
              <w:ind w:left="318" w:hanging="284"/>
              <w:jc w:val="both"/>
              <w:rPr>
                <w:rFonts w:ascii="Times New Roman" w:eastAsia="Times New Roman" w:hAnsi="Times New Roman"/>
                <w:noProof/>
                <w:color w:val="000000"/>
                <w:sz w:val="24"/>
                <w:szCs w:val="24"/>
                <w:lang w:val="en-GB" w:eastAsia="en-GB"/>
              </w:rPr>
            </w:pPr>
            <w:r>
              <w:rPr>
                <w:rFonts w:ascii="Times New Roman" w:hAnsi="Times New Roman"/>
                <w:noProof/>
                <w:sz w:val="24"/>
                <w:szCs w:val="24"/>
                <w:lang w:val="en-GB"/>
              </w:rPr>
              <w:t>The EU will seek to</w:t>
            </w:r>
            <w:r>
              <w:rPr>
                <w:rFonts w:ascii="Times New Roman" w:eastAsia="Times New Roman" w:hAnsi="Times New Roman"/>
                <w:noProof/>
                <w:color w:val="000000"/>
                <w:sz w:val="24"/>
                <w:szCs w:val="24"/>
                <w:lang w:val="en-GB" w:eastAsia="en-GB"/>
              </w:rPr>
              <w:t xml:space="preserve"> enhance cooperation with </w:t>
            </w:r>
            <w:r>
              <w:rPr>
                <w:rFonts w:ascii="Times New Roman" w:eastAsia="Times New Roman" w:hAnsi="Times New Roman"/>
                <w:b/>
                <w:noProof/>
                <w:color w:val="000000"/>
                <w:sz w:val="24"/>
                <w:szCs w:val="24"/>
                <w:lang w:val="en-GB" w:eastAsia="en-GB"/>
              </w:rPr>
              <w:t>Algeria</w:t>
            </w:r>
            <w:r>
              <w:rPr>
                <w:rFonts w:ascii="Times New Roman" w:eastAsia="Times New Roman" w:hAnsi="Times New Roman"/>
                <w:noProof/>
                <w:color w:val="000000"/>
                <w:sz w:val="24"/>
                <w:szCs w:val="24"/>
                <w:lang w:val="en-GB" w:eastAsia="en-GB"/>
              </w:rPr>
              <w:t>, through the security dialogue, on firearms transfer control and the fight against illegal trafficking of small arms;</w:t>
            </w:r>
          </w:p>
          <w:p>
            <w:pPr>
              <w:pStyle w:val="PlainText"/>
              <w:numPr>
                <w:ilvl w:val="0"/>
                <w:numId w:val="2"/>
              </w:numPr>
              <w:tabs>
                <w:tab w:val="left" w:pos="0"/>
              </w:tabs>
              <w:spacing w:after="120"/>
              <w:ind w:left="318" w:hanging="284"/>
              <w:jc w:val="both"/>
              <w:rPr>
                <w:rFonts w:ascii="Times New Roman" w:eastAsia="Times New Roman" w:hAnsi="Times New Roman"/>
                <w:noProof/>
                <w:color w:val="000000"/>
                <w:sz w:val="24"/>
                <w:szCs w:val="24"/>
                <w:lang w:val="en-GB" w:eastAsia="en-GB"/>
              </w:rPr>
            </w:pPr>
            <w:r>
              <w:rPr>
                <w:rFonts w:ascii="Times New Roman" w:hAnsi="Times New Roman"/>
                <w:noProof/>
                <w:sz w:val="24"/>
                <w:szCs w:val="24"/>
                <w:lang w:val="en-GB"/>
              </w:rPr>
              <w:t>The EU will continue to</w:t>
            </w:r>
            <w:r>
              <w:rPr>
                <w:rFonts w:ascii="Times New Roman" w:eastAsia="Times New Roman" w:hAnsi="Times New Roman"/>
                <w:noProof/>
                <w:color w:val="000000"/>
                <w:sz w:val="24"/>
                <w:szCs w:val="24"/>
                <w:lang w:val="en-GB" w:eastAsia="en-GB"/>
              </w:rPr>
              <w:t xml:space="preserve"> support </w:t>
            </w:r>
            <w:r>
              <w:rPr>
                <w:rFonts w:ascii="Times New Roman" w:eastAsia="Times New Roman" w:hAnsi="Times New Roman"/>
                <w:b/>
                <w:noProof/>
                <w:color w:val="000000"/>
                <w:sz w:val="24"/>
                <w:szCs w:val="24"/>
                <w:lang w:val="en-GB" w:eastAsia="en-GB"/>
              </w:rPr>
              <w:t>Tunisia</w:t>
            </w:r>
            <w:r>
              <w:rPr>
                <w:rFonts w:ascii="Times New Roman" w:eastAsia="Times New Roman" w:hAnsi="Times New Roman"/>
                <w:noProof/>
                <w:color w:val="000000"/>
                <w:sz w:val="24"/>
                <w:szCs w:val="24"/>
                <w:lang w:val="en-GB" w:eastAsia="en-GB"/>
              </w:rPr>
              <w:t xml:space="preserve"> on security</w:t>
            </w:r>
            <w:r>
              <w:rPr>
                <w:rFonts w:ascii="Times New Roman" w:eastAsia="Times New Roman" w:hAnsi="Times New Roman"/>
                <w:noProof/>
                <w:color w:val="000000"/>
                <w:sz w:val="24"/>
                <w:szCs w:val="24"/>
                <w:lang w:val="en-GB" w:eastAsia="en-GB"/>
              </w:rPr>
              <w:noBreakHyphen/>
              <w:t>sector reform and border management, mainly through a specific funding programme, which will have a direct bearing on controlling the illicit trafficking of firearms;</w:t>
            </w:r>
          </w:p>
          <w:p>
            <w:pPr>
              <w:pStyle w:val="PlainText"/>
              <w:numPr>
                <w:ilvl w:val="0"/>
                <w:numId w:val="2"/>
              </w:numPr>
              <w:tabs>
                <w:tab w:val="left" w:pos="0"/>
              </w:tabs>
              <w:spacing w:after="120"/>
              <w:ind w:left="318" w:hanging="284"/>
              <w:jc w:val="both"/>
              <w:rPr>
                <w:rFonts w:ascii="Times New Roman" w:eastAsia="Times New Roman" w:hAnsi="Times New Roman"/>
                <w:noProof/>
                <w:color w:val="000000"/>
                <w:sz w:val="24"/>
                <w:szCs w:val="24"/>
                <w:lang w:val="en-GB" w:eastAsia="en-GB"/>
              </w:rPr>
            </w:pPr>
            <w:r>
              <w:rPr>
                <w:rFonts w:ascii="Times New Roman" w:hAnsi="Times New Roman"/>
                <w:noProof/>
                <w:sz w:val="24"/>
                <w:szCs w:val="24"/>
                <w:lang w:val="en-GB"/>
              </w:rPr>
              <w:t>The EU will</w:t>
            </w:r>
            <w:r>
              <w:rPr>
                <w:rFonts w:ascii="Times New Roman" w:eastAsia="Times New Roman" w:hAnsi="Times New Roman"/>
                <w:noProof/>
                <w:color w:val="000000"/>
                <w:sz w:val="24"/>
                <w:szCs w:val="24"/>
                <w:lang w:val="en-GB" w:eastAsia="en-GB"/>
              </w:rPr>
              <w:t xml:space="preserve"> promote the implementation of all initiatives deepening cooperation with </w:t>
            </w:r>
            <w:r>
              <w:rPr>
                <w:rFonts w:ascii="Times New Roman" w:eastAsia="Times New Roman" w:hAnsi="Times New Roman"/>
                <w:b/>
                <w:noProof/>
                <w:color w:val="000000"/>
                <w:sz w:val="24"/>
                <w:szCs w:val="24"/>
                <w:lang w:val="en-GB" w:eastAsia="en-GB"/>
              </w:rPr>
              <w:t>Morocco</w:t>
            </w:r>
            <w:r>
              <w:rPr>
                <w:rFonts w:ascii="Times New Roman" w:eastAsia="Times New Roman" w:hAnsi="Times New Roman"/>
                <w:noProof/>
                <w:color w:val="000000"/>
                <w:sz w:val="24"/>
                <w:szCs w:val="24"/>
                <w:lang w:val="en-GB" w:eastAsia="en-GB"/>
              </w:rPr>
              <w:t xml:space="preserve"> on the control of </w:t>
            </w:r>
            <w:r>
              <w:rPr>
                <w:rFonts w:ascii="Times New Roman" w:hAnsi="Times New Roman"/>
                <w:noProof/>
                <w:sz w:val="24"/>
                <w:szCs w:val="24"/>
                <w:lang w:val="en-GB"/>
              </w:rPr>
              <w:t>exports</w:t>
            </w:r>
            <w:r>
              <w:rPr>
                <w:rFonts w:ascii="Times New Roman" w:eastAsia="Times New Roman" w:hAnsi="Times New Roman"/>
                <w:noProof/>
                <w:color w:val="000000"/>
                <w:sz w:val="24"/>
                <w:szCs w:val="24"/>
                <w:lang w:val="en-GB" w:eastAsia="en-GB"/>
              </w:rPr>
              <w:t xml:space="preserve"> of firearms and dual-use item as foreseen in </w:t>
            </w:r>
            <w:r>
              <w:rPr>
                <w:rStyle w:val="FootnoteReference"/>
                <w:rFonts w:ascii="Times New Roman" w:hAnsi="Times New Roman"/>
                <w:noProof/>
                <w:vertAlign w:val="baseline"/>
                <w:lang w:val="en-GB"/>
              </w:rPr>
              <w:t xml:space="preserve">EU-Morocco </w:t>
            </w:r>
            <w:r>
              <w:rPr>
                <w:rFonts w:ascii="Times New Roman" w:hAnsi="Times New Roman"/>
                <w:noProof/>
                <w:lang w:val="en-GB"/>
              </w:rPr>
              <w:t>a</w:t>
            </w:r>
            <w:r>
              <w:rPr>
                <w:rStyle w:val="FootnoteReference"/>
                <w:rFonts w:ascii="Times New Roman" w:hAnsi="Times New Roman"/>
                <w:noProof/>
                <w:vertAlign w:val="baseline"/>
                <w:lang w:val="en-GB"/>
              </w:rPr>
              <w:t xml:space="preserve">ction </w:t>
            </w:r>
            <w:r>
              <w:rPr>
                <w:rFonts w:ascii="Times New Roman" w:hAnsi="Times New Roman"/>
                <w:noProof/>
                <w:lang w:val="en-GB"/>
              </w:rPr>
              <w:t>p</w:t>
            </w:r>
            <w:r>
              <w:rPr>
                <w:rStyle w:val="FootnoteReference"/>
                <w:rFonts w:ascii="Times New Roman" w:hAnsi="Times New Roman"/>
                <w:noProof/>
                <w:vertAlign w:val="baseline"/>
                <w:lang w:val="en-GB"/>
              </w:rPr>
              <w:t>lan implementing the advanced status</w:t>
            </w:r>
            <w:r>
              <w:rPr>
                <w:rFonts w:ascii="Times New Roman" w:eastAsia="Times New Roman" w:hAnsi="Times New Roman"/>
                <w:noProof/>
                <w:color w:val="000000"/>
                <w:sz w:val="24"/>
                <w:szCs w:val="24"/>
                <w:lang w:val="en-GB" w:eastAsia="en-GB"/>
              </w:rPr>
              <w:t>;</w:t>
            </w:r>
            <w:r>
              <w:rPr>
                <w:rFonts w:ascii="Times New Roman" w:eastAsia="Times New Roman" w:hAnsi="Times New Roman"/>
                <w:noProof/>
                <w:color w:val="000000"/>
                <w:sz w:val="24"/>
                <w:szCs w:val="24"/>
                <w:vertAlign w:val="superscript"/>
                <w:lang w:val="en-GB" w:eastAsia="en-GB"/>
              </w:rPr>
              <w:footnoteReference w:id="43"/>
            </w:r>
          </w:p>
          <w:p>
            <w:pPr>
              <w:pStyle w:val="PlainText"/>
              <w:numPr>
                <w:ilvl w:val="0"/>
                <w:numId w:val="2"/>
              </w:numPr>
              <w:tabs>
                <w:tab w:val="left" w:pos="0"/>
              </w:tabs>
              <w:spacing w:after="120"/>
              <w:ind w:left="318" w:hanging="284"/>
              <w:jc w:val="both"/>
              <w:rPr>
                <w:rFonts w:ascii="Times New Roman" w:eastAsia="Times New Roman" w:hAnsi="Times New Roman"/>
                <w:noProof/>
                <w:color w:val="000000"/>
                <w:sz w:val="24"/>
                <w:szCs w:val="24"/>
                <w:lang w:val="en-GB" w:eastAsia="en-GB"/>
              </w:rPr>
            </w:pPr>
            <w:r>
              <w:rPr>
                <w:rFonts w:ascii="Times New Roman" w:hAnsi="Times New Roman"/>
                <w:noProof/>
                <w:sz w:val="24"/>
                <w:szCs w:val="24"/>
                <w:lang w:val="en-GB"/>
              </w:rPr>
              <w:t>The EU will</w:t>
            </w:r>
            <w:r>
              <w:rPr>
                <w:rFonts w:ascii="Times New Roman" w:hAnsi="Times New Roman"/>
                <w:noProof/>
                <w:color w:val="000000"/>
                <w:sz w:val="24"/>
                <w:szCs w:val="24"/>
                <w:lang w:val="en-GB" w:eastAsia="en-GB"/>
              </w:rPr>
              <w:t xml:space="preserve"> continue providing support to </w:t>
            </w:r>
            <w:r>
              <w:rPr>
                <w:rFonts w:ascii="Times New Roman" w:hAnsi="Times New Roman"/>
                <w:b/>
                <w:noProof/>
                <w:color w:val="000000"/>
                <w:sz w:val="24"/>
                <w:szCs w:val="24"/>
                <w:lang w:val="en-GB" w:eastAsia="en-GB"/>
              </w:rPr>
              <w:t>Lebanon</w:t>
            </w:r>
            <w:r>
              <w:rPr>
                <w:rFonts w:ascii="Times New Roman" w:hAnsi="Times New Roman"/>
                <w:noProof/>
                <w:color w:val="000000"/>
                <w:sz w:val="24"/>
                <w:szCs w:val="24"/>
                <w:lang w:val="en-GB" w:eastAsia="en-GB"/>
              </w:rPr>
              <w:t xml:space="preserve"> and </w:t>
            </w:r>
            <w:r>
              <w:rPr>
                <w:rFonts w:ascii="Times New Roman" w:hAnsi="Times New Roman"/>
                <w:b/>
                <w:noProof/>
                <w:color w:val="000000"/>
                <w:sz w:val="24"/>
                <w:szCs w:val="24"/>
                <w:lang w:val="en-GB" w:eastAsia="en-GB"/>
              </w:rPr>
              <w:t>Jordan</w:t>
            </w:r>
            <w:r>
              <w:rPr>
                <w:rFonts w:ascii="Times New Roman" w:hAnsi="Times New Roman"/>
                <w:noProof/>
                <w:color w:val="000000"/>
                <w:sz w:val="24"/>
                <w:szCs w:val="24"/>
                <w:lang w:val="en-GB" w:eastAsia="en-GB"/>
              </w:rPr>
              <w:t xml:space="preserve"> </w:t>
            </w:r>
            <w:r>
              <w:rPr>
                <w:rFonts w:ascii="Times New Roman" w:hAnsi="Times New Roman"/>
                <w:noProof/>
                <w:sz w:val="24"/>
                <w:szCs w:val="24"/>
                <w:lang w:val="en-GB"/>
              </w:rPr>
              <w:t>in</w:t>
            </w:r>
            <w:r>
              <w:rPr>
                <w:rFonts w:ascii="Times New Roman" w:hAnsi="Times New Roman"/>
                <w:noProof/>
                <w:color w:val="000000"/>
                <w:sz w:val="24"/>
                <w:szCs w:val="24"/>
                <w:lang w:val="en-GB" w:eastAsia="en-GB"/>
              </w:rPr>
              <w:t xml:space="preserve"> tackling organised crime (including through security sector reform assistance and support for integrated border management), and in controlling the illicit trafficking of firearms; </w:t>
            </w:r>
          </w:p>
          <w:p>
            <w:pPr>
              <w:pStyle w:val="PlainText"/>
              <w:numPr>
                <w:ilvl w:val="0"/>
                <w:numId w:val="2"/>
              </w:numPr>
              <w:tabs>
                <w:tab w:val="left" w:pos="0"/>
              </w:tabs>
              <w:ind w:left="318" w:hanging="284"/>
              <w:jc w:val="both"/>
              <w:rPr>
                <w:rFonts w:ascii="Times New Roman" w:eastAsia="Times New Roman" w:hAnsi="Times New Roman"/>
                <w:noProof/>
                <w:color w:val="000000"/>
                <w:sz w:val="24"/>
                <w:szCs w:val="24"/>
                <w:lang w:val="en-GB" w:eastAsia="en-GB"/>
              </w:rPr>
            </w:pPr>
            <w:r>
              <w:rPr>
                <w:rFonts w:ascii="Times New Roman" w:eastAsia="Times New Roman" w:hAnsi="Times New Roman"/>
                <w:noProof/>
                <w:color w:val="000000"/>
                <w:sz w:val="24"/>
                <w:szCs w:val="24"/>
                <w:lang w:val="en-GB" w:eastAsia="en-GB"/>
              </w:rPr>
              <w:t>The EU will continue strengthening EU-MENA cooperation in fighting illicit trafficking of firearms, including through the Euromed Police IV</w:t>
            </w:r>
            <w:r>
              <w:rPr>
                <w:rStyle w:val="FootnoteReference"/>
                <w:rFonts w:ascii="Times New Roman" w:eastAsia="Times New Roman" w:hAnsi="Times New Roman"/>
                <w:noProof/>
                <w:color w:val="000000"/>
                <w:sz w:val="24"/>
                <w:szCs w:val="24"/>
                <w:lang w:val="en-GB" w:eastAsia="en-GB"/>
              </w:rPr>
              <w:footnoteReference w:id="44"/>
            </w:r>
            <w:r>
              <w:rPr>
                <w:rFonts w:ascii="Times New Roman" w:eastAsia="Times New Roman" w:hAnsi="Times New Roman"/>
                <w:noProof/>
                <w:color w:val="000000"/>
                <w:sz w:val="24"/>
                <w:szCs w:val="24"/>
                <w:lang w:val="en-GB" w:eastAsia="en-GB"/>
              </w:rPr>
              <w:t xml:space="preserve">. This regional programme aims at enhancing operational and strategic police cooperation in the MENA region between national authorities in Southern Partner Countries, as well as with EU MS (and EU agencies); </w:t>
            </w:r>
          </w:p>
          <w:p>
            <w:pPr>
              <w:pStyle w:val="PlainText"/>
              <w:numPr>
                <w:ilvl w:val="0"/>
                <w:numId w:val="2"/>
              </w:numPr>
              <w:tabs>
                <w:tab w:val="left" w:pos="0"/>
              </w:tabs>
              <w:spacing w:after="120"/>
              <w:ind w:left="318" w:hanging="284"/>
              <w:jc w:val="both"/>
              <w:rPr>
                <w:rFonts w:ascii="Times New Roman" w:eastAsia="Times New Roman" w:hAnsi="Times New Roman"/>
                <w:noProof/>
                <w:color w:val="000000"/>
                <w:sz w:val="24"/>
                <w:szCs w:val="24"/>
                <w:lang w:val="en-GB" w:eastAsia="en-GB"/>
              </w:rPr>
            </w:pPr>
            <w:r>
              <w:rPr>
                <w:rFonts w:ascii="Times New Roman" w:hAnsi="Times New Roman"/>
                <w:noProof/>
                <w:sz w:val="24"/>
                <w:szCs w:val="24"/>
                <w:lang w:val="en-GB"/>
              </w:rPr>
              <w:t xml:space="preserve"> The EU will</w:t>
            </w:r>
            <w:r>
              <w:rPr>
                <w:rFonts w:ascii="Times New Roman" w:eastAsia="Times New Roman" w:hAnsi="Times New Roman"/>
                <w:noProof/>
                <w:color w:val="000000"/>
                <w:sz w:val="24"/>
                <w:szCs w:val="24"/>
                <w:lang w:val="en-GB" w:eastAsia="en-GB"/>
              </w:rPr>
              <w:t xml:space="preserve"> continue to support the monitoring of diversion to unauthorised actors in the region and intelligence-led risk-assessment and counter-diversion measures, thereby taking into account the positive results of the iTrace project</w:t>
            </w:r>
            <w:r>
              <w:rPr>
                <w:rStyle w:val="FootnoteReference"/>
                <w:rFonts w:ascii="Times New Roman" w:eastAsia="Times New Roman" w:hAnsi="Times New Roman"/>
                <w:noProof/>
                <w:color w:val="000000"/>
                <w:sz w:val="24"/>
                <w:szCs w:val="24"/>
                <w:lang w:val="en-GB" w:eastAsia="en-GB"/>
              </w:rPr>
              <w:footnoteReference w:id="45"/>
            </w:r>
            <w:r>
              <w:rPr>
                <w:rFonts w:ascii="Times New Roman" w:eastAsia="Times New Roman" w:hAnsi="Times New Roman"/>
                <w:noProof/>
                <w:color w:val="000000"/>
                <w:sz w:val="24"/>
                <w:szCs w:val="24"/>
                <w:lang w:val="en-GB" w:eastAsia="en-GB"/>
              </w:rPr>
              <w:t>; and</w:t>
            </w:r>
          </w:p>
          <w:p>
            <w:pPr>
              <w:pStyle w:val="PlainText"/>
              <w:numPr>
                <w:ilvl w:val="0"/>
                <w:numId w:val="2"/>
              </w:numPr>
              <w:tabs>
                <w:tab w:val="left" w:pos="0"/>
              </w:tabs>
              <w:spacing w:after="120"/>
              <w:ind w:left="318" w:hanging="284"/>
              <w:jc w:val="both"/>
              <w:rPr>
                <w:rFonts w:ascii="Times New Roman" w:eastAsia="Times New Roman" w:hAnsi="Times New Roman"/>
                <w:noProof/>
                <w:color w:val="000000"/>
                <w:sz w:val="24"/>
                <w:szCs w:val="24"/>
                <w:lang w:val="en-GB" w:eastAsia="en-GB"/>
              </w:rPr>
            </w:pPr>
            <w:r>
              <w:rPr>
                <w:rFonts w:ascii="Times New Roman" w:hAnsi="Times New Roman"/>
                <w:noProof/>
                <w:sz w:val="24"/>
                <w:szCs w:val="24"/>
                <w:lang w:val="en-GB"/>
              </w:rPr>
              <w:t>The EU will</w:t>
            </w:r>
            <w:r>
              <w:rPr>
                <w:rFonts w:ascii="Times New Roman" w:eastAsia="Times New Roman" w:hAnsi="Times New Roman"/>
                <w:noProof/>
                <w:color w:val="000000"/>
                <w:sz w:val="24"/>
                <w:szCs w:val="24"/>
                <w:lang w:val="en-GB" w:eastAsia="en-GB"/>
              </w:rPr>
              <w:t xml:space="preserve"> continue to support capacity</w:t>
            </w:r>
            <w:r>
              <w:rPr>
                <w:rFonts w:ascii="Times New Roman" w:eastAsia="Times New Roman" w:hAnsi="Times New Roman"/>
                <w:noProof/>
                <w:color w:val="000000"/>
                <w:sz w:val="24"/>
                <w:szCs w:val="24"/>
                <w:lang w:val="en-GB" w:eastAsia="en-GB"/>
              </w:rPr>
              <w:noBreakHyphen/>
              <w:t>building for local law</w:t>
            </w:r>
            <w:r>
              <w:rPr>
                <w:rFonts w:ascii="Times New Roman" w:eastAsia="Times New Roman" w:hAnsi="Times New Roman"/>
                <w:noProof/>
                <w:color w:val="000000"/>
                <w:sz w:val="24"/>
                <w:szCs w:val="24"/>
                <w:lang w:val="en-GB" w:eastAsia="en-GB"/>
              </w:rPr>
              <w:noBreakHyphen/>
              <w:t xml:space="preserve">enforcement </w:t>
            </w:r>
            <w:r>
              <w:rPr>
                <w:rFonts w:ascii="Times New Roman" w:hAnsi="Times New Roman"/>
                <w:noProof/>
                <w:sz w:val="24"/>
                <w:szCs w:val="24"/>
                <w:lang w:val="en-GB"/>
              </w:rPr>
              <w:t>and</w:t>
            </w:r>
            <w:r>
              <w:rPr>
                <w:rFonts w:ascii="Times New Roman" w:eastAsia="Times New Roman" w:hAnsi="Times New Roman"/>
                <w:noProof/>
                <w:color w:val="000000"/>
                <w:sz w:val="24"/>
                <w:szCs w:val="24"/>
                <w:lang w:val="en-GB" w:eastAsia="en-GB"/>
              </w:rPr>
              <w:t xml:space="preserve"> security forces as regards physical security and stockpile management (PSSM), surplus destruction and the documenting and tracing of illicit SALW. </w:t>
            </w:r>
          </w:p>
        </w:tc>
      </w:tr>
      <w:tr>
        <w:tc>
          <w:tcPr>
            <w:tcW w:w="9072" w:type="dxa"/>
          </w:tcPr>
          <w:p>
            <w:pPr>
              <w:keepNext/>
              <w:spacing w:after="240"/>
              <w:jc w:val="both"/>
              <w:rPr>
                <w:rFonts w:ascii="Times New Roman" w:hAnsi="Times New Roman" w:cs="Times New Roman"/>
                <w:b/>
                <w:i/>
                <w:noProof/>
                <w:sz w:val="24"/>
                <w:szCs w:val="24"/>
              </w:rPr>
            </w:pPr>
            <w:r>
              <w:rPr>
                <w:rFonts w:ascii="Times New Roman" w:hAnsi="Times New Roman" w:cs="Times New Roman"/>
                <w:bCs/>
                <w:noProof/>
                <w:sz w:val="24"/>
                <w:szCs w:val="24"/>
                <w:lang w:eastAsia="en-GB"/>
              </w:rPr>
              <w:br w:type="page"/>
            </w:r>
            <w:r>
              <w:rPr>
                <w:rFonts w:ascii="Times New Roman" w:hAnsi="Times New Roman" w:cs="Times New Roman"/>
                <w:b/>
                <w:i/>
                <w:noProof/>
                <w:sz w:val="24"/>
                <w:szCs w:val="24"/>
              </w:rPr>
              <w:t xml:space="preserve">Actions in Africa (Sahel region): </w:t>
            </w:r>
          </w:p>
          <w:p>
            <w:pPr>
              <w:pStyle w:val="PlainText"/>
              <w:numPr>
                <w:ilvl w:val="0"/>
                <w:numId w:val="2"/>
              </w:numPr>
              <w:spacing w:after="120"/>
              <w:ind w:left="318" w:hanging="318"/>
              <w:jc w:val="both"/>
              <w:rPr>
                <w:rFonts w:ascii="Times New Roman" w:hAnsi="Times New Roman"/>
                <w:noProof/>
                <w:sz w:val="24"/>
                <w:szCs w:val="24"/>
                <w:lang w:val="en-GB"/>
              </w:rPr>
            </w:pPr>
            <w:r>
              <w:rPr>
                <w:rFonts w:ascii="Times New Roman" w:hAnsi="Times New Roman"/>
                <w:noProof/>
                <w:sz w:val="24"/>
                <w:szCs w:val="24"/>
                <w:lang w:val="en-GB"/>
              </w:rPr>
              <w:t xml:space="preserve">The EU will support intelligence-led tracking of trafficking networks, including those beyond the Sahel, to counter more effectively the risk that the large-scale outflow of state stocks during the political crises in </w:t>
            </w:r>
            <w:r>
              <w:rPr>
                <w:rFonts w:ascii="Times New Roman" w:hAnsi="Times New Roman"/>
                <w:b/>
                <w:noProof/>
                <w:sz w:val="24"/>
                <w:szCs w:val="24"/>
                <w:lang w:val="en-GB"/>
              </w:rPr>
              <w:t>Mali</w:t>
            </w:r>
            <w:r>
              <w:rPr>
                <w:rFonts w:ascii="Times New Roman" w:hAnsi="Times New Roman"/>
                <w:noProof/>
                <w:sz w:val="24"/>
                <w:szCs w:val="24"/>
                <w:lang w:val="en-GB"/>
              </w:rPr>
              <w:t xml:space="preserve"> and </w:t>
            </w:r>
            <w:r>
              <w:rPr>
                <w:rFonts w:ascii="Times New Roman" w:hAnsi="Times New Roman"/>
                <w:b/>
                <w:noProof/>
                <w:sz w:val="24"/>
                <w:szCs w:val="24"/>
                <w:lang w:val="en-GB"/>
              </w:rPr>
              <w:t>Libya</w:t>
            </w:r>
            <w:r>
              <w:rPr>
                <w:rFonts w:ascii="Times New Roman" w:hAnsi="Times New Roman"/>
                <w:noProof/>
                <w:sz w:val="24"/>
                <w:szCs w:val="24"/>
                <w:lang w:val="en-GB"/>
              </w:rPr>
              <w:t xml:space="preserve"> continue to pose to regional stability;</w:t>
            </w:r>
          </w:p>
          <w:p>
            <w:pPr>
              <w:pStyle w:val="PlainText"/>
              <w:numPr>
                <w:ilvl w:val="0"/>
                <w:numId w:val="2"/>
              </w:numPr>
              <w:spacing w:after="120"/>
              <w:ind w:left="318" w:hanging="318"/>
              <w:jc w:val="both"/>
              <w:rPr>
                <w:rFonts w:ascii="Times New Roman" w:hAnsi="Times New Roman"/>
                <w:noProof/>
                <w:sz w:val="24"/>
                <w:szCs w:val="24"/>
                <w:lang w:val="en-GB"/>
              </w:rPr>
            </w:pPr>
            <w:r>
              <w:rPr>
                <w:rFonts w:ascii="Times New Roman" w:hAnsi="Times New Roman"/>
                <w:noProof/>
                <w:sz w:val="24"/>
                <w:szCs w:val="24"/>
                <w:lang w:val="en-GB"/>
              </w:rPr>
              <w:t xml:space="preserve">The EU will support management and record-keeping capacity-building in </w:t>
            </w:r>
            <w:r>
              <w:rPr>
                <w:rFonts w:ascii="Times New Roman" w:hAnsi="Times New Roman"/>
                <w:b/>
                <w:noProof/>
                <w:sz w:val="24"/>
                <w:szCs w:val="24"/>
                <w:lang w:val="en-GB"/>
              </w:rPr>
              <w:t>Mali</w:t>
            </w:r>
            <w:r>
              <w:rPr>
                <w:rFonts w:ascii="Times New Roman" w:hAnsi="Times New Roman"/>
                <w:noProof/>
                <w:sz w:val="24"/>
                <w:szCs w:val="24"/>
                <w:lang w:val="en-GB"/>
              </w:rPr>
              <w:t xml:space="preserve"> and </w:t>
            </w:r>
            <w:r>
              <w:rPr>
                <w:rFonts w:ascii="Times New Roman" w:hAnsi="Times New Roman"/>
                <w:b/>
                <w:noProof/>
                <w:sz w:val="24"/>
                <w:szCs w:val="24"/>
                <w:lang w:val="en-GB"/>
              </w:rPr>
              <w:t>Libya</w:t>
            </w:r>
            <w:r>
              <w:rPr>
                <w:rFonts w:ascii="Times New Roman" w:hAnsi="Times New Roman"/>
                <w:noProof/>
                <w:sz w:val="24"/>
                <w:szCs w:val="24"/>
                <w:lang w:val="en-GB"/>
              </w:rPr>
              <w:t xml:space="preserve"> to improve SALW securing and management systems, including stockpile management, surplus destruction and comprehensive record-keeping and weapons accounting systems;</w:t>
            </w:r>
          </w:p>
          <w:p>
            <w:pPr>
              <w:pStyle w:val="PlainText"/>
              <w:numPr>
                <w:ilvl w:val="0"/>
                <w:numId w:val="2"/>
              </w:numPr>
              <w:spacing w:after="120"/>
              <w:ind w:left="318" w:hanging="318"/>
              <w:jc w:val="both"/>
              <w:rPr>
                <w:rFonts w:ascii="Times New Roman" w:hAnsi="Times New Roman"/>
                <w:noProof/>
                <w:sz w:val="24"/>
                <w:szCs w:val="24"/>
                <w:lang w:val="en-GB"/>
              </w:rPr>
            </w:pPr>
            <w:r>
              <w:rPr>
                <w:rFonts w:ascii="Times New Roman" w:hAnsi="Times New Roman"/>
                <w:noProof/>
                <w:sz w:val="24"/>
                <w:szCs w:val="24"/>
                <w:lang w:val="en-GB"/>
              </w:rPr>
              <w:t>The EU will support capacities for tracing and regional information-sharing, including through regional mechanisms, such as the clearing house provisions of the Economic Community of West-African States (ECOWAS) Convention on SALW, the G5 Sahel</w:t>
            </w:r>
            <w:r>
              <w:rPr>
                <w:rStyle w:val="FootnoteReference"/>
                <w:rFonts w:ascii="Times New Roman" w:hAnsi="Times New Roman"/>
                <w:noProof/>
                <w:sz w:val="24"/>
                <w:szCs w:val="24"/>
                <w:lang w:val="en-GB"/>
              </w:rPr>
              <w:footnoteReference w:id="46"/>
            </w:r>
            <w:r>
              <w:rPr>
                <w:rFonts w:ascii="Times New Roman" w:hAnsi="Times New Roman"/>
                <w:noProof/>
                <w:sz w:val="24"/>
                <w:szCs w:val="24"/>
                <w:lang w:val="en-GB"/>
              </w:rPr>
              <w:t>, the African Union and global channels such as the iARMS database;</w:t>
            </w:r>
          </w:p>
          <w:p>
            <w:pPr>
              <w:pStyle w:val="PlainText"/>
              <w:numPr>
                <w:ilvl w:val="0"/>
                <w:numId w:val="2"/>
              </w:numPr>
              <w:spacing w:after="120"/>
              <w:ind w:left="318" w:hanging="318"/>
              <w:jc w:val="both"/>
              <w:rPr>
                <w:rFonts w:ascii="Times New Roman" w:hAnsi="Times New Roman"/>
                <w:noProof/>
                <w:sz w:val="24"/>
                <w:szCs w:val="24"/>
                <w:lang w:val="en-GB"/>
              </w:rPr>
            </w:pPr>
            <w:r>
              <w:rPr>
                <w:rFonts w:ascii="Times New Roman" w:hAnsi="Times New Roman"/>
                <w:noProof/>
                <w:sz w:val="24"/>
                <w:szCs w:val="24"/>
                <w:lang w:val="en-GB"/>
              </w:rPr>
              <w:t xml:space="preserve">The EU will continue to encourage further judicial cooperation and joint border security initiatives; </w:t>
            </w:r>
          </w:p>
          <w:p>
            <w:pPr>
              <w:pStyle w:val="PlainText"/>
              <w:numPr>
                <w:ilvl w:val="0"/>
                <w:numId w:val="2"/>
              </w:numPr>
              <w:spacing w:after="120"/>
              <w:ind w:left="318" w:hanging="318"/>
              <w:jc w:val="both"/>
              <w:rPr>
                <w:rFonts w:ascii="Times New Roman" w:eastAsia="Times New Roman" w:hAnsi="Times New Roman"/>
                <w:noProof/>
                <w:color w:val="000000"/>
                <w:sz w:val="24"/>
                <w:szCs w:val="24"/>
                <w:lang w:val="en-GB" w:eastAsia="en-GB"/>
              </w:rPr>
            </w:pPr>
            <w:r>
              <w:rPr>
                <w:rFonts w:ascii="Times New Roman" w:hAnsi="Times New Roman"/>
                <w:noProof/>
                <w:sz w:val="24"/>
                <w:szCs w:val="24"/>
                <w:lang w:val="en-GB"/>
              </w:rPr>
              <w:t xml:space="preserve">The EU will </w:t>
            </w:r>
            <w:r>
              <w:rPr>
                <w:rFonts w:ascii="Times New Roman" w:eastAsia="Times New Roman" w:hAnsi="Times New Roman"/>
                <w:noProof/>
                <w:color w:val="000000"/>
                <w:sz w:val="24"/>
                <w:szCs w:val="24"/>
                <w:lang w:val="en-GB" w:eastAsia="en-GB"/>
              </w:rPr>
              <w:t>support the capacity of relevant actors to trace, report on, counter and dispose of illicit SALW and give CSDP missions in the region a greater role in monitoring illicit SALW, organising SALW</w:t>
            </w:r>
            <w:r>
              <w:rPr>
                <w:rFonts w:ascii="Times New Roman" w:eastAsia="Times New Roman" w:hAnsi="Times New Roman"/>
                <w:noProof/>
                <w:color w:val="000000"/>
                <w:sz w:val="24"/>
                <w:szCs w:val="24"/>
                <w:lang w:val="en-GB" w:eastAsia="en-GB"/>
              </w:rPr>
              <w:noBreakHyphen/>
              <w:t>control</w:t>
            </w:r>
            <w:r>
              <w:rPr>
                <w:rFonts w:ascii="Times New Roman" w:eastAsia="Times New Roman" w:hAnsi="Times New Roman"/>
                <w:noProof/>
                <w:color w:val="000000"/>
                <w:sz w:val="24"/>
                <w:szCs w:val="24"/>
                <w:lang w:val="en-GB" w:eastAsia="en-GB"/>
              </w:rPr>
              <w:noBreakHyphen/>
              <w:t>related training, supporting PSSM and surplus disposal, and facilitating tracing and border-control;</w:t>
            </w:r>
          </w:p>
          <w:p>
            <w:pPr>
              <w:pStyle w:val="PlainText"/>
              <w:numPr>
                <w:ilvl w:val="0"/>
                <w:numId w:val="2"/>
              </w:numPr>
              <w:spacing w:after="120"/>
              <w:ind w:left="318" w:hanging="318"/>
              <w:jc w:val="both"/>
              <w:rPr>
                <w:rFonts w:ascii="Times New Roman" w:eastAsia="Times New Roman" w:hAnsi="Times New Roman"/>
                <w:noProof/>
                <w:color w:val="000000"/>
                <w:sz w:val="24"/>
                <w:szCs w:val="24"/>
                <w:lang w:val="en-GB" w:eastAsia="en-GB"/>
              </w:rPr>
            </w:pPr>
            <w:r>
              <w:rPr>
                <w:rFonts w:ascii="Times New Roman" w:hAnsi="Times New Roman"/>
                <w:noProof/>
                <w:sz w:val="24"/>
                <w:szCs w:val="24"/>
                <w:lang w:val="en-GB"/>
              </w:rPr>
              <w:t xml:space="preserve">The EU will </w:t>
            </w:r>
            <w:r>
              <w:rPr>
                <w:rFonts w:ascii="Times New Roman" w:eastAsia="Times New Roman" w:hAnsi="Times New Roman"/>
                <w:noProof/>
                <w:color w:val="000000"/>
                <w:sz w:val="24"/>
                <w:szCs w:val="24"/>
                <w:lang w:val="en-GB" w:eastAsia="en-GB"/>
              </w:rPr>
              <w:t>look for synergy with the African Union’s ‘silencing the guns’ initiative</w:t>
            </w:r>
            <w:r>
              <w:rPr>
                <w:rStyle w:val="FootnoteReference"/>
                <w:rFonts w:ascii="Times New Roman" w:eastAsia="Times New Roman" w:hAnsi="Times New Roman"/>
                <w:noProof/>
                <w:color w:val="000000"/>
                <w:sz w:val="24"/>
                <w:szCs w:val="24"/>
                <w:lang w:val="en-GB" w:eastAsia="en-GB"/>
              </w:rPr>
              <w:footnoteReference w:id="47"/>
            </w:r>
            <w:r>
              <w:rPr>
                <w:rFonts w:ascii="Times New Roman" w:eastAsia="Times New Roman" w:hAnsi="Times New Roman"/>
                <w:noProof/>
                <w:color w:val="000000"/>
                <w:sz w:val="24"/>
                <w:szCs w:val="24"/>
                <w:lang w:val="en-GB" w:eastAsia="en-GB"/>
              </w:rPr>
              <w:t>, the Bamako Declaration on illicit SALW adopted by the Council of Ministers of the African Union in 2000</w:t>
            </w:r>
            <w:r>
              <w:rPr>
                <w:rStyle w:val="FootnoteReference"/>
                <w:rFonts w:ascii="Times New Roman" w:eastAsia="Times New Roman" w:hAnsi="Times New Roman"/>
                <w:noProof/>
                <w:color w:val="000000"/>
                <w:sz w:val="24"/>
                <w:szCs w:val="24"/>
                <w:lang w:val="en-GB" w:eastAsia="en-GB"/>
              </w:rPr>
              <w:footnoteReference w:id="48"/>
            </w:r>
            <w:r>
              <w:rPr>
                <w:rFonts w:ascii="Times New Roman" w:eastAsia="Times New Roman" w:hAnsi="Times New Roman"/>
                <w:noProof/>
                <w:color w:val="000000"/>
                <w:sz w:val="24"/>
                <w:szCs w:val="24"/>
                <w:lang w:val="en-GB" w:eastAsia="en-GB"/>
              </w:rPr>
              <w:t xml:space="preserve"> and the African Union Strategy against illicit SALW adopted in Lomé in 2011</w:t>
            </w:r>
            <w:r>
              <w:rPr>
                <w:rStyle w:val="FootnoteReference"/>
                <w:rFonts w:ascii="Times New Roman" w:eastAsia="Times New Roman" w:hAnsi="Times New Roman"/>
                <w:noProof/>
                <w:color w:val="000000"/>
                <w:sz w:val="24"/>
                <w:szCs w:val="24"/>
                <w:lang w:val="en-GB" w:eastAsia="en-GB"/>
              </w:rPr>
              <w:footnoteReference w:id="49"/>
            </w:r>
            <w:r>
              <w:rPr>
                <w:rFonts w:ascii="Times New Roman" w:eastAsia="Times New Roman" w:hAnsi="Times New Roman"/>
                <w:noProof/>
                <w:color w:val="000000"/>
                <w:sz w:val="24"/>
                <w:szCs w:val="24"/>
                <w:lang w:val="en-GB" w:eastAsia="en-GB"/>
              </w:rPr>
              <w:t>; and</w:t>
            </w:r>
          </w:p>
          <w:p>
            <w:pPr>
              <w:pStyle w:val="PlainText"/>
              <w:numPr>
                <w:ilvl w:val="0"/>
                <w:numId w:val="2"/>
              </w:numPr>
              <w:spacing w:after="120"/>
              <w:ind w:left="318" w:hanging="318"/>
              <w:jc w:val="both"/>
              <w:rPr>
                <w:rFonts w:ascii="Times New Roman" w:eastAsia="Times New Roman" w:hAnsi="Times New Roman"/>
                <w:noProof/>
                <w:color w:val="000000"/>
                <w:sz w:val="24"/>
                <w:szCs w:val="24"/>
                <w:lang w:val="en-GB" w:eastAsia="en-GB"/>
              </w:rPr>
            </w:pPr>
            <w:r>
              <w:rPr>
                <w:rFonts w:ascii="Times New Roman" w:eastAsia="Times New Roman" w:hAnsi="Times New Roman"/>
                <w:noProof/>
                <w:color w:val="000000"/>
                <w:sz w:val="24"/>
                <w:szCs w:val="24"/>
                <w:lang w:val="en-GB" w:eastAsia="en-GB"/>
              </w:rPr>
              <w:t>The EU will improve its capacity for coordination with other donors on SALW control in the region.</w:t>
            </w:r>
          </w:p>
        </w:tc>
      </w:tr>
    </w:tbl>
    <w:p>
      <w:pPr>
        <w:spacing w:after="0" w:line="240" w:lineRule="auto"/>
        <w:jc w:val="both"/>
        <w:rPr>
          <w:rFonts w:ascii="Times New Roman" w:hAnsi="Times New Roman" w:cs="Times New Roman"/>
          <w:bCs/>
          <w:noProof/>
          <w:sz w:val="24"/>
          <w:szCs w:val="24"/>
          <w:lang w:eastAsia="en-GB"/>
        </w:rPr>
      </w:pPr>
    </w:p>
    <w:p>
      <w:pPr>
        <w:spacing w:after="0" w:line="240" w:lineRule="auto"/>
        <w:jc w:val="both"/>
        <w:rPr>
          <w:rFonts w:ascii="Times New Roman" w:hAnsi="Times New Roman" w:cs="Times New Roman"/>
          <w:b/>
          <w:bCs/>
          <w:i/>
          <w:noProof/>
          <w:sz w:val="24"/>
          <w:szCs w:val="24"/>
          <w:lang w:eastAsia="en-GB"/>
        </w:rPr>
      </w:pPr>
      <w:r>
        <w:rPr>
          <w:rFonts w:ascii="Times New Roman" w:hAnsi="Times New Roman" w:cs="Times New Roman"/>
          <w:b/>
          <w:bCs/>
          <w:i/>
          <w:noProof/>
          <w:sz w:val="24"/>
          <w:szCs w:val="24"/>
          <w:lang w:eastAsia="en-GB"/>
        </w:rPr>
        <w:t>Americas</w:t>
      </w:r>
    </w:p>
    <w:p>
      <w:pPr>
        <w:spacing w:after="0" w:line="240" w:lineRule="auto"/>
        <w:jc w:val="both"/>
        <w:rPr>
          <w:rFonts w:ascii="Times New Roman" w:hAnsi="Times New Roman" w:cs="Times New Roman"/>
          <w:bCs/>
          <w:noProof/>
          <w:sz w:val="24"/>
          <w:szCs w:val="24"/>
          <w:lang w:eastAsia="en-GB"/>
        </w:rPr>
      </w:pPr>
    </w:p>
    <w:tbl>
      <w:tblPr>
        <w:tblStyle w:val="TableGrid"/>
        <w:tblW w:w="0" w:type="auto"/>
        <w:tblInd w:w="108" w:type="dxa"/>
        <w:tblLook w:val="04A0" w:firstRow="1" w:lastRow="0" w:firstColumn="1" w:lastColumn="0" w:noHBand="0" w:noVBand="1"/>
      </w:tblPr>
      <w:tblGrid>
        <w:gridCol w:w="9072"/>
      </w:tblGrid>
      <w:tr>
        <w:tc>
          <w:tcPr>
            <w:tcW w:w="9072" w:type="dxa"/>
          </w:tcPr>
          <w:p>
            <w:pPr>
              <w:spacing w:after="120"/>
              <w:jc w:val="both"/>
              <w:rPr>
                <w:rFonts w:ascii="Times New Roman" w:eastAsia="Times New Roman" w:hAnsi="Times New Roman" w:cs="Times New Roman"/>
                <w:b/>
                <w:i/>
                <w:noProof/>
                <w:color w:val="000000"/>
                <w:sz w:val="24"/>
                <w:szCs w:val="24"/>
                <w:lang w:eastAsia="en-GB"/>
              </w:rPr>
            </w:pPr>
            <w:r>
              <w:rPr>
                <w:rFonts w:ascii="Times New Roman" w:eastAsia="Times New Roman" w:hAnsi="Times New Roman" w:cs="Times New Roman"/>
                <w:b/>
                <w:i/>
                <w:noProof/>
                <w:color w:val="000000"/>
                <w:sz w:val="24"/>
                <w:szCs w:val="24"/>
                <w:lang w:eastAsia="en-GB"/>
              </w:rPr>
              <w:t>Action in the Americas:</w:t>
            </w:r>
          </w:p>
          <w:p>
            <w:pPr>
              <w:pStyle w:val="ListParagraph"/>
              <w:numPr>
                <w:ilvl w:val="0"/>
                <w:numId w:val="13"/>
              </w:numPr>
              <w:spacing w:after="240"/>
              <w:ind w:left="318" w:hanging="318"/>
              <w:contextualSpacing w:val="0"/>
              <w:jc w:val="both"/>
              <w:rPr>
                <w:rFonts w:ascii="Times New Roman Bold" w:hAnsi="Times New Roman Bold" w:cs="Times New Roman"/>
                <w:bCs/>
                <w:smallCaps/>
                <w:noProof/>
                <w:sz w:val="24"/>
                <w:szCs w:val="24"/>
              </w:rPr>
            </w:pPr>
            <w:r>
              <w:rPr>
                <w:rFonts w:ascii="Times New Roman" w:eastAsia="Times New Roman" w:hAnsi="Times New Roman"/>
                <w:noProof/>
                <w:color w:val="000000"/>
                <w:sz w:val="24"/>
                <w:szCs w:val="24"/>
                <w:lang w:eastAsia="en-GB"/>
              </w:rPr>
              <w:t>The EU will look for synergy with the relevant American states and regional organisations to reduce the illicit proliferation and trafficking of SALW, with a view to reducing armed violence and criminal activity.</w:t>
            </w:r>
            <w:r>
              <w:rPr>
                <w:rFonts w:ascii="Times New Roman" w:eastAsia="Times New Roman" w:hAnsi="Times New Roman"/>
                <w:noProof/>
                <w:color w:val="000000"/>
                <w:sz w:val="24"/>
                <w:vertAlign w:val="superscript"/>
                <w:lang w:eastAsia="en-GB"/>
              </w:rPr>
              <w:footnoteReference w:id="50"/>
            </w:r>
          </w:p>
        </w:tc>
      </w:tr>
    </w:tbl>
    <w:p>
      <w:pPr>
        <w:pStyle w:val="ListParagraph"/>
        <w:spacing w:after="240" w:line="240" w:lineRule="auto"/>
        <w:ind w:left="567"/>
        <w:contextualSpacing w:val="0"/>
        <w:jc w:val="both"/>
        <w:rPr>
          <w:rFonts w:ascii="Times New Roman Bold" w:hAnsi="Times New Roman Bold" w:cs="Times New Roman"/>
          <w:b/>
          <w:smallCaps/>
          <w:noProof/>
          <w:sz w:val="24"/>
          <w:szCs w:val="24"/>
        </w:rPr>
      </w:pPr>
    </w:p>
    <w:p>
      <w:pPr>
        <w:pStyle w:val="ListParagraph"/>
        <w:spacing w:after="240" w:line="240" w:lineRule="auto"/>
        <w:ind w:left="567"/>
        <w:contextualSpacing w:val="0"/>
        <w:jc w:val="both"/>
        <w:rPr>
          <w:rFonts w:ascii="Times New Roman Bold" w:hAnsi="Times New Roman Bold" w:cs="Times New Roman"/>
          <w:b/>
          <w:smallCaps/>
          <w:noProof/>
          <w:sz w:val="24"/>
          <w:szCs w:val="24"/>
        </w:rPr>
      </w:pPr>
    </w:p>
    <w:p>
      <w:pPr>
        <w:spacing w:after="240" w:line="240" w:lineRule="auto"/>
        <w:jc w:val="both"/>
        <w:rPr>
          <w:rFonts w:ascii="Times New Roman" w:hAnsi="Times New Roman" w:cs="Times New Roman"/>
          <w:noProof/>
          <w:sz w:val="24"/>
          <w:szCs w:val="24"/>
        </w:rPr>
      </w:pPr>
    </w:p>
    <w:p>
      <w:pPr>
        <w:pStyle w:val="ListParagraph"/>
        <w:spacing w:after="240" w:line="240" w:lineRule="auto"/>
        <w:ind w:left="567"/>
        <w:contextualSpacing w:val="0"/>
        <w:jc w:val="both"/>
        <w:rPr>
          <w:rFonts w:ascii="Times New Roman Bold" w:hAnsi="Times New Roman Bold" w:cs="Times New Roman"/>
          <w:b/>
          <w:smallCaps/>
          <w:noProof/>
          <w:sz w:val="24"/>
          <w:szCs w:val="24"/>
        </w:rPr>
      </w:pPr>
    </w:p>
    <w:p>
      <w:pPr>
        <w:pStyle w:val="ListParagraph"/>
        <w:numPr>
          <w:ilvl w:val="0"/>
          <w:numId w:val="6"/>
        </w:numPr>
        <w:spacing w:after="240" w:line="240" w:lineRule="auto"/>
        <w:ind w:left="567" w:hanging="567"/>
        <w:contextualSpacing w:val="0"/>
        <w:jc w:val="both"/>
        <w:rPr>
          <w:rFonts w:ascii="Times New Roman Bold" w:hAnsi="Times New Roman Bold" w:cs="Times New Roman"/>
          <w:b/>
          <w:smallCaps/>
          <w:noProof/>
          <w:sz w:val="24"/>
          <w:szCs w:val="24"/>
        </w:rPr>
      </w:pPr>
      <w:r>
        <w:rPr>
          <w:rFonts w:ascii="Times New Roman Bold" w:hAnsi="Times New Roman Bold" w:cs="Times New Roman"/>
          <w:b/>
          <w:smallCaps/>
          <w:noProof/>
          <w:sz w:val="24"/>
          <w:szCs w:val="24"/>
        </w:rPr>
        <w:t>Follow-Up and Conclusion</w:t>
      </w:r>
    </w:p>
    <w:p>
      <w:pPr>
        <w:pStyle w:val="FootnoteText"/>
        <w:spacing w:after="240"/>
        <w:jc w:val="both"/>
        <w:rPr>
          <w:rFonts w:ascii="Times New Roman" w:hAnsi="Times New Roman" w:cs="Times New Roman"/>
          <w:noProof/>
          <w:sz w:val="24"/>
          <w:szCs w:val="24"/>
        </w:rPr>
      </w:pPr>
      <w:r>
        <w:rPr>
          <w:rFonts w:ascii="Times New Roman" w:hAnsi="Times New Roman" w:cs="Times New Roman"/>
          <w:noProof/>
          <w:sz w:val="24"/>
          <w:szCs w:val="24"/>
        </w:rPr>
        <w:t xml:space="preserve">This Joint Communication presents elements for a shared understanding and a common way forward for the EU on how to address the threat of illicit firearms and SALW and their ammunition, a set of actions to be taken by the EU and its Member States within the EU's borders, and proposals for cooperation and assistance for SALW control in the EU’s neighbourhood and the rest of the world. </w:t>
      </w:r>
    </w:p>
    <w:p>
      <w:pPr>
        <w:pStyle w:val="FootnoteText"/>
        <w:spacing w:after="240"/>
        <w:jc w:val="both"/>
        <w:rPr>
          <w:rFonts w:ascii="Times New Roman" w:hAnsi="Times New Roman" w:cs="Times New Roman"/>
          <w:noProof/>
          <w:sz w:val="24"/>
          <w:szCs w:val="24"/>
        </w:rPr>
      </w:pPr>
      <w:r>
        <w:rPr>
          <w:rFonts w:ascii="Times New Roman" w:hAnsi="Times New Roman" w:cs="Times New Roman"/>
          <w:noProof/>
          <w:sz w:val="24"/>
          <w:szCs w:val="24"/>
        </w:rPr>
        <w:t>The Commission and the High Representative of the Union for Foreign Affairs and Security Policy invite the Council to adopt an EU Strategy against illicit firearms and small arms and light weapons (SALW) and their ammunition, that covers both civilian and military-grade firearms to address the threat comprehensively, based on the elements presented in this Joint Communication.</w:t>
      </w:r>
    </w:p>
    <w:p>
      <w:pPr>
        <w:pStyle w:val="FootnoteText"/>
        <w:spacing w:after="240"/>
        <w:jc w:val="both"/>
        <w:rPr>
          <w:rFonts w:ascii="Times New Roman" w:hAnsi="Times New Roman" w:cs="Times New Roman"/>
          <w:bCs/>
          <w:noProof/>
          <w:sz w:val="24"/>
          <w:szCs w:val="24"/>
        </w:rPr>
      </w:pPr>
      <w:r>
        <w:rPr>
          <w:rFonts w:ascii="Times New Roman" w:hAnsi="Times New Roman" w:cs="Times New Roman"/>
          <w:bCs/>
          <w:noProof/>
          <w:sz w:val="24"/>
          <w:szCs w:val="24"/>
        </w:rPr>
        <w:t xml:space="preserve">The EEAS and the Commission will produce annual progress reports on the implementation of the Strategy. </w:t>
      </w:r>
    </w:p>
    <w:p>
      <w:pPr>
        <w:pStyle w:val="FootnoteText"/>
        <w:spacing w:after="240"/>
        <w:jc w:val="both"/>
        <w:rPr>
          <w:rFonts w:ascii="Times New Roman" w:hAnsi="Times New Roman" w:cs="Times New Roman"/>
          <w:noProof/>
          <w:sz w:val="24"/>
          <w:szCs w:val="24"/>
        </w:rPr>
      </w:pPr>
    </w:p>
    <w:p>
      <w:pPr>
        <w:pStyle w:val="FootnoteText"/>
        <w:spacing w:after="240"/>
        <w:jc w:val="center"/>
        <w:rPr>
          <w:rFonts w:ascii="Times New Roman" w:hAnsi="Times New Roman" w:cs="Times New Roman"/>
          <w:noProof/>
        </w:rPr>
      </w:pPr>
      <w:r>
        <w:rPr>
          <w:rFonts w:ascii="Times New Roman" w:hAnsi="Times New Roman" w:cs="Times New Roman"/>
          <w:noProof/>
          <w:sz w:val="24"/>
          <w:szCs w:val="24"/>
        </w:rPr>
        <w:t xml:space="preserve">___________________________________ </w:t>
      </w:r>
    </w:p>
    <w:sectPr>
      <w:headerReference w:type="even" r:id="rId16"/>
      <w:headerReference w:type="default" r:id="rId17"/>
      <w:footerReference w:type="even" r:id="rId18"/>
      <w:footerReference w:type="default" r:id="rId19"/>
      <w:headerReference w:type="first" r:id="rId20"/>
      <w:footerReference w:type="first" r:id="rId21"/>
      <w:pgSz w:w="11906" w:h="16838" w:code="9"/>
      <w:pgMar w:top="1418" w:right="1418" w:bottom="1418" w:left="1418" w:header="709" w:footer="319"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EDD499E" w15:done="0"/>
  <w15:commentEx w15:paraId="2329EFB2" w15:done="0"/>
  <w15:commentEx w15:paraId="53180E8C" w15:done="0"/>
  <w15:commentEx w15:paraId="385E4833" w15:done="0"/>
  <w15:commentEx w15:paraId="31D1FD5D" w15:done="0"/>
  <w15:commentEx w15:paraId="442EC4ED" w15:done="0"/>
  <w15:commentEx w15:paraId="4277C5B2" w15:done="0"/>
  <w15:commentEx w15:paraId="22D4E487" w15:done="0"/>
  <w15:commentEx w15:paraId="48FD15E7" w15:done="0"/>
  <w15:commentEx w15:paraId="0771EEF7" w15:done="0"/>
  <w15:commentEx w15:paraId="3DD11AAD" w15:done="0"/>
  <w15:commentEx w15:paraId="792FBA49" w15:done="0"/>
  <w15:commentEx w15:paraId="557885A0" w15:done="0"/>
  <w15:commentEx w15:paraId="0383D780" w15:done="0"/>
  <w15:commentEx w15:paraId="08C0EBC9" w15:done="0"/>
  <w15:commentEx w15:paraId="63A13004" w15:done="0"/>
  <w15:commentEx w15:paraId="1688F5AA" w15:done="0"/>
  <w15:commentEx w15:paraId="6002BFDE" w15:done="0"/>
  <w15:commentEx w15:paraId="4025EBD9" w15:done="0"/>
  <w15:commentEx w15:paraId="7C5D89F2" w15:done="0"/>
  <w15:commentEx w15:paraId="58085DD9" w15:done="0"/>
  <w15:commentEx w15:paraId="391C499F" w15:done="0"/>
  <w15:commentEx w15:paraId="3A83ABCA" w15:done="0"/>
  <w15:commentEx w15:paraId="0A118292" w15:done="0"/>
  <w15:commentEx w15:paraId="65981BB1" w15:done="0"/>
  <w15:commentEx w15:paraId="17DE003D" w15:done="0"/>
  <w15:commentEx w15:paraId="69889AE4" w15:done="0"/>
  <w15:commentEx w15:paraId="73F1878D" w15:done="0"/>
  <w15:commentEx w15:paraId="64D3EAF0" w15:done="0"/>
  <w15:commentEx w15:paraId="23206CA7" w15:done="0"/>
  <w15:commentEx w15:paraId="5C668AD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EDD499E" w16cid:durableId="1EB84845"/>
  <w16cid:commentId w16cid:paraId="2329EFB2" w16cid:durableId="1EB84846"/>
  <w16cid:commentId w16cid:paraId="53180E8C" w16cid:durableId="1EB84847"/>
  <w16cid:commentId w16cid:paraId="385E4833" w16cid:durableId="1EB6D58F"/>
  <w16cid:commentId w16cid:paraId="31D1FD5D" w16cid:durableId="1EB84849"/>
  <w16cid:commentId w16cid:paraId="442EC4ED" w16cid:durableId="1EB8484A"/>
  <w16cid:commentId w16cid:paraId="4277C5B2" w16cid:durableId="1EB8484B"/>
  <w16cid:commentId w16cid:paraId="22D4E487" w16cid:durableId="1EB8484C"/>
  <w16cid:commentId w16cid:paraId="48FD15E7" w16cid:durableId="1EB8DBBE"/>
  <w16cid:commentId w16cid:paraId="0771EEF7" w16cid:durableId="1EB8484D"/>
  <w16cid:commentId w16cid:paraId="3DD11AAD" w16cid:durableId="1EB8484E"/>
  <w16cid:commentId w16cid:paraId="792FBA49" w16cid:durableId="1EB8DEC3"/>
  <w16cid:commentId w16cid:paraId="557885A0" w16cid:durableId="1EB8484F"/>
  <w16cid:commentId w16cid:paraId="0383D780" w16cid:durableId="1EB84850"/>
  <w16cid:commentId w16cid:paraId="08C0EBC9" w16cid:durableId="1EB84851"/>
  <w16cid:commentId w16cid:paraId="63A13004" w16cid:durableId="1EB84852"/>
  <w16cid:commentId w16cid:paraId="1688F5AA" w16cid:durableId="1EB84853"/>
  <w16cid:commentId w16cid:paraId="6002BFDE" w16cid:durableId="1EB84854"/>
  <w16cid:commentId w16cid:paraId="4025EBD9" w16cid:durableId="1EB84855"/>
  <w16cid:commentId w16cid:paraId="7C5D89F2" w16cid:durableId="1EB84856"/>
  <w16cid:commentId w16cid:paraId="58085DD9" w16cid:durableId="1EB84857"/>
  <w16cid:commentId w16cid:paraId="391C499F" w16cid:durableId="1EB84858"/>
  <w16cid:commentId w16cid:paraId="3A83ABCA" w16cid:durableId="1EB84859"/>
  <w16cid:commentId w16cid:paraId="0A118292" w16cid:durableId="1EB8485A"/>
  <w16cid:commentId w16cid:paraId="65981BB1" w16cid:durableId="1EB8485B"/>
  <w16cid:commentId w16cid:paraId="17DE003D" w16cid:durableId="1EB84AA7"/>
  <w16cid:commentId w16cid:paraId="69889AE4" w16cid:durableId="1EB84AE2"/>
  <w16cid:commentId w16cid:paraId="73F1878D" w16cid:durableId="1EB6D35F"/>
  <w16cid:commentId w16cid:paraId="64D3EAF0" w16cid:durableId="1EB8485D"/>
  <w16cid:commentId w16cid:paraId="23206CA7" w16cid:durableId="1EB84996"/>
  <w16cid:commentId w16cid:paraId="5C668ADA" w16cid:durableId="1EB8485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GAIN B+ EU Albertina# 20">
    <w:altName w:val="EU Albertina 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3356535"/>
      <w:docPartObj>
        <w:docPartGallery w:val="Page Numbers (Bottom of Page)"/>
        <w:docPartUnique/>
      </w:docPartObj>
    </w:sdtPr>
    <w:sdtEndPr>
      <w:rPr>
        <w:noProof/>
        <w:sz w:val="20"/>
        <w:szCs w:val="20"/>
      </w:rPr>
    </w:sdtEndPr>
    <w:sdtContent>
      <w:p>
        <w:pPr>
          <w:pStyle w:val="Footer"/>
          <w:jc w:val="center"/>
          <w:rPr>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noProof/>
            <w:sz w:val="20"/>
            <w:szCs w:val="20"/>
          </w:rPr>
          <w:t>10</w:t>
        </w:r>
        <w:r>
          <w:rPr>
            <w:rFonts w:ascii="Times New Roman" w:hAnsi="Times New Roman" w:cs="Times New Roman"/>
            <w:noProof/>
            <w:sz w:val="20"/>
            <w:szCs w:val="20"/>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3544383"/>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vertAlign w:val="baseline"/>
        </w:rPr>
        <w:t xml:space="preserve"> </w:t>
      </w:r>
      <w:r>
        <w:rPr>
          <w:rFonts w:ascii="Times New Roman" w:hAnsi="Times New Roman" w:cs="Times New Roman"/>
        </w:rPr>
        <w:tab/>
      </w:r>
      <w:hyperlink r:id="rId1" w:history="1">
        <w:r>
          <w:rPr>
            <w:rStyle w:val="FootnoteReference"/>
            <w:rFonts w:ascii="Times New Roman" w:hAnsi="Times New Roman" w:cs="Times New Roman"/>
            <w:vertAlign w:val="baseline"/>
          </w:rPr>
          <w:t>https://s3.amazonaws.com/unoda-web/wp-content/uploads/2016/10/english.pdf</w:t>
        </w:r>
      </w:hyperlink>
      <w:r>
        <w:rPr>
          <w:rFonts w:ascii="Times New Roman" w:hAnsi="Times New Roman" w:cs="Times New Roman"/>
        </w:rPr>
        <w:t xml:space="preserve">  </w:t>
      </w:r>
    </w:p>
  </w:footnote>
  <w:footnote w:id="2">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vertAlign w:val="baseline"/>
        </w:rPr>
        <w:t xml:space="preserve"> </w:t>
      </w:r>
      <w:r>
        <w:rPr>
          <w:rStyle w:val="FootnoteReference"/>
          <w:vertAlign w:val="baseline"/>
        </w:rPr>
        <w:tab/>
      </w:r>
      <w:hyperlink r:id="rId2" w:history="1">
        <w:r>
          <w:rPr>
            <w:rStyle w:val="FootnoteReference"/>
            <w:rFonts w:ascii="Times New Roman" w:hAnsi="Times New Roman" w:cs="Times New Roman"/>
            <w:vertAlign w:val="baseline"/>
          </w:rPr>
          <w:t>https://www.europol.europa.eu/socta/2017/</w:t>
        </w:r>
      </w:hyperlink>
      <w:r>
        <w:rPr>
          <w:rFonts w:ascii="Times New Roman" w:hAnsi="Times New Roman" w:cs="Times New Roman"/>
        </w:rPr>
        <w:t xml:space="preserve"> </w:t>
      </w:r>
    </w:p>
  </w:footnote>
  <w:footnote w:id="3">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vertAlign w:val="baseline"/>
        </w:rPr>
        <w:t xml:space="preserve"> </w:t>
      </w:r>
      <w:r>
        <w:rPr>
          <w:rStyle w:val="FootnoteReference"/>
          <w:rFonts w:ascii="Times New Roman" w:hAnsi="Times New Roman" w:cs="Times New Roman"/>
          <w:vertAlign w:val="baseline"/>
        </w:rPr>
        <w:tab/>
      </w:r>
      <w:r>
        <w:rPr>
          <w:rFonts w:ascii="Times New Roman" w:hAnsi="Times New Roman" w:cs="Times New Roman"/>
        </w:rPr>
        <w:t xml:space="preserve">Council </w:t>
      </w:r>
      <w:r>
        <w:rPr>
          <w:rStyle w:val="FootnoteReference"/>
          <w:rFonts w:ascii="Times New Roman" w:hAnsi="Times New Roman" w:cs="Times New Roman"/>
          <w:vertAlign w:val="baseline"/>
        </w:rPr>
        <w:t>5319/06</w:t>
      </w:r>
      <w:r>
        <w:rPr>
          <w:rFonts w:ascii="Times New Roman" w:hAnsi="Times New Roman" w:cs="Times New Roman"/>
        </w:rPr>
        <w:t xml:space="preserve"> </w:t>
      </w:r>
      <w:r>
        <w:rPr>
          <w:rStyle w:val="FootnoteReference"/>
          <w:rFonts w:ascii="Times New Roman" w:hAnsi="Times New Roman" w:cs="Times New Roman"/>
          <w:vertAlign w:val="baseline"/>
        </w:rPr>
        <w:t>http://register.consilium.europa.eu/doc/srv?l=EN&amp;f=ST%205319%202006%20INIT</w:t>
      </w:r>
    </w:p>
  </w:footnote>
  <w:footnote w:id="4">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Style w:val="FootnoteReference"/>
          <w:rFonts w:ascii="Times New Roman" w:hAnsi="Times New Roman" w:cs="Times New Roman"/>
          <w:vertAlign w:val="baseline"/>
        </w:rPr>
        <w:tab/>
        <w:t>A/CONF.192/15.</w:t>
      </w:r>
    </w:p>
  </w:footnote>
  <w:footnote w:id="5">
    <w:p>
      <w:pPr>
        <w:pStyle w:val="FootnoteText"/>
        <w:ind w:left="284" w:hanging="284"/>
        <w:jc w:val="both"/>
        <w:rPr>
          <w:rStyle w:val="FootnoteReference"/>
          <w:rFonts w:ascii="Times New Roman" w:hAnsi="Times New Roman" w:cs="Times New Roman"/>
          <w:vertAlign w:val="baseline"/>
          <w:lang w:val="pt-PT"/>
        </w:rPr>
      </w:pPr>
      <w:r>
        <w:rPr>
          <w:rStyle w:val="FootnoteReference"/>
          <w:rFonts w:ascii="Times New Roman" w:hAnsi="Times New Roman" w:cs="Times New Roman"/>
        </w:rPr>
        <w:footnoteRef/>
      </w:r>
      <w:r>
        <w:rPr>
          <w:rStyle w:val="FootnoteReference"/>
          <w:rFonts w:ascii="Times New Roman" w:hAnsi="Times New Roman" w:cs="Times New Roman"/>
          <w:vertAlign w:val="baseline"/>
          <w:lang w:val="pt-PT"/>
        </w:rPr>
        <w:t xml:space="preserve"> </w:t>
      </w:r>
      <w:r>
        <w:rPr>
          <w:rStyle w:val="FootnoteReference"/>
          <w:rFonts w:ascii="Times New Roman" w:hAnsi="Times New Roman" w:cs="Times New Roman"/>
          <w:vertAlign w:val="baseline"/>
          <w:lang w:val="pt-PT"/>
        </w:rPr>
        <w:tab/>
        <w:t xml:space="preserve">The European </w:t>
      </w:r>
      <w:r>
        <w:rPr>
          <w:rFonts w:ascii="Times New Roman" w:hAnsi="Times New Roman" w:cs="Times New Roman"/>
          <w:lang w:val="pt-PT"/>
        </w:rPr>
        <w:t>A</w:t>
      </w:r>
      <w:r>
        <w:rPr>
          <w:rStyle w:val="FootnoteReference"/>
          <w:rFonts w:ascii="Times New Roman" w:hAnsi="Times New Roman" w:cs="Times New Roman"/>
          <w:vertAlign w:val="baseline"/>
          <w:lang w:val="pt-PT"/>
        </w:rPr>
        <w:t xml:space="preserve">genda on </w:t>
      </w:r>
      <w:r>
        <w:rPr>
          <w:rFonts w:ascii="Times New Roman" w:hAnsi="Times New Roman" w:cs="Times New Roman"/>
          <w:lang w:val="pt-PT"/>
        </w:rPr>
        <w:t>S</w:t>
      </w:r>
      <w:r>
        <w:rPr>
          <w:rStyle w:val="FootnoteReference"/>
          <w:rFonts w:ascii="Times New Roman" w:hAnsi="Times New Roman" w:cs="Times New Roman"/>
          <w:vertAlign w:val="baseline"/>
          <w:lang w:val="pt-PT"/>
        </w:rPr>
        <w:t>ecurity</w:t>
      </w:r>
      <w:r>
        <w:rPr>
          <w:rFonts w:ascii="Times New Roman" w:hAnsi="Times New Roman" w:cs="Times New Roman"/>
          <w:lang w:val="pt-PT"/>
        </w:rPr>
        <w:t xml:space="preserve">, </w:t>
      </w:r>
      <w:r>
        <w:rPr>
          <w:rStyle w:val="FootnoteReference"/>
          <w:rFonts w:ascii="Times New Roman" w:hAnsi="Times New Roman" w:cs="Times New Roman"/>
          <w:vertAlign w:val="baseline"/>
          <w:lang w:val="pt-PT"/>
        </w:rPr>
        <w:t>Commission Communication to the European Parliament and the Council</w:t>
      </w:r>
      <w:r>
        <w:rPr>
          <w:rFonts w:ascii="Times New Roman" w:hAnsi="Times New Roman" w:cs="Times New Roman"/>
          <w:lang w:val="pt-PT"/>
        </w:rPr>
        <w:t xml:space="preserve"> (COM(2015) 185 final, 28.4.2015)</w:t>
      </w:r>
      <w:r>
        <w:rPr>
          <w:rStyle w:val="FootnoteReference"/>
          <w:rFonts w:ascii="Times New Roman" w:hAnsi="Times New Roman" w:cs="Times New Roman"/>
          <w:vertAlign w:val="baseline"/>
          <w:lang w:val="pt-PT"/>
        </w:rPr>
        <w:t>.</w:t>
      </w:r>
    </w:p>
  </w:footnote>
  <w:footnote w:id="6">
    <w:p>
      <w:pPr>
        <w:pStyle w:val="FootnoteText"/>
        <w:ind w:left="284" w:hanging="284"/>
        <w:jc w:val="both"/>
        <w:rPr>
          <w:rStyle w:val="FootnoteReference"/>
          <w:rFonts w:ascii="Times New Roman" w:hAnsi="Times New Roman" w:cs="Times New Roman"/>
          <w:vertAlign w:val="baseline"/>
          <w:lang w:val="pt-PT"/>
        </w:rPr>
      </w:pPr>
      <w:r>
        <w:rPr>
          <w:rStyle w:val="FootnoteReference"/>
          <w:rFonts w:ascii="Times New Roman" w:hAnsi="Times New Roman" w:cs="Times New Roman"/>
        </w:rPr>
        <w:footnoteRef/>
      </w:r>
      <w:r>
        <w:rPr>
          <w:rStyle w:val="FootnoteReference"/>
          <w:rFonts w:ascii="Times New Roman" w:hAnsi="Times New Roman" w:cs="Times New Roman"/>
          <w:vertAlign w:val="baseline"/>
          <w:lang w:val="pt-PT"/>
        </w:rPr>
        <w:t xml:space="preserve"> </w:t>
      </w:r>
      <w:r>
        <w:rPr>
          <w:rFonts w:ascii="Times New Roman" w:hAnsi="Times New Roman" w:cs="Times New Roman"/>
          <w:lang w:val="pt-PT"/>
        </w:rPr>
        <w:tab/>
      </w:r>
      <w:r>
        <w:rPr>
          <w:rStyle w:val="FootnoteReference"/>
          <w:rFonts w:ascii="Times New Roman" w:hAnsi="Times New Roman" w:cs="Times New Roman"/>
          <w:vertAlign w:val="baseline"/>
          <w:lang w:val="pt-PT"/>
        </w:rPr>
        <w:t xml:space="preserve">Implementing the European </w:t>
      </w:r>
      <w:r>
        <w:rPr>
          <w:rFonts w:ascii="Times New Roman" w:hAnsi="Times New Roman" w:cs="Times New Roman"/>
          <w:lang w:val="pt-PT"/>
        </w:rPr>
        <w:t>A</w:t>
      </w:r>
      <w:r>
        <w:rPr>
          <w:rStyle w:val="FootnoteReference"/>
          <w:rFonts w:ascii="Times New Roman" w:hAnsi="Times New Roman" w:cs="Times New Roman"/>
          <w:vertAlign w:val="baseline"/>
          <w:lang w:val="pt-PT"/>
        </w:rPr>
        <w:t xml:space="preserve">genda on </w:t>
      </w:r>
      <w:r>
        <w:rPr>
          <w:rFonts w:ascii="Times New Roman" w:hAnsi="Times New Roman" w:cs="Times New Roman"/>
          <w:lang w:val="pt-PT"/>
        </w:rPr>
        <w:t>S</w:t>
      </w:r>
      <w:r>
        <w:rPr>
          <w:rStyle w:val="FootnoteReference"/>
          <w:rFonts w:ascii="Times New Roman" w:hAnsi="Times New Roman" w:cs="Times New Roman"/>
          <w:vertAlign w:val="baseline"/>
          <w:lang w:val="pt-PT"/>
        </w:rPr>
        <w:t>ecurity: EU action plan against illicit trafficking in and use of firearms and explosives</w:t>
      </w:r>
      <w:r>
        <w:rPr>
          <w:rFonts w:ascii="Times New Roman" w:hAnsi="Times New Roman" w:cs="Times New Roman"/>
          <w:lang w:val="pt-PT"/>
        </w:rPr>
        <w:t>,</w:t>
      </w:r>
      <w:r>
        <w:rPr>
          <w:rStyle w:val="FootnoteReference"/>
          <w:rFonts w:ascii="Times New Roman" w:hAnsi="Times New Roman" w:cs="Times New Roman"/>
          <w:vertAlign w:val="baseline"/>
          <w:lang w:val="pt-PT"/>
        </w:rPr>
        <w:t xml:space="preserve"> Commission Communication to the European Parliament and the Council </w:t>
      </w:r>
      <w:r>
        <w:rPr>
          <w:rFonts w:ascii="Times New Roman" w:hAnsi="Times New Roman" w:cs="Times New Roman"/>
          <w:lang w:val="pt-PT"/>
        </w:rPr>
        <w:t>(</w:t>
      </w:r>
      <w:r>
        <w:rPr>
          <w:rStyle w:val="FootnoteReference"/>
          <w:rFonts w:ascii="Times New Roman" w:hAnsi="Times New Roman" w:cs="Times New Roman"/>
          <w:vertAlign w:val="baseline"/>
          <w:lang w:val="pt-PT"/>
        </w:rPr>
        <w:t>COM(2015) 624 final, 2.12.2015</w:t>
      </w:r>
      <w:r>
        <w:rPr>
          <w:rFonts w:ascii="Times New Roman" w:hAnsi="Times New Roman" w:cs="Times New Roman"/>
          <w:lang w:val="pt-PT"/>
        </w:rPr>
        <w:t>)</w:t>
      </w:r>
      <w:r>
        <w:rPr>
          <w:rStyle w:val="FootnoteReference"/>
          <w:rFonts w:ascii="Times New Roman" w:hAnsi="Times New Roman" w:cs="Times New Roman"/>
          <w:vertAlign w:val="baseline"/>
          <w:lang w:val="pt-PT"/>
        </w:rPr>
        <w:t>.</w:t>
      </w:r>
    </w:p>
  </w:footnote>
  <w:footnote w:id="7">
    <w:p>
      <w:pPr>
        <w:pStyle w:val="FootnoteText"/>
        <w:ind w:left="284" w:hanging="284"/>
        <w:jc w:val="both"/>
        <w:rPr>
          <w:rStyle w:val="FootnoteReference"/>
          <w:rFonts w:ascii="Times New Roman" w:hAnsi="Times New Roman" w:cs="Times New Roman"/>
          <w:vertAlign w:val="baseline"/>
          <w:lang w:val="pt-PT"/>
        </w:rPr>
      </w:pPr>
      <w:r>
        <w:rPr>
          <w:rStyle w:val="FootnoteReference"/>
          <w:rFonts w:ascii="Times New Roman" w:hAnsi="Times New Roman" w:cs="Times New Roman"/>
        </w:rPr>
        <w:footnoteRef/>
      </w:r>
      <w:r>
        <w:rPr>
          <w:rStyle w:val="FootnoteReference"/>
          <w:rFonts w:ascii="Times New Roman" w:hAnsi="Times New Roman" w:cs="Times New Roman"/>
          <w:vertAlign w:val="baseline"/>
          <w:lang w:val="pt-PT"/>
        </w:rPr>
        <w:t xml:space="preserve"> </w:t>
      </w:r>
      <w:r>
        <w:rPr>
          <w:rStyle w:val="FootnoteReference"/>
          <w:rFonts w:ascii="Times New Roman" w:hAnsi="Times New Roman" w:cs="Times New Roman"/>
          <w:vertAlign w:val="baseline"/>
          <w:lang w:val="pt-PT"/>
        </w:rPr>
        <w:tab/>
      </w:r>
      <w:hyperlink r:id="rId3" w:history="1">
        <w:r>
          <w:rPr>
            <w:rStyle w:val="FootnoteReference"/>
            <w:rFonts w:ascii="Times New Roman" w:hAnsi="Times New Roman" w:cs="Times New Roman"/>
            <w:vertAlign w:val="baseline"/>
            <w:lang w:val="pt-PT"/>
          </w:rPr>
          <w:t>Directive 91/477/EEC</w:t>
        </w:r>
      </w:hyperlink>
      <w:r>
        <w:rPr>
          <w:rStyle w:val="FootnoteReference"/>
          <w:rFonts w:ascii="Times New Roman" w:hAnsi="Times New Roman" w:cs="Times New Roman"/>
          <w:vertAlign w:val="baseline"/>
          <w:lang w:val="pt-PT"/>
        </w:rPr>
        <w:t xml:space="preserve"> on control of the acquisition and possession of weapons</w:t>
      </w:r>
      <w:r>
        <w:rPr>
          <w:rFonts w:ascii="Times New Roman" w:hAnsi="Times New Roman" w:cs="Times New Roman"/>
          <w:lang w:val="pt-PT"/>
        </w:rPr>
        <w:t xml:space="preserve"> (</w:t>
      </w:r>
      <w:r>
        <w:rPr>
          <w:rStyle w:val="FootnoteReference"/>
          <w:rFonts w:ascii="Times New Roman" w:hAnsi="Times New Roman" w:cs="Times New Roman"/>
          <w:vertAlign w:val="baseline"/>
          <w:lang w:val="pt-PT"/>
        </w:rPr>
        <w:t>OJ L 256, 13.9.1991, p. 51) and Regulation (EU) No 258/2012 of the European Parliament and of the Council of 14 March 2012 implementing Article 10 of the United Nations’ Protocol against the illicit manufacturing of and trafficking in firearms, their parts and components and ammunition, supplementing the United Nations Convention against Transnational Organised Crime (UN Firearms Protocol), and establishing export authorisation, and import and transit measures for firearms, their parts and components and ammunition</w:t>
      </w:r>
      <w:r>
        <w:rPr>
          <w:rFonts w:ascii="Times New Roman" w:hAnsi="Times New Roman" w:cs="Times New Roman"/>
          <w:lang w:val="pt-PT"/>
        </w:rPr>
        <w:t xml:space="preserve"> (</w:t>
      </w:r>
      <w:r>
        <w:rPr>
          <w:rStyle w:val="FootnoteReference"/>
          <w:rFonts w:ascii="Times New Roman" w:hAnsi="Times New Roman" w:cs="Times New Roman"/>
          <w:vertAlign w:val="baseline"/>
          <w:lang w:val="pt-PT"/>
        </w:rPr>
        <w:t>OJ L 94, 30.3.2012, p.</w:t>
      </w:r>
      <w:r>
        <w:rPr>
          <w:rFonts w:ascii="Times New Roman" w:hAnsi="Times New Roman" w:cs="Times New Roman"/>
          <w:lang w:val="pt-PT"/>
        </w:rPr>
        <w:t> </w:t>
      </w:r>
      <w:r>
        <w:rPr>
          <w:rStyle w:val="FootnoteReference"/>
          <w:rFonts w:ascii="Times New Roman" w:hAnsi="Times New Roman" w:cs="Times New Roman"/>
          <w:vertAlign w:val="baseline"/>
          <w:lang w:val="pt-PT"/>
        </w:rPr>
        <w:t xml:space="preserve">1). </w:t>
      </w:r>
    </w:p>
  </w:footnote>
  <w:footnote w:id="8">
    <w:p>
      <w:pPr>
        <w:pStyle w:val="FootnoteText"/>
        <w:ind w:left="284" w:hanging="284"/>
        <w:jc w:val="both"/>
        <w:rPr>
          <w:rStyle w:val="FootnoteReference"/>
          <w:rFonts w:ascii="Times New Roman" w:hAnsi="Times New Roman" w:cs="Times New Roman"/>
          <w:vertAlign w:val="baseline"/>
          <w:lang w:val="pt-PT"/>
        </w:rPr>
      </w:pPr>
      <w:r>
        <w:rPr>
          <w:rStyle w:val="FootnoteReference"/>
          <w:rFonts w:ascii="Times New Roman" w:hAnsi="Times New Roman" w:cs="Times New Roman"/>
        </w:rPr>
        <w:footnoteRef/>
      </w:r>
      <w:r>
        <w:rPr>
          <w:rStyle w:val="FootnoteReference"/>
          <w:rFonts w:ascii="Times New Roman" w:hAnsi="Times New Roman" w:cs="Times New Roman"/>
          <w:vertAlign w:val="baseline"/>
          <w:lang w:val="pt-PT"/>
        </w:rPr>
        <w:t xml:space="preserve"> </w:t>
      </w:r>
      <w:r>
        <w:rPr>
          <w:rFonts w:ascii="Times New Roman" w:hAnsi="Times New Roman" w:cs="Times New Roman"/>
          <w:lang w:val="pt-PT"/>
        </w:rPr>
        <w:tab/>
      </w:r>
      <w:hyperlink r:id="rId4" w:history="1">
        <w:r>
          <w:rPr>
            <w:rStyle w:val="FootnoteReference"/>
            <w:rFonts w:ascii="Times New Roman" w:hAnsi="Times New Roman" w:cs="Times New Roman"/>
            <w:vertAlign w:val="baseline"/>
            <w:lang w:val="pt-PT"/>
          </w:rPr>
          <w:t>https://europa.eu/globalstrategy/en/global-strategy-foreign-and-security-policy-european-union</w:t>
        </w:r>
      </w:hyperlink>
      <w:r>
        <w:rPr>
          <w:rFonts w:ascii="Times New Roman" w:hAnsi="Times New Roman" w:cs="Times New Roman"/>
          <w:lang w:val="pt-PT"/>
        </w:rPr>
        <w:t xml:space="preserve"> </w:t>
      </w:r>
    </w:p>
  </w:footnote>
  <w:footnote w:id="9">
    <w:p>
      <w:pPr>
        <w:pStyle w:val="FootnoteText"/>
        <w:ind w:left="284" w:hanging="284"/>
        <w:jc w:val="both"/>
        <w:rPr>
          <w:rStyle w:val="FootnoteReference"/>
          <w:rFonts w:ascii="Times New Roman" w:hAnsi="Times New Roman" w:cs="Times New Roman"/>
          <w:vertAlign w:val="baseline"/>
          <w:lang w:val="pt-PT"/>
        </w:rPr>
      </w:pPr>
      <w:r>
        <w:rPr>
          <w:rStyle w:val="FootnoteReference"/>
          <w:rFonts w:ascii="Times New Roman" w:hAnsi="Times New Roman" w:cs="Times New Roman"/>
        </w:rPr>
        <w:footnoteRef/>
      </w:r>
      <w:r>
        <w:rPr>
          <w:rStyle w:val="FootnoteReference"/>
          <w:rFonts w:ascii="Times New Roman" w:hAnsi="Times New Roman" w:cs="Times New Roman"/>
          <w:lang w:val="pt-PT"/>
        </w:rPr>
        <w:t xml:space="preserve"> </w:t>
      </w:r>
      <w:r>
        <w:rPr>
          <w:rFonts w:ascii="Times New Roman" w:hAnsi="Times New Roman" w:cs="Times New Roman"/>
          <w:lang w:val="pt-PT"/>
        </w:rPr>
        <w:tab/>
      </w:r>
      <w:r>
        <w:rPr>
          <w:rStyle w:val="FootnoteReference"/>
          <w:rFonts w:ascii="Times New Roman" w:hAnsi="Times New Roman" w:cs="Times New Roman"/>
          <w:vertAlign w:val="baseline"/>
          <w:lang w:val="pt-PT"/>
        </w:rPr>
        <w:t>http://treaties.un.org/doc/Treaties/2013/04/20130410%2012-01%20PM/Ch_XXVI_08.pdf#page=21</w:t>
      </w:r>
      <w:r>
        <w:rPr>
          <w:rFonts w:ascii="Times New Roman" w:hAnsi="Times New Roman" w:cs="Times New Roman"/>
          <w:lang w:val="pt-PT"/>
        </w:rPr>
        <w:t xml:space="preserve"> </w:t>
      </w:r>
    </w:p>
  </w:footnote>
  <w:footnote w:id="10">
    <w:p>
      <w:pPr>
        <w:spacing w:after="0"/>
        <w:ind w:left="284" w:hanging="284"/>
        <w:jc w:val="both"/>
        <w:rPr>
          <w:rFonts w:ascii="Times New Roman" w:hAnsi="Times New Roman" w:cs="Times New Roman"/>
          <w:sz w:val="20"/>
          <w:szCs w:val="20"/>
          <w:lang w:val="nl-NL"/>
        </w:rPr>
      </w:pPr>
      <w:r>
        <w:rPr>
          <w:rStyle w:val="FootnoteReference"/>
          <w:rFonts w:ascii="Times New Roman" w:hAnsi="Times New Roman" w:cs="Times New Roman"/>
          <w:sz w:val="20"/>
          <w:szCs w:val="20"/>
        </w:rPr>
        <w:footnoteRef/>
      </w:r>
      <w:r>
        <w:rPr>
          <w:rFonts w:ascii="Times New Roman" w:hAnsi="Times New Roman" w:cs="Times New Roman"/>
          <w:sz w:val="20"/>
          <w:szCs w:val="20"/>
          <w:lang w:val="nl-NL"/>
        </w:rPr>
        <w:t xml:space="preserve"> </w:t>
      </w:r>
      <w:r>
        <w:rPr>
          <w:rFonts w:ascii="Times New Roman" w:hAnsi="Times New Roman" w:cs="Times New Roman"/>
          <w:sz w:val="20"/>
          <w:szCs w:val="20"/>
          <w:lang w:val="nl-NL"/>
        </w:rPr>
        <w:tab/>
      </w:r>
      <w:r>
        <w:rPr>
          <w:rStyle w:val="FootnoteReference"/>
          <w:rFonts w:ascii="Times New Roman" w:hAnsi="Times New Roman" w:cs="Times New Roman"/>
          <w:sz w:val="20"/>
          <w:szCs w:val="20"/>
          <w:vertAlign w:val="baseline"/>
          <w:lang w:val="nl-NL"/>
        </w:rPr>
        <w:t>See f</w:t>
      </w:r>
      <w:r>
        <w:rPr>
          <w:rFonts w:ascii="Times New Roman" w:hAnsi="Times New Roman" w:cs="Times New Roman"/>
          <w:sz w:val="20"/>
          <w:szCs w:val="20"/>
          <w:lang w:val="nl-NL"/>
        </w:rPr>
        <w:t>oot</w:t>
      </w:r>
      <w:r>
        <w:rPr>
          <w:rStyle w:val="FootnoteReference"/>
          <w:rFonts w:ascii="Times New Roman" w:hAnsi="Times New Roman" w:cs="Times New Roman"/>
          <w:sz w:val="20"/>
          <w:szCs w:val="20"/>
          <w:vertAlign w:val="baseline"/>
          <w:lang w:val="nl-NL"/>
        </w:rPr>
        <w:t>note 7</w:t>
      </w:r>
    </w:p>
  </w:footnote>
  <w:footnote w:id="11">
    <w:p>
      <w:pPr>
        <w:pStyle w:val="FootnoteText"/>
        <w:rPr>
          <w:rFonts w:ascii="Times New Roman" w:hAnsi="Times New Roman" w:cs="Times New Roman"/>
          <w:lang w:val="nl-NL"/>
        </w:rPr>
      </w:pPr>
      <w:r>
        <w:rPr>
          <w:rStyle w:val="FootnoteReference"/>
        </w:rPr>
        <w:footnoteRef/>
      </w:r>
      <w:r>
        <w:rPr>
          <w:lang w:val="nl-NL"/>
        </w:rPr>
        <w:t xml:space="preserve">  </w:t>
      </w:r>
      <w:r>
        <w:rPr>
          <w:rStyle w:val="FootnoteReference"/>
          <w:rFonts w:ascii="Times New Roman" w:hAnsi="Times New Roman" w:cs="Times New Roman"/>
          <w:vertAlign w:val="baseline"/>
          <w:lang w:val="nl-NL"/>
        </w:rPr>
        <w:t xml:space="preserve">Common Position 2008/944/CFSP of 8 December 2008 defining common rules governing control of exports </w:t>
      </w:r>
    </w:p>
    <w:p>
      <w:pPr>
        <w:pStyle w:val="FootnoteText"/>
        <w:rPr>
          <w:rStyle w:val="FootnoteReference"/>
          <w:rFonts w:ascii="Times New Roman" w:hAnsi="Times New Roman" w:cs="Times New Roman"/>
          <w:vertAlign w:val="baseline"/>
          <w:lang w:val="nl-NL"/>
        </w:rPr>
      </w:pPr>
      <w:r>
        <w:rPr>
          <w:rStyle w:val="FootnoteReference"/>
          <w:rFonts w:ascii="Times New Roman" w:hAnsi="Times New Roman" w:cs="Times New Roman"/>
          <w:vertAlign w:val="baseline"/>
          <w:lang w:val="nl-NL"/>
        </w:rPr>
        <w:t xml:space="preserve">     of military technology and equipment. The intra-EU transfer of military technology and equipment is subject </w:t>
      </w:r>
    </w:p>
    <w:p>
      <w:pPr>
        <w:pStyle w:val="FootnoteText"/>
        <w:rPr>
          <w:lang w:val="nl-NL"/>
        </w:rPr>
      </w:pPr>
      <w:r>
        <w:rPr>
          <w:rStyle w:val="FootnoteReference"/>
          <w:rFonts w:ascii="Times New Roman" w:hAnsi="Times New Roman" w:cs="Times New Roman"/>
          <w:vertAlign w:val="baseline"/>
          <w:lang w:val="nl-NL"/>
        </w:rPr>
        <w:t xml:space="preserve">     to Directive 2009/43/EC</w:t>
      </w:r>
    </w:p>
  </w:footnote>
  <w:footnote w:id="12">
    <w:p>
      <w:pPr>
        <w:pStyle w:val="FootnoteText"/>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vertAlign w:val="baseline"/>
        </w:rPr>
        <w:t xml:space="preserve">  Small </w:t>
      </w:r>
      <w:r>
        <w:rPr>
          <w:rFonts w:ascii="Times New Roman" w:hAnsi="Times New Roman" w:cs="Times New Roman"/>
        </w:rPr>
        <w:t>a</w:t>
      </w:r>
      <w:r>
        <w:rPr>
          <w:rStyle w:val="FootnoteReference"/>
          <w:rFonts w:ascii="Times New Roman" w:hAnsi="Times New Roman" w:cs="Times New Roman"/>
          <w:vertAlign w:val="baseline"/>
        </w:rPr>
        <w:t xml:space="preserve">rms and </w:t>
      </w:r>
      <w:r>
        <w:rPr>
          <w:rFonts w:ascii="Times New Roman" w:hAnsi="Times New Roman" w:cs="Times New Roman"/>
        </w:rPr>
        <w:t>l</w:t>
      </w:r>
      <w:r>
        <w:rPr>
          <w:rStyle w:val="FootnoteReference"/>
          <w:rFonts w:ascii="Times New Roman" w:hAnsi="Times New Roman" w:cs="Times New Roman"/>
          <w:vertAlign w:val="baseline"/>
        </w:rPr>
        <w:t xml:space="preserve">ight </w:t>
      </w:r>
      <w:r>
        <w:rPr>
          <w:rFonts w:ascii="Times New Roman" w:hAnsi="Times New Roman" w:cs="Times New Roman"/>
        </w:rPr>
        <w:t>w</w:t>
      </w:r>
      <w:r>
        <w:rPr>
          <w:rStyle w:val="FootnoteReference"/>
          <w:rFonts w:ascii="Times New Roman" w:hAnsi="Times New Roman" w:cs="Times New Roman"/>
          <w:vertAlign w:val="baseline"/>
        </w:rPr>
        <w:t>eapons (SALW) and their ammunition are military</w:t>
      </w:r>
      <w:r>
        <w:rPr>
          <w:rStyle w:val="FootnoteReference"/>
          <w:rFonts w:ascii="Times New Roman" w:hAnsi="Times New Roman" w:cs="Times New Roman"/>
          <w:vertAlign w:val="baseline"/>
        </w:rPr>
        <w:noBreakHyphen/>
        <w:t>grade weapons</w:t>
      </w:r>
      <w:r>
        <w:rPr>
          <w:rFonts w:ascii="Times New Roman" w:hAnsi="Times New Roman" w:cs="Times New Roman"/>
        </w:rPr>
        <w:t>; they include</w:t>
      </w:r>
      <w:r>
        <w:rPr>
          <w:rStyle w:val="FootnoteReference"/>
          <w:rFonts w:ascii="Times New Roman" w:hAnsi="Times New Roman" w:cs="Times New Roman"/>
          <w:vertAlign w:val="baseline"/>
        </w:rPr>
        <w:t xml:space="preserve">: </w:t>
      </w:r>
    </w:p>
    <w:p>
      <w:pPr>
        <w:pStyle w:val="FootnoteText"/>
        <w:ind w:left="709" w:hanging="425"/>
        <w:jc w:val="both"/>
        <w:rPr>
          <w:rStyle w:val="FootnoteReference"/>
          <w:rFonts w:ascii="Times New Roman" w:hAnsi="Times New Roman" w:cs="Times New Roman"/>
          <w:vertAlign w:val="baseline"/>
        </w:rPr>
      </w:pPr>
      <w:r>
        <w:rPr>
          <w:rStyle w:val="FootnoteReference"/>
          <w:rFonts w:ascii="Times New Roman" w:hAnsi="Times New Roman" w:cs="Times New Roman"/>
          <w:vertAlign w:val="baseline"/>
        </w:rPr>
        <w:t xml:space="preserve">(a) </w:t>
      </w:r>
      <w:r>
        <w:rPr>
          <w:rFonts w:ascii="Times New Roman" w:hAnsi="Times New Roman" w:cs="Times New Roman"/>
        </w:rPr>
        <w:tab/>
        <w:t>s</w:t>
      </w:r>
      <w:r>
        <w:rPr>
          <w:rStyle w:val="FootnoteReference"/>
          <w:rFonts w:ascii="Times New Roman" w:hAnsi="Times New Roman" w:cs="Times New Roman"/>
          <w:vertAlign w:val="baseline"/>
        </w:rPr>
        <w:t>mall arms: assault rifles; military</w:t>
      </w:r>
      <w:r>
        <w:rPr>
          <w:rFonts w:ascii="Times New Roman" w:hAnsi="Times New Roman" w:cs="Times New Roman"/>
        </w:rPr>
        <w:noBreakHyphen/>
      </w:r>
      <w:r>
        <w:rPr>
          <w:rStyle w:val="FootnoteReference"/>
          <w:rFonts w:ascii="Times New Roman" w:hAnsi="Times New Roman" w:cs="Times New Roman"/>
          <w:vertAlign w:val="baseline"/>
        </w:rPr>
        <w:t>grade semi-automatic rifles and carbines; military</w:t>
      </w:r>
      <w:r>
        <w:rPr>
          <w:rFonts w:ascii="Times New Roman" w:hAnsi="Times New Roman" w:cs="Times New Roman"/>
        </w:rPr>
        <w:noBreakHyphen/>
      </w:r>
      <w:r>
        <w:rPr>
          <w:rStyle w:val="FootnoteReference"/>
          <w:rFonts w:ascii="Times New Roman" w:hAnsi="Times New Roman" w:cs="Times New Roman"/>
          <w:vertAlign w:val="baseline"/>
        </w:rPr>
        <w:t>grade revolvers and self-loading pistols; light machine</w:t>
      </w:r>
      <w:r>
        <w:rPr>
          <w:rFonts w:ascii="Times New Roman" w:hAnsi="Times New Roman" w:cs="Times New Roman"/>
        </w:rPr>
        <w:t xml:space="preserve"> </w:t>
      </w:r>
      <w:r>
        <w:rPr>
          <w:rStyle w:val="FootnoteReference"/>
          <w:rFonts w:ascii="Times New Roman" w:hAnsi="Times New Roman" w:cs="Times New Roman"/>
          <w:vertAlign w:val="baseline"/>
        </w:rPr>
        <w:t>guns; sub-machine guns, including machine pistols</w:t>
      </w:r>
      <w:r>
        <w:rPr>
          <w:rFonts w:ascii="Times New Roman" w:hAnsi="Times New Roman" w:cs="Times New Roman"/>
        </w:rPr>
        <w:t>;</w:t>
      </w:r>
    </w:p>
    <w:p>
      <w:pPr>
        <w:pStyle w:val="FootnoteText"/>
        <w:ind w:left="709" w:hanging="425"/>
        <w:jc w:val="both"/>
        <w:rPr>
          <w:rStyle w:val="FootnoteReference"/>
          <w:rFonts w:ascii="Times New Roman" w:hAnsi="Times New Roman" w:cs="Times New Roman"/>
          <w:vertAlign w:val="baseline"/>
        </w:rPr>
      </w:pPr>
      <w:r>
        <w:rPr>
          <w:rStyle w:val="FootnoteReference"/>
          <w:rFonts w:ascii="Times New Roman" w:hAnsi="Times New Roman" w:cs="Times New Roman"/>
          <w:vertAlign w:val="baseline"/>
        </w:rPr>
        <w:t xml:space="preserve">(b) </w:t>
      </w:r>
      <w:r>
        <w:rPr>
          <w:rFonts w:ascii="Times New Roman" w:hAnsi="Times New Roman" w:cs="Times New Roman"/>
        </w:rPr>
        <w:tab/>
        <w:t>l</w:t>
      </w:r>
      <w:r>
        <w:rPr>
          <w:rStyle w:val="FootnoteReference"/>
          <w:rFonts w:ascii="Times New Roman" w:hAnsi="Times New Roman" w:cs="Times New Roman"/>
          <w:vertAlign w:val="baseline"/>
        </w:rPr>
        <w:t>ight weapons: heavy machine guns; cannons, howitzers and mortars of less than 100 mm calibre; grenade launchers; recoilless guns; shoulder-fired rockets and other anti-tank and air defence systems that fire projectiles, including MANPADS, all on condition they are man</w:t>
      </w:r>
      <w:r>
        <w:rPr>
          <w:rFonts w:ascii="Times New Roman" w:hAnsi="Times New Roman" w:cs="Times New Roman"/>
        </w:rPr>
        <w:t>-</w:t>
      </w:r>
      <w:r>
        <w:rPr>
          <w:rStyle w:val="FootnoteReference"/>
          <w:rFonts w:ascii="Times New Roman" w:hAnsi="Times New Roman" w:cs="Times New Roman"/>
          <w:vertAlign w:val="baseline"/>
        </w:rPr>
        <w:t xml:space="preserve"> or crew</w:t>
      </w:r>
      <w:r>
        <w:rPr>
          <w:rFonts w:ascii="Times New Roman" w:hAnsi="Times New Roman" w:cs="Times New Roman"/>
        </w:rPr>
        <w:noBreakHyphen/>
      </w:r>
      <w:r>
        <w:rPr>
          <w:rStyle w:val="FootnoteReference"/>
          <w:rFonts w:ascii="Times New Roman" w:hAnsi="Times New Roman" w:cs="Times New Roman"/>
          <w:vertAlign w:val="baseline"/>
        </w:rPr>
        <w:t>portable</w:t>
      </w:r>
      <w:r>
        <w:rPr>
          <w:rFonts w:ascii="Times New Roman" w:hAnsi="Times New Roman" w:cs="Times New Roman"/>
        </w:rPr>
        <w:t>;</w:t>
      </w:r>
    </w:p>
    <w:p>
      <w:pPr>
        <w:pStyle w:val="FootnoteText"/>
        <w:ind w:left="709" w:hanging="425"/>
        <w:jc w:val="both"/>
        <w:rPr>
          <w:rStyle w:val="FootnoteReference"/>
          <w:rFonts w:ascii="Times New Roman" w:hAnsi="Times New Roman" w:cs="Times New Roman"/>
          <w:vertAlign w:val="baseline"/>
        </w:rPr>
      </w:pPr>
      <w:r>
        <w:rPr>
          <w:rStyle w:val="FootnoteReference"/>
          <w:rFonts w:ascii="Times New Roman" w:hAnsi="Times New Roman" w:cs="Times New Roman"/>
          <w:vertAlign w:val="baseline"/>
        </w:rPr>
        <w:t xml:space="preserve">(c) </w:t>
      </w:r>
      <w:r>
        <w:rPr>
          <w:rFonts w:ascii="Times New Roman" w:hAnsi="Times New Roman" w:cs="Times New Roman"/>
        </w:rPr>
        <w:tab/>
      </w:r>
      <w:r>
        <w:rPr>
          <w:rStyle w:val="FootnoteReference"/>
          <w:rFonts w:ascii="Times New Roman" w:hAnsi="Times New Roman" w:cs="Times New Roman"/>
          <w:vertAlign w:val="baseline"/>
        </w:rPr>
        <w:t>SALW parts</w:t>
      </w:r>
      <w:r>
        <w:rPr>
          <w:rFonts w:ascii="Times New Roman" w:hAnsi="Times New Roman" w:cs="Times New Roman"/>
        </w:rPr>
        <w:t>;</w:t>
      </w:r>
    </w:p>
    <w:p>
      <w:pPr>
        <w:pStyle w:val="FootnoteText"/>
        <w:ind w:left="709" w:hanging="425"/>
        <w:jc w:val="both"/>
        <w:rPr>
          <w:rStyle w:val="FootnoteReference"/>
          <w:rFonts w:ascii="Times New Roman" w:hAnsi="Times New Roman" w:cs="Times New Roman"/>
          <w:vertAlign w:val="baseline"/>
        </w:rPr>
      </w:pPr>
      <w:r>
        <w:rPr>
          <w:rStyle w:val="FootnoteReference"/>
          <w:rFonts w:ascii="Times New Roman" w:hAnsi="Times New Roman" w:cs="Times New Roman"/>
          <w:vertAlign w:val="baseline"/>
        </w:rPr>
        <w:t xml:space="preserve">(d) </w:t>
      </w:r>
      <w:r>
        <w:rPr>
          <w:rFonts w:ascii="Times New Roman" w:hAnsi="Times New Roman" w:cs="Times New Roman"/>
        </w:rPr>
        <w:tab/>
      </w:r>
      <w:r>
        <w:rPr>
          <w:rStyle w:val="FootnoteReference"/>
          <w:rFonts w:ascii="Times New Roman" w:hAnsi="Times New Roman" w:cs="Times New Roman"/>
          <w:vertAlign w:val="baseline"/>
        </w:rPr>
        <w:t>SALW accessories (such as night scopes, sound suppressors, etc.)</w:t>
      </w:r>
      <w:r>
        <w:rPr>
          <w:rFonts w:ascii="Times New Roman" w:hAnsi="Times New Roman" w:cs="Times New Roman"/>
        </w:rPr>
        <w:t>; and</w:t>
      </w:r>
    </w:p>
    <w:p>
      <w:pPr>
        <w:pStyle w:val="FootnoteText"/>
        <w:ind w:left="709" w:hanging="425"/>
        <w:jc w:val="both"/>
        <w:rPr>
          <w:rStyle w:val="FootnoteReference"/>
          <w:rFonts w:ascii="Times New Roman" w:hAnsi="Times New Roman" w:cs="Times New Roman"/>
          <w:vertAlign w:val="baseline"/>
        </w:rPr>
      </w:pPr>
      <w:r>
        <w:rPr>
          <w:rStyle w:val="FootnoteReference"/>
          <w:rFonts w:ascii="Times New Roman" w:hAnsi="Times New Roman" w:cs="Times New Roman"/>
          <w:vertAlign w:val="baseline"/>
        </w:rPr>
        <w:t xml:space="preserve">(e) </w:t>
      </w:r>
      <w:r>
        <w:rPr>
          <w:rFonts w:ascii="Times New Roman" w:hAnsi="Times New Roman" w:cs="Times New Roman"/>
        </w:rPr>
        <w:tab/>
      </w:r>
      <w:r>
        <w:rPr>
          <w:rStyle w:val="FootnoteReference"/>
          <w:rFonts w:ascii="Times New Roman" w:hAnsi="Times New Roman" w:cs="Times New Roman"/>
          <w:vertAlign w:val="baseline"/>
        </w:rPr>
        <w:t>SALW ammunitions.</w:t>
      </w:r>
    </w:p>
    <w:p>
      <w:pPr>
        <w:pStyle w:val="FootnoteText"/>
        <w:ind w:left="284"/>
        <w:jc w:val="both"/>
        <w:rPr>
          <w:rStyle w:val="FootnoteReference"/>
          <w:rFonts w:ascii="Times New Roman" w:hAnsi="Times New Roman" w:cs="Times New Roman"/>
          <w:vertAlign w:val="baseline"/>
        </w:rPr>
      </w:pPr>
      <w:r>
        <w:rPr>
          <w:rStyle w:val="FootnoteReference"/>
          <w:rFonts w:ascii="Times New Roman" w:hAnsi="Times New Roman" w:cs="Times New Roman"/>
          <w:vertAlign w:val="baseline"/>
        </w:rPr>
        <w:t>This definition does not prejudge any future internationally agreed definition of SALW.</w:t>
      </w:r>
    </w:p>
  </w:footnote>
  <w:footnote w:id="13">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vertAlign w:val="baseline"/>
        </w:rPr>
        <w:t xml:space="preserve"> </w:t>
      </w:r>
      <w:r>
        <w:rPr>
          <w:rFonts w:ascii="Times New Roman" w:hAnsi="Times New Roman" w:cs="Times New Roman"/>
        </w:rPr>
        <w:tab/>
      </w:r>
      <w:r>
        <w:rPr>
          <w:rStyle w:val="FootnoteReference"/>
          <w:rFonts w:ascii="Times New Roman" w:hAnsi="Times New Roman" w:cs="Times New Roman"/>
          <w:vertAlign w:val="baseline"/>
        </w:rPr>
        <w:t xml:space="preserve">The term </w:t>
      </w:r>
      <w:r>
        <w:rPr>
          <w:rFonts w:ascii="Times New Roman" w:hAnsi="Times New Roman" w:cs="Times New Roman"/>
        </w:rPr>
        <w:t>‘</w:t>
      </w:r>
      <w:r>
        <w:rPr>
          <w:rStyle w:val="FootnoteReference"/>
          <w:rFonts w:ascii="Times New Roman" w:hAnsi="Times New Roman" w:cs="Times New Roman"/>
          <w:vertAlign w:val="baseline"/>
        </w:rPr>
        <w:t>firearms’ has a broader scope that covers both civilian a</w:t>
      </w:r>
      <w:r>
        <w:rPr>
          <w:rFonts w:ascii="Times New Roman" w:hAnsi="Times New Roman" w:cs="Times New Roman"/>
        </w:rPr>
        <w:t>nd</w:t>
      </w:r>
      <w:r>
        <w:rPr>
          <w:rStyle w:val="FootnoteReference"/>
          <w:rFonts w:ascii="Times New Roman" w:hAnsi="Times New Roman" w:cs="Times New Roman"/>
          <w:vertAlign w:val="baseline"/>
        </w:rPr>
        <w:t xml:space="preserve"> military</w:t>
      </w:r>
      <w:r>
        <w:rPr>
          <w:rStyle w:val="FootnoteReference"/>
          <w:rFonts w:ascii="Times New Roman" w:hAnsi="Times New Roman" w:cs="Times New Roman"/>
          <w:vertAlign w:val="baseline"/>
        </w:rPr>
        <w:noBreakHyphen/>
        <w:t xml:space="preserve">grade firearms. The UN </w:t>
      </w:r>
      <w:r>
        <w:rPr>
          <w:rFonts w:ascii="Times New Roman" w:hAnsi="Times New Roman" w:cs="Times New Roman"/>
        </w:rPr>
        <w:t>f</w:t>
      </w:r>
      <w:r>
        <w:rPr>
          <w:rStyle w:val="FootnoteReference"/>
          <w:rFonts w:ascii="Times New Roman" w:hAnsi="Times New Roman" w:cs="Times New Roman"/>
          <w:vertAlign w:val="baseline"/>
        </w:rPr>
        <w:t xml:space="preserve">irearms </w:t>
      </w:r>
      <w:r>
        <w:rPr>
          <w:rFonts w:ascii="Times New Roman" w:hAnsi="Times New Roman" w:cs="Times New Roman"/>
        </w:rPr>
        <w:t>p</w:t>
      </w:r>
      <w:r>
        <w:rPr>
          <w:rStyle w:val="FootnoteReference"/>
          <w:rFonts w:ascii="Times New Roman" w:hAnsi="Times New Roman" w:cs="Times New Roman"/>
          <w:vertAlign w:val="baseline"/>
        </w:rPr>
        <w:t>rotocol defines a firearm as any portable barrelled weapon that expels, is designed to expel or may be converted to expel a shot, bullet or projectile by the action of an explosive</w:t>
      </w:r>
      <w:r>
        <w:rPr>
          <w:rFonts w:ascii="Times New Roman" w:hAnsi="Times New Roman" w:cs="Times New Roman"/>
        </w:rPr>
        <w:t>,</w:t>
      </w:r>
      <w:r>
        <w:rPr>
          <w:rStyle w:val="FootnoteReference"/>
          <w:rFonts w:ascii="Times New Roman" w:hAnsi="Times New Roman" w:cs="Times New Roman"/>
          <w:vertAlign w:val="baseline"/>
        </w:rPr>
        <w:t xml:space="preserve"> excluding antique firearms or their replicas. It should be noted that some light weapons, such as rocket launchers, are not firearms.</w:t>
      </w:r>
      <w:r>
        <w:rPr>
          <w:rFonts w:ascii="Times New Roman" w:hAnsi="Times New Roman" w:cs="Times New Roman"/>
        </w:rPr>
        <w:t xml:space="preserve"> Hence the term ‘firearms’ does not cover all SALW.</w:t>
      </w:r>
    </w:p>
  </w:footnote>
  <w:footnote w:id="14">
    <w:p>
      <w:pPr>
        <w:pStyle w:val="FootnoteText"/>
        <w:ind w:left="284" w:hanging="284"/>
        <w:rPr>
          <w:rStyle w:val="Hyperlink"/>
          <w:rFonts w:ascii="Times New Roman" w:hAnsi="Times New Roman" w:cs="Times New Roman"/>
          <w:color w:val="000000" w:themeColor="text1"/>
        </w:rPr>
      </w:pPr>
      <w:r>
        <w:rPr>
          <w:rStyle w:val="FootnoteReference"/>
        </w:rPr>
        <w:footnoteRef/>
      </w:r>
      <w:r>
        <w:t xml:space="preserve"> </w:t>
      </w:r>
      <w:r>
        <w:tab/>
      </w:r>
      <w:hyperlink r:id="rId5" w:history="1">
        <w:r>
          <w:rPr>
            <w:rStyle w:val="Hyperlink"/>
            <w:rFonts w:ascii="Times New Roman" w:hAnsi="Times New Roman" w:cs="Times New Roman"/>
            <w:color w:val="000000" w:themeColor="text1"/>
          </w:rPr>
          <w:t>https://europa.eu/globalstrategy/sites/globalstrategy/files/pages/files/eugs_review_web_13.pdf</w:t>
        </w:r>
      </w:hyperlink>
    </w:p>
  </w:footnote>
  <w:footnote w:id="15">
    <w:p>
      <w:pPr>
        <w:pStyle w:val="FootnoteText"/>
        <w:ind w:left="284" w:hanging="284"/>
        <w:jc w:val="both"/>
        <w:rPr>
          <w:rStyle w:val="FootnoteReference"/>
          <w:rFonts w:ascii="Times New Roman" w:hAnsi="Times New Roman" w:cs="Times New Roman"/>
          <w:color w:val="000000" w:themeColor="text1"/>
          <w:vertAlign w:val="baseline"/>
        </w:rPr>
      </w:pPr>
      <w:r>
        <w:rPr>
          <w:rStyle w:val="FootnoteReference"/>
          <w:rFonts w:ascii="Times New Roman" w:hAnsi="Times New Roman" w:cs="Times New Roman"/>
          <w:color w:val="000000" w:themeColor="text1"/>
        </w:rPr>
        <w:footnoteRef/>
      </w:r>
      <w:r>
        <w:rPr>
          <w:rStyle w:val="FootnoteReference"/>
          <w:rFonts w:ascii="Times New Roman" w:hAnsi="Times New Roman" w:cs="Times New Roman"/>
          <w:color w:val="000000" w:themeColor="text1"/>
          <w:vertAlign w:val="baseline"/>
        </w:rPr>
        <w:t xml:space="preserve"> </w:t>
      </w:r>
      <w:r>
        <w:rPr>
          <w:rFonts w:ascii="Times New Roman" w:hAnsi="Times New Roman" w:cs="Times New Roman"/>
          <w:color w:val="000000" w:themeColor="text1"/>
        </w:rPr>
        <w:tab/>
      </w:r>
      <w:hyperlink r:id="rId6" w:history="1">
        <w:r>
          <w:rPr>
            <w:rStyle w:val="Hyperlink"/>
            <w:rFonts w:ascii="Times New Roman" w:hAnsi="Times New Roman" w:cs="Times New Roman"/>
            <w:color w:val="000000" w:themeColor="text1"/>
          </w:rPr>
          <w:t>http://www.un.org/events/smallarms2006/pdf/192.15%20(E).pdf</w:t>
        </w:r>
      </w:hyperlink>
      <w:r>
        <w:rPr>
          <w:rFonts w:ascii="Times New Roman" w:hAnsi="Times New Roman" w:cs="Times New Roman"/>
          <w:color w:val="000000" w:themeColor="text1"/>
        </w:rPr>
        <w:t xml:space="preserve"> </w:t>
      </w:r>
    </w:p>
  </w:footnote>
  <w:footnote w:id="16">
    <w:p>
      <w:pPr>
        <w:pStyle w:val="FootnoteText"/>
        <w:ind w:left="284" w:hanging="284"/>
        <w:rPr>
          <w:rStyle w:val="Hyperlink"/>
          <w:rFonts w:ascii="Times New Roman" w:hAnsi="Times New Roman" w:cs="Times New Roman"/>
          <w:color w:val="000000" w:themeColor="text1"/>
        </w:rPr>
      </w:pPr>
      <w:r>
        <w:rPr>
          <w:rStyle w:val="FootnoteReference"/>
        </w:rPr>
        <w:footnoteRef/>
      </w:r>
      <w:r>
        <w:t xml:space="preserve"> </w:t>
      </w:r>
      <w:r>
        <w:tab/>
      </w:r>
      <w:r>
        <w:rPr>
          <w:rStyle w:val="Hyperlink"/>
          <w:rFonts w:ascii="Times New Roman" w:hAnsi="Times New Roman" w:cs="Times New Roman"/>
          <w:color w:val="000000" w:themeColor="text1"/>
        </w:rPr>
        <w:t>http://www.poa-iss.org/InternationalTracing/InternationalTracing.aspx</w:t>
      </w:r>
    </w:p>
  </w:footnote>
  <w:footnote w:id="17">
    <w:p>
      <w:pPr>
        <w:pStyle w:val="FootnoteText"/>
      </w:pPr>
      <w:r>
        <w:rPr>
          <w:rStyle w:val="FootnoteReference"/>
        </w:rPr>
        <w:footnoteRef/>
      </w:r>
      <w:r>
        <w:t xml:space="preserve"> </w:t>
      </w:r>
      <w:hyperlink r:id="rId7" w:history="1">
        <w:r>
          <w:rPr>
            <w:rStyle w:val="Hyperlink"/>
            <w:rFonts w:ascii="Times New Roman" w:hAnsi="Times New Roman" w:cs="Times New Roman"/>
            <w:color w:val="000000" w:themeColor="text1"/>
          </w:rPr>
          <w:t>https://www.un.org/disarmament/att/</w:t>
        </w:r>
      </w:hyperlink>
    </w:p>
  </w:footnote>
  <w:footnote w:id="18">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vertAlign w:val="baseline"/>
        </w:rPr>
        <w:t xml:space="preserve"> </w:t>
      </w:r>
      <w:r>
        <w:rPr>
          <w:rFonts w:ascii="Times New Roman" w:hAnsi="Times New Roman" w:cs="Times New Roman"/>
        </w:rPr>
        <w:tab/>
      </w:r>
      <w:r>
        <w:rPr>
          <w:rStyle w:val="FootnoteReference"/>
          <w:rFonts w:ascii="Times New Roman" w:hAnsi="Times New Roman" w:cs="Times New Roman"/>
          <w:vertAlign w:val="baseline"/>
        </w:rPr>
        <w:t xml:space="preserve">Protocol against the </w:t>
      </w:r>
      <w:r>
        <w:rPr>
          <w:rFonts w:ascii="Times New Roman" w:hAnsi="Times New Roman" w:cs="Times New Roman"/>
        </w:rPr>
        <w:t>i</w:t>
      </w:r>
      <w:r>
        <w:rPr>
          <w:rStyle w:val="FootnoteReference"/>
          <w:rFonts w:ascii="Times New Roman" w:hAnsi="Times New Roman" w:cs="Times New Roman"/>
          <w:vertAlign w:val="baseline"/>
        </w:rPr>
        <w:t xml:space="preserve">llicit </w:t>
      </w:r>
      <w:r>
        <w:rPr>
          <w:rFonts w:ascii="Times New Roman" w:hAnsi="Times New Roman" w:cs="Times New Roman"/>
        </w:rPr>
        <w:t>m</w:t>
      </w:r>
      <w:r>
        <w:rPr>
          <w:rStyle w:val="FootnoteReference"/>
          <w:rFonts w:ascii="Times New Roman" w:hAnsi="Times New Roman" w:cs="Times New Roman"/>
          <w:vertAlign w:val="baseline"/>
        </w:rPr>
        <w:t xml:space="preserve">anufacturing of and </w:t>
      </w:r>
      <w:r>
        <w:rPr>
          <w:rFonts w:ascii="Times New Roman" w:hAnsi="Times New Roman" w:cs="Times New Roman"/>
        </w:rPr>
        <w:t>t</w:t>
      </w:r>
      <w:r>
        <w:rPr>
          <w:rStyle w:val="FootnoteReference"/>
          <w:rFonts w:ascii="Times New Roman" w:hAnsi="Times New Roman" w:cs="Times New Roman"/>
          <w:vertAlign w:val="baseline"/>
        </w:rPr>
        <w:t xml:space="preserve">rafficking in </w:t>
      </w:r>
      <w:r>
        <w:rPr>
          <w:rFonts w:ascii="Times New Roman" w:hAnsi="Times New Roman" w:cs="Times New Roman"/>
        </w:rPr>
        <w:t>f</w:t>
      </w:r>
      <w:r>
        <w:rPr>
          <w:rStyle w:val="FootnoteReference"/>
          <w:rFonts w:ascii="Times New Roman" w:hAnsi="Times New Roman" w:cs="Times New Roman"/>
          <w:vertAlign w:val="baseline"/>
        </w:rPr>
        <w:t xml:space="preserve">irearms, </w:t>
      </w:r>
      <w:r>
        <w:rPr>
          <w:rFonts w:ascii="Times New Roman" w:hAnsi="Times New Roman" w:cs="Times New Roman"/>
        </w:rPr>
        <w:t>t</w:t>
      </w:r>
      <w:r>
        <w:rPr>
          <w:rStyle w:val="FootnoteReference"/>
          <w:rFonts w:ascii="Times New Roman" w:hAnsi="Times New Roman" w:cs="Times New Roman"/>
          <w:vertAlign w:val="baseline"/>
        </w:rPr>
        <w:t xml:space="preserve">heir </w:t>
      </w:r>
      <w:r>
        <w:rPr>
          <w:rFonts w:ascii="Times New Roman" w:hAnsi="Times New Roman" w:cs="Times New Roman"/>
        </w:rPr>
        <w:t>p</w:t>
      </w:r>
      <w:r>
        <w:rPr>
          <w:rStyle w:val="FootnoteReference"/>
          <w:rFonts w:ascii="Times New Roman" w:hAnsi="Times New Roman" w:cs="Times New Roman"/>
          <w:vertAlign w:val="baseline"/>
        </w:rPr>
        <w:t xml:space="preserve">arts and </w:t>
      </w:r>
      <w:r>
        <w:rPr>
          <w:rFonts w:ascii="Times New Roman" w:hAnsi="Times New Roman" w:cs="Times New Roman"/>
        </w:rPr>
        <w:t>c</w:t>
      </w:r>
      <w:r>
        <w:rPr>
          <w:rStyle w:val="FootnoteReference"/>
          <w:rFonts w:ascii="Times New Roman" w:hAnsi="Times New Roman" w:cs="Times New Roman"/>
          <w:vertAlign w:val="baseline"/>
        </w:rPr>
        <w:t xml:space="preserve">omponents and </w:t>
      </w:r>
      <w:r>
        <w:rPr>
          <w:rFonts w:ascii="Times New Roman" w:hAnsi="Times New Roman" w:cs="Times New Roman"/>
        </w:rPr>
        <w:t>a</w:t>
      </w:r>
      <w:r>
        <w:rPr>
          <w:rStyle w:val="FootnoteReference"/>
          <w:rFonts w:ascii="Times New Roman" w:hAnsi="Times New Roman" w:cs="Times New Roman"/>
          <w:vertAlign w:val="baseline"/>
        </w:rPr>
        <w:t>mmunition, supplementing the U</w:t>
      </w:r>
      <w:r>
        <w:rPr>
          <w:rFonts w:ascii="Times New Roman" w:hAnsi="Times New Roman" w:cs="Times New Roman"/>
        </w:rPr>
        <w:t>N</w:t>
      </w:r>
      <w:r>
        <w:rPr>
          <w:rStyle w:val="FootnoteReference"/>
          <w:rFonts w:ascii="Times New Roman" w:hAnsi="Times New Roman" w:cs="Times New Roman"/>
          <w:vertAlign w:val="baseline"/>
        </w:rPr>
        <w:t xml:space="preserve"> Convention against </w:t>
      </w:r>
      <w:r>
        <w:rPr>
          <w:rFonts w:ascii="Times New Roman" w:hAnsi="Times New Roman" w:cs="Times New Roman"/>
        </w:rPr>
        <w:t>t</w:t>
      </w:r>
      <w:r>
        <w:rPr>
          <w:rStyle w:val="FootnoteReference"/>
          <w:rFonts w:ascii="Times New Roman" w:hAnsi="Times New Roman" w:cs="Times New Roman"/>
          <w:vertAlign w:val="baseline"/>
        </w:rPr>
        <w:t xml:space="preserve">ransnational </w:t>
      </w:r>
      <w:r>
        <w:rPr>
          <w:rFonts w:ascii="Times New Roman" w:hAnsi="Times New Roman" w:cs="Times New Roman"/>
        </w:rPr>
        <w:t>o</w:t>
      </w:r>
      <w:r>
        <w:rPr>
          <w:rStyle w:val="FootnoteReference"/>
          <w:rFonts w:ascii="Times New Roman" w:hAnsi="Times New Roman" w:cs="Times New Roman"/>
          <w:vertAlign w:val="baseline"/>
        </w:rPr>
        <w:t>rgani</w:t>
      </w:r>
      <w:r>
        <w:rPr>
          <w:rFonts w:ascii="Times New Roman" w:hAnsi="Times New Roman" w:cs="Times New Roman"/>
        </w:rPr>
        <w:t>s</w:t>
      </w:r>
      <w:r>
        <w:rPr>
          <w:rStyle w:val="FootnoteReference"/>
          <w:rFonts w:ascii="Times New Roman" w:hAnsi="Times New Roman" w:cs="Times New Roman"/>
          <w:vertAlign w:val="baseline"/>
        </w:rPr>
        <w:t xml:space="preserve">ed </w:t>
      </w:r>
      <w:r>
        <w:rPr>
          <w:rFonts w:ascii="Times New Roman" w:hAnsi="Times New Roman" w:cs="Times New Roman"/>
        </w:rPr>
        <w:t>c</w:t>
      </w:r>
      <w:r>
        <w:rPr>
          <w:rStyle w:val="FootnoteReference"/>
          <w:rFonts w:ascii="Times New Roman" w:hAnsi="Times New Roman" w:cs="Times New Roman"/>
          <w:vertAlign w:val="baseline"/>
        </w:rPr>
        <w:t>rime (UNTOC);</w:t>
      </w:r>
      <w:r>
        <w:rPr>
          <w:rStyle w:val="FootnoteReference"/>
          <w:rFonts w:ascii="Times New Roman" w:hAnsi="Times New Roman" w:cs="Times New Roman"/>
          <w:vertAlign w:val="baseline"/>
        </w:rPr>
        <w:tab/>
      </w:r>
      <w:r>
        <w:rPr>
          <w:rStyle w:val="FootnoteReference"/>
          <w:rFonts w:ascii="Times New Roman" w:hAnsi="Times New Roman" w:cs="Times New Roman"/>
          <w:vertAlign w:val="baseline"/>
        </w:rPr>
        <w:br/>
      </w:r>
      <w:hyperlink r:id="rId8" w:history="1">
        <w:r>
          <w:rPr>
            <w:rStyle w:val="Hyperlink"/>
            <w:rFonts w:ascii="Times New Roman" w:hAnsi="Times New Roman" w:cs="Times New Roman"/>
            <w:color w:val="auto"/>
          </w:rPr>
          <w:t>http://www.unodc.org/unodc/en/firearms-protocol/the-firearms-protocol.html</w:t>
        </w:r>
      </w:hyperlink>
      <w:r>
        <w:rPr>
          <w:rFonts w:ascii="Times New Roman" w:hAnsi="Times New Roman" w:cs="Times New Roman"/>
        </w:rPr>
        <w:t xml:space="preserve"> </w:t>
      </w:r>
    </w:p>
  </w:footnote>
  <w:footnote w:id="19">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vertAlign w:val="baseline"/>
        </w:rPr>
        <w:t xml:space="preserve"> </w:t>
      </w:r>
      <w:r>
        <w:rPr>
          <w:rStyle w:val="FootnoteReference"/>
          <w:rFonts w:ascii="Times New Roman" w:hAnsi="Times New Roman" w:cs="Times New Roman"/>
          <w:vertAlign w:val="baseline"/>
        </w:rPr>
        <w:tab/>
        <w:t>OJ L</w:t>
      </w:r>
      <w:r>
        <w:rPr>
          <w:rFonts w:ascii="Times New Roman" w:hAnsi="Times New Roman" w:cs="Times New Roman"/>
        </w:rPr>
        <w:t xml:space="preserve"> </w:t>
      </w:r>
      <w:r>
        <w:rPr>
          <w:rStyle w:val="FootnoteReference"/>
          <w:rFonts w:ascii="Times New Roman" w:hAnsi="Times New Roman" w:cs="Times New Roman"/>
          <w:vertAlign w:val="baseline"/>
        </w:rPr>
        <w:t>89, 25.3.2014, p. 7.</w:t>
      </w:r>
    </w:p>
  </w:footnote>
  <w:footnote w:id="20">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Style w:val="FootnoteReference"/>
          <w:rFonts w:ascii="Times New Roman" w:hAnsi="Times New Roman" w:cs="Times New Roman"/>
          <w:vertAlign w:val="baseline"/>
        </w:rPr>
        <w:tab/>
        <w:t>COM(2018)</w:t>
      </w:r>
      <w:r>
        <w:rPr>
          <w:rFonts w:ascii="Times New Roman" w:hAnsi="Times New Roman" w:cs="Times New Roman"/>
        </w:rPr>
        <w:t xml:space="preserve"> </w:t>
      </w:r>
      <w:r>
        <w:rPr>
          <w:rStyle w:val="FootnoteReference"/>
          <w:rFonts w:ascii="Times New Roman" w:hAnsi="Times New Roman" w:cs="Times New Roman"/>
          <w:vertAlign w:val="baseline"/>
        </w:rPr>
        <w:t>2197 final</w:t>
      </w:r>
      <w:r>
        <w:rPr>
          <w:rFonts w:ascii="Times New Roman" w:hAnsi="Times New Roman" w:cs="Times New Roman"/>
        </w:rPr>
        <w:t>.</w:t>
      </w:r>
    </w:p>
  </w:footnote>
  <w:footnote w:id="21">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vertAlign w:val="baseline"/>
        </w:rPr>
        <w:t xml:space="preserve"> </w:t>
      </w:r>
      <w:r>
        <w:rPr>
          <w:rFonts w:ascii="Times New Roman" w:hAnsi="Times New Roman" w:cs="Times New Roman"/>
        </w:rPr>
        <w:tab/>
      </w:r>
      <w:hyperlink r:id="rId9" w:history="1">
        <w:r>
          <w:rPr>
            <w:rStyle w:val="Hyperlink"/>
            <w:rFonts w:ascii="Times New Roman" w:hAnsi="Times New Roman" w:cs="Times New Roman"/>
            <w:color w:val="auto"/>
          </w:rPr>
          <w:t>https://www.un.org/sustainabledevelopment/sustainable-development-goals/</w:t>
        </w:r>
      </w:hyperlink>
      <w:r>
        <w:rPr>
          <w:rFonts w:ascii="Times New Roman" w:hAnsi="Times New Roman" w:cs="Times New Roman"/>
        </w:rPr>
        <w:t xml:space="preserve"> </w:t>
      </w:r>
    </w:p>
  </w:footnote>
  <w:footnote w:id="22">
    <w:p>
      <w:pPr>
        <w:spacing w:after="0" w:line="240" w:lineRule="auto"/>
        <w:ind w:left="284" w:hanging="284"/>
        <w:rPr>
          <w:rFonts w:ascii="Times New Roman" w:hAnsi="Times New Roman" w:cs="Times New Roman"/>
          <w:color w:val="000000"/>
          <w:sz w:val="20"/>
          <w:szCs w:val="20"/>
          <w:lang w:eastAsia="en-GB"/>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Style w:val="Hyperlink"/>
          <w:rFonts w:ascii="Times New Roman" w:hAnsi="Times New Roman" w:cs="Times New Roman"/>
          <w:color w:val="auto"/>
          <w:sz w:val="20"/>
          <w:szCs w:val="20"/>
          <w:u w:val="none"/>
        </w:rPr>
        <w:t xml:space="preserve"> </w:t>
      </w:r>
      <w:r>
        <w:rPr>
          <w:rStyle w:val="Hyperlink"/>
          <w:rFonts w:ascii="Times New Roman" w:hAnsi="Times New Roman" w:cs="Times New Roman"/>
          <w:color w:val="auto"/>
          <w:sz w:val="20"/>
          <w:szCs w:val="20"/>
          <w:u w:val="none"/>
        </w:rPr>
        <w:tab/>
        <w:t>Art.13.5 of the Directive 91/477 requires the adoption of this implementing act by 14 September 2018.</w:t>
      </w:r>
    </w:p>
    <w:p>
      <w:pPr>
        <w:pStyle w:val="FootnoteText"/>
      </w:pPr>
    </w:p>
  </w:footnote>
  <w:footnote w:id="23">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Article 10.4 to be adopted by 14 September 2018 of Directive (EU) 2017/853 of the European Parliament and of the Council of 17 May 2017 amending Council Directive 91/477/EEC on control of the acquisition and possession of weapons (OJ L 137, 24.5.2017, p. 22).</w:t>
      </w:r>
    </w:p>
  </w:footnote>
  <w:footnote w:id="24">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vertAlign w:val="baseline"/>
        </w:rPr>
        <w:t xml:space="preserve">  </w:t>
      </w:r>
      <w:r>
        <w:rPr>
          <w:rFonts w:ascii="Times New Roman" w:hAnsi="Times New Roman" w:cs="Times New Roman"/>
        </w:rPr>
        <w:tab/>
      </w:r>
      <w:r>
        <w:rPr>
          <w:rStyle w:val="FootnoteReference"/>
          <w:rFonts w:ascii="Times New Roman" w:hAnsi="Times New Roman" w:cs="Times New Roman"/>
          <w:vertAlign w:val="baseline"/>
        </w:rPr>
        <w:t>COM(2017)</w:t>
      </w:r>
      <w:r>
        <w:rPr>
          <w:rFonts w:ascii="Times New Roman" w:hAnsi="Times New Roman" w:cs="Times New Roman"/>
        </w:rPr>
        <w:t xml:space="preserve"> </w:t>
      </w:r>
      <w:r>
        <w:rPr>
          <w:rStyle w:val="FootnoteReference"/>
          <w:rFonts w:ascii="Times New Roman" w:hAnsi="Times New Roman" w:cs="Times New Roman"/>
          <w:vertAlign w:val="baseline"/>
        </w:rPr>
        <w:t>737 final of 12.12.2017</w:t>
      </w:r>
      <w:r>
        <w:rPr>
          <w:rFonts w:ascii="Times New Roman" w:hAnsi="Times New Roman" w:cs="Times New Roman"/>
        </w:rPr>
        <w:t>.</w:t>
      </w:r>
    </w:p>
  </w:footnote>
  <w:footnote w:id="25">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Online platform for information exchange between Member States' Export Control authorities established under the COARM Council Working Party on Arms Exports. </w:t>
      </w:r>
      <w:r>
        <w:rPr>
          <w:rFonts w:ascii="Times New Roman" w:hAnsi="Times New Roman" w:cs="Times New Roman"/>
          <w:lang w:val="en"/>
        </w:rPr>
        <w:t xml:space="preserve">The Working Party on Conventional Arms Exports handles work concerning </w:t>
      </w:r>
      <w:r>
        <w:rPr>
          <w:rFonts w:ascii="Times New Roman" w:hAnsi="Times New Roman" w:cs="Times New Roman"/>
          <w:bCs/>
          <w:lang w:val="en"/>
        </w:rPr>
        <w:t>export controls for conventional arms</w:t>
      </w:r>
      <w:r>
        <w:rPr>
          <w:rFonts w:ascii="Times New Roman" w:hAnsi="Times New Roman" w:cs="Times New Roman"/>
          <w:lang w:val="en"/>
        </w:rPr>
        <w:t>. It also works as a forum, where the member states communicate and share information on their export policies to non-EU countries, and on national denials of applications for export licenses to non-EU countries.</w:t>
      </w:r>
    </w:p>
  </w:footnote>
  <w:footnote w:id="26">
    <w:p>
      <w:pPr>
        <w:pStyle w:val="FootnoteText"/>
      </w:pPr>
      <w:r>
        <w:rPr>
          <w:rStyle w:val="FootnoteReference"/>
        </w:rPr>
        <w:footnoteRef/>
      </w:r>
      <w:r>
        <w:t xml:space="preserve"> </w:t>
      </w:r>
      <w:r>
        <w:rPr>
          <w:rStyle w:val="FootnoteReference"/>
          <w:rFonts w:ascii="Times New Roman" w:hAnsi="Times New Roman" w:cs="Times New Roman"/>
          <w:vertAlign w:val="baseline"/>
        </w:rPr>
        <w:t xml:space="preserve">  C(2018) 2197 final of 17.4.2018</w:t>
      </w:r>
    </w:p>
  </w:footnote>
  <w:footnote w:id="27">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vertAlign w:val="baseline"/>
        </w:rPr>
        <w:t xml:space="preserve"> </w:t>
      </w:r>
      <w:r>
        <w:rPr>
          <w:rStyle w:val="FootnoteReference"/>
          <w:rFonts w:ascii="Times New Roman" w:hAnsi="Times New Roman" w:cs="Times New Roman"/>
          <w:vertAlign w:val="baseline"/>
        </w:rPr>
        <w:tab/>
      </w:r>
      <w:r>
        <w:rPr>
          <w:rFonts w:ascii="Times New Roman" w:hAnsi="Times New Roman" w:cs="Times New Roman"/>
        </w:rPr>
        <w:t xml:space="preserve">Commission </w:t>
      </w:r>
      <w:r>
        <w:rPr>
          <w:rStyle w:val="FootnoteReference"/>
          <w:rFonts w:ascii="Times New Roman" w:hAnsi="Times New Roman" w:cs="Times New Roman"/>
          <w:vertAlign w:val="baseline"/>
        </w:rPr>
        <w:t>Implementing EU) 2018/337 of 5 March 2018 amending Implementing Regulation (EU) 2015/2403 establishing common guidelines on deactivation standards and techniques for ensuring that deactivated firearms are rendered irreversibly inoperable</w:t>
      </w:r>
      <w:r>
        <w:rPr>
          <w:rFonts w:ascii="Times New Roman" w:hAnsi="Times New Roman" w:cs="Times New Roman"/>
        </w:rPr>
        <w:t xml:space="preserve"> (OJ L 333, 19.12.2015, p. 62).</w:t>
      </w:r>
    </w:p>
  </w:footnote>
  <w:footnote w:id="28">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vertAlign w:val="baseline"/>
        </w:rPr>
        <w:t xml:space="preserve">  </w:t>
      </w:r>
      <w:r>
        <w:rPr>
          <w:rStyle w:val="FootnoteReference"/>
          <w:rFonts w:ascii="Times New Roman" w:hAnsi="Times New Roman" w:cs="Times New Roman"/>
          <w:vertAlign w:val="baseline"/>
        </w:rPr>
        <w:tab/>
      </w:r>
      <w:r>
        <w:rPr>
          <w:rStyle w:val="FootnoteReference"/>
          <w:rFonts w:ascii="Times New Roman" w:hAnsi="Times New Roman" w:cs="Times New Roman"/>
          <w:i/>
          <w:vertAlign w:val="baseline"/>
        </w:rPr>
        <w:t xml:space="preserve">Stronger and </w:t>
      </w:r>
      <w:r>
        <w:rPr>
          <w:rFonts w:ascii="Times New Roman" w:hAnsi="Times New Roman" w:cs="Times New Roman"/>
          <w:i/>
        </w:rPr>
        <w:t>s</w:t>
      </w:r>
      <w:r>
        <w:rPr>
          <w:rStyle w:val="FootnoteReference"/>
          <w:rFonts w:ascii="Times New Roman" w:hAnsi="Times New Roman" w:cs="Times New Roman"/>
          <w:i/>
          <w:vertAlign w:val="baseline"/>
        </w:rPr>
        <w:t xml:space="preserve">marter </w:t>
      </w:r>
      <w:r>
        <w:rPr>
          <w:rFonts w:ascii="Times New Roman" w:hAnsi="Times New Roman" w:cs="Times New Roman"/>
          <w:i/>
        </w:rPr>
        <w:t>i</w:t>
      </w:r>
      <w:r>
        <w:rPr>
          <w:rStyle w:val="FootnoteReference"/>
          <w:rFonts w:ascii="Times New Roman" w:hAnsi="Times New Roman" w:cs="Times New Roman"/>
          <w:i/>
          <w:vertAlign w:val="baseline"/>
        </w:rPr>
        <w:t xml:space="preserve">nformation </w:t>
      </w:r>
      <w:r>
        <w:rPr>
          <w:rFonts w:ascii="Times New Roman" w:hAnsi="Times New Roman" w:cs="Times New Roman"/>
          <w:i/>
        </w:rPr>
        <w:t>s</w:t>
      </w:r>
      <w:r>
        <w:rPr>
          <w:rStyle w:val="FootnoteReference"/>
          <w:rFonts w:ascii="Times New Roman" w:hAnsi="Times New Roman" w:cs="Times New Roman"/>
          <w:i/>
          <w:vertAlign w:val="baseline"/>
        </w:rPr>
        <w:t xml:space="preserve">ystems for </w:t>
      </w:r>
      <w:r>
        <w:rPr>
          <w:rFonts w:ascii="Times New Roman" w:hAnsi="Times New Roman" w:cs="Times New Roman"/>
          <w:i/>
        </w:rPr>
        <w:t>b</w:t>
      </w:r>
      <w:r>
        <w:rPr>
          <w:rStyle w:val="FootnoteReference"/>
          <w:rFonts w:ascii="Times New Roman" w:hAnsi="Times New Roman" w:cs="Times New Roman"/>
          <w:i/>
          <w:vertAlign w:val="baseline"/>
        </w:rPr>
        <w:t xml:space="preserve">orders and </w:t>
      </w:r>
      <w:r>
        <w:rPr>
          <w:rFonts w:ascii="Times New Roman" w:hAnsi="Times New Roman" w:cs="Times New Roman"/>
          <w:i/>
        </w:rPr>
        <w:t>s</w:t>
      </w:r>
      <w:r>
        <w:rPr>
          <w:rStyle w:val="FootnoteReference"/>
          <w:rFonts w:ascii="Times New Roman" w:hAnsi="Times New Roman" w:cs="Times New Roman"/>
          <w:i/>
          <w:vertAlign w:val="baseline"/>
        </w:rPr>
        <w:t>ecurity</w:t>
      </w:r>
      <w:r>
        <w:rPr>
          <w:rStyle w:val="FootnoteReference"/>
          <w:rFonts w:ascii="Times New Roman" w:hAnsi="Times New Roman" w:cs="Times New Roman"/>
          <w:vertAlign w:val="baseline"/>
        </w:rPr>
        <w:t xml:space="preserve">, Commission Communication to the European Parliament and the Council </w:t>
      </w:r>
      <w:r>
        <w:rPr>
          <w:rFonts w:ascii="Times New Roman" w:hAnsi="Times New Roman" w:cs="Times New Roman"/>
        </w:rPr>
        <w:t>(</w:t>
      </w:r>
      <w:r>
        <w:rPr>
          <w:rStyle w:val="FootnoteReference"/>
          <w:rFonts w:ascii="Times New Roman" w:hAnsi="Times New Roman" w:cs="Times New Roman"/>
          <w:vertAlign w:val="baseline"/>
        </w:rPr>
        <w:t>COM(2016) 205 final, 6.4.2016).</w:t>
      </w:r>
    </w:p>
  </w:footnote>
  <w:footnote w:id="29">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Style w:val="FootnoteReference"/>
          <w:rFonts w:ascii="Times New Roman" w:hAnsi="Times New Roman" w:cs="Times New Roman"/>
        </w:rPr>
        <w:tab/>
      </w:r>
      <w:hyperlink r:id="rId10" w:history="1">
        <w:r>
          <w:rPr>
            <w:rStyle w:val="Hyperlink"/>
            <w:rFonts w:ascii="Times New Roman" w:hAnsi="Times New Roman" w:cs="Times New Roman"/>
            <w:color w:val="auto"/>
          </w:rPr>
          <w:t>https://www.interpol.int/Crime-areas/Firearms-trafficking/INTERPOL-Illicit-Arms-Records-and-tracing-Management-System-iARMS</w:t>
        </w:r>
      </w:hyperlink>
      <w:r>
        <w:rPr>
          <w:rFonts w:ascii="Times New Roman" w:hAnsi="Times New Roman" w:cs="Times New Roman"/>
        </w:rPr>
        <w:t xml:space="preserve"> </w:t>
      </w:r>
    </w:p>
  </w:footnote>
  <w:footnote w:id="30">
    <w:p>
      <w:pPr>
        <w:pStyle w:val="FootnoteText"/>
        <w:ind w:left="284" w:hanging="284"/>
        <w:jc w:val="both"/>
        <w:rPr>
          <w:rStyle w:val="FootnoteReference"/>
          <w:rFonts w:ascii="Times New Roman" w:hAnsi="Times New Roman" w:cs="Times New Roman"/>
          <w:vertAlign w:val="baseline"/>
        </w:rPr>
      </w:pPr>
      <w:r>
        <w:rPr>
          <w:rStyle w:val="FootnoteReference"/>
        </w:rPr>
        <w:footnoteRef/>
      </w:r>
      <w:r>
        <w:t xml:space="preserve">  </w:t>
      </w:r>
      <w:r>
        <w:rPr>
          <w:rStyle w:val="FootnoteReference"/>
          <w:rFonts w:ascii="Times New Roman" w:hAnsi="Times New Roman" w:cs="Times New Roman"/>
          <w:vertAlign w:val="baseline"/>
        </w:rPr>
        <w:t xml:space="preserve">EU action plan against illicit trafficking in and use of firearms and explosives, 2nd December 2015, </w:t>
      </w:r>
    </w:p>
    <w:p>
      <w:pPr>
        <w:pStyle w:val="FootnoteText"/>
        <w:ind w:left="284" w:hanging="284"/>
        <w:jc w:val="both"/>
        <w:rPr>
          <w:rFonts w:ascii="Times New Roman" w:hAnsi="Times New Roman" w:cs="Times New Roman"/>
        </w:rPr>
      </w:pPr>
      <w:r>
        <w:rPr>
          <w:rFonts w:ascii="Times New Roman" w:hAnsi="Times New Roman" w:cs="Times New Roman"/>
        </w:rPr>
        <w:t xml:space="preserve">     </w:t>
      </w:r>
      <w:r>
        <w:rPr>
          <w:rStyle w:val="FootnoteReference"/>
          <w:rFonts w:ascii="Times New Roman" w:hAnsi="Times New Roman" w:cs="Times New Roman"/>
          <w:vertAlign w:val="baseline"/>
        </w:rPr>
        <w:t>COM(2015), 624 final</w:t>
      </w:r>
    </w:p>
  </w:footnote>
  <w:footnote w:id="31">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https://ec.europa.eu/home-affairs/financing/fundings/security-and-safeguarding-liberties/internal-security-fund-police_en</w:t>
      </w:r>
    </w:p>
  </w:footnote>
  <w:footnote w:id="32">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Style w:val="FootnoteReference"/>
          <w:rFonts w:ascii="Times New Roman" w:hAnsi="Times New Roman" w:cs="Times New Roman"/>
          <w:vertAlign w:val="baseline"/>
        </w:rPr>
        <w:t xml:space="preserve">For the purpose of this strategy, the term ‘law enforcement’ refers to </w:t>
      </w:r>
      <w:r>
        <w:rPr>
          <w:rFonts w:ascii="Times New Roman" w:hAnsi="Times New Roman" w:cs="Times New Roman"/>
        </w:rPr>
        <w:t xml:space="preserve">the activity of </w:t>
      </w:r>
      <w:r>
        <w:rPr>
          <w:rStyle w:val="FootnoteReference"/>
          <w:rFonts w:ascii="Times New Roman" w:hAnsi="Times New Roman" w:cs="Times New Roman"/>
          <w:vertAlign w:val="baseline"/>
        </w:rPr>
        <w:t>police, border and coast guards, and customs.</w:t>
      </w:r>
    </w:p>
  </w:footnote>
  <w:footnote w:id="33">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Style w:val="FootnoteReference"/>
          <w:rFonts w:ascii="Times New Roman" w:hAnsi="Times New Roman" w:cs="Times New Roman"/>
          <w:vertAlign w:val="baseline"/>
        </w:rPr>
        <w:tab/>
        <w:t xml:space="preserve">Council </w:t>
      </w:r>
      <w:r>
        <w:rPr>
          <w:rFonts w:ascii="Times New Roman" w:hAnsi="Times New Roman" w:cs="Times New Roman"/>
        </w:rPr>
        <w:t>c</w:t>
      </w:r>
      <w:r>
        <w:rPr>
          <w:rStyle w:val="FootnoteReference"/>
          <w:rFonts w:ascii="Times New Roman" w:hAnsi="Times New Roman" w:cs="Times New Roman"/>
          <w:vertAlign w:val="baseline"/>
        </w:rPr>
        <w:t>onclusions on the creation and implementation of an EU policy cycle for organised and serious international crime (doc. 15358/10 COSI 69 ENFOPOL 298 CRIMORG 185 ENFOCUSTOM 94, 10</w:t>
      </w:r>
      <w:r>
        <w:rPr>
          <w:rFonts w:ascii="Times New Roman" w:hAnsi="Times New Roman" w:cs="Times New Roman"/>
        </w:rPr>
        <w:t>.6.</w:t>
      </w:r>
      <w:r>
        <w:rPr>
          <w:rStyle w:val="FootnoteReference"/>
          <w:rFonts w:ascii="Times New Roman" w:hAnsi="Times New Roman" w:cs="Times New Roman"/>
          <w:vertAlign w:val="baseline"/>
        </w:rPr>
        <w:t>2011).</w:t>
      </w:r>
    </w:p>
  </w:footnote>
  <w:footnote w:id="34">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Style w:val="FootnoteReference"/>
          <w:rFonts w:ascii="Times New Roman" w:hAnsi="Times New Roman" w:cs="Times New Roman"/>
          <w:vertAlign w:val="baseline"/>
        </w:rPr>
        <w:tab/>
        <w:t xml:space="preserve">Council </w:t>
      </w:r>
      <w:r>
        <w:rPr>
          <w:rFonts w:ascii="Times New Roman" w:hAnsi="Times New Roman" w:cs="Times New Roman"/>
        </w:rPr>
        <w:t>c</w:t>
      </w:r>
      <w:r>
        <w:rPr>
          <w:rStyle w:val="FootnoteReference"/>
          <w:rFonts w:ascii="Times New Roman" w:hAnsi="Times New Roman" w:cs="Times New Roman"/>
          <w:vertAlign w:val="baseline"/>
        </w:rPr>
        <w:t>onclusions on the implementation of an EU policy cycle for organised and serious international crime (2014-2017) (doc.12095/13, 7.6.2013).</w:t>
      </w:r>
    </w:p>
  </w:footnote>
  <w:footnote w:id="35">
    <w:p>
      <w:pPr>
        <w:pStyle w:val="Default"/>
        <w:ind w:left="284" w:hanging="284"/>
        <w:rPr>
          <w:rStyle w:val="FootnoteReference"/>
          <w:vertAlign w:val="baseline"/>
          <w:lang w:val="pt-PT"/>
        </w:rPr>
      </w:pPr>
      <w:r>
        <w:rPr>
          <w:rStyle w:val="FootnoteReference"/>
        </w:rPr>
        <w:footnoteRef/>
      </w:r>
      <w:r>
        <w:rPr>
          <w:lang w:val="pt-PT"/>
        </w:rPr>
        <w:t xml:space="preserve"> </w:t>
      </w:r>
      <w:r>
        <w:rPr>
          <w:lang w:val="pt-PT"/>
        </w:rPr>
        <w:tab/>
      </w:r>
      <w:r>
        <w:rPr>
          <w:rStyle w:val="FootnoteReference"/>
          <w:rFonts w:ascii="Times New Roman" w:hAnsi="Times New Roman" w:cs="Times New Roman"/>
          <w:color w:val="auto"/>
          <w:sz w:val="20"/>
          <w:szCs w:val="20"/>
          <w:vertAlign w:val="baseline"/>
          <w:lang w:val="pt-PT"/>
        </w:rPr>
        <w:t xml:space="preserve">Regulation (Eu) No 230/2014 </w:t>
      </w:r>
      <w:r>
        <w:rPr>
          <w:rFonts w:ascii="Times New Roman" w:hAnsi="Times New Roman" w:cs="Times New Roman"/>
          <w:color w:val="auto"/>
          <w:sz w:val="20"/>
          <w:szCs w:val="20"/>
          <w:lang w:val="pt-PT"/>
        </w:rPr>
        <w:t>o</w:t>
      </w:r>
      <w:r>
        <w:rPr>
          <w:rStyle w:val="FootnoteReference"/>
          <w:rFonts w:ascii="Times New Roman" w:hAnsi="Times New Roman" w:cs="Times New Roman"/>
          <w:color w:val="auto"/>
          <w:sz w:val="20"/>
          <w:szCs w:val="20"/>
          <w:vertAlign w:val="baseline"/>
          <w:lang w:val="pt-PT"/>
        </w:rPr>
        <w:t xml:space="preserve">f </w:t>
      </w:r>
      <w:r>
        <w:rPr>
          <w:rFonts w:ascii="Times New Roman" w:hAnsi="Times New Roman" w:cs="Times New Roman"/>
          <w:color w:val="auto"/>
          <w:sz w:val="20"/>
          <w:szCs w:val="20"/>
          <w:lang w:val="pt-PT"/>
        </w:rPr>
        <w:t>t</w:t>
      </w:r>
      <w:r>
        <w:rPr>
          <w:rStyle w:val="FootnoteReference"/>
          <w:rFonts w:ascii="Times New Roman" w:hAnsi="Times New Roman" w:cs="Times New Roman"/>
          <w:color w:val="auto"/>
          <w:sz w:val="20"/>
          <w:szCs w:val="20"/>
          <w:vertAlign w:val="baseline"/>
          <w:lang w:val="pt-PT"/>
        </w:rPr>
        <w:t xml:space="preserve">he European Parliament </w:t>
      </w:r>
      <w:r>
        <w:rPr>
          <w:rFonts w:ascii="Times New Roman" w:hAnsi="Times New Roman" w:cs="Times New Roman"/>
          <w:color w:val="auto"/>
          <w:sz w:val="20"/>
          <w:szCs w:val="20"/>
          <w:lang w:val="pt-PT"/>
        </w:rPr>
        <w:t>a</w:t>
      </w:r>
      <w:r>
        <w:rPr>
          <w:rStyle w:val="FootnoteReference"/>
          <w:rFonts w:ascii="Times New Roman" w:hAnsi="Times New Roman" w:cs="Times New Roman"/>
          <w:color w:val="auto"/>
          <w:sz w:val="20"/>
          <w:szCs w:val="20"/>
          <w:vertAlign w:val="baseline"/>
          <w:lang w:val="pt-PT"/>
        </w:rPr>
        <w:t xml:space="preserve">nd </w:t>
      </w:r>
      <w:r>
        <w:rPr>
          <w:rFonts w:ascii="Times New Roman" w:hAnsi="Times New Roman" w:cs="Times New Roman"/>
          <w:color w:val="auto"/>
          <w:sz w:val="20"/>
          <w:szCs w:val="20"/>
          <w:lang w:val="pt-PT"/>
        </w:rPr>
        <w:t>o</w:t>
      </w:r>
      <w:r>
        <w:rPr>
          <w:rStyle w:val="FootnoteReference"/>
          <w:rFonts w:ascii="Times New Roman" w:hAnsi="Times New Roman" w:cs="Times New Roman"/>
          <w:color w:val="auto"/>
          <w:sz w:val="20"/>
          <w:szCs w:val="20"/>
          <w:vertAlign w:val="baseline"/>
          <w:lang w:val="pt-PT"/>
        </w:rPr>
        <w:t xml:space="preserve">f </w:t>
      </w:r>
      <w:r>
        <w:rPr>
          <w:rFonts w:ascii="Times New Roman" w:hAnsi="Times New Roman" w:cs="Times New Roman"/>
          <w:color w:val="auto"/>
          <w:sz w:val="20"/>
          <w:szCs w:val="20"/>
          <w:lang w:val="pt-PT"/>
        </w:rPr>
        <w:t>t</w:t>
      </w:r>
      <w:r>
        <w:rPr>
          <w:rStyle w:val="FootnoteReference"/>
          <w:rFonts w:ascii="Times New Roman" w:hAnsi="Times New Roman" w:cs="Times New Roman"/>
          <w:color w:val="auto"/>
          <w:sz w:val="20"/>
          <w:szCs w:val="20"/>
          <w:vertAlign w:val="baseline"/>
          <w:lang w:val="pt-PT"/>
        </w:rPr>
        <w:t xml:space="preserve">he Council </w:t>
      </w:r>
      <w:r>
        <w:rPr>
          <w:rFonts w:ascii="Times New Roman" w:hAnsi="Times New Roman" w:cs="Times New Roman"/>
          <w:color w:val="auto"/>
          <w:sz w:val="20"/>
          <w:szCs w:val="20"/>
          <w:lang w:val="pt-PT"/>
        </w:rPr>
        <w:t>o</w:t>
      </w:r>
      <w:r>
        <w:rPr>
          <w:rStyle w:val="FootnoteReference"/>
          <w:rFonts w:ascii="Times New Roman" w:hAnsi="Times New Roman" w:cs="Times New Roman"/>
          <w:color w:val="auto"/>
          <w:sz w:val="20"/>
          <w:szCs w:val="20"/>
          <w:vertAlign w:val="baseline"/>
          <w:lang w:val="pt-PT"/>
        </w:rPr>
        <w:t>f 11 March 2014</w:t>
      </w:r>
    </w:p>
  </w:footnote>
  <w:footnote w:id="36">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vertAlign w:val="baseline"/>
          <w:lang w:val="pt-PT"/>
        </w:rPr>
        <w:t xml:space="preserve"> </w:t>
      </w:r>
      <w:r>
        <w:rPr>
          <w:rStyle w:val="FootnoteReference"/>
          <w:rFonts w:ascii="Times New Roman" w:hAnsi="Times New Roman" w:cs="Times New Roman"/>
          <w:vertAlign w:val="baseline"/>
          <w:lang w:val="pt-PT"/>
        </w:rPr>
        <w:tab/>
        <w:t xml:space="preserve">UN Security Council </w:t>
      </w:r>
      <w:r>
        <w:rPr>
          <w:rFonts w:ascii="Times New Roman" w:hAnsi="Times New Roman" w:cs="Times New Roman"/>
          <w:lang w:val="pt-PT"/>
        </w:rPr>
        <w:t>R</w:t>
      </w:r>
      <w:r>
        <w:rPr>
          <w:rStyle w:val="FootnoteReference"/>
          <w:rFonts w:ascii="Times New Roman" w:hAnsi="Times New Roman" w:cs="Times New Roman"/>
          <w:vertAlign w:val="baseline"/>
          <w:lang w:val="pt-PT"/>
        </w:rPr>
        <w:t>esolution 1325 (2000) and subsequent resolutions on women, peace and security, e</w:t>
      </w:r>
      <w:r>
        <w:rPr>
          <w:rFonts w:ascii="Times New Roman" w:hAnsi="Times New Roman" w:cs="Times New Roman"/>
          <w:lang w:val="pt-PT"/>
        </w:rPr>
        <w:t>.g. </w:t>
      </w:r>
      <w:r>
        <w:rPr>
          <w:rStyle w:val="FootnoteReference"/>
          <w:rFonts w:ascii="Times New Roman" w:hAnsi="Times New Roman" w:cs="Times New Roman"/>
          <w:vertAlign w:val="baseline"/>
          <w:lang w:val="pt-PT"/>
        </w:rPr>
        <w:t>UNSCR 2242 (2015)</w:t>
      </w:r>
      <w:r>
        <w:rPr>
          <w:rFonts w:ascii="Times New Roman" w:hAnsi="Times New Roman" w:cs="Times New Roman"/>
        </w:rPr>
        <w:t>.</w:t>
      </w:r>
    </w:p>
  </w:footnote>
  <w:footnote w:id="37">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vertAlign w:val="baseline"/>
        </w:rPr>
        <w:t xml:space="preserve"> </w:t>
      </w:r>
      <w:r>
        <w:rPr>
          <w:rStyle w:val="FootnoteReference"/>
          <w:rFonts w:ascii="Times New Roman" w:hAnsi="Times New Roman" w:cs="Times New Roman"/>
          <w:vertAlign w:val="baseline"/>
        </w:rPr>
        <w:tab/>
        <w:t>COM(2018) 65 final of 6.2.2018</w:t>
      </w:r>
      <w:r>
        <w:rPr>
          <w:rFonts w:ascii="Times New Roman" w:hAnsi="Times New Roman" w:cs="Times New Roman"/>
        </w:rPr>
        <w:t xml:space="preserve"> and annex</w:t>
      </w:r>
    </w:p>
  </w:footnote>
  <w:footnote w:id="38">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vertAlign w:val="baseline"/>
        </w:rPr>
        <w:t xml:space="preserve"> </w:t>
      </w:r>
      <w:r>
        <w:rPr>
          <w:rStyle w:val="FootnoteReference"/>
          <w:rFonts w:ascii="Times New Roman" w:hAnsi="Times New Roman" w:cs="Times New Roman"/>
          <w:vertAlign w:val="baseline"/>
        </w:rPr>
        <w:tab/>
        <w:t>EMPACT – European Multidisciplinary Platform against Criminal Threats.</w:t>
      </w:r>
    </w:p>
  </w:footnote>
  <w:footnote w:id="39">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vertAlign w:val="baseline"/>
        </w:rPr>
        <w:tab/>
      </w:r>
      <w:r>
        <w:rPr>
          <w:rFonts w:ascii="Times New Roman" w:hAnsi="Times New Roman" w:cs="Times New Roman"/>
        </w:rPr>
        <w:t>The c</w:t>
      </w:r>
      <w:r>
        <w:rPr>
          <w:rStyle w:val="FootnoteReference"/>
          <w:rFonts w:ascii="Times New Roman" w:hAnsi="Times New Roman" w:cs="Times New Roman"/>
          <w:vertAlign w:val="baseline"/>
        </w:rPr>
        <w:t>onclusions r</w:t>
      </w:r>
      <w:r>
        <w:rPr>
          <w:rFonts w:ascii="Times New Roman" w:hAnsi="Times New Roman" w:cs="Times New Roman"/>
        </w:rPr>
        <w:t>eferred to</w:t>
      </w:r>
      <w:r>
        <w:rPr>
          <w:rStyle w:val="FootnoteReference"/>
          <w:rFonts w:ascii="Times New Roman" w:hAnsi="Times New Roman" w:cs="Times New Roman"/>
          <w:vertAlign w:val="baseline"/>
        </w:rPr>
        <w:t xml:space="preserve"> </w:t>
      </w:r>
      <w:r>
        <w:rPr>
          <w:rFonts w:ascii="Times New Roman" w:hAnsi="Times New Roman" w:cs="Times New Roman"/>
        </w:rPr>
        <w:t>‘</w:t>
      </w:r>
      <w:r>
        <w:rPr>
          <w:rStyle w:val="FootnoteReference"/>
          <w:rFonts w:ascii="Times New Roman" w:hAnsi="Times New Roman" w:cs="Times New Roman"/>
          <w:vertAlign w:val="baseline"/>
        </w:rPr>
        <w:t>the need for effective and intense regional and international cooperation, including with E</w:t>
      </w:r>
      <w:r>
        <w:rPr>
          <w:rFonts w:ascii="Times New Roman" w:hAnsi="Times New Roman" w:cs="Times New Roman"/>
        </w:rPr>
        <w:t>uropol</w:t>
      </w:r>
      <w:r>
        <w:rPr>
          <w:rStyle w:val="FootnoteReference"/>
          <w:rFonts w:ascii="Times New Roman" w:hAnsi="Times New Roman" w:cs="Times New Roman"/>
          <w:vertAlign w:val="baseline"/>
        </w:rPr>
        <w:t xml:space="preserve"> and Eurojust, without prejudice to Member States</w:t>
      </w:r>
      <w:r>
        <w:rPr>
          <w:rFonts w:ascii="Times New Roman" w:hAnsi="Times New Roman" w:cs="Times New Roman"/>
        </w:rPr>
        <w:t>’</w:t>
      </w:r>
      <w:r>
        <w:rPr>
          <w:rStyle w:val="FootnoteReference"/>
          <w:rFonts w:ascii="Times New Roman" w:hAnsi="Times New Roman" w:cs="Times New Roman"/>
          <w:vertAlign w:val="baseline"/>
        </w:rPr>
        <w:t xml:space="preserve"> positions on status’.</w:t>
      </w:r>
    </w:p>
  </w:footnote>
  <w:footnote w:id="40">
    <w:p>
      <w:pPr>
        <w:pStyle w:val="FootnoteText"/>
        <w:ind w:left="284" w:hanging="284"/>
        <w:jc w:val="both"/>
        <w:rPr>
          <w:rStyle w:val="FootnoteReference"/>
          <w:rFonts w:ascii="Times New Roman" w:hAnsi="Times New Roman" w:cs="Times New Roman"/>
          <w:vertAlign w:val="baseline"/>
          <w:lang w:val="de-DE"/>
        </w:rPr>
      </w:pPr>
      <w:r>
        <w:rPr>
          <w:rStyle w:val="FootnoteReference"/>
          <w:rFonts w:ascii="Times New Roman" w:hAnsi="Times New Roman" w:cs="Times New Roman"/>
        </w:rPr>
        <w:footnoteRef/>
      </w:r>
      <w:r>
        <w:rPr>
          <w:rStyle w:val="FootnoteReference"/>
          <w:rFonts w:ascii="Times New Roman" w:hAnsi="Times New Roman" w:cs="Times New Roman"/>
          <w:lang w:val="de-DE"/>
        </w:rPr>
        <w:tab/>
      </w:r>
      <w:r>
        <w:rPr>
          <w:rStyle w:val="FootnoteReference"/>
          <w:rFonts w:ascii="Times New Roman" w:hAnsi="Times New Roman" w:cs="Times New Roman"/>
          <w:vertAlign w:val="baseline"/>
          <w:lang w:val="de-DE"/>
        </w:rPr>
        <w:t>CFSP-funded programme, 2017-2019,</w:t>
      </w:r>
      <w:r>
        <w:rPr>
          <w:rFonts w:ascii="Times New Roman" w:hAnsi="Times New Roman" w:cs="Times New Roman"/>
          <w:lang w:val="de-DE"/>
        </w:rPr>
        <w:t xml:space="preserve"> </w:t>
      </w:r>
      <w:r>
        <w:rPr>
          <w:rStyle w:val="FootnoteReference"/>
          <w:rFonts w:ascii="Times New Roman" w:hAnsi="Times New Roman" w:cs="Times New Roman"/>
          <w:vertAlign w:val="baseline"/>
          <w:lang w:val="de-DE"/>
        </w:rPr>
        <w:t>E</w:t>
      </w:r>
      <w:r>
        <w:rPr>
          <w:rFonts w:ascii="Times New Roman" w:hAnsi="Times New Roman" w:cs="Times New Roman"/>
          <w:lang w:val="de-DE"/>
        </w:rPr>
        <w:t>UR </w:t>
      </w:r>
      <w:r>
        <w:rPr>
          <w:rStyle w:val="FootnoteReference"/>
          <w:rFonts w:ascii="Times New Roman" w:hAnsi="Times New Roman" w:cs="Times New Roman"/>
          <w:vertAlign w:val="baseline"/>
          <w:lang w:val="de-DE"/>
        </w:rPr>
        <w:t>6 508 136.</w:t>
      </w:r>
    </w:p>
  </w:footnote>
  <w:footnote w:id="41">
    <w:p>
      <w:pPr>
        <w:pStyle w:val="FootnoteText"/>
        <w:ind w:left="284" w:hanging="284"/>
        <w:jc w:val="both"/>
        <w:rPr>
          <w:rStyle w:val="FootnoteReference"/>
          <w:rFonts w:ascii="Times New Roman" w:hAnsi="Times New Roman" w:cs="Times New Roman"/>
          <w:vertAlign w:val="baseline"/>
          <w:lang w:val="de-DE"/>
        </w:rPr>
      </w:pPr>
      <w:r>
        <w:rPr>
          <w:rStyle w:val="FootnoteReference"/>
          <w:rFonts w:ascii="Times New Roman" w:hAnsi="Times New Roman" w:cs="Times New Roman"/>
        </w:rPr>
        <w:footnoteRef/>
      </w:r>
      <w:r>
        <w:rPr>
          <w:rStyle w:val="FootnoteReference"/>
          <w:rFonts w:ascii="Times New Roman" w:hAnsi="Times New Roman" w:cs="Times New Roman"/>
          <w:vertAlign w:val="baseline"/>
          <w:lang w:val="de-DE"/>
        </w:rPr>
        <w:t xml:space="preserve"> </w:t>
      </w:r>
      <w:r>
        <w:rPr>
          <w:rStyle w:val="FootnoteReference"/>
          <w:rFonts w:ascii="Times New Roman" w:hAnsi="Times New Roman" w:cs="Times New Roman"/>
          <w:vertAlign w:val="baseline"/>
          <w:lang w:val="de-DE"/>
        </w:rPr>
        <w:tab/>
        <w:t xml:space="preserve">IPA 2017-2019, </w:t>
      </w:r>
      <w:r>
        <w:rPr>
          <w:rFonts w:ascii="Times New Roman" w:hAnsi="Times New Roman" w:cs="Times New Roman"/>
          <w:lang w:val="de-DE"/>
        </w:rPr>
        <w:t>EUR </w:t>
      </w:r>
      <w:r>
        <w:rPr>
          <w:rStyle w:val="FootnoteReference"/>
          <w:rFonts w:ascii="Times New Roman" w:hAnsi="Times New Roman" w:cs="Times New Roman"/>
          <w:vertAlign w:val="baseline"/>
          <w:lang w:val="de-DE"/>
        </w:rPr>
        <w:t>13 million</w:t>
      </w:r>
      <w:r>
        <w:rPr>
          <w:rFonts w:ascii="Times New Roman" w:hAnsi="Times New Roman" w:cs="Times New Roman"/>
          <w:lang w:val="de-DE"/>
        </w:rPr>
        <w:t>: </w:t>
      </w:r>
      <w:r>
        <w:rPr>
          <w:rFonts w:ascii="Times New Roman" w:hAnsi="Times New Roman" w:cs="Times New Roman"/>
          <w:i/>
          <w:lang w:val="de-DE"/>
        </w:rPr>
        <w:t>Deutsche Gesellschaft für internationale Zusammenarbeit</w:t>
      </w:r>
      <w:r>
        <w:rPr>
          <w:rFonts w:ascii="Times New Roman" w:hAnsi="Times New Roman" w:cs="Times New Roman"/>
          <w:lang w:val="de-DE"/>
        </w:rPr>
        <w:t xml:space="preserve"> (</w:t>
      </w:r>
      <w:r>
        <w:rPr>
          <w:rStyle w:val="FootnoteReference"/>
          <w:rFonts w:ascii="Times New Roman" w:hAnsi="Times New Roman" w:cs="Times New Roman"/>
          <w:vertAlign w:val="baseline"/>
          <w:lang w:val="de-DE"/>
        </w:rPr>
        <w:t>GIZ).</w:t>
      </w:r>
    </w:p>
  </w:footnote>
  <w:footnote w:id="42">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Style w:val="FootnoteReference"/>
          <w:rFonts w:ascii="Times New Roman" w:hAnsi="Times New Roman" w:cs="Times New Roman"/>
        </w:rPr>
        <w:tab/>
      </w:r>
      <w:r>
        <w:rPr>
          <w:rStyle w:val="FootnoteReference"/>
          <w:rFonts w:ascii="Times New Roman" w:hAnsi="Times New Roman" w:cs="Times New Roman"/>
          <w:vertAlign w:val="baseline"/>
        </w:rPr>
        <w:t>IPA 2015-2019, EUR 2 million: UNODC.</w:t>
      </w:r>
    </w:p>
  </w:footnote>
  <w:footnote w:id="43">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vertAlign w:val="baseline"/>
        </w:rPr>
        <w:t xml:space="preserve"> </w:t>
      </w:r>
      <w:r>
        <w:rPr>
          <w:rStyle w:val="FootnoteReference"/>
          <w:rFonts w:ascii="Times New Roman" w:hAnsi="Times New Roman" w:cs="Times New Roman"/>
          <w:vertAlign w:val="baseline"/>
        </w:rPr>
        <w:tab/>
        <w:t xml:space="preserve">Joint </w:t>
      </w:r>
      <w:r>
        <w:rPr>
          <w:rFonts w:ascii="Times New Roman" w:hAnsi="Times New Roman" w:cs="Times New Roman"/>
        </w:rPr>
        <w:t>p</w:t>
      </w:r>
      <w:r>
        <w:rPr>
          <w:rStyle w:val="FootnoteReference"/>
          <w:rFonts w:ascii="Times New Roman" w:hAnsi="Times New Roman" w:cs="Times New Roman"/>
          <w:vertAlign w:val="baseline"/>
        </w:rPr>
        <w:t xml:space="preserve">roposal for a Council Decision on the Union position within the Association Council set up by the Euro-Mediterranean Agreement establishing an association between the European Communities and their Member States, of the one part, and the Kingdom of Morocco, of the other part, with regard to the adoption of a recommendation on the implementation of the EU-Morocco </w:t>
      </w:r>
      <w:r>
        <w:rPr>
          <w:rFonts w:ascii="Times New Roman" w:hAnsi="Times New Roman" w:cs="Times New Roman"/>
        </w:rPr>
        <w:t>a</w:t>
      </w:r>
      <w:r>
        <w:rPr>
          <w:rStyle w:val="FootnoteReference"/>
          <w:rFonts w:ascii="Times New Roman" w:hAnsi="Times New Roman" w:cs="Times New Roman"/>
          <w:vertAlign w:val="baseline"/>
        </w:rPr>
        <w:t xml:space="preserve">ction </w:t>
      </w:r>
      <w:r>
        <w:rPr>
          <w:rFonts w:ascii="Times New Roman" w:hAnsi="Times New Roman" w:cs="Times New Roman"/>
        </w:rPr>
        <w:t>p</w:t>
      </w:r>
      <w:r>
        <w:rPr>
          <w:rStyle w:val="FootnoteReference"/>
          <w:rFonts w:ascii="Times New Roman" w:hAnsi="Times New Roman" w:cs="Times New Roman"/>
          <w:vertAlign w:val="baseline"/>
        </w:rPr>
        <w:t xml:space="preserve">lan implementing the advanced status (2013-2017) </w:t>
      </w:r>
      <w:r>
        <w:rPr>
          <w:rFonts w:ascii="Times New Roman" w:hAnsi="Times New Roman" w:cs="Times New Roman"/>
        </w:rPr>
        <w:t>(</w:t>
      </w:r>
      <w:r>
        <w:rPr>
          <w:rStyle w:val="FootnoteReference"/>
          <w:rFonts w:ascii="Times New Roman" w:hAnsi="Times New Roman" w:cs="Times New Roman"/>
          <w:vertAlign w:val="baseline"/>
        </w:rPr>
        <w:t>/* JOIN/2013/06 final - 2013/0107 (NLE)</w:t>
      </w:r>
      <w:r>
        <w:rPr>
          <w:rFonts w:ascii="Times New Roman" w:hAnsi="Times New Roman" w:cs="Times New Roman"/>
        </w:rPr>
        <w:t>)</w:t>
      </w:r>
      <w:r>
        <w:rPr>
          <w:rStyle w:val="FootnoteReference"/>
          <w:rFonts w:ascii="Times New Roman" w:hAnsi="Times New Roman" w:cs="Times New Roman"/>
          <w:vertAlign w:val="baseline"/>
        </w:rPr>
        <w:t>.</w:t>
      </w:r>
    </w:p>
  </w:footnote>
  <w:footnote w:id="44">
    <w:p>
      <w:pPr>
        <w:pStyle w:val="FootnoteText"/>
        <w:ind w:left="284" w:hanging="284"/>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Style w:val="FootnoteReference"/>
          <w:rFonts w:ascii="Times New Roman" w:hAnsi="Times New Roman" w:cs="Times New Roman"/>
          <w:vertAlign w:val="baseline"/>
        </w:rPr>
        <w:t>https://www.euromed-police.eu/</w:t>
      </w:r>
    </w:p>
  </w:footnote>
  <w:footnote w:id="45">
    <w:p>
      <w:pPr>
        <w:pStyle w:val="FootnoteText"/>
        <w:ind w:left="284" w:hanging="284"/>
        <w:rPr>
          <w:rStyle w:val="FootnoteReference"/>
          <w:rFonts w:ascii="Times New Roman" w:hAnsi="Times New Roman" w:cs="Times New Roman"/>
          <w:vertAlign w:val="baseline"/>
        </w:rPr>
      </w:pPr>
      <w:r>
        <w:rPr>
          <w:rStyle w:val="FootnoteReference"/>
          <w:rFonts w:ascii="Times New Roman" w:hAnsi="Times New Roman" w:cs="Times New Roman"/>
          <w:vertAlign w:val="baseline"/>
        </w:rPr>
        <w:footnoteRef/>
      </w:r>
      <w:r>
        <w:rPr>
          <w:rStyle w:val="FootnoteReference"/>
          <w:rFonts w:ascii="Times New Roman" w:hAnsi="Times New Roman" w:cs="Times New Roman"/>
          <w:vertAlign w:val="baseline"/>
        </w:rPr>
        <w:t xml:space="preserve"> </w:t>
      </w:r>
      <w:r>
        <w:rPr>
          <w:rFonts w:ascii="Times New Roman" w:hAnsi="Times New Roman" w:cs="Times New Roman"/>
        </w:rPr>
        <w:tab/>
      </w:r>
      <w:r>
        <w:rPr>
          <w:rStyle w:val="FootnoteReference"/>
          <w:rFonts w:ascii="Times New Roman" w:hAnsi="Times New Roman" w:cs="Times New Roman"/>
          <w:vertAlign w:val="baseline"/>
        </w:rPr>
        <w:t>https://www.conflictarm.com/itrace</w:t>
      </w:r>
    </w:p>
  </w:footnote>
  <w:footnote w:id="46">
    <w:p>
      <w:pPr>
        <w:pStyle w:val="FootnoteText"/>
        <w:ind w:left="284" w:hanging="284"/>
        <w:rPr>
          <w:rFonts w:ascii="Times New Roman" w:hAnsi="Times New Roman" w:cs="Times New Roman"/>
        </w:rPr>
      </w:pPr>
      <w:r>
        <w:rPr>
          <w:rStyle w:val="FootnoteReference"/>
        </w:rPr>
        <w:footnoteRef/>
      </w:r>
      <w:r>
        <w:t xml:space="preserve"> </w:t>
      </w:r>
      <w:r>
        <w:tab/>
      </w:r>
      <w:r>
        <w:rPr>
          <w:rFonts w:ascii="Times New Roman" w:hAnsi="Times New Roman" w:cs="Times New Roman"/>
        </w:rPr>
        <w:t>http://www.g5sahel.org/</w:t>
      </w:r>
    </w:p>
  </w:footnote>
  <w:footnote w:id="47">
    <w:p>
      <w:pPr>
        <w:pStyle w:val="FootnoteText"/>
        <w:ind w:left="284" w:hanging="284"/>
      </w:pPr>
      <w:r>
        <w:rPr>
          <w:rStyle w:val="FootnoteReference"/>
        </w:rPr>
        <w:footnoteRef/>
      </w:r>
      <w:r>
        <w:t xml:space="preserve"> </w:t>
      </w:r>
      <w:r>
        <w:tab/>
      </w:r>
      <w:r>
        <w:rPr>
          <w:rFonts w:ascii="Times New Roman" w:hAnsi="Times New Roman" w:cs="Times New Roman"/>
        </w:rPr>
        <w:t>https://issafrica.org/pscreport/uploads/AU%20Roadmap%20Silencing%20Guns%202020%20pdf%20en.pdf</w:t>
      </w:r>
    </w:p>
  </w:footnote>
  <w:footnote w:id="48">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http://www.un.org/en/africa/osaa/pdf/au/cap_smallarms_2000.pdf</w:t>
      </w:r>
    </w:p>
  </w:footnote>
  <w:footnote w:id="49">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https://www.unrec.org/docs/Strategy%20Final.pdf</w:t>
      </w:r>
    </w:p>
  </w:footnote>
  <w:footnote w:id="50">
    <w:p>
      <w:pPr>
        <w:pStyle w:val="FootnoteText"/>
        <w:ind w:left="284" w:hanging="284"/>
        <w:jc w:val="both"/>
        <w:rPr>
          <w:rStyle w:val="FootnoteReference"/>
          <w:rFonts w:ascii="Times New Roman" w:hAnsi="Times New Roman" w:cs="Times New Roman"/>
          <w:vertAlign w:val="baseline"/>
        </w:rPr>
      </w:pPr>
      <w:r>
        <w:rPr>
          <w:rStyle w:val="FootnoteReference"/>
          <w:rFonts w:ascii="Times New Roman" w:hAnsi="Times New Roman" w:cs="Times New Roman"/>
        </w:rPr>
        <w:footnoteRef/>
      </w:r>
      <w:r>
        <w:rPr>
          <w:rStyle w:val="FootnoteReference"/>
          <w:rFonts w:ascii="Times New Roman" w:hAnsi="Times New Roman" w:cs="Times New Roman"/>
          <w:vertAlign w:val="baseline"/>
        </w:rPr>
        <w:t xml:space="preserve"> </w:t>
      </w:r>
      <w:r>
        <w:rPr>
          <w:rFonts w:ascii="Times New Roman" w:hAnsi="Times New Roman" w:cs="Times New Roman"/>
        </w:rPr>
        <w:tab/>
      </w:r>
      <w:r>
        <w:rPr>
          <w:rStyle w:val="FootnoteReference"/>
          <w:rFonts w:ascii="Times New Roman" w:hAnsi="Times New Roman" w:cs="Times New Roman"/>
          <w:vertAlign w:val="baseline"/>
        </w:rPr>
        <w:t>According to a 2013 UNODC study, intentional homicide caused the deaths of almost half a million (437</w:t>
      </w:r>
      <w:r>
        <w:rPr>
          <w:rFonts w:ascii="Times New Roman" w:hAnsi="Times New Roman" w:cs="Times New Roman"/>
        </w:rPr>
        <w:t> </w:t>
      </w:r>
      <w:r>
        <w:rPr>
          <w:rStyle w:val="FootnoteReference"/>
          <w:rFonts w:ascii="Times New Roman" w:hAnsi="Times New Roman" w:cs="Times New Roman"/>
          <w:vertAlign w:val="baseline"/>
        </w:rPr>
        <w:t>000) people across the world in 2012. O</w:t>
      </w:r>
      <w:r>
        <w:rPr>
          <w:rFonts w:ascii="Times New Roman" w:hAnsi="Times New Roman" w:cs="Times New Roman"/>
        </w:rPr>
        <w:t xml:space="preserve">ver </w:t>
      </w:r>
      <w:r>
        <w:rPr>
          <w:rStyle w:val="FootnoteReference"/>
          <w:rFonts w:ascii="Times New Roman" w:hAnsi="Times New Roman" w:cs="Times New Roman"/>
          <w:vertAlign w:val="baseline"/>
        </w:rPr>
        <w:t>a third of those (36</w:t>
      </w:r>
      <w:r>
        <w:rPr>
          <w:rFonts w:ascii="Times New Roman" w:hAnsi="Times New Roman" w:cs="Times New Roman"/>
        </w:rPr>
        <w:t> </w:t>
      </w:r>
      <w:r>
        <w:rPr>
          <w:rStyle w:val="FootnoteReference"/>
          <w:rFonts w:ascii="Times New Roman" w:hAnsi="Times New Roman" w:cs="Times New Roman"/>
          <w:vertAlign w:val="baseline"/>
        </w:rPr>
        <w:t xml:space="preserve">%) occurred in the Americas. Almost half of all homicide victims </w:t>
      </w:r>
      <w:r>
        <w:rPr>
          <w:rFonts w:ascii="Times New Roman" w:hAnsi="Times New Roman" w:cs="Times New Roman"/>
        </w:rPr>
        <w:t xml:space="preserve">are </w:t>
      </w:r>
      <w:r>
        <w:rPr>
          <w:rStyle w:val="FootnoteReference"/>
          <w:rFonts w:ascii="Times New Roman" w:hAnsi="Times New Roman" w:cs="Times New Roman"/>
          <w:vertAlign w:val="baseline"/>
        </w:rPr>
        <w:t>aged 15-29 and the use of firearms is particularly prevalent in the region, where two thirds (66</w:t>
      </w:r>
      <w:r>
        <w:rPr>
          <w:rFonts w:ascii="Times New Roman" w:hAnsi="Times New Roman" w:cs="Times New Roman"/>
        </w:rPr>
        <w:t> </w:t>
      </w:r>
      <w:r>
        <w:rPr>
          <w:rStyle w:val="FootnoteReference"/>
          <w:rFonts w:ascii="Times New Roman" w:hAnsi="Times New Roman" w:cs="Times New Roman"/>
          <w:vertAlign w:val="baseline"/>
        </w:rPr>
        <w:t>%) of homicides are committed with guns.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66960"/>
    <w:multiLevelType w:val="hybridMultilevel"/>
    <w:tmpl w:val="6816A066"/>
    <w:lvl w:ilvl="0" w:tplc="0809000F">
      <w:start w:val="1"/>
      <w:numFmt w:val="decimal"/>
      <w:lvlText w:val="%1."/>
      <w:lvlJc w:val="left"/>
      <w:pPr>
        <w:ind w:left="720" w:hanging="360"/>
      </w:pPr>
    </w:lvl>
    <w:lvl w:ilvl="1" w:tplc="86841D4C">
      <w:start w:val="1"/>
      <w:numFmt w:val="decimal"/>
      <w:lvlText w:val="%2."/>
      <w:lvlJc w:val="left"/>
      <w:pPr>
        <w:ind w:left="1440" w:hanging="360"/>
      </w:pPr>
      <w:rPr>
        <w:rFonts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nsid w:val="05E135DD"/>
    <w:multiLevelType w:val="hybridMultilevel"/>
    <w:tmpl w:val="3DFC5EBC"/>
    <w:lvl w:ilvl="0" w:tplc="08130001">
      <w:start w:val="1"/>
      <w:numFmt w:val="bullet"/>
      <w:lvlText w:val=""/>
      <w:lvlJc w:val="left"/>
      <w:pPr>
        <w:ind w:left="785" w:hanging="360"/>
      </w:pPr>
      <w:rPr>
        <w:rFonts w:ascii="Symbol" w:hAnsi="Symbol" w:hint="default"/>
      </w:rPr>
    </w:lvl>
    <w:lvl w:ilvl="1" w:tplc="08130003" w:tentative="1">
      <w:start w:val="1"/>
      <w:numFmt w:val="bullet"/>
      <w:lvlText w:val="o"/>
      <w:lvlJc w:val="left"/>
      <w:pPr>
        <w:ind w:left="1505" w:hanging="360"/>
      </w:pPr>
      <w:rPr>
        <w:rFonts w:ascii="Courier New" w:hAnsi="Courier New" w:cs="Courier New" w:hint="default"/>
      </w:rPr>
    </w:lvl>
    <w:lvl w:ilvl="2" w:tplc="08130005" w:tentative="1">
      <w:start w:val="1"/>
      <w:numFmt w:val="bullet"/>
      <w:lvlText w:val=""/>
      <w:lvlJc w:val="left"/>
      <w:pPr>
        <w:ind w:left="2225" w:hanging="360"/>
      </w:pPr>
      <w:rPr>
        <w:rFonts w:ascii="Wingdings" w:hAnsi="Wingdings" w:hint="default"/>
      </w:rPr>
    </w:lvl>
    <w:lvl w:ilvl="3" w:tplc="08130001" w:tentative="1">
      <w:start w:val="1"/>
      <w:numFmt w:val="bullet"/>
      <w:lvlText w:val=""/>
      <w:lvlJc w:val="left"/>
      <w:pPr>
        <w:ind w:left="2945" w:hanging="360"/>
      </w:pPr>
      <w:rPr>
        <w:rFonts w:ascii="Symbol" w:hAnsi="Symbol" w:hint="default"/>
      </w:rPr>
    </w:lvl>
    <w:lvl w:ilvl="4" w:tplc="08130003" w:tentative="1">
      <w:start w:val="1"/>
      <w:numFmt w:val="bullet"/>
      <w:lvlText w:val="o"/>
      <w:lvlJc w:val="left"/>
      <w:pPr>
        <w:ind w:left="3665" w:hanging="360"/>
      </w:pPr>
      <w:rPr>
        <w:rFonts w:ascii="Courier New" w:hAnsi="Courier New" w:cs="Courier New" w:hint="default"/>
      </w:rPr>
    </w:lvl>
    <w:lvl w:ilvl="5" w:tplc="08130005" w:tentative="1">
      <w:start w:val="1"/>
      <w:numFmt w:val="bullet"/>
      <w:lvlText w:val=""/>
      <w:lvlJc w:val="left"/>
      <w:pPr>
        <w:ind w:left="4385" w:hanging="360"/>
      </w:pPr>
      <w:rPr>
        <w:rFonts w:ascii="Wingdings" w:hAnsi="Wingdings" w:hint="default"/>
      </w:rPr>
    </w:lvl>
    <w:lvl w:ilvl="6" w:tplc="08130001" w:tentative="1">
      <w:start w:val="1"/>
      <w:numFmt w:val="bullet"/>
      <w:lvlText w:val=""/>
      <w:lvlJc w:val="left"/>
      <w:pPr>
        <w:ind w:left="5105" w:hanging="360"/>
      </w:pPr>
      <w:rPr>
        <w:rFonts w:ascii="Symbol" w:hAnsi="Symbol" w:hint="default"/>
      </w:rPr>
    </w:lvl>
    <w:lvl w:ilvl="7" w:tplc="08130003" w:tentative="1">
      <w:start w:val="1"/>
      <w:numFmt w:val="bullet"/>
      <w:lvlText w:val="o"/>
      <w:lvlJc w:val="left"/>
      <w:pPr>
        <w:ind w:left="5825" w:hanging="360"/>
      </w:pPr>
      <w:rPr>
        <w:rFonts w:ascii="Courier New" w:hAnsi="Courier New" w:cs="Courier New" w:hint="default"/>
      </w:rPr>
    </w:lvl>
    <w:lvl w:ilvl="8" w:tplc="08130005" w:tentative="1">
      <w:start w:val="1"/>
      <w:numFmt w:val="bullet"/>
      <w:lvlText w:val=""/>
      <w:lvlJc w:val="left"/>
      <w:pPr>
        <w:ind w:left="6545" w:hanging="360"/>
      </w:pPr>
      <w:rPr>
        <w:rFonts w:ascii="Wingdings" w:hAnsi="Wingdings" w:hint="default"/>
      </w:rPr>
    </w:lvl>
  </w:abstractNum>
  <w:abstractNum w:abstractNumId="2">
    <w:nsid w:val="1F9F5F02"/>
    <w:multiLevelType w:val="hybridMultilevel"/>
    <w:tmpl w:val="40AEE462"/>
    <w:lvl w:ilvl="0" w:tplc="080C0001">
      <w:start w:val="1"/>
      <w:numFmt w:val="bullet"/>
      <w:lvlText w:val=""/>
      <w:lvlJc w:val="left"/>
      <w:pPr>
        <w:ind w:left="786" w:hanging="36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nsid w:val="3B667DC1"/>
    <w:multiLevelType w:val="hybridMultilevel"/>
    <w:tmpl w:val="460236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3F962986"/>
    <w:multiLevelType w:val="hybridMultilevel"/>
    <w:tmpl w:val="FDC61CF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514D4208"/>
    <w:multiLevelType w:val="hybridMultilevel"/>
    <w:tmpl w:val="E63C4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9D16244"/>
    <w:multiLevelType w:val="hybridMultilevel"/>
    <w:tmpl w:val="0FD6C55E"/>
    <w:lvl w:ilvl="0" w:tplc="5F12CC6A">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9DA3E05"/>
    <w:multiLevelType w:val="hybridMultilevel"/>
    <w:tmpl w:val="1DC456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63310F3C"/>
    <w:multiLevelType w:val="hybridMultilevel"/>
    <w:tmpl w:val="BEBE1B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6430501A"/>
    <w:multiLevelType w:val="hybridMultilevel"/>
    <w:tmpl w:val="8CD8D2BE"/>
    <w:lvl w:ilvl="0" w:tplc="080C0001">
      <w:start w:val="1"/>
      <w:numFmt w:val="bullet"/>
      <w:lvlText w:val=""/>
      <w:lvlJc w:val="left"/>
      <w:pPr>
        <w:ind w:left="786" w:hanging="36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nsid w:val="6B241553"/>
    <w:multiLevelType w:val="hybridMultilevel"/>
    <w:tmpl w:val="A6385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7FEF380D"/>
    <w:multiLevelType w:val="hybridMultilevel"/>
    <w:tmpl w:val="922AF7F6"/>
    <w:lvl w:ilvl="0" w:tplc="779E591A">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9"/>
  </w:num>
  <w:num w:numId="4">
    <w:abstractNumId w:val="2"/>
  </w:num>
  <w:num w:numId="5">
    <w:abstractNumId w:val="5"/>
  </w:num>
  <w:num w:numId="6">
    <w:abstractNumId w:val="0"/>
  </w:num>
  <w:num w:numId="7">
    <w:abstractNumId w:val="8"/>
  </w:num>
  <w:num w:numId="8">
    <w:abstractNumId w:val="1"/>
  </w:num>
  <w:num w:numId="9">
    <w:abstractNumId w:val="4"/>
  </w:num>
  <w:num w:numId="10">
    <w:abstractNumId w:val="10"/>
  </w:num>
  <w:num w:numId="11">
    <w:abstractNumId w:val="11"/>
  </w:num>
  <w:num w:numId="12">
    <w:abstractNumId w:val="7"/>
  </w:num>
  <w:num w:numId="13">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Frank Meeussen">
    <w15:presenceInfo w15:providerId="Windows Live" w15:userId="3ccabd9197b492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1A91730F-C5C6-43EF-8132-0B77AB46558E"/>
    <w:docVar w:name="LW_COVERPAGE_TYPE" w:val="1"/>
    <w:docVar w:name="LW_CROSSREFERENCE" w:val="&lt;UNUSED&gt;"/>
    <w:docVar w:name="LW_DocType" w:val="NORMAL"/>
    <w:docVar w:name="LW_EMISSION" w:val="13.6.2018"/>
    <w:docVar w:name="LW_EMISSION_ISODATE" w:val="2018-06-13"/>
    <w:docVar w:name="LW_EMISSION_LOCATION" w:val="BRX"/>
    <w:docVar w:name="LW_EMISSION_PREFIX" w:val="Brussels, "/>
    <w:docVar w:name="LW_EMISSION_SUFFIX" w:val="&lt;EMPTY&gt;"/>
    <w:docVar w:name="LW_ID_DOCTYPE_NONLW" w:val="CP-015"/>
    <w:docVar w:name="LW_LANGUE" w:val="EN"/>
    <w:docVar w:name="LW_LEVEL_OF_SENSITIVITY" w:val="Standard treatment"/>
    <w:docVar w:name="LW_NOM.INST" w:val="EUROPEAN COMMISSION"/>
    <w:docVar w:name="LW_NOM.INST_JOINTDOC" w:val="HIGH REPRESENTATIVE_x000b_ OF THE UNION FOR_x000b_ FOREIGN AFFAIRS AND_x000b_SECURITY POLICY"/>
    <w:docVar w:name="LW_PART_NBR" w:val="1"/>
    <w:docVar w:name="LW_PART_NBR_TOTAL" w:val="1"/>
    <w:docVar w:name="LW_REF.INST.NEW" w:val="JOIN"/>
    <w:docVar w:name="LW_REF.INST.NEW_ADOPTED" w:val="final"/>
    <w:docVar w:name="LW_REF.INST.NEW_TEXT" w:val="(2018) 1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Elements towards an EU Strategy against illicit Firearms, Small Arms &amp; Light Weapons and their Ammunition_x000b_&quot;Securing Arms, Protecting Citizens&quot;"/>
    <w:docVar w:name="LW_TYPE.DOC.CP" w:val="JOINT COMMUNICATION TO THE EUROPEAN PARLIAMENT AND THE COUNCIL"/>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BVI fnr, BVI fnr,SUPERS,Footnote Reference Superscript,Footnote symbol,(Footnote Reference),Footnote,Voetnootverwijzing,Times 10 Point,Exposant 3 Point,Footnote reference number,note TESI,Odwołanie przypisu"/>
    <w:basedOn w:val="DefaultParagraphFont"/>
    <w:uiPriority w:val="99"/>
    <w:unhideWhenUsed/>
    <w:rPr>
      <w:vertAlign w:val="superscript"/>
    </w:rPr>
  </w:style>
  <w:style w:type="paragraph" w:customStyle="1" w:styleId="Paragraphedeliste">
    <w:name w:val="Paragraphe de liste"/>
    <w:basedOn w:val="Normal"/>
    <w:uiPriority w:val="34"/>
    <w:qFormat/>
    <w:pPr>
      <w:spacing w:after="0" w:line="240" w:lineRule="auto"/>
      <w:ind w:left="720"/>
    </w:pPr>
    <w:rPr>
      <w:rFonts w:ascii="Calibri" w:eastAsia="SimSun" w:hAnsi="Calibri" w:cs="Times New Roman"/>
      <w:lang w:val="fr-FR" w:eastAsia="fr-FR"/>
    </w:rPr>
  </w:style>
  <w:style w:type="paragraph" w:styleId="PlainText">
    <w:name w:val="Plain Text"/>
    <w:basedOn w:val="Normal"/>
    <w:link w:val="PlainTextChar"/>
    <w:uiPriority w:val="99"/>
    <w:unhideWhenUsed/>
    <w:pPr>
      <w:spacing w:after="0" w:line="240" w:lineRule="auto"/>
    </w:pPr>
    <w:rPr>
      <w:rFonts w:ascii="Calibri" w:eastAsia="SimSun" w:hAnsi="Calibri" w:cs="Times New Roman"/>
      <w:szCs w:val="21"/>
      <w:lang w:val="de-DE" w:eastAsia="fr-FR"/>
    </w:rPr>
  </w:style>
  <w:style w:type="character" w:customStyle="1" w:styleId="PlainTextChar">
    <w:name w:val="Plain Text Char"/>
    <w:basedOn w:val="DefaultParagraphFont"/>
    <w:link w:val="PlainText"/>
    <w:uiPriority w:val="99"/>
    <w:rPr>
      <w:rFonts w:ascii="Calibri" w:eastAsia="SimSun" w:hAnsi="Calibri" w:cs="Times New Roman"/>
      <w:szCs w:val="21"/>
      <w:lang w:val="de-DE" w:eastAsia="fr-FR"/>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Hyperlink">
    <w:name w:val="Hyperlink"/>
    <w:basedOn w:val="DefaultParagraphFont"/>
    <w:uiPriority w:val="99"/>
    <w:unhideWhenUsed/>
    <w:rPr>
      <w:color w:val="0000FF" w:themeColor="hyperlink"/>
      <w:u w:val="single"/>
    </w:rPr>
  </w:style>
  <w:style w:type="paragraph" w:styleId="Revision">
    <w:name w:val="Revision"/>
    <w:hidden/>
    <w:uiPriority w:val="99"/>
    <w:semiHidden/>
    <w:pPr>
      <w:spacing w:after="0" w:line="240" w:lineRule="auto"/>
    </w:pPr>
  </w:style>
  <w:style w:type="character" w:customStyle="1" w:styleId="intro">
    <w:name w:val="intro"/>
    <w:basedOn w:val="DefaultParagraphFont"/>
  </w:style>
  <w:style w:type="paragraph" w:customStyle="1" w:styleId="Default">
    <w:name w:val="Default"/>
    <w:pPr>
      <w:autoSpaceDE w:val="0"/>
      <w:autoSpaceDN w:val="0"/>
      <w:adjustRightInd w:val="0"/>
      <w:spacing w:after="0" w:line="240" w:lineRule="auto"/>
    </w:pPr>
    <w:rPr>
      <w:rFonts w:ascii="DGAIN B+ EU Albertina# 20" w:hAnsi="DGAIN B+ EU Albertina# 20" w:cs="DGAIN B+ EU Albertina# 20"/>
      <w:color w:val="000000"/>
      <w:sz w:val="24"/>
      <w:szCs w:val="24"/>
    </w:rPr>
  </w:style>
  <w:style w:type="character" w:styleId="FollowedHyperlink">
    <w:name w:val="FollowedHyperlink"/>
    <w:basedOn w:val="DefaultParagraphFont"/>
    <w:uiPriority w:val="99"/>
    <w:semiHidden/>
    <w:unhideWhenUs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BVI fnr, BVI fnr,SUPERS,Footnote Reference Superscript,Footnote symbol,(Footnote Reference),Footnote,Voetnootverwijzing,Times 10 Point,Exposant 3 Point,Footnote reference number,note TESI,Odwołanie przypisu"/>
    <w:basedOn w:val="DefaultParagraphFont"/>
    <w:uiPriority w:val="99"/>
    <w:unhideWhenUsed/>
    <w:rPr>
      <w:vertAlign w:val="superscript"/>
    </w:rPr>
  </w:style>
  <w:style w:type="paragraph" w:customStyle="1" w:styleId="Paragraphedeliste">
    <w:name w:val="Paragraphe de liste"/>
    <w:basedOn w:val="Normal"/>
    <w:uiPriority w:val="34"/>
    <w:qFormat/>
    <w:pPr>
      <w:spacing w:after="0" w:line="240" w:lineRule="auto"/>
      <w:ind w:left="720"/>
    </w:pPr>
    <w:rPr>
      <w:rFonts w:ascii="Calibri" w:eastAsia="SimSun" w:hAnsi="Calibri" w:cs="Times New Roman"/>
      <w:lang w:val="fr-FR" w:eastAsia="fr-FR"/>
    </w:rPr>
  </w:style>
  <w:style w:type="paragraph" w:styleId="PlainText">
    <w:name w:val="Plain Text"/>
    <w:basedOn w:val="Normal"/>
    <w:link w:val="PlainTextChar"/>
    <w:uiPriority w:val="99"/>
    <w:unhideWhenUsed/>
    <w:pPr>
      <w:spacing w:after="0" w:line="240" w:lineRule="auto"/>
    </w:pPr>
    <w:rPr>
      <w:rFonts w:ascii="Calibri" w:eastAsia="SimSun" w:hAnsi="Calibri" w:cs="Times New Roman"/>
      <w:szCs w:val="21"/>
      <w:lang w:val="de-DE" w:eastAsia="fr-FR"/>
    </w:rPr>
  </w:style>
  <w:style w:type="character" w:customStyle="1" w:styleId="PlainTextChar">
    <w:name w:val="Plain Text Char"/>
    <w:basedOn w:val="DefaultParagraphFont"/>
    <w:link w:val="PlainText"/>
    <w:uiPriority w:val="99"/>
    <w:rPr>
      <w:rFonts w:ascii="Calibri" w:eastAsia="SimSun" w:hAnsi="Calibri" w:cs="Times New Roman"/>
      <w:szCs w:val="21"/>
      <w:lang w:val="de-DE" w:eastAsia="fr-FR"/>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Hyperlink">
    <w:name w:val="Hyperlink"/>
    <w:basedOn w:val="DefaultParagraphFont"/>
    <w:uiPriority w:val="99"/>
    <w:unhideWhenUsed/>
    <w:rPr>
      <w:color w:val="0000FF" w:themeColor="hyperlink"/>
      <w:u w:val="single"/>
    </w:rPr>
  </w:style>
  <w:style w:type="paragraph" w:styleId="Revision">
    <w:name w:val="Revision"/>
    <w:hidden/>
    <w:uiPriority w:val="99"/>
    <w:semiHidden/>
    <w:pPr>
      <w:spacing w:after="0" w:line="240" w:lineRule="auto"/>
    </w:pPr>
  </w:style>
  <w:style w:type="character" w:customStyle="1" w:styleId="intro">
    <w:name w:val="intro"/>
    <w:basedOn w:val="DefaultParagraphFont"/>
  </w:style>
  <w:style w:type="paragraph" w:customStyle="1" w:styleId="Default">
    <w:name w:val="Default"/>
    <w:pPr>
      <w:autoSpaceDE w:val="0"/>
      <w:autoSpaceDN w:val="0"/>
      <w:adjustRightInd w:val="0"/>
      <w:spacing w:after="0" w:line="240" w:lineRule="auto"/>
    </w:pPr>
    <w:rPr>
      <w:rFonts w:ascii="DGAIN B+ EU Albertina# 20" w:hAnsi="DGAIN B+ EU Albertina# 20" w:cs="DGAIN B+ EU Albertina# 20"/>
      <w:color w:val="000000"/>
      <w:sz w:val="24"/>
      <w:szCs w:val="24"/>
    </w:r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3450329">
      <w:bodyDiv w:val="1"/>
      <w:marLeft w:val="0"/>
      <w:marRight w:val="0"/>
      <w:marTop w:val="0"/>
      <w:marBottom w:val="0"/>
      <w:divBdr>
        <w:top w:val="none" w:sz="0" w:space="0" w:color="auto"/>
        <w:left w:val="none" w:sz="0" w:space="0" w:color="auto"/>
        <w:bottom w:val="none" w:sz="0" w:space="0" w:color="auto"/>
        <w:right w:val="none" w:sz="0" w:space="0" w:color="auto"/>
      </w:divBdr>
    </w:div>
    <w:div w:id="1402093070">
      <w:bodyDiv w:val="1"/>
      <w:marLeft w:val="0"/>
      <w:marRight w:val="0"/>
      <w:marTop w:val="0"/>
      <w:marBottom w:val="0"/>
      <w:divBdr>
        <w:top w:val="none" w:sz="0" w:space="0" w:color="auto"/>
        <w:left w:val="none" w:sz="0" w:space="0" w:color="auto"/>
        <w:bottom w:val="none" w:sz="0" w:space="0" w:color="auto"/>
        <w:right w:val="none" w:sz="0" w:space="0" w:color="auto"/>
      </w:divBdr>
    </w:div>
    <w:div w:id="1536700226">
      <w:bodyDiv w:val="1"/>
      <w:marLeft w:val="0"/>
      <w:marRight w:val="0"/>
      <w:marTop w:val="0"/>
      <w:marBottom w:val="0"/>
      <w:divBdr>
        <w:top w:val="none" w:sz="0" w:space="0" w:color="auto"/>
        <w:left w:val="none" w:sz="0" w:space="0" w:color="auto"/>
        <w:bottom w:val="none" w:sz="0" w:space="0" w:color="auto"/>
        <w:right w:val="none" w:sz="0" w:space="0" w:color="auto"/>
      </w:divBdr>
    </w:div>
    <w:div w:id="1872641337">
      <w:bodyDiv w:val="1"/>
      <w:marLeft w:val="0"/>
      <w:marRight w:val="0"/>
      <w:marTop w:val="0"/>
      <w:marBottom w:val="0"/>
      <w:divBdr>
        <w:top w:val="none" w:sz="0" w:space="0" w:color="auto"/>
        <w:left w:val="none" w:sz="0" w:space="0" w:color="auto"/>
        <w:bottom w:val="none" w:sz="0" w:space="0" w:color="auto"/>
        <w:right w:val="none" w:sz="0" w:space="0" w:color="auto"/>
      </w:divBdr>
    </w:div>
    <w:div w:id="1981425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microsoft.com/office/2011/relationships/commentsExtended" Target="commentsExtended.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 Id="rId27" Type="http://schemas.microsoft.com/office/2016/09/relationships/commentsIds" Target="commentsIds.xml"/></Relationships>
</file>

<file path=word/_rels/footnotes.xml.rels><?xml version="1.0" encoding="UTF-8" standalone="yes"?>
<Relationships xmlns="http://schemas.openxmlformats.org/package/2006/relationships"><Relationship Id="rId8" Type="http://schemas.openxmlformats.org/officeDocument/2006/relationships/hyperlink" Target="http://www.unodc.org/unodc/en/firearms-protocol/the-firearms-protocol.html" TargetMode="External"/><Relationship Id="rId3" Type="http://schemas.openxmlformats.org/officeDocument/2006/relationships/hyperlink" Target="http://eur-lex.europa.eu/legal-content/EN/TXT/?uri=CELEX:31991L0477&amp;locale=en" TargetMode="External"/><Relationship Id="rId7" Type="http://schemas.openxmlformats.org/officeDocument/2006/relationships/hyperlink" Target="https://www.un.org/disarmament/att/" TargetMode="External"/><Relationship Id="rId2" Type="http://schemas.openxmlformats.org/officeDocument/2006/relationships/hyperlink" Target="https://www.europol.europa.eu/socta/2017/" TargetMode="External"/><Relationship Id="rId1" Type="http://schemas.openxmlformats.org/officeDocument/2006/relationships/hyperlink" Target="https://s3.amazonaws.com/unoda-web/wp-content/uploads/2016/10/english.pdf" TargetMode="External"/><Relationship Id="rId6" Type="http://schemas.openxmlformats.org/officeDocument/2006/relationships/hyperlink" Target="http://www.un.org/events/smallarms2006/pdf/192.15%20(E).pdf" TargetMode="External"/><Relationship Id="rId5" Type="http://schemas.openxmlformats.org/officeDocument/2006/relationships/hyperlink" Target="https://europa.eu/globalstrategy/sites/globalstrategy/files/pages/files/eugs_review_web_13.pdf" TargetMode="External"/><Relationship Id="rId10" Type="http://schemas.openxmlformats.org/officeDocument/2006/relationships/hyperlink" Target="https://www.interpol.int/Crime-areas/Firearms-trafficking/INTERPOL-Illicit-Arms-Records-and-tracing-Management-System-iARMS" TargetMode="External"/><Relationship Id="rId4" Type="http://schemas.openxmlformats.org/officeDocument/2006/relationships/hyperlink" Target="https://europa.eu/globalstrategy/en/global-strategy-foreign-and-security-policy-european-union" TargetMode="External"/><Relationship Id="rId9" Type="http://schemas.openxmlformats.org/officeDocument/2006/relationships/hyperlink" Target="https://www.un.org/sustainabledevelopment/sustainable-development-go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A70369-6E8B-4034-9D5C-A672BACE6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5903</Words>
  <Characters>34061</Characters>
  <Application>Microsoft Office Word</Application>
  <DocSecurity>0</DocSecurity>
  <Lines>587</Lines>
  <Paragraphs>188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39776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15</cp:revision>
  <cp:lastPrinted>2018-06-05T08:19:00Z</cp:lastPrinted>
  <dcterms:created xsi:type="dcterms:W3CDTF">2018-06-06T13:00:00Z</dcterms:created>
  <dcterms:modified xsi:type="dcterms:W3CDTF">2018-06-12T08:05:00Z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ies>
</file>