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760DAB8-0C34-486D-92DD-31015CA4CDC0" style="width:450.75pt;height:321pt">
            <v:imagedata r:id="rId9" o:title=""/>
          </v:shape>
        </w:pict>
      </w:r>
    </w:p>
    <w:bookmarkEnd w:id="0"/>
    <w:p>
      <w:pPr>
        <w:spacing w:after="0" w:line="240" w:lineRule="auto"/>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bookmarkStart w:id="1" w:name="_GoBack"/>
      <w:bookmarkEnd w:id="1"/>
      <w:r>
        <w:rPr>
          <w:rFonts w:ascii="Times New Roman Bold" w:hAnsi="Times New Roman Bold"/>
          <w:b/>
          <w:smallCaps/>
          <w:noProof/>
          <w:sz w:val="24"/>
        </w:rPr>
        <w:lastRenderedPageBreak/>
        <w:t xml:space="preserve">Introducere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Armele de foc și armele de calibru mic și armamentul ușor (SALW) ilicite contribuie în continuare la instabilitate și violență în Uniunea Europeană, vecinătatea imediată a acesteia, precum și în restul lumii. Armele de foc ilicite alimentează terorismul și conflictele la nivel global, împiedicând dezvoltarea și gestionarea crizelor la nivelul UE, eforturile umanitare și de stabilizare a situației în unele părți din vecinătatea UE și din Africa. În interiorul UE, armele de foc ilicite au un impact clar asupra securității interne, alimentând criminalitatea organizată și furnizând teroriștilor mijloacele necesare pentru realizarea atacurilor pe teritoriul european. </w:t>
      </w:r>
    </w:p>
    <w:p>
      <w:pPr>
        <w:spacing w:after="240" w:line="240" w:lineRule="auto"/>
        <w:jc w:val="both"/>
        <w:rPr>
          <w:rFonts w:ascii="Times New Roman" w:hAnsi="Times New Roman" w:cs="Times New Roman"/>
          <w:noProof/>
          <w:sz w:val="24"/>
          <w:szCs w:val="24"/>
        </w:rPr>
      </w:pPr>
      <w:r>
        <w:rPr>
          <w:rFonts w:ascii="Times New Roman" w:hAnsi="Times New Roman"/>
          <w:noProof/>
          <w:sz w:val="24"/>
        </w:rPr>
        <w:t>Potrivit raportului Secretarului General al Organizației Națiunilor Unite din 2016 privind toate aspectele comercializării ilicite a armelor de calibru mic și a armamentului ușor</w:t>
      </w:r>
      <w:r>
        <w:rPr>
          <w:rStyle w:val="FootnoteReference"/>
          <w:rFonts w:ascii="Times New Roman" w:hAnsi="Times New Roman"/>
          <w:noProof/>
          <w:sz w:val="24"/>
        </w:rPr>
        <w:footnoteReference w:id="1"/>
      </w:r>
      <w:r>
        <w:rPr>
          <w:rFonts w:ascii="Times New Roman" w:hAnsi="Times New Roman"/>
          <w:noProof/>
          <w:sz w:val="24"/>
        </w:rPr>
        <w:t xml:space="preserve">, numărul de războaie civile s-a triplat în ultimul deceniu la nivel mondial. Conflictele armate, adesea alimentate prin proliferarea SALW ilicite, reprezintă un factor esențial în urma căruia aproape 800 de milioane de persoane au fost private de alimente suficiente.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Armele de foc ilicite facilitează traficul de droguri și de ființe umane prin intimidare și coerciție, alimentează conflictele dintre bandele urbane privind teritoriul și capacitează teroriștii. Atacurile teroriste din Europa au ilustrat legătura dintre criminalitatea organizată și terorism, în special în ceea ce privește traficul de arme de foc, și reprezintă un indicator clar al unei amenințări multidimensionale care implică diferite zone ale criminalității. Evaluarea amenințării reprezentate de formele grave de criminalitate și criminalitatea organizată (SOCTA)</w:t>
      </w:r>
      <w:r>
        <w:rPr>
          <w:rStyle w:val="FootnoteReference"/>
          <w:rFonts w:ascii="Times New Roman" w:hAnsi="Times New Roman"/>
          <w:noProof/>
          <w:sz w:val="24"/>
        </w:rPr>
        <w:footnoteReference w:id="2"/>
      </w:r>
      <w:r>
        <w:rPr>
          <w:rFonts w:ascii="Times New Roman" w:hAnsi="Times New Roman"/>
          <w:noProof/>
          <w:sz w:val="24"/>
        </w:rPr>
        <w:t xml:space="preserve"> realizată de Europol în 2017 a semnalat că atacurile teroriste recente, atât din interiorul UE, cât și din restul lumii, efectuate de teroriștii jihadiști care au utilizat arme de foc obținute prin trafic, au demonstrat consecințele letale ale acestui comerț ilicit.</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În 2005, Consiliul European a adoptat o strategie UE pentru combaterea acumulării ilicite și a traficului de SALW și de muniții</w:t>
      </w:r>
      <w:r>
        <w:rPr>
          <w:rStyle w:val="FootnoteReference"/>
          <w:rFonts w:ascii="Times New Roman" w:hAnsi="Times New Roman"/>
          <w:noProof/>
          <w:sz w:val="24"/>
        </w:rPr>
        <w:footnoteReference w:id="3"/>
      </w:r>
      <w:r>
        <w:rPr>
          <w:rFonts w:ascii="Times New Roman" w:hAnsi="Times New Roman"/>
          <w:noProof/>
          <w:sz w:val="24"/>
        </w:rPr>
        <w:t xml:space="preserve"> în sprijinul Programului de acțiune al ONU pentru prevenirea, combaterea și eradicarea în întregime a comerțului ilicit de arme de calibru mic și armament ușor, astfel cum a fost adoptat la 20 iulie 2001.</w:t>
      </w:r>
      <w:r>
        <w:rPr>
          <w:rStyle w:val="FootnoteReference"/>
          <w:rFonts w:ascii="Times New Roman" w:hAnsi="Times New Roman"/>
          <w:noProof/>
          <w:sz w:val="24"/>
        </w:rPr>
        <w:footnoteReference w:id="4"/>
      </w:r>
      <w:r>
        <w:rPr>
          <w:rFonts w:ascii="Times New Roman" w:hAnsi="Times New Roman"/>
          <w:noProof/>
          <w:sz w:val="24"/>
        </w:rPr>
        <w:t xml:space="preserve"> Agenda europeană privind securitatea</w:t>
      </w:r>
      <w:r>
        <w:rPr>
          <w:rStyle w:val="FootnoteReference"/>
          <w:rFonts w:ascii="Times New Roman" w:hAnsi="Times New Roman"/>
          <w:noProof/>
          <w:sz w:val="24"/>
        </w:rPr>
        <w:footnoteReference w:id="5"/>
      </w:r>
      <w:r>
        <w:rPr>
          <w:rFonts w:ascii="Times New Roman" w:hAnsi="Times New Roman"/>
          <w:noProof/>
          <w:sz w:val="24"/>
        </w:rPr>
        <w:t>, adoptată de Comisie în 2015, a identificat traficul ilicit de arme de foc drept una dintre prioritățile obiectivului general de anihilare a activităților teroriștilor și ale grupurilor de criminalitate organizată. Aceasta a fost urmată de un plan de acțiune al UE împotriva traficului și a utilizării ilicite a armelor de foc și explozivilor</w:t>
      </w:r>
      <w:r>
        <w:rPr>
          <w:rStyle w:val="FootnoteReference"/>
          <w:rFonts w:ascii="Times New Roman" w:hAnsi="Times New Roman"/>
          <w:noProof/>
          <w:sz w:val="24"/>
        </w:rPr>
        <w:footnoteReference w:id="6"/>
      </w:r>
      <w:r>
        <w:rPr>
          <w:rFonts w:ascii="Times New Roman" w:hAnsi="Times New Roman"/>
          <w:noProof/>
          <w:sz w:val="24"/>
        </w:rPr>
        <w:t xml:space="preserve"> și de o revizuire a cadrului de reglementare al UE privind achiziționarea și deținerea legală a armelor de foc.</w:t>
      </w:r>
      <w:r>
        <w:rPr>
          <w:rStyle w:val="FootnoteReference"/>
          <w:rFonts w:ascii="Times New Roman" w:hAnsi="Times New Roman"/>
          <w:noProof/>
          <w:sz w:val="24"/>
        </w:rPr>
        <w:footnoteReference w:id="7"/>
      </w:r>
    </w:p>
    <w:p>
      <w:pPr>
        <w:spacing w:after="240" w:line="240" w:lineRule="auto"/>
        <w:jc w:val="both"/>
        <w:rPr>
          <w:rFonts w:ascii="Times New Roman" w:hAnsi="Times New Roman" w:cs="Times New Roman"/>
          <w:noProof/>
          <w:sz w:val="24"/>
          <w:szCs w:val="24"/>
        </w:rPr>
      </w:pPr>
      <w:r>
        <w:rPr>
          <w:rFonts w:ascii="Times New Roman" w:hAnsi="Times New Roman"/>
          <w:noProof/>
          <w:sz w:val="24"/>
        </w:rPr>
        <w:t>Pentru intensificarea prevenirii, combaterii și eradicării în întregime a comerțului ilegal de SALW la nivel internațional, această Comunicare comună a Comisiei și a Înaltului Reprezentant al Uniunii pentru afaceri externe și politica de securitate prezintă elementele necesare pentru revizuirea strategiei SALW, luând în considerare evoluțiile contextului de securitate, principiile directoare ale Strategiei globale din 2016 ale UE,</w:t>
      </w:r>
      <w:r>
        <w:rPr>
          <w:rStyle w:val="FootnoteReference"/>
          <w:rFonts w:ascii="Times New Roman" w:hAnsi="Times New Roman"/>
          <w:noProof/>
          <w:sz w:val="24"/>
        </w:rPr>
        <w:footnoteReference w:id="8"/>
      </w:r>
      <w:r>
        <w:rPr>
          <w:rFonts w:ascii="Times New Roman" w:hAnsi="Times New Roman"/>
          <w:noProof/>
          <w:sz w:val="24"/>
        </w:rPr>
        <w:t xml:space="preserve"> evoluțiile din domeniul controlului armelor convenționale (precum intrarea în vigoare a Tratatului privind comerțul cu arme (TCA) în luna decembrie 2014)</w:t>
      </w:r>
      <w:r>
        <w:rPr>
          <w:rStyle w:val="FootnoteReference"/>
          <w:rFonts w:ascii="Times New Roman" w:hAnsi="Times New Roman"/>
          <w:noProof/>
          <w:sz w:val="24"/>
        </w:rPr>
        <w:footnoteReference w:id="9"/>
      </w:r>
      <w:r>
        <w:rPr>
          <w:rFonts w:ascii="Times New Roman" w:hAnsi="Times New Roman"/>
          <w:noProof/>
          <w:sz w:val="24"/>
        </w:rPr>
        <w:t xml:space="preserve"> precum și acțiunile de la nivelul UE de punere în aplicare a Agendei europene privind securitatea din 2015, pentru a înregistra progresele către o uniune a securității efectivă și reală.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Scopul unei strategii revizuite este de a direcționa acțiunile integrate, colective și coordonate de la nivel european în vederea prevenirii și controlării utilizării SALW ilicite și a muniției acestora de către teroriști, infractori și alte persoane neautorizate, precum și de a promova răspunderea și responsabilitatea cu privire la comerțul legal de arme. </w:t>
      </w:r>
    </w:p>
    <w:p>
      <w:pPr>
        <w:widowControl w:val="0"/>
        <w:spacing w:after="240" w:line="240" w:lineRule="auto"/>
        <w:jc w:val="both"/>
        <w:rPr>
          <w:rFonts w:ascii="Times New Roman" w:hAnsi="Times New Roman" w:cs="Times New Roman"/>
          <w:noProof/>
          <w:sz w:val="24"/>
          <w:szCs w:val="24"/>
        </w:rPr>
      </w:pPr>
      <w:r>
        <w:rPr>
          <w:rFonts w:ascii="Times New Roman" w:hAnsi="Times New Roman"/>
          <w:noProof/>
          <w:sz w:val="24"/>
        </w:rPr>
        <w:t>În timp ce comerțul cu arme de foc pentru uz civil este reglementat la nivelul UE</w:t>
      </w:r>
      <w:r>
        <w:rPr>
          <w:rStyle w:val="FootnoteReference"/>
          <w:rFonts w:ascii="Times New Roman" w:hAnsi="Times New Roman"/>
          <w:noProof/>
          <w:sz w:val="24"/>
        </w:rPr>
        <w:footnoteReference w:id="10"/>
      </w:r>
      <w:r>
        <w:rPr>
          <w:rFonts w:ascii="Times New Roman" w:hAnsi="Times New Roman"/>
          <w:noProof/>
          <w:sz w:val="24"/>
        </w:rPr>
        <w:t>, statele membre își aliniază pozițiile privind exportul de SALW, ca material de război, în cadrul politicii externe și de securitate comune (PESC)</w:t>
      </w:r>
      <w:r>
        <w:rPr>
          <w:rStyle w:val="FootnoteReference"/>
          <w:rFonts w:ascii="Times New Roman" w:hAnsi="Times New Roman"/>
          <w:noProof/>
          <w:sz w:val="24"/>
        </w:rPr>
        <w:footnoteReference w:id="11"/>
      </w:r>
      <w:r>
        <w:rPr>
          <w:rFonts w:ascii="Times New Roman" w:hAnsi="Times New Roman"/>
          <w:noProof/>
          <w:sz w:val="24"/>
        </w:rPr>
        <w:t xml:space="preserve">. Distincția juridică dintre arme de foc de uz civil și arme de foc de calitate militară devine irelevantă atunci când acestea sunt deturnate în circuitul ilegal. În vederea abordării cuprinzătoare a acestei amenințări, prezenta comunicare acoperă atât armele de foc de uz civil, cât și cele de calitate militară. </w:t>
      </w:r>
    </w:p>
    <w:p>
      <w:pPr>
        <w:widowControl w:val="0"/>
        <w:spacing w:after="0" w:line="240" w:lineRule="auto"/>
        <w:jc w:val="both"/>
        <w:rPr>
          <w:rFonts w:ascii="Times New Roman" w:hAnsi="Times New Roman" w:cs="Times New Roman"/>
          <w:noProof/>
          <w:sz w:val="24"/>
          <w:szCs w:val="24"/>
        </w:rPr>
      </w:pPr>
      <w:r>
        <w:rPr>
          <w:rFonts w:ascii="Times New Roman" w:hAnsi="Times New Roman"/>
          <w:noProof/>
          <w:sz w:val="24"/>
        </w:rPr>
        <w:t>Armele militare au un rol indispensabil în menținerea securității, libertății și păcii, cu condiția să fie utilizate potrivit dreptului internațional, inclusiv potrivit legislației privind drepturile omului și potrivit dreptului internațional umanitar. În același timp, prin definiție, armele de război pot determina decese și distrugeri. Din cauza acestei ambivalențe, guvernele care controlează aceste arme trebuie să asigure comercializarea lor în mod responsabil și cu asumarea răspunderii, precum și să prevină deturnarea acestora către teroriști, infractori și alți utilizatori neautorizați, cu încălcarea embargourilor asupra armelor și a acordurilor privind utilizatorii finali.</w:t>
      </w:r>
    </w:p>
    <w:p>
      <w:pPr>
        <w:widowControl w:val="0"/>
        <w:spacing w:after="0" w:line="240" w:lineRule="auto"/>
        <w:jc w:val="both"/>
        <w:rPr>
          <w:rFonts w:ascii="Times New Roman" w:hAnsi="Times New Roman" w:cs="Times New Roman"/>
          <w:noProof/>
          <w:sz w:val="24"/>
          <w:szCs w:val="24"/>
        </w:rPr>
      </w:pPr>
    </w:p>
    <w:p>
      <w:pPr>
        <w:widowControl w:val="0"/>
        <w:spacing w:after="240" w:line="240" w:lineRule="auto"/>
        <w:jc w:val="both"/>
        <w:rPr>
          <w:rFonts w:ascii="Times New Roman" w:hAnsi="Times New Roman" w:cs="Times New Roman"/>
          <w:noProof/>
          <w:sz w:val="24"/>
          <w:szCs w:val="24"/>
        </w:rPr>
      </w:pPr>
      <w:r>
        <w:rPr>
          <w:rFonts w:ascii="Times New Roman" w:hAnsi="Times New Roman"/>
          <w:noProof/>
          <w:sz w:val="24"/>
        </w:rPr>
        <w:t>În sensul prezentei comunicări, termenul „SALW”</w:t>
      </w:r>
      <w:r>
        <w:rPr>
          <w:rStyle w:val="FootnoteReference"/>
          <w:rFonts w:ascii="Times New Roman" w:hAnsi="Times New Roman"/>
          <w:noProof/>
          <w:sz w:val="24"/>
        </w:rPr>
        <w:footnoteReference w:id="12"/>
      </w:r>
      <w:r>
        <w:rPr>
          <w:rFonts w:ascii="Times New Roman" w:hAnsi="Times New Roman"/>
          <w:noProof/>
          <w:sz w:val="24"/>
        </w:rPr>
        <w:t xml:space="preserve"> este utilizat cu referire la armele de calitate militară, iar termenul „arme de foc”</w:t>
      </w:r>
      <w:r>
        <w:rPr>
          <w:rStyle w:val="FootnoteReference"/>
          <w:rFonts w:ascii="Times New Roman" w:hAnsi="Times New Roman"/>
          <w:noProof/>
          <w:sz w:val="24"/>
        </w:rPr>
        <w:footnoteReference w:id="13"/>
      </w:r>
      <w:r>
        <w:rPr>
          <w:rFonts w:ascii="Times New Roman" w:hAnsi="Times New Roman"/>
          <w:noProof/>
          <w:sz w:val="24"/>
        </w:rPr>
        <w:t xml:space="preserve"> este utilizat în mod expres pentru a include armele de foc de uz civil. </w:t>
      </w: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b/>
          <w:smallCaps/>
          <w:noProof/>
          <w:sz w:val="24"/>
        </w:rPr>
        <w:t>Combaterea armelor de foc și a SALW ilicite: obiective și acțiuni</w:t>
      </w:r>
    </w:p>
    <w:p>
      <w:pPr>
        <w:pStyle w:val="ListParagraph"/>
        <w:keepNext/>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Combaterea efectivă a fabricării, deturnării, comerțului și a traficului ilicite de arme de foc/SALW și de muniții ale acestora necesită stabilirea, implementarea, punerea în aplicare și comunicarea unor norme și reguli de către agențiile guvernamentale și de către actorii de la nivel național, regional și global. Sunt necesare acțiuni care să vizeze toate etapele ciclului de viață al armelor de foc/SALW și al munițiilor: fabricarea, exportul, stocarea și eliminarea. </w:t>
      </w:r>
    </w:p>
    <w:p>
      <w:pPr>
        <w:spacing w:after="240" w:line="240" w:lineRule="auto"/>
        <w:jc w:val="both"/>
        <w:rPr>
          <w:rFonts w:ascii="Times New Roman" w:hAnsi="Times New Roman" w:cs="Times New Roman"/>
          <w:noProof/>
          <w:sz w:val="24"/>
          <w:szCs w:val="24"/>
        </w:rPr>
      </w:pPr>
      <w:r>
        <w:rPr>
          <w:rFonts w:ascii="Times New Roman" w:hAnsi="Times New Roman"/>
          <w:noProof/>
          <w:sz w:val="24"/>
        </w:rPr>
        <w:t>În conformitate cu strategia globală pentru politică externă și de securitate comună a Uniunii Europene și cu principiile acesteia</w:t>
      </w:r>
      <w:r>
        <w:rPr>
          <w:rStyle w:val="FootnoteReference"/>
          <w:rFonts w:ascii="Times New Roman" w:hAnsi="Times New Roman"/>
          <w:noProof/>
          <w:sz w:val="24"/>
        </w:rPr>
        <w:footnoteReference w:id="14"/>
      </w:r>
      <w:r>
        <w:rPr>
          <w:rFonts w:ascii="Times New Roman" w:hAnsi="Times New Roman"/>
          <w:noProof/>
          <w:sz w:val="24"/>
        </w:rPr>
        <w:t>, precum și în conformitate cu Agenda europeană privind securitatea, UE încearcă să mențină și să protejeze un mediu pașnic și sigur pentru cetățenii săi și să sprijine securitatea și să stimuleze dezvoltarea în vecinătatea sa și în întreaga lume. În acest scop, strategia este orientată în funcție de următoarele principii:</w:t>
      </w:r>
    </w:p>
    <w:p>
      <w:pPr>
        <w:pStyle w:val="ListParagraph"/>
        <w:numPr>
          <w:ilvl w:val="0"/>
          <w:numId w:val="10"/>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unitate – adoptarea unei abordări comune și coordonate la nivelul politicilor externe, între statele membre și UE, precum și între politicile interne și cele externe; </w:t>
      </w:r>
    </w:p>
    <w:p>
      <w:pPr>
        <w:pStyle w:val="ListParagraph"/>
        <w:numPr>
          <w:ilvl w:val="0"/>
          <w:numId w:val="10"/>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promovarea cooperării și a parteneriatului la toate nivelurile; </w:t>
      </w:r>
    </w:p>
    <w:p>
      <w:pPr>
        <w:pStyle w:val="ListParagraph"/>
        <w:numPr>
          <w:ilvl w:val="0"/>
          <w:numId w:val="10"/>
        </w:numPr>
        <w:spacing w:after="120"/>
        <w:jc w:val="both"/>
        <w:rPr>
          <w:rFonts w:ascii="Times New Roman" w:hAnsi="Times New Roman" w:cs="Times New Roman"/>
          <w:noProof/>
          <w:sz w:val="24"/>
          <w:szCs w:val="24"/>
        </w:rPr>
      </w:pPr>
      <w:r>
        <w:rPr>
          <w:rFonts w:ascii="Times New Roman" w:hAnsi="Times New Roman"/>
          <w:noProof/>
          <w:sz w:val="24"/>
        </w:rPr>
        <w:t xml:space="preserve">asumarea răspunderii în legătură cu regiunile prioritare, în special cele care pot reprezenta o amenințare pentru securitatea UE și cele cu cea mai mare probabilitate de a beneficia de acțiuni ale UE; </w:t>
      </w:r>
    </w:p>
    <w:p>
      <w:pPr>
        <w:pStyle w:val="ListParagraph"/>
        <w:numPr>
          <w:ilvl w:val="0"/>
          <w:numId w:val="10"/>
        </w:numPr>
        <w:spacing w:after="24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promovarea unei ordini de cooperare la nivel global bazată pe norme, având ca principiu esențial multilateralismul și ONU ca element central, cu respectarea dreptului internațional, inclusiv a legislației privind drepturile omului și a dreptului internațional umanitar, în vederea creării unei lumi pașnice și durabile; și </w:t>
      </w:r>
    </w:p>
    <w:p>
      <w:pPr>
        <w:pStyle w:val="ListParagraph"/>
        <w:numPr>
          <w:ilvl w:val="0"/>
          <w:numId w:val="10"/>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includerea aspectelor de gen și diversitate în proiectele și acțiunile de control al SALW. </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2.1 </w:t>
      </w:r>
      <w:r>
        <w:rPr>
          <w:noProof/>
        </w:rPr>
        <w:tab/>
      </w:r>
      <w:r>
        <w:rPr>
          <w:rFonts w:ascii="Times New Roman" w:hAnsi="Times New Roman"/>
          <w:b/>
          <w:noProof/>
          <w:sz w:val="24"/>
        </w:rPr>
        <w:t>Consolidarea cadrului normativ pentru controlul armelor de foc și al SALW ilicite</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2.1.1</w:t>
      </w:r>
      <w:r>
        <w:rPr>
          <w:noProof/>
        </w:rPr>
        <w:tab/>
      </w:r>
      <w:r>
        <w:rPr>
          <w:rFonts w:ascii="Times New Roman" w:hAnsi="Times New Roman"/>
          <w:b/>
          <w:noProof/>
          <w:sz w:val="24"/>
        </w:rPr>
        <w:t xml:space="preserve">Programul de acțiune al ONU privind SALW și instrumentul internațional de urmărire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Programul de acțiune al ONU privind SALW (PA ONU)</w:t>
      </w:r>
      <w:r>
        <w:rPr>
          <w:rFonts w:ascii="Times New Roman" w:hAnsi="Times New Roman"/>
          <w:noProof/>
          <w:sz w:val="24"/>
          <w:vertAlign w:val="superscript"/>
        </w:rPr>
        <w:footnoteReference w:id="15"/>
      </w:r>
      <w:r>
        <w:rPr>
          <w:rFonts w:ascii="Times New Roman" w:hAnsi="Times New Roman"/>
          <w:noProof/>
          <w:sz w:val="24"/>
        </w:rPr>
        <w:t xml:space="preserve"> oferă în continuare un instrument cuprinzător, reprezentând singurul cadru universal pentru a răspunde amenințărilor reprezentate de SALW ilicite. Instrumentul internațional de urmărire (ITI)</w:t>
      </w:r>
      <w:r>
        <w:rPr>
          <w:rStyle w:val="FootnoteReference"/>
          <w:rFonts w:ascii="Times New Roman" w:hAnsi="Times New Roman"/>
          <w:noProof/>
          <w:sz w:val="24"/>
        </w:rPr>
        <w:footnoteReference w:id="16"/>
      </w:r>
      <w:r>
        <w:rPr>
          <w:rFonts w:ascii="Times New Roman" w:hAnsi="Times New Roman"/>
          <w:noProof/>
          <w:sz w:val="24"/>
          <w:vertAlign w:val="superscript"/>
        </w:rPr>
        <w:t xml:space="preserve"> </w:t>
      </w:r>
      <w:r>
        <w:rPr>
          <w:rFonts w:ascii="Times New Roman" w:hAnsi="Times New Roman"/>
          <w:noProof/>
          <w:sz w:val="24"/>
        </w:rPr>
        <w:t>este un instrument obligatoriu din punct de vedere politic, care subliniază cerințele și oferă un standard global privind marcarea, ținerea evidențelor și urmărirea SALW. Principalul obiectiv al strategiei revizuite a UE rămâne punerea în aplicare pe deplin și eficace a PA ONU și a ITI</w:t>
      </w:r>
      <w:r>
        <w:rPr>
          <w:rFonts w:ascii="Times New Roman" w:hAnsi="Times New Roman"/>
          <w:b/>
          <w:noProof/>
          <w:sz w:val="24"/>
          <w:vertAlign w:val="superscript"/>
        </w:rPr>
        <w:t xml:space="preserve"> </w:t>
      </w:r>
      <w:r>
        <w:rPr>
          <w:rFonts w:ascii="Times New Roman" w:hAnsi="Times New Roman"/>
          <w:noProof/>
          <w:sz w:val="24"/>
        </w:rPr>
        <w:t xml:space="preserve">la nivel național, regional și global. Prin urmare, această comunicare prezintă măsurile de îmbunătățire a punerii în aplicare a PA ONU la nivel național și regional în cadrul UE. Propune, de asemenea, cooperare și asistență în alte regiuni ale lumii și la nivel global.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keepNext/>
              <w:spacing w:after="120"/>
              <w:jc w:val="both"/>
              <w:rPr>
                <w:rFonts w:ascii="Times New Roman" w:hAnsi="Times New Roman"/>
                <w:b/>
                <w:i/>
                <w:noProof/>
                <w:sz w:val="24"/>
                <w:szCs w:val="24"/>
              </w:rPr>
            </w:pPr>
            <w:r>
              <w:rPr>
                <w:rFonts w:ascii="Times New Roman" w:hAnsi="Times New Roman"/>
                <w:b/>
                <w:i/>
                <w:noProof/>
                <w:sz w:val="24"/>
              </w:rPr>
              <w:t>Acțiune:</w:t>
            </w:r>
          </w:p>
          <w:p>
            <w:pPr>
              <w:pStyle w:val="NormalWeb"/>
              <w:numPr>
                <w:ilvl w:val="0"/>
                <w:numId w:val="12"/>
              </w:numPr>
              <w:spacing w:before="0" w:beforeAutospacing="0" w:after="0" w:afterAutospacing="0"/>
              <w:ind w:left="317" w:hanging="317"/>
              <w:jc w:val="both"/>
              <w:rPr>
                <w:noProof/>
              </w:rPr>
            </w:pPr>
            <w:r>
              <w:rPr>
                <w:noProof/>
              </w:rPr>
              <w:t xml:space="preserve">UE </w:t>
            </w:r>
            <w:r>
              <w:rPr>
                <w:noProof/>
                <w:color w:val="000000"/>
              </w:rPr>
              <w:t xml:space="preserve">va sprijini în continuare cooperarea și asistența pentru punerea în aplicare a PA ONU, concentrându-se pe cooperarea regională, și va participa în continuare și va sprijini coordonarea cu alți donatori. Acest sprijin va include </w:t>
            </w:r>
            <w:r>
              <w:rPr>
                <w:noProof/>
              </w:rPr>
              <w:t>colectarea și distrugerea surplusului de SALW și de muniții, securitatea fizică și gestionarea stocurilor pentru SALW și muniție, consolidarea capacităților pentru marcare, ținerea evidențelor și urmărire, consolidarea capacităților pentru controlul exportului de arme, consolidarea capacităților pentru aplicarea legii în combaterea traficului ilicit, sprijin pentru monitorizarea embargoului și urmărirea armelor deturnate.</w:t>
            </w:r>
          </w:p>
          <w:p>
            <w:pPr>
              <w:pStyle w:val="NormalWeb"/>
              <w:spacing w:before="0" w:beforeAutospacing="0" w:after="0" w:afterAutospacing="0"/>
              <w:ind w:left="317"/>
              <w:jc w:val="both"/>
              <w:rPr>
                <w:noProof/>
              </w:rPr>
            </w:pPr>
          </w:p>
          <w:p>
            <w:pPr>
              <w:pStyle w:val="PlainText"/>
              <w:keepNext/>
              <w:spacing w:after="120"/>
              <w:jc w:val="both"/>
              <w:rPr>
                <w:rFonts w:ascii="Times New Roman" w:hAnsi="Times New Roman"/>
                <w:b/>
                <w:i/>
                <w:noProof/>
                <w:sz w:val="24"/>
                <w:szCs w:val="24"/>
              </w:rPr>
            </w:pPr>
            <w:r>
              <w:rPr>
                <w:rFonts w:ascii="Times New Roman" w:hAnsi="Times New Roman"/>
                <w:b/>
                <w:i/>
                <w:noProof/>
                <w:sz w:val="24"/>
              </w:rPr>
              <w:t>Etapele următoare:</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În cadrul PA ONU, noile proiecte vor lua în considerare o analiză și o evaluare cuprinzătoare, efectuate de către Înaltul Reprezentant, privind impactul și eficacitatea proiectelor de control al SALW din cadrul strategiei din 2005 privind SALW în perioada 2005-2017.</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noProof/>
          <w:sz w:val="24"/>
        </w:rPr>
        <w:t xml:space="preserve">2.1.2 </w:t>
      </w:r>
      <w:r>
        <w:rPr>
          <w:noProof/>
        </w:rPr>
        <w:tab/>
      </w:r>
      <w:r>
        <w:rPr>
          <w:rFonts w:ascii="Times New Roman" w:hAnsi="Times New Roman"/>
          <w:b/>
          <w:noProof/>
          <w:sz w:val="24"/>
        </w:rPr>
        <w:t xml:space="preserve">Tratatul privind comerțul cu arme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Obiectivul Tratatului privind comerțul cu arme (TCA)</w:t>
      </w:r>
      <w:r>
        <w:rPr>
          <w:rStyle w:val="FootnoteReference"/>
          <w:rFonts w:ascii="Times New Roman" w:hAnsi="Times New Roman"/>
          <w:noProof/>
          <w:sz w:val="24"/>
        </w:rPr>
        <w:footnoteReference w:id="17"/>
      </w:r>
      <w:r>
        <w:rPr>
          <w:rFonts w:ascii="Times New Roman" w:hAnsi="Times New Roman"/>
          <w:noProof/>
          <w:sz w:val="24"/>
        </w:rPr>
        <w:t xml:space="preserve"> constă în instituirea de standarde internaționale la cel mai înalt nivel pentru reglementarea sau îmbunătățirea reglementării comerțului internațional cu arme convenționale (inclusiv SALW) și în prevenirea și eradicarea comerțului ilicit cu arme convenționale, precum și în prevenirea deturnării acestora.</w:t>
      </w:r>
    </w:p>
    <w:tbl>
      <w:tblPr>
        <w:tblStyle w:val="TableGrid"/>
        <w:tblW w:w="0" w:type="auto"/>
        <w:tblInd w:w="108" w:type="dxa"/>
        <w:tblLook w:val="04A0" w:firstRow="1" w:lastRow="0" w:firstColumn="1" w:lastColumn="0" w:noHBand="0" w:noVBand="1"/>
      </w:tblPr>
      <w:tblGrid>
        <w:gridCol w:w="9072"/>
      </w:tblGrid>
      <w:tr>
        <w:tc>
          <w:tcPr>
            <w:tcW w:w="9072" w:type="dxa"/>
            <w:tcBorders>
              <w:top w:val="nil"/>
              <w:left w:val="nil"/>
              <w:bottom w:val="nil"/>
              <w:right w:val="nil"/>
            </w:tcBorders>
          </w:tcPr>
          <w:p>
            <w:pPr>
              <w:pStyle w:val="PlainText"/>
              <w:spacing w:after="120"/>
              <w:jc w:val="both"/>
              <w:rPr>
                <w:rFonts w:ascii="Times New Roman" w:hAnsi="Times New Roman"/>
                <w:b/>
                <w:i/>
                <w:noProof/>
                <w:sz w:val="24"/>
                <w:szCs w:val="24"/>
              </w:rPr>
            </w:pPr>
            <w:r>
              <w:rPr>
                <w:rFonts w:ascii="Times New Roman" w:hAnsi="Times New Roman"/>
                <w:b/>
                <w:i/>
                <w:noProof/>
                <w:sz w:val="24"/>
              </w:rPr>
              <w:t>Acțiune:</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color w:val="000000"/>
                <w:sz w:val="24"/>
              </w:rPr>
              <w:t>Consiliul este invitat să sprijine în continuare universalizarea și punerea în aplicare a TCA.</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2.1.3 </w:t>
      </w:r>
      <w:r>
        <w:rPr>
          <w:noProof/>
        </w:rPr>
        <w:tab/>
      </w:r>
      <w:r>
        <w:rPr>
          <w:rFonts w:ascii="Times New Roman" w:hAnsi="Times New Roman"/>
          <w:b/>
          <w:noProof/>
          <w:sz w:val="24"/>
        </w:rPr>
        <w:t xml:space="preserve">Protocolul ONU privind armele de foc </w:t>
      </w:r>
    </w:p>
    <w:p>
      <w:pPr>
        <w:spacing w:after="240" w:line="240" w:lineRule="auto"/>
        <w:jc w:val="both"/>
        <w:rPr>
          <w:rFonts w:ascii="Times New Roman" w:hAnsi="Times New Roman" w:cs="Times New Roman"/>
          <w:noProof/>
          <w:sz w:val="24"/>
          <w:szCs w:val="24"/>
        </w:rPr>
      </w:pPr>
      <w:r>
        <w:rPr>
          <w:rFonts w:ascii="Times New Roman" w:hAnsi="Times New Roman"/>
          <w:noProof/>
          <w:sz w:val="24"/>
        </w:rPr>
        <w:t>Obiectivul Protocolului ONU privind armele de foc</w:t>
      </w:r>
      <w:r>
        <w:rPr>
          <w:rStyle w:val="FootnoteReference"/>
          <w:rFonts w:ascii="Times New Roman" w:hAnsi="Times New Roman"/>
          <w:noProof/>
          <w:sz w:val="24"/>
        </w:rPr>
        <w:footnoteReference w:id="18"/>
      </w:r>
      <w:r>
        <w:rPr>
          <w:rFonts w:ascii="Times New Roman" w:hAnsi="Times New Roman"/>
          <w:noProof/>
          <w:sz w:val="24"/>
        </w:rPr>
        <w:t xml:space="preserve"> este de a facilita și de a consolida cooperarea în vederea prevenirii, combaterii și eradicării fabricării ilicite și a traficului de arme de foc. Comisia a negociat și a semnat protocolul în numele UE în 2002. După adoptarea unor norme mai puternice privind transferurile de arme de foc de uz civil, atât în interiorul Uniunii, cât și în afara acesteia, UE a putut să îl ratifice în 2014.</w:t>
      </w:r>
      <w:r>
        <w:rPr>
          <w:rStyle w:val="FootnoteReference"/>
          <w:rFonts w:ascii="Times New Roman" w:hAnsi="Times New Roman"/>
          <w:noProof/>
          <w:sz w:val="24"/>
        </w:rPr>
        <w:footnoteReference w:id="19"/>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Acțiune:</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rPr>
            </w:pPr>
            <w:r>
              <w:rPr>
                <w:rFonts w:ascii="Times New Roman" w:hAnsi="Times New Roman"/>
                <w:noProof/>
                <w:sz w:val="24"/>
              </w:rPr>
              <w:t>UE va sprijini în continuare punerea în aplicare a protocolului ONU privind armele de foc și mecanismul de revizuire a acestuia și va consolida în continuare capacitățile țărilor și subregiunilor partenere în vederea implementării efective a controlului armelor de foc, în conformitate cu protocolul. În special, Comisia invită statele membre să pună pe deplin în aplicare Recomandarea sa din 17 aprilie 2018 privind măsuri imediate pentru îmbunătățirea securității măsurilor de export, import și tranzit pentru armele de foc, piese și componente esențiale ale acestora, precum și muniții.</w:t>
            </w:r>
            <w:r>
              <w:rPr>
                <w:rStyle w:val="FootnoteReference"/>
                <w:rFonts w:ascii="Times New Roman" w:hAnsi="Times New Roman"/>
                <w:noProof/>
              </w:rPr>
              <w:footnoteReference w:id="20"/>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2.1.4</w:t>
      </w:r>
      <w:r>
        <w:rPr>
          <w:noProof/>
        </w:rPr>
        <w:tab/>
      </w:r>
      <w:r>
        <w:rPr>
          <w:rFonts w:ascii="Times New Roman" w:hAnsi="Times New Roman"/>
          <w:b/>
          <w:noProof/>
          <w:sz w:val="24"/>
        </w:rPr>
        <w:t xml:space="preserve">Obiectivele ONU de dezvoltare durabilă </w:t>
      </w:r>
    </w:p>
    <w:p>
      <w:pPr>
        <w:spacing w:after="240" w:line="240" w:lineRule="auto"/>
        <w:jc w:val="both"/>
        <w:rPr>
          <w:rFonts w:ascii="Times New Roman" w:hAnsi="Times New Roman" w:cs="Times New Roman"/>
          <w:noProof/>
          <w:sz w:val="24"/>
          <w:szCs w:val="24"/>
        </w:rPr>
      </w:pPr>
      <w:r>
        <w:rPr>
          <w:rFonts w:ascii="Times New Roman" w:hAnsi="Times New Roman"/>
          <w:noProof/>
          <w:sz w:val="24"/>
        </w:rPr>
        <w:t>Extinderea ilegală și necontrolată a SALW amenință să alimenteze și să prelungească conflictele armate și violența armată, având efecte negative asupra bunei guvernanțe, legii și ordinii, accesului la educație, serviciilor medicale, justiție și alte drepturi civile. Legăturile dintre violență, conflicte armate și un nivel scăzut al dezvoltării sunt bine stabilite. Prin obiectivul 16.4 din cadrul Obiectivelor ONU de dezvoltare durabilă (SDG)</w:t>
      </w:r>
      <w:r>
        <w:rPr>
          <w:rStyle w:val="FootnoteReference"/>
          <w:rFonts w:ascii="Times New Roman" w:hAnsi="Times New Roman"/>
          <w:b/>
          <w:i/>
          <w:noProof/>
          <w:sz w:val="24"/>
        </w:rPr>
        <w:footnoteReference w:id="21"/>
      </w:r>
      <w:r>
        <w:rPr>
          <w:rFonts w:ascii="Times New Roman" w:hAnsi="Times New Roman"/>
          <w:noProof/>
          <w:sz w:val="24"/>
        </w:rPr>
        <w:t xml:space="preserve">, statele s-au angajat ca, până în 2030, să reducă semnificativ fluxurile financiare și de arme ilicite, să consolideze recuperarea și înapoierea bunurilor furate și să combată toate formele de criminalitate organizată. Prin urmare, scopul strategiei ar trebui să fie reducerea și prevenirea efectelor negative a comerțului ilicit de SALW și muniții ale acestora asupra dezvoltării durabile. </w:t>
      </w:r>
    </w:p>
    <w:tbl>
      <w:tblPr>
        <w:tblStyle w:val="TableGrid"/>
        <w:tblW w:w="0" w:type="auto"/>
        <w:tblInd w:w="108" w:type="dxa"/>
        <w:tblLook w:val="04A0" w:firstRow="1" w:lastRow="0" w:firstColumn="1" w:lastColumn="0" w:noHBand="0" w:noVBand="1"/>
      </w:tblPr>
      <w:tblGrid>
        <w:gridCol w:w="9072"/>
      </w:tblGrid>
      <w:tr>
        <w:tc>
          <w:tcPr>
            <w:tcW w:w="9072" w:type="dxa"/>
            <w:tcBorders>
              <w:top w:val="nil"/>
              <w:left w:val="nil"/>
              <w:bottom w:val="nil"/>
              <w:right w:val="nil"/>
            </w:tcBorders>
          </w:tcPr>
          <w:p>
            <w:pPr>
              <w:pStyle w:val="PlainText"/>
              <w:spacing w:after="120"/>
              <w:jc w:val="both"/>
              <w:rPr>
                <w:rFonts w:ascii="Times New Roman" w:hAnsi="Times New Roman"/>
                <w:b/>
                <w:i/>
                <w:noProof/>
                <w:sz w:val="24"/>
                <w:szCs w:val="24"/>
              </w:rPr>
            </w:pPr>
            <w:r>
              <w:rPr>
                <w:rFonts w:ascii="Times New Roman" w:hAnsi="Times New Roman"/>
                <w:b/>
                <w:i/>
                <w:noProof/>
                <w:sz w:val="24"/>
              </w:rPr>
              <w:t>Acțiune:</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sz w:val="24"/>
              </w:rPr>
              <w:t>UE va contribui la eforturile de realizare a SDG ale ONU, inclusiv SDG 16.4 (reducerea semnificativă a fluxurilor ilegale de arme până în 2030), ajutând statele și regiunile să formuleze și să pună în aplicare indicatori naționali și regionali.</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2.1.5</w:t>
      </w:r>
      <w:r>
        <w:rPr>
          <w:rFonts w:ascii="Times New Roman" w:hAnsi="Times New Roman"/>
          <w:b/>
          <w:i/>
          <w:noProof/>
          <w:sz w:val="24"/>
        </w:rPr>
        <w:t xml:space="preserve"> </w:t>
      </w:r>
      <w:r>
        <w:rPr>
          <w:noProof/>
        </w:rPr>
        <w:tab/>
      </w:r>
      <w:r>
        <w:rPr>
          <w:rFonts w:ascii="Times New Roman" w:hAnsi="Times New Roman"/>
          <w:b/>
          <w:noProof/>
          <w:sz w:val="24"/>
        </w:rPr>
        <w:t>Norme UE mai puternice</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afara normelor UE existente, Consiliul este invitat să examineze o nouă decizie care să vizeze îmbunătățirea trasabilității SALW, îmbunătățirea documentației privind utilizarea finală în cadrul controlului exporturilor de SALW și schimbul de informații privind deturnările. UE va continua, de asemenea, să propună o clauză standard privind controlul SALW în acordurile sale de parteneriat și cele comerciale cu alte țări. Clauza ar putea fi actualizată în conformitate cu noua strategie.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Acțiune:</w:t>
            </w:r>
          </w:p>
          <w:p>
            <w:pPr>
              <w:pStyle w:val="PlainText"/>
              <w:numPr>
                <w:ilvl w:val="0"/>
                <w:numId w:val="7"/>
              </w:numPr>
              <w:spacing w:after="120"/>
              <w:ind w:left="317" w:hanging="317"/>
              <w:jc w:val="both"/>
              <w:rPr>
                <w:rFonts w:ascii="Times New Roman" w:eastAsia="Times New Roman" w:hAnsi="Times New Roman"/>
                <w:noProof/>
                <w:sz w:val="24"/>
                <w:szCs w:val="24"/>
              </w:rPr>
            </w:pPr>
            <w:r>
              <w:rPr>
                <w:rFonts w:ascii="Times New Roman" w:hAnsi="Times New Roman"/>
                <w:noProof/>
                <w:sz w:val="24"/>
              </w:rPr>
              <w:t xml:space="preserve">UE va </w:t>
            </w:r>
            <w:r>
              <w:rPr>
                <w:rFonts w:ascii="Times New Roman" w:hAnsi="Times New Roman"/>
                <w:noProof/>
                <w:color w:val="000000"/>
                <w:sz w:val="24"/>
              </w:rPr>
              <w:t>continua să introducă o clauză standard privind controlul SALW în acordurile de parteneriat și cele comerciale cu alte țări</w:t>
            </w:r>
            <w:r>
              <w:rPr>
                <w:rFonts w:ascii="Times New Roman" w:hAnsi="Times New Roman"/>
                <w:noProof/>
                <w:sz w:val="24"/>
              </w:rPr>
              <w:t>.</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Etapele următoare:</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rPr>
            </w:pPr>
            <w:r>
              <w:rPr>
                <w:rFonts w:ascii="Times New Roman" w:hAnsi="Times New Roman"/>
                <w:noProof/>
                <w:sz w:val="24"/>
              </w:rPr>
              <w:t>Consiliul este invitat să examineze o decizie privind marcarea tuturor SALW pentru îmbunătățirea trasabilității; și</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rPr>
            </w:pPr>
            <w:r>
              <w:rPr>
                <w:rFonts w:ascii="Times New Roman" w:hAnsi="Times New Roman"/>
                <w:noProof/>
                <w:sz w:val="24"/>
              </w:rPr>
              <w:t>Conform dispozițiilor Directivei 91/477/CEE</w:t>
            </w:r>
            <w:r>
              <w:rPr>
                <w:rStyle w:val="FootnoteReference"/>
                <w:rFonts w:ascii="Times New Roman" w:hAnsi="Times New Roman"/>
                <w:noProof/>
                <w:sz w:val="24"/>
              </w:rPr>
              <w:footnoteReference w:id="22"/>
            </w:r>
            <w:r>
              <w:rPr>
                <w:rFonts w:ascii="Times New Roman" w:hAnsi="Times New Roman"/>
                <w:noProof/>
                <w:sz w:val="24"/>
              </w:rPr>
              <w:t xml:space="preserve">, </w:t>
            </w:r>
            <w:r>
              <w:rPr>
                <w:rFonts w:ascii="Times New Roman" w:hAnsi="Times New Roman"/>
                <w:noProof/>
                <w:color w:val="000000"/>
                <w:sz w:val="24"/>
              </w:rPr>
              <w:t>Comisia</w:t>
            </w:r>
            <w:r>
              <w:rPr>
                <w:rFonts w:ascii="Times New Roman" w:hAnsi="Times New Roman"/>
                <w:noProof/>
                <w:sz w:val="24"/>
              </w:rPr>
              <w:t xml:space="preserve"> va adopta un act delegat privind schimbul de informații referitoare la autorizațiile de transfer a armelor de foc de uz civil într-un alt stat membru și instituirea unui sistem electronic prin intermediul căruia statele membre să poată partaja aceste informații.</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2.2 </w:t>
      </w:r>
      <w:r>
        <w:rPr>
          <w:noProof/>
        </w:rPr>
        <w:tab/>
      </w:r>
      <w:r>
        <w:rPr>
          <w:rFonts w:ascii="Times New Roman" w:hAnsi="Times New Roman"/>
          <w:b/>
          <w:noProof/>
          <w:sz w:val="24"/>
        </w:rPr>
        <w:t>Punerea în aplicare a normelor în diferitele etape ale ciclului de viață al armelor de foc/SALW</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b/>
          <w:noProof/>
          <w:sz w:val="24"/>
        </w:rPr>
        <w:t>2.2.1</w:t>
      </w:r>
      <w:r>
        <w:rPr>
          <w:noProof/>
        </w:rPr>
        <w:tab/>
      </w:r>
      <w:r>
        <w:rPr>
          <w:rFonts w:ascii="Times New Roman" w:hAnsi="Times New Roman"/>
          <w:b/>
          <w:i/>
          <w:noProof/>
          <w:sz w:val="24"/>
        </w:rPr>
        <w:t>Controlul fabricării armelor de foc și a SALW</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UE, fabricarea armelor de foc și a SALW, a pieselor, accesoriilor și munițiilor acestora este bine reglementată și normele care reglementează depozitarea SALW și a munițiilor acestora au scopul de a reduce la minimum riscurile de deturnare.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Progresele înregistrate în proiectarea armelor de foc și a SALW, cum ar fi utilizarea din ce în ce mai mare a carcaselor din polimer și a conceptelor modulare riscă să submineze instrumentul internațional de urmărire (ITI) care reprezintă standardul global privind marcarea SALW. Trebuie luate măsuri pentru actualizarea ITI luând în considerare aceste progrese.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UE încurajează și sprijină cercetarea și dezvoltarea tehnologiei și a caracteristicilor de design în scopul reducerii riscului deturnării, traficului și utilizării neautorizate a armelor de foc și a SALW, precum și a munițiilor acestora. Aceasta promovează aplicarea noilor tehnologii pentru o gestionare mai eficace a stocurilor de SALW, pentru controlul utilizării, marcarea, etichetarea, ținerea evidențelor și urmărirea acestora.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108"/>
              </w:tabs>
              <w:spacing w:after="120"/>
              <w:ind w:left="318" w:hanging="318"/>
              <w:jc w:val="both"/>
              <w:rPr>
                <w:rFonts w:ascii="Times New Roman" w:eastAsia="Times New Roman" w:hAnsi="Times New Roman"/>
                <w:noProof/>
                <w:sz w:val="24"/>
                <w:szCs w:val="24"/>
              </w:rPr>
            </w:pPr>
            <w:r>
              <w:rPr>
                <w:rFonts w:ascii="Times New Roman" w:hAnsi="Times New Roman"/>
                <w:noProof/>
                <w:sz w:val="24"/>
              </w:rPr>
              <w:t>UE va aborda în continuare problema fabricări ilicite a armelor de foc și a munițiilor. Metodele de fabricare ilicită sunt în permanentă evoluție și pot fi facilitate prin utilizarea de piese imprimate 3-D. Printre acestea se numără reactivarea ilegală a armelor de foc dezactivate, producția artizanală și transformarea ilegală a armelor de alarmă sau de semnalizare concepute pentru cartușe oarbe sau arme de tip Flobert, transformarea ilegală a muniției și utilizarea ilegală a instrumentelor de reîncărcare. Comisia va monitoriza îndeaproape punerea în aplicare a viitorului său act de punere în aplicare de stabilire a specificațiilor tehnice pentru armele de semnalizare de alarmă pentru aplicarea Directivei 91/477/CEE privind controlul achiziționării și deținerii de arme;</w:t>
            </w:r>
            <w:r>
              <w:rPr>
                <w:rStyle w:val="FootnoteReference"/>
                <w:rFonts w:ascii="Times New Roman" w:hAnsi="Times New Roman"/>
                <w:noProof/>
                <w:sz w:val="24"/>
              </w:rPr>
              <w:footnoteReference w:id="23"/>
            </w:r>
            <w:r>
              <w:rPr>
                <w:rFonts w:ascii="Times New Roman" w:hAnsi="Times New Roman"/>
                <w:noProof/>
                <w:sz w:val="24"/>
              </w:rPr>
              <w:t xml:space="preserve"> și</w:t>
            </w:r>
          </w:p>
          <w:p>
            <w:pPr>
              <w:pStyle w:val="PlainText"/>
              <w:numPr>
                <w:ilvl w:val="0"/>
                <w:numId w:val="2"/>
              </w:numPr>
              <w:tabs>
                <w:tab w:val="left" w:pos="34"/>
              </w:tabs>
              <w:spacing w:after="120"/>
              <w:ind w:left="318" w:hanging="318"/>
              <w:jc w:val="both"/>
              <w:rPr>
                <w:rFonts w:ascii="Times New Roman" w:eastAsia="Times New Roman" w:hAnsi="Times New Roman"/>
                <w:noProof/>
                <w:sz w:val="24"/>
                <w:szCs w:val="24"/>
              </w:rPr>
            </w:pPr>
            <w:r>
              <w:rPr>
                <w:rFonts w:ascii="Times New Roman" w:hAnsi="Times New Roman"/>
                <w:noProof/>
                <w:sz w:val="24"/>
              </w:rPr>
              <w:t xml:space="preserve">Având în vedere că marcarea și ținerea unor evidențe amănunțite sunt vitale pentru reușita urmăririi, UE va sprijini în continuare punerea pe deplin în aplicare a instrumentului internațional de urmărire (ITI). </w:t>
            </w:r>
          </w:p>
          <w:p>
            <w:pPr>
              <w:pStyle w:val="PlainText"/>
              <w:spacing w:after="120"/>
              <w:jc w:val="both"/>
              <w:rPr>
                <w:rFonts w:ascii="Times New Roman" w:eastAsia="Times New Roman" w:hAnsi="Times New Roman"/>
                <w:b/>
                <w:i/>
                <w:noProof/>
                <w:color w:val="000000"/>
                <w:sz w:val="24"/>
                <w:szCs w:val="24"/>
              </w:rPr>
            </w:pPr>
            <w:r>
              <w:rPr>
                <w:rFonts w:ascii="Times New Roman" w:hAnsi="Times New Roman"/>
                <w:b/>
                <w:i/>
                <w:noProof/>
                <w:color w:val="000000"/>
                <w:sz w:val="24"/>
              </w:rPr>
              <w:t>Etapele următoare: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La nivel global, pentru menținerea și creșterea eficacității ITI, UE și statele membre ale acesteia vor lua măsuri propunând luarea în considerare a unei anexe la ITI având în vedere evoluțiile din domeniul proiectării </w:t>
            </w:r>
            <w:r>
              <w:rPr>
                <w:rFonts w:ascii="Times New Roman" w:hAnsi="Times New Roman"/>
                <w:noProof/>
                <w:color w:val="000000"/>
                <w:sz w:val="24"/>
              </w:rPr>
              <w:t>SALW</w:t>
            </w:r>
            <w:r>
              <w:rPr>
                <w:rFonts w:ascii="Times New Roman" w:hAnsi="Times New Roman"/>
                <w:noProof/>
                <w:sz w:val="24"/>
              </w:rPr>
              <w:t>, cum ar fi arhitectura modulară și carcasele din polimer; și</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va utiliza instrumentele relevante pentru a sprijini cercetarea și dezvoltarea în domeniul tehnologiei fiabile și eficiente din punctul de vedere al costurilor în vederea asigurării SALW și a munițiilor acestora, precum și pentru reducerea riscului de deturnare.</w:t>
            </w:r>
          </w:p>
        </w:tc>
      </w:tr>
    </w:tbl>
    <w:p>
      <w:pPr>
        <w:pStyle w:val="PlainText"/>
        <w:jc w:val="both"/>
        <w:rPr>
          <w:rFonts w:ascii="Times New Roman" w:hAnsi="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2.2.2</w:t>
      </w:r>
      <w:r>
        <w:rPr>
          <w:noProof/>
        </w:rPr>
        <w:tab/>
      </w:r>
      <w:r>
        <w:rPr>
          <w:rFonts w:ascii="Times New Roman" w:hAnsi="Times New Roman"/>
          <w:b/>
          <w:noProof/>
          <w:sz w:val="24"/>
        </w:rPr>
        <w:t>Controale ale exporturilor de SALW și de muniții ale acestora</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UE și statele sale membre sprijină punerea în aplicare și universalizarea Tratatului privind comerțul cu arme. Dezvoltând punerea în aplicare a Tratatului privind comerțul cu arme, UE combate deturnarea, sprijinind capacitățile de identificare a punctelor de deturnare prin intermediul urmăririi, utilizând mai eficient sistemele de schimb de informații și reducând riscul unor deturnări viitoare prin întreruperea furnizării către factorii de deturnare identificați în cadrul controlului exporturilor de arme.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Brokerajul nereglementat rămâne o sursă pentru deturnarea SALW. Caracterul transnațional al activităților de brokeraj necesită cooperare internațională.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rPr>
          <w:trHeight w:val="699"/>
        </w:trP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va promova în continuare controlul responsabil și eficace al exporturilor de arme în vecinătatea UE, în conformitate cu Poziția comună 2008/944/PESC pentru armele de calitate militară și cu Regulamentul (UE) nr. 258/2012 pentru arme de foc de uz civil; și</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Înaltul Reprezentant și statele membre vor</w:t>
            </w:r>
            <w:r>
              <w:rPr>
                <w:rFonts w:ascii="Times New Roman" w:hAnsi="Times New Roman"/>
                <w:noProof/>
                <w:color w:val="000000"/>
                <w:sz w:val="24"/>
                <w:vertAlign w:val="superscript"/>
              </w:rPr>
              <w:t xml:space="preserve"> </w:t>
            </w:r>
            <w:r>
              <w:rPr>
                <w:rFonts w:ascii="Times New Roman" w:hAnsi="Times New Roman"/>
                <w:noProof/>
                <w:color w:val="000000"/>
                <w:sz w:val="24"/>
              </w:rPr>
              <w:t>asigura punerea în aplicare corectă și completă a Poziției comune 2003/468/CFSP privind controlul brokerajului cu armament.</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Etapele următoare:</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Comisia monitorizează în continuare sistemul UE și necesitatea unor posibile îmbunătățiri ale autorizațiilor de export și ale măsurilor de import și tranzit pentru arme de foc de uz civil, piesele, componentele și munițiile acestora, după cum se indică în raportul adoptat de către Comisie la data de 12 decembrie 2017</w:t>
            </w:r>
            <w:r>
              <w:rPr>
                <w:rStyle w:val="FootnoteReference"/>
                <w:rFonts w:ascii="Times New Roman" w:hAnsi="Times New Roman"/>
                <w:noProof/>
                <w:sz w:val="24"/>
              </w:rPr>
              <w:footnoteReference w:id="24"/>
            </w:r>
            <w:r>
              <w:rPr>
                <w:rFonts w:ascii="Times New Roman" w:hAnsi="Times New Roman"/>
                <w:noProof/>
                <w:sz w:val="24"/>
              </w:rPr>
              <w: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Consiliul este invitat să ia în considerare adoptarea unei decizii </w:t>
            </w:r>
            <w:r>
              <w:rPr>
                <w:rFonts w:ascii="Times New Roman" w:hAnsi="Times New Roman"/>
                <w:noProof/>
                <w:color w:val="000000"/>
                <w:sz w:val="24"/>
              </w:rPr>
              <w:t>privind certificatele de utilizator final pentru exporturile de SALW, având în vedere activitățile OSCE în această privință</w:t>
            </w:r>
            <w:r>
              <w:rPr>
                <w:rFonts w:ascii="Times New Roman" w:hAnsi="Times New Roman"/>
                <w:noProof/>
                <w:sz w:val="24"/>
              </w:rPr>
              <w:t>;</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În acord cu statele membre, SEAE va </w:t>
            </w:r>
            <w:r>
              <w:rPr>
                <w:rFonts w:ascii="Times New Roman" w:hAnsi="Times New Roman"/>
                <w:noProof/>
                <w:color w:val="000000"/>
                <w:sz w:val="24"/>
              </w:rPr>
              <w:t>îmbunătăți capacitățile sistemului online COARM</w:t>
            </w:r>
            <w:r>
              <w:rPr>
                <w:rStyle w:val="FootnoteReference"/>
                <w:rFonts w:ascii="Times New Roman" w:hAnsi="Times New Roman"/>
                <w:noProof/>
                <w:color w:val="000000"/>
                <w:sz w:val="24"/>
              </w:rPr>
              <w:footnoteReference w:id="25"/>
            </w:r>
            <w:r>
              <w:rPr>
                <w:rFonts w:ascii="Times New Roman" w:hAnsi="Times New Roman"/>
                <w:noProof/>
                <w:color w:val="000000"/>
                <w:sz w:val="24"/>
              </w:rPr>
              <w:t xml:space="preserve"> pentru schimbul de informații relevante pentru evaluarea riscului de deturnare între autoritățile statelor membre responsabile de controlul exporturilor în contextul autorizării exporturilor, luând în considerare nivelul de securitate al sistemului și informațiile;</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Având în vedere că Recomandarea Comisiei din 17 aprilie 2018</w:t>
            </w:r>
            <w:r>
              <w:rPr>
                <w:rStyle w:val="FootnoteReference"/>
                <w:rFonts w:ascii="Times New Roman" w:hAnsi="Times New Roman"/>
                <w:noProof/>
                <w:sz w:val="24"/>
              </w:rPr>
              <w:footnoteReference w:id="26"/>
            </w:r>
            <w:r>
              <w:rPr>
                <w:rFonts w:ascii="Times New Roman" w:hAnsi="Times New Roman"/>
                <w:noProof/>
                <w:sz w:val="24"/>
              </w:rPr>
              <w:t xml:space="preserve"> are un domeniu de aplicare limitat, în cadrul evaluării riscurilor înaintea acordării unei autorizații de export pentru SALW și muniții, statele membre vor lua în considerare registrele de deturnare ale destinatarilor și intermediarilor vizați; și</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Având în vedere că Recomandarea Comisiei din 17 aprilie 2018 are un domeniul de aplicare limitat, statele membre sunt invitate să utilizeze Sistemul european de informații cu privire la cazierele judiciare (ECRIS) și viitorul sistem ECRIS-TCN (privind resortisanții țărilor terțe) pentru a se asigura că informațiile din cazierele judiciare referitoare la entitățile/persoanele condamnate pentru trafic de arme sunt disponibile autorităților de control al exporturilor de arme pentru a fi utilizate în evaluarea riscurilor efectuată de acestea în privința cererilor de autorizare pentru tehnologie și echipamente militare.</w:t>
            </w:r>
          </w:p>
        </w:tc>
      </w:tr>
    </w:tbl>
    <w:p>
      <w:pPr>
        <w:pStyle w:val="PlainText"/>
        <w:jc w:val="both"/>
        <w:rPr>
          <w:rFonts w:ascii="Times New Roman" w:hAnsi="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2.2.3</w:t>
      </w:r>
      <w:r>
        <w:rPr>
          <w:noProof/>
        </w:rPr>
        <w:tab/>
      </w:r>
      <w:r>
        <w:rPr>
          <w:rFonts w:ascii="Times New Roman" w:hAnsi="Times New Roman"/>
          <w:b/>
          <w:noProof/>
          <w:sz w:val="24"/>
        </w:rPr>
        <w:t>Gestionarea sigură a stocurilor de SALW și muniții</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Gestionarea sigură a stocurilor naționale de arme de calibru mic și de muniții reprezintă un instrument pentru combaterea proliferării ilicite a acestora. Un nivel scăzut de securitate a stocurilor reprezintă un factor esențial care permite deturnarea armelor și munițiilor de pe piețele legale către piețele ilegale. Securitatea stocurilor este îndeosebi precară în statele afectate de conflicte violente sau caracterizate de o guvernanță slabă.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UE și statele sale membre vor </w:t>
            </w:r>
            <w:r>
              <w:rPr>
                <w:rFonts w:ascii="Times New Roman" w:hAnsi="Times New Roman"/>
                <w:noProof/>
                <w:color w:val="000000"/>
                <w:sz w:val="24"/>
              </w:rPr>
              <w:t>ajuta în continuare alte țări pentru îmbunătățirea gestionării și a securității stocurilor deținute de stat prin consolidarea cadrelor legislative și administrative naționale și a instituțiilor care reglementează furnizarea legală și gestionarea stocurilor de SALW și muniții pentru forțele de apărare și de securitate, acordând o atenție specială marcării și înregistrării acestora; și</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 xml:space="preserve">UE va promova și va pune în aplicare standarde și </w:t>
            </w:r>
            <w:r>
              <w:rPr>
                <w:rFonts w:ascii="Times New Roman" w:hAnsi="Times New Roman"/>
                <w:noProof/>
                <w:color w:val="000000"/>
                <w:sz w:val="24"/>
              </w:rPr>
              <w:t>bune</w:t>
            </w:r>
            <w:r>
              <w:rPr>
                <w:rFonts w:ascii="Times New Roman" w:hAnsi="Times New Roman"/>
                <w:noProof/>
                <w:sz w:val="24"/>
              </w:rPr>
              <w:t xml:space="preserve"> practici pentru gestionarea armelor de calibru mic [standardele internaționale pentru controlul armelor de calibru mic (ISACS)] și a munițiilor [orientările tehnice internaționale privind muniția (IATG)].</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2.2.4</w:t>
      </w:r>
      <w:r>
        <w:rPr>
          <w:noProof/>
        </w:rPr>
        <w:tab/>
      </w:r>
      <w:r>
        <w:rPr>
          <w:rFonts w:ascii="Times New Roman" w:hAnsi="Times New Roman"/>
          <w:b/>
          <w:noProof/>
          <w:sz w:val="24"/>
        </w:rPr>
        <w:t>Eliminarea responsabilă a SALW și a munițiilor acestora</w:t>
      </w:r>
    </w:p>
    <w:p>
      <w:pPr>
        <w:pStyle w:val="NormalWeb"/>
        <w:spacing w:before="0" w:beforeAutospacing="0" w:after="240" w:afterAutospacing="0"/>
        <w:jc w:val="both"/>
        <w:rPr>
          <w:noProof/>
        </w:rPr>
      </w:pPr>
      <w:r>
        <w:rPr>
          <w:noProof/>
        </w:rPr>
        <w:t>Surplusurile de SALW și de muniții apar atunci când stocurile depășesc nevoile imediate și previzionate. De asemenea, armele ilicite care sunt confiscate sau colectate în contextul colectării voluntare sau al dezarmării, al campaniilor de demobilizare și de reintegrare ajung adesea să fie incluse în stocuri. Singura modalitate de eliminare a riscului deturnării acestor surplusuri o reprezintă eliminarea responsabilă a acestora, de preferat prin distrugere, deoarece dezactivarea poate fi reversibilă dacă nu este efectuată conform standardelor corespunzătoare. Înaintea distrugerii armelor de foc confiscate și colectate, marcarea acestora trebuie înregistrată pentru a permite urmărirea sau alte investigații privind originea acestora. Comisia a adoptat orientări comune privind standardele și tehnicile de dezactivare</w:t>
      </w:r>
      <w:r>
        <w:rPr>
          <w:rStyle w:val="FootnoteReference"/>
          <w:noProof/>
        </w:rPr>
        <w:footnoteReference w:id="27"/>
      </w:r>
      <w:r>
        <w:rPr>
          <w:noProof/>
        </w:rPr>
        <w:t xml:space="preserve"> care pot fi utilizate ca model global pentru dezactivarea sigură și ireversibilă a armelor de foc.</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 xml:space="preserve">UE și statele sale membre vor promova și vor furniza asistență pentru eliminarea responsabilă a surplusului de SALW și de muniții, a SALW și a munițiilor confiscate și recuperate </w:t>
            </w:r>
            <w:r>
              <w:rPr>
                <w:rFonts w:ascii="Times New Roman" w:hAnsi="Times New Roman"/>
                <w:noProof/>
                <w:color w:val="000000"/>
                <w:sz w:val="24"/>
              </w:rPr>
              <w:t>în alt mod</w:t>
            </w:r>
            <w:r>
              <w:rPr>
                <w:rFonts w:ascii="Times New Roman" w:hAnsi="Times New Roman"/>
                <w:noProof/>
                <w:sz w:val="24"/>
              </w:rPr>
              <w:t>, preferabil prin distrugere; și</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pentru a garanta că armele de foc dezactivate sunt în mod ireversibil nefuncționale, Comisia, împreună cu Înaltul Reprezentant și statele membre, vor promova în străinătate standardele UE privind dezactivarea armelor de foc, inclusiv prin intermediul cooperării cu state terțe.</w:t>
            </w:r>
          </w:p>
        </w:tc>
      </w:tr>
    </w:tbl>
    <w:p>
      <w:pPr>
        <w:autoSpaceDE w:val="0"/>
        <w:autoSpaceDN w:val="0"/>
        <w:adjustRightInd w:val="0"/>
        <w:spacing w:after="0" w:line="240" w:lineRule="auto"/>
        <w:rPr>
          <w:rFonts w:ascii="Times New Roman" w:hAnsi="Times New Roman" w:cs="Times New Roman"/>
          <w:bCs/>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2.2.5</w:t>
      </w:r>
      <w:r>
        <w:rPr>
          <w:noProof/>
        </w:rPr>
        <w:tab/>
      </w:r>
      <w:r>
        <w:rPr>
          <w:rFonts w:ascii="Times New Roman" w:hAnsi="Times New Roman"/>
          <w:b/>
          <w:noProof/>
          <w:sz w:val="24"/>
        </w:rPr>
        <w:t>Aspecte transversale</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UE și statele sale membre se angajează să îmbunătățească coordonarea acțiunilor și inițiativelor lor în lupta împotriva traficului de arme de foc, pentru exploatarea </w:t>
      </w:r>
      <w:r>
        <w:rPr>
          <w:rFonts w:ascii="Times New Roman" w:hAnsi="Times New Roman"/>
          <w:noProof/>
          <w:color w:val="000000"/>
          <w:sz w:val="24"/>
        </w:rPr>
        <w:t xml:space="preserve">sinergiilor, pentru consolidarea interoperabilității dintre bazele de date relevante și alte sisteme de informații, precum și </w:t>
      </w:r>
      <w:r>
        <w:rPr>
          <w:rFonts w:ascii="Times New Roman" w:hAnsi="Times New Roman"/>
          <w:noProof/>
          <w:sz w:val="24"/>
        </w:rPr>
        <w:t xml:space="preserve">pentru prevenirea suprapunerii eforturilor. </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Îmbunătățirea schimbului de informații, cercetarea, colectarea și analiza datelor privind diferitele aspecte ale traficului de arme de foc și ale infracționalității care implică arme sunt esențiale pentru a obține un tablou bun al informațiilor și pentru a fi permanent la curent cu nevoile de securitate în evoluție. Este necesară îmbunătățirea utilizării instrumentelor existente și a evaluării posibilelor sinergii și interoperabilității dintre bazele de date existente pentru aplicarea dreptului UE și a dreptului internațional pentru monitorizarea traficului de SALW, între altele</w:t>
      </w:r>
      <w:r>
        <w:rPr>
          <w:rFonts w:ascii="Times New Roman" w:hAnsi="Times New Roman"/>
          <w:i/>
          <w:noProof/>
          <w:sz w:val="24"/>
        </w:rPr>
        <w:t xml:space="preserve"> </w:t>
      </w:r>
      <w:r>
        <w:rPr>
          <w:rFonts w:ascii="Times New Roman" w:hAnsi="Times New Roman"/>
          <w:noProof/>
          <w:sz w:val="24"/>
        </w:rPr>
        <w:t>prin colectarea, analizarea și partajarea informațiilor relevante. Europol și Agenția Europeană pentru Poliția de Frontieră și Garda de Coastă (EBCGA) pot juca un rol în acest domeniu și, de asemenea, trebuie încurajată utilizarea în continuare a sistemului iARMS.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hAnsi="Times New Roman"/>
                <w:noProof/>
                <w:sz w:val="24"/>
                <w:szCs w:val="24"/>
              </w:rPr>
            </w:pPr>
            <w:r>
              <w:rPr>
                <w:rFonts w:ascii="Times New Roman" w:hAnsi="Times New Roman"/>
                <w:b/>
                <w:i/>
                <w:noProof/>
                <w:sz w:val="24"/>
              </w:rPr>
              <w:t>Acțiuni:</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UE va încuraja utilizarea în continuare a sistemului iARMS;</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color w:val="000000"/>
                <w:sz w:val="24"/>
              </w:rPr>
              <w:t>Comisia va continua cooperarea cu Europol, INTERPOL și statele membre pentru consolidarea sinergiilor și interacțiunilor dintre Sistemul de informații Schengen (SIS)</w:t>
            </w:r>
            <w:r>
              <w:rPr>
                <w:noProof/>
                <w:vertAlign w:val="superscript"/>
              </w:rPr>
              <w:footnoteReference w:id="28"/>
            </w:r>
            <w:r>
              <w:rPr>
                <w:rFonts w:ascii="Times New Roman" w:hAnsi="Times New Roman"/>
                <w:noProof/>
                <w:color w:val="000000"/>
                <w:sz w:val="24"/>
              </w:rPr>
              <w:t xml:space="preserve"> și registrul de arme ilicite și sistemul de gestionare a urmăririi ale Interpol (iARMS)</w:t>
            </w:r>
            <w:r>
              <w:rPr>
                <w:noProof/>
                <w:vertAlign w:val="superscript"/>
              </w:rPr>
              <w:footnoteReference w:id="29"/>
            </w:r>
            <w:r>
              <w:rPr>
                <w:rFonts w:ascii="Times New Roman" w:hAnsi="Times New Roman"/>
                <w:noProof/>
                <w:color w:val="000000"/>
                <w:sz w:val="24"/>
              </w:rPr>
              <w:t xml:space="preserve"> în vederea acțiunilor subsecvente prevăzute în Planul de acțiune al UE împotriva traficului și utilizării ilicite de arme de foc și explozivi</w:t>
            </w:r>
            <w:r>
              <w:rPr>
                <w:rStyle w:val="FootnoteReference"/>
                <w:rFonts w:ascii="Times New Roman" w:hAnsi="Times New Roman"/>
                <w:noProof/>
                <w:color w:val="000000"/>
                <w:sz w:val="24"/>
              </w:rPr>
              <w:footnoteReference w:id="30"/>
            </w:r>
            <w:r>
              <w:rPr>
                <w:rFonts w:ascii="Times New Roman" w:hAnsi="Times New Roman"/>
                <w:noProof/>
                <w:color w:val="000000"/>
                <w:sz w:val="24"/>
              </w:rPr>
              <w:t xml:space="preserve"> </w:t>
            </w:r>
          </w:p>
          <w:p>
            <w:pPr>
              <w:pStyle w:val="PlainText"/>
              <w:numPr>
                <w:ilvl w:val="0"/>
                <w:numId w:val="2"/>
              </w:numPr>
              <w:tabs>
                <w:tab w:val="left" w:pos="34"/>
              </w:tabs>
              <w:spacing w:after="120"/>
              <w:ind w:left="318" w:hanging="318"/>
              <w:jc w:val="both"/>
              <w:rPr>
                <w:rFonts w:ascii="Times New Roman" w:hAnsi="Times New Roman"/>
                <w:noProof/>
                <w:sz w:val="24"/>
                <w:szCs w:val="24"/>
              </w:rPr>
            </w:pPr>
            <w:r>
              <w:rPr>
                <w:rFonts w:ascii="Times New Roman" w:hAnsi="Times New Roman"/>
                <w:noProof/>
                <w:sz w:val="24"/>
              </w:rPr>
              <w:t>Comisia va continua să sprijine și să promoveze cercetarea și acțiunile împotriva traficului de arme de foc și a infracționalității aferente prin intermediul instrumentelor de finanțare disponibile</w:t>
            </w:r>
            <w:r>
              <w:rPr>
                <w:rStyle w:val="FootnoteReference"/>
                <w:rFonts w:ascii="Times New Roman" w:hAnsi="Times New Roman"/>
                <w:noProof/>
                <w:sz w:val="24"/>
              </w:rPr>
              <w:footnoteReference w:id="31"/>
            </w:r>
            <w:r>
              <w:rPr>
                <w:rFonts w:ascii="Times New Roman" w:hAnsi="Times New Roman"/>
                <w:noProof/>
                <w:sz w:val="24"/>
              </w:rPr>
              <w:t>.</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2.3 </w:t>
      </w:r>
      <w:r>
        <w:rPr>
          <w:noProof/>
        </w:rPr>
        <w:tab/>
      </w:r>
      <w:r>
        <w:rPr>
          <w:rFonts w:ascii="Times New Roman" w:hAnsi="Times New Roman"/>
          <w:b/>
          <w:noProof/>
          <w:sz w:val="24"/>
        </w:rPr>
        <w:t>Conformitate prin monitorizare și punere în aplicare</w:t>
      </w:r>
    </w:p>
    <w:p>
      <w:pPr>
        <w:pStyle w:val="ListParagraph"/>
        <w:spacing w:after="240" w:line="240" w:lineRule="auto"/>
        <w:ind w:left="0"/>
        <w:contextualSpacing w:val="0"/>
        <w:jc w:val="both"/>
        <w:rPr>
          <w:rFonts w:ascii="Times New Roman" w:hAnsi="Times New Roman"/>
          <w:bCs/>
          <w:noProof/>
          <w:sz w:val="24"/>
          <w:szCs w:val="24"/>
        </w:rPr>
      </w:pPr>
      <w:r>
        <w:rPr>
          <w:rFonts w:ascii="Times New Roman" w:hAnsi="Times New Roman"/>
          <w:noProof/>
          <w:sz w:val="24"/>
        </w:rPr>
        <w:t>UE are o poziție unică ce o ajută să perturbe piețele infracționale prin activitățile sale legislative și operaționale, incluzând cooperarea polițienească și vamală și fluxurile de finanțare, precum și prin cooperare și angajamente cu alte țări și organizații internaționale din domeniul aplicării legii</w:t>
      </w:r>
      <w:r>
        <w:rPr>
          <w:rStyle w:val="FootnoteReference"/>
          <w:rFonts w:ascii="Times New Roman" w:hAnsi="Times New Roman"/>
          <w:b/>
          <w:noProof/>
          <w:sz w:val="24"/>
        </w:rPr>
        <w:footnoteReference w:id="32"/>
      </w:r>
      <w:r>
        <w:rPr>
          <w:rFonts w:ascii="Times New Roman" w:hAnsi="Times New Roman"/>
          <w:noProof/>
          <w:sz w:val="24"/>
        </w:rPr>
        <w:t xml:space="preserve">. Europol și Agenția Europeană pentru Poliția de Frontieră și Garda de Coastă (EBCGA) pot juca un rol în acest domeniu. </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Cooperarea operațională</w:t>
      </w:r>
      <w:r>
        <w:rPr>
          <w:rFonts w:ascii="Times New Roman" w:hAnsi="Times New Roman"/>
          <w:noProof/>
          <w:sz w:val="24"/>
        </w:rPr>
        <w:t xml:space="preserve"> reprezintă unul dintre pilonii acțiunilor UE din cadrul Agendei europene privind securitatea. Începând cu perioada 2014-2017, ciclul de politici multianuale ale Europol privind formele grave de criminalitate internațională și criminalitatea organizată include combaterea traficului de arme de foc printre domeniile prioritare privind criminalitatea în care trebuie consolidată cooperarea pentru a asigura respectarea legii.</w:t>
      </w:r>
      <w:r>
        <w:rPr>
          <w:rStyle w:val="FootnoteReference"/>
          <w:rFonts w:ascii="Times New Roman" w:hAnsi="Times New Roman"/>
          <w:noProof/>
          <w:sz w:val="24"/>
        </w:rPr>
        <w:footnoteReference w:id="33"/>
      </w:r>
      <w:r>
        <w:rPr>
          <w:rFonts w:ascii="Times New Roman" w:hAnsi="Times New Roman"/>
          <w:noProof/>
          <w:sz w:val="24"/>
        </w:rPr>
        <w:t xml:space="preserve"> Această prioritate a fost menținută în noul ciclu de politici (2018-2021) privind formele grave de criminalitate internațională și criminalitatea organizată.</w:t>
      </w:r>
      <w:r>
        <w:rPr>
          <w:rStyle w:val="FootnoteReference"/>
          <w:rFonts w:ascii="Times New Roman" w:hAnsi="Times New Roman"/>
          <w:noProof/>
          <w:sz w:val="24"/>
        </w:rPr>
        <w:footnoteReference w:id="34"/>
      </w:r>
      <w:r>
        <w:rPr>
          <w:rFonts w:ascii="Times New Roman" w:hAnsi="Times New Roman"/>
          <w:noProof/>
          <w:sz w:val="24"/>
        </w:rPr>
        <w:t xml:space="preserve"> În anul 2017, proiectul Europol de analiză a armelor și explozivilor a primit un număr semnificativ mai mare de contribuții decât în 2016, sprijinind astfel în mod proactiv acțiunile de investigare.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Informațiile privind traficul de arme de foc/SALW sunt, de asemenea, comunicate prin intermediul rapoartelor de la Centrul de analiză a informațiilor al UE (INTCEN).</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Centrului de analiză a informațiilor al UE (EU-INTCEN) i se solicită, dacă este necesar, în cooperare cu Comisia, Europol și EBCGA, să elaboreze rapoarte privind traficul de SALW și muniții;</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Agenția Uniunii Europene pentru Formare în Materie de Aplicare a Legii (CEPOL) ar trebui să organizeze în continuare activități de formare pentru personalul responsabil cu aplicarea legii cu privire la traficul de arme de foc/SALW;</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UE va îmbunătăți cooperarea transfrontalieră dintre autoritățile judiciare și autoritățile de aplicare a legii, va încuraja autoritățile relevante ale statelor membre, inclusiv autoritățile vamale, să instituie puncte focale naționale cu privire la armele de foc, să realizeze o analiză mai bună a tuturor informațiilor disponibile în domeniul armelor de foc ilicite și să asigure participarea deplină la schimbul de informații cu Europol în domeniul traficului de arme de foc; și</w:t>
            </w:r>
          </w:p>
          <w:p>
            <w:pPr>
              <w:pStyle w:val="PlainText"/>
              <w:numPr>
                <w:ilvl w:val="0"/>
                <w:numId w:val="2"/>
              </w:numPr>
              <w:tabs>
                <w:tab w:val="left" w:pos="0"/>
              </w:tabs>
              <w:spacing w:after="240"/>
              <w:ind w:left="318" w:hanging="318"/>
              <w:jc w:val="both"/>
              <w:rPr>
                <w:rFonts w:ascii="Times New Roman" w:hAnsi="Times New Roman"/>
                <w:noProof/>
                <w:sz w:val="24"/>
                <w:szCs w:val="24"/>
              </w:rPr>
            </w:pPr>
            <w:r>
              <w:rPr>
                <w:rFonts w:ascii="Times New Roman" w:hAnsi="Times New Roman"/>
                <w:noProof/>
                <w:sz w:val="24"/>
              </w:rPr>
              <w:t>Toate statele membre trebuie să asigure cooperarea în cadrul ciclului de politici ale UE privind formele grave de criminalitate internațională și criminalitatea organizată. Acest lucru trebuie să se aplice, de asemenea, în cazul informațiilor colectate și transmise către EBCGA în contextul operațiunilor coordonate de către Agenție.</w:t>
            </w:r>
          </w:p>
        </w:tc>
      </w:tr>
    </w:tbl>
    <w:p>
      <w:pPr>
        <w:pStyle w:val="ListParagraph"/>
        <w:spacing w:after="0" w:line="240" w:lineRule="auto"/>
        <w:contextualSpacing w:val="0"/>
        <w:jc w:val="both"/>
        <w:rPr>
          <w:rFonts w:ascii="Times New Roman" w:hAnsi="Times New Roman" w:cs="Times New Roman"/>
          <w:bCs/>
          <w:noProof/>
          <w:sz w:val="24"/>
          <w:szCs w:val="24"/>
        </w:rPr>
      </w:pPr>
    </w:p>
    <w:p>
      <w:pPr>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 </w:t>
      </w:r>
      <w:r>
        <w:rPr>
          <w:noProof/>
        </w:rPr>
        <w:tab/>
      </w:r>
      <w:r>
        <w:rPr>
          <w:rFonts w:ascii="Times New Roman" w:hAnsi="Times New Roman"/>
          <w:b/>
          <w:noProof/>
          <w:sz w:val="24"/>
        </w:rPr>
        <w:t>Cooperarea și asistența internațională</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2.4.1 </w:t>
      </w:r>
      <w:r>
        <w:rPr>
          <w:noProof/>
        </w:rPr>
        <w:tab/>
      </w:r>
      <w:r>
        <w:rPr>
          <w:rFonts w:ascii="Times New Roman" w:hAnsi="Times New Roman"/>
          <w:b/>
          <w:noProof/>
          <w:sz w:val="24"/>
        </w:rPr>
        <w:t>La nivel internațional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nivel internațional, UE sprijină cooperarea transfrontalieră efectivă dintre agențiile judiciare și agențiile de aplicare a legii pentru a asigura participarea deplină a autorităților la schimbul de informații cu Europol în domeniul traficului de arme de foc. Aceasta are scopul de a evita suprapunerea eforturilor, de a asigura coordonarea cu alte inițiative bilaterale, regionale și multilaterale, precum și de a îmbunătăți cooperarea în anchetarea infracțiunilor transfrontaliere. </w:t>
      </w:r>
      <w:r>
        <w:rPr>
          <w:rFonts w:ascii="Times New Roman" w:hAnsi="Times New Roman"/>
          <w:noProof/>
          <w:color w:val="000000"/>
          <w:sz w:val="24"/>
        </w:rPr>
        <w:t>UE este un donator important pentru cooperarea în domeniul controlului SALW și pentru asistența acordată altor țări și organizații regionale prin intermediul deciziilor Consiliului său și prin sprijinul dedicat prin instrumentul care contribuie la stabilitate și pace (IcSP)</w:t>
      </w:r>
      <w:r>
        <w:rPr>
          <w:rStyle w:val="FootnoteReference"/>
          <w:rFonts w:ascii="Times New Roman" w:hAnsi="Times New Roman"/>
          <w:noProof/>
          <w:color w:val="000000"/>
          <w:sz w:val="24"/>
        </w:rPr>
        <w:footnoteReference w:id="35"/>
      </w:r>
      <w:r>
        <w:rPr>
          <w:rFonts w:ascii="Times New Roman" w:hAnsi="Times New Roman"/>
          <w:noProof/>
          <w:color w:val="000000"/>
          <w:sz w:val="24"/>
        </w:rPr>
        <w:t xml:space="preserve"> și prin alte instrumente. UE sprijină </w:t>
      </w:r>
      <w:r>
        <w:rPr>
          <w:rFonts w:ascii="Times New Roman" w:hAnsi="Times New Roman"/>
          <w:noProof/>
          <w:sz w:val="24"/>
        </w:rPr>
        <w:t>punerea în aplicare a Programului de acțiune al ONU împotriva SALW ilicite, a Tratatului privind comerțul cu arme și a Protocolului privind armele de foc. Deși violența pe criterii de gen cu arme de foc și SALW constituie, în orice caz, o încălcare a legislației privind drepturile omului și a dreptului internațional umanitar, Tratatul privind comerțul cu arme conține dispoziții explicite pentru abordarea riscurilor utilizării armelor de foc în acest context. Rezoluțiile Consiliului de securitate al ONU</w:t>
      </w:r>
      <w:r>
        <w:rPr>
          <w:rStyle w:val="FootnoteReference"/>
          <w:rFonts w:ascii="Times New Roman" w:hAnsi="Times New Roman"/>
          <w:noProof/>
          <w:sz w:val="24"/>
        </w:rPr>
        <w:footnoteReference w:id="36"/>
      </w:r>
      <w:r>
        <w:rPr>
          <w:rFonts w:ascii="Times New Roman" w:hAnsi="Times New Roman"/>
          <w:noProof/>
          <w:sz w:val="24"/>
        </w:rPr>
        <w:t xml:space="preserve"> solicită în mod specific capacitarea femeilor în eforturile de a preveni, combate și eradica transferul ilicit de SALW, de a destabiliza acumularea și folosirea necorespunzătoare a acestora.</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0"/>
              </w:tabs>
              <w:spacing w:after="120"/>
              <w:ind w:left="318" w:hanging="318"/>
              <w:jc w:val="both"/>
              <w:rPr>
                <w:rFonts w:ascii="Times New Roman" w:hAnsi="Times New Roman"/>
                <w:iCs/>
                <w:noProof/>
                <w:sz w:val="24"/>
                <w:szCs w:val="24"/>
              </w:rPr>
            </w:pPr>
            <w:r>
              <w:rPr>
                <w:rFonts w:ascii="Times New Roman" w:hAnsi="Times New Roman"/>
                <w:noProof/>
                <w:sz w:val="24"/>
              </w:rPr>
              <w:t>UE se va angaja în mod proactiv în programul global privind armele de foc al Biroului ONU pentru Droguri și Criminalitate (UNODC) privind colectarea la nivel global și analiza datelor referitoare la traficul de arme de foc și pentru consolidarea capacităților țărilor și subregiunilor partenere în vederea punerii în aplicare efective a controlului armelor de foc în conformitate cu protocolul privind armele de foc;</w:t>
            </w:r>
          </w:p>
          <w:p>
            <w:pPr>
              <w:pStyle w:val="PlainText"/>
              <w:numPr>
                <w:ilvl w:val="0"/>
                <w:numId w:val="2"/>
              </w:numPr>
              <w:tabs>
                <w:tab w:val="left" w:pos="0"/>
              </w:tabs>
              <w:spacing w:after="240"/>
              <w:ind w:left="318" w:hanging="318"/>
              <w:jc w:val="both"/>
              <w:rPr>
                <w:rFonts w:ascii="Times New Roman" w:hAnsi="Times New Roman"/>
                <w:iCs/>
                <w:noProof/>
                <w:sz w:val="24"/>
                <w:szCs w:val="24"/>
              </w:rPr>
            </w:pPr>
            <w:r>
              <w:rPr>
                <w:rFonts w:ascii="Times New Roman" w:hAnsi="Times New Roman"/>
                <w:noProof/>
                <w:sz w:val="24"/>
              </w:rPr>
              <w:t xml:space="preserve">UE va sprijini în continuare Registrul de arme ilicite și sistemul de gestionare a urmăririi ale Interpol (iARMS); </w:t>
            </w:r>
          </w:p>
          <w:p>
            <w:pPr>
              <w:pStyle w:val="PlainText"/>
              <w:numPr>
                <w:ilvl w:val="0"/>
                <w:numId w:val="2"/>
              </w:numPr>
              <w:tabs>
                <w:tab w:val="left" w:pos="0"/>
              </w:tabs>
              <w:spacing w:after="120"/>
              <w:ind w:left="318" w:hanging="318"/>
              <w:jc w:val="both"/>
              <w:rPr>
                <w:rFonts w:ascii="Times New Roman" w:hAnsi="Times New Roman"/>
                <w:iCs/>
                <w:noProof/>
                <w:sz w:val="24"/>
                <w:szCs w:val="24"/>
              </w:rPr>
            </w:pPr>
            <w:r>
              <w:rPr>
                <w:rFonts w:ascii="Times New Roman" w:hAnsi="Times New Roman"/>
                <w:noProof/>
                <w:sz w:val="24"/>
              </w:rPr>
              <w:t>UE va încuraja cooperarea și schimbul de informații, în special între țările care se află de-a lungul rutelor principale ale traficului din/către UE;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va coopera cu Organizația Mondială a Vămilor (WCO) în vederea punerii în aplicare a strategiei SALW;</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Înaltul Reprezentant va evalua și va analiza impactul și eficacitatea proiectelor privind controlul SALW sprijinite de UE în țările din afara UE în perioada 2005-2018 ca parte a punerii în aplicare a strategiei SALW 2005;</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UE va integra în mod sistematic considerente de gen în conceperea proiectelor noi referitoare la lupta împotriva violenței armate și la controlul SALW în general, precum și schimbul de bune practici în această privință;</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va promova și va pune în aplicare standarde și bune practici pentru gestionarea armelor de calibru mic (ISACS); și</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statele membre își vor îmbunătăți cooperarea cu Europol privind traficul de arme de foc ilicite și utilizarea armelor de foc în țări din afara UE și vor stimula implicarea în continuare a autorităților în acțiuni de cooperare operațională, schimb de informații și acțiuni comune de aplicare</w:t>
            </w:r>
            <w:r>
              <w:rPr>
                <w:noProof/>
              </w:rPr>
              <w:t xml:space="preserve"> </w:t>
            </w:r>
            <w:r>
              <w:rPr>
                <w:rFonts w:ascii="Times New Roman" w:hAnsi="Times New Roman"/>
                <w:noProof/>
                <w:sz w:val="24"/>
              </w:rPr>
              <w:t>a legii.</w:t>
            </w:r>
          </w:p>
        </w:tc>
      </w:tr>
    </w:tbl>
    <w:p>
      <w:pPr>
        <w:spacing w:after="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noProof/>
          <w:sz w:val="24"/>
        </w:rPr>
        <w:t>UE sprijină deja monitorizarea fluxurilor de SALW ilicite în zonele afectate de conflicte, pentru a identifica cele mai eficiente modalități de întrerupere a furnizării. Datele obținute prin identificare și urmărirea SALW și a munițiilor ilicite ajută la îmbunătățirea controlului exporturilor de arme, printre altele, prin îmbunătățirea evaluării riscurilor, prin certificarea utilizatorilor finali și prin monitorizarea utilizării finale.</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Consiliul este invitat să analizeze</w:t>
            </w:r>
            <w:r>
              <w:rPr>
                <w:rFonts w:ascii="Times New Roman" w:hAnsi="Times New Roman"/>
                <w:noProof/>
                <w:color w:val="000000"/>
                <w:sz w:val="24"/>
              </w:rPr>
              <w:t xml:space="preserve"> modalitățile de îmbunătățire a monitorizării și a punerii în aplicare a embargourilor impuse de UE asupra armelor;</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UE va</w:t>
            </w:r>
            <w:r>
              <w:rPr>
                <w:rFonts w:ascii="Times New Roman" w:hAnsi="Times New Roman"/>
                <w:noProof/>
                <w:color w:val="000000"/>
                <w:sz w:val="24"/>
              </w:rPr>
              <w:t xml:space="preserve"> sprijini activitățile grupurilor ONU, care monitorizează embargourile asupra armelor, și va </w:t>
            </w:r>
            <w:r>
              <w:rPr>
                <w:rFonts w:ascii="Times New Roman" w:hAnsi="Times New Roman"/>
                <w:noProof/>
                <w:sz w:val="24"/>
              </w:rPr>
              <w:t>analiza</w:t>
            </w:r>
            <w:r>
              <w:rPr>
                <w:rFonts w:ascii="Times New Roman" w:hAnsi="Times New Roman"/>
                <w:noProof/>
                <w:color w:val="000000"/>
                <w:sz w:val="24"/>
              </w:rPr>
              <w:t xml:space="preserve"> modalitățile de îmbunătățire a accesului la constatările acestora privind deturnarea și armele de foc și SALW ilicite în scopul controlului exporturilor de arme;</w:t>
            </w:r>
          </w:p>
          <w:p>
            <w:pPr>
              <w:pStyle w:val="PlainText"/>
              <w:numPr>
                <w:ilvl w:val="0"/>
                <w:numId w:val="2"/>
              </w:numPr>
              <w:spacing w:after="120"/>
              <w:ind w:left="318" w:hanging="284"/>
              <w:jc w:val="both"/>
              <w:rPr>
                <w:rFonts w:ascii="Times New Roman" w:hAnsi="Times New Roman"/>
                <w:noProof/>
                <w:sz w:val="24"/>
                <w:szCs w:val="24"/>
              </w:rPr>
            </w:pPr>
            <w:r>
              <w:rPr>
                <w:rFonts w:ascii="Times New Roman" w:hAnsi="Times New Roman"/>
                <w:noProof/>
                <w:sz w:val="24"/>
              </w:rPr>
              <w:t>dacă acest lucru este relevant și se încadrează în mandatul lor, luând în același timp în considerare achizițiile de la nivel local și resursele disponibile, Consiliul este invitat să acorde misiunilor și operațiunilor din cadrul Politicii de securitate și apărare comună (PSAC) un rol pentru a sprijini creșterea gradului de conștientizare cu privire la SALW și organizarea de activități de formare privind controlul SALW, pentru a sprijini gestionarea corespunzătoare a stocurilor, monitorizarea circulației SALW și a munițiilor ilicite (inclusiv traficul transfrontalier), după caz. Dacă este cazul și la instrucțiunile statelor membre, misiunile și operațiunile PSAC ar putea sprijini, de asemenea, facilitarea înregistrării, urmăririi și eliminării SALW ilicite confiscate. Consiliul s-ar putea baza pe lecțiile învățate din angajamentele PSAC ale căror mandate conțin sarcini referitoare la SALW (de exemplu, EUFOR Althea în Bosnia și Herțegovina);</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UE va finanța în continuare eforturile de cercetare care vizează originile SALW ilicite în zonele de conflict, cum ar fi proiectul iTrace al Conflict Armament Research. Va continua să încurajeze cercetarea, analiza și studiile din acest domeniu, bazându-se pe capacitățile existente precum Consorțiul UE pentru neproliferare și dezarmare, și </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UE va sprijini </w:t>
            </w:r>
            <w:r>
              <w:rPr>
                <w:rFonts w:ascii="Times New Roman" w:hAnsi="Times New Roman"/>
                <w:noProof/>
                <w:color w:val="000000"/>
                <w:sz w:val="24"/>
              </w:rPr>
              <w:t>capacitățile naționale în zonele afectate de conflicte pentru a identifica și a urmări originile SALW și ale munițiilor ilicite în zonele de conflict, utilizând, de asemenea, experiența proiectului iTrace.</w:t>
            </w:r>
          </w:p>
        </w:tc>
      </w:tr>
    </w:tbl>
    <w:p>
      <w:pPr>
        <w:spacing w:after="0" w:line="240" w:lineRule="auto"/>
        <w:jc w:val="both"/>
        <w:rPr>
          <w:rFonts w:ascii="Times New Roman" w:hAnsi="Times New Roman" w:cs="Times New Roman"/>
          <w:bCs/>
          <w:noProof/>
          <w:sz w:val="24"/>
          <w:szCs w:val="24"/>
        </w:rPr>
      </w:pPr>
    </w:p>
    <w:p>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2.4.2</w:t>
      </w:r>
      <w:r>
        <w:rPr>
          <w:noProof/>
        </w:rPr>
        <w:tab/>
      </w:r>
      <w:r>
        <w:rPr>
          <w:rFonts w:ascii="Times New Roman" w:hAnsi="Times New Roman"/>
          <w:b/>
          <w:noProof/>
          <w:sz w:val="24"/>
        </w:rPr>
        <w:t xml:space="preserve"> La nivel regional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nivel regional, UE și statele membre ale acesteia vor consolida capacitățile de aplicare a legii pentru a identifica, perturba și interzice rețelele de trafic și pentru a împiedica ca armele de foc să ajungă la teroriști și infractori prin intermediul pieței ilicite, printre altele prin blocarea finanțării și transporturilor ilicite de arme și prin consolidarea rolului poliției de frontieră, al autorităților vamale și portuare în rezolvarea fluxurilor de arme ilicite prin intermediul transportului maritim. Din cauza caracterului transfrontalier al traficului de arme, este deosebit de important să fie implicate țările vecine, chiar dacă acestea nu sunt afectate în mod direct. </w:t>
      </w:r>
    </w:p>
    <w:p>
      <w:pPr>
        <w:spacing w:after="240" w:line="240" w:lineRule="auto"/>
        <w:jc w:val="both"/>
        <w:rPr>
          <w:rFonts w:ascii="Times New Roman" w:hAnsi="Times New Roman" w:cs="Times New Roman"/>
          <w:noProof/>
          <w:sz w:val="24"/>
          <w:szCs w:val="24"/>
        </w:rPr>
      </w:pPr>
      <w:r>
        <w:rPr>
          <w:rFonts w:ascii="Times New Roman" w:hAnsi="Times New Roman"/>
          <w:noProof/>
          <w:sz w:val="24"/>
        </w:rPr>
        <w:t>UE va încuraja legăturile dintre personalul de aplicare a legii din domeniul traficului de arme și autoritățile de control al comercializării și exporturilor de arme, pentru a asigura schimbul de informații privind rutele principale ale fluxurilor ilicite în Europa, în vederea luării unor măsuri preventive sau de remediere. Acest măsuri vor include stimularea schimbului de informații, comunicarea directă dintre organele de anchetă, investigații planificate în comun și punerea în aplicare fără probleme a cererilor de cooperare, toate acestea în cadrul juridic instituit. O atenție deosebită va fi acordată cooperării transfrontaliere cu vecinătatea sudică și cu cea estică.</w:t>
      </w:r>
    </w:p>
    <w:p>
      <w:pPr>
        <w:spacing w:after="240" w:line="240" w:lineRule="auto"/>
        <w:jc w:val="both"/>
        <w:rPr>
          <w:rFonts w:ascii="Times New Roman" w:hAnsi="Times New Roman" w:cs="Times New Roman"/>
          <w:noProof/>
          <w:sz w:val="24"/>
          <w:szCs w:val="24"/>
        </w:rPr>
      </w:pPr>
      <w:r>
        <w:rPr>
          <w:rFonts w:ascii="Times New Roman" w:hAnsi="Times New Roman"/>
          <w:noProof/>
          <w:sz w:val="24"/>
        </w:rPr>
        <w:t>Europol va lua în considerare, în mod special, sprijinirea eforturilor poliției și autorităților vamale din statele membre, precum și a eforturilor organismelor Uniunii, ale țărilor din afara UE și ale organizațiilor internaționale pentru prevenirea și combaterea formelor de criminalitate care se încadrează în mandatul său și care sunt asociate activităților ilicite ale organizațiilor criminale și ale persoanelor fizice implicate în posesia ilegală și traficul de SALW, inclusiv munițiile, piesele și componentele acestora.</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UE va consolida dialogul și cooperarea cu organizațiile regionale care desfășoară activități privind controlul SALW prin alinierea activităților sale cu strategiile și planurile de acțiune regionale. </w:t>
      </w: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Balcanii de Vest</w:t>
      </w:r>
    </w:p>
    <w:p>
      <w:pPr>
        <w:spacing w:after="240" w:line="240" w:lineRule="auto"/>
        <w:jc w:val="both"/>
        <w:rPr>
          <w:rFonts w:ascii="Times New Roman" w:hAnsi="Times New Roman" w:cs="Times New Roman"/>
          <w:noProof/>
          <w:sz w:val="24"/>
          <w:szCs w:val="24"/>
        </w:rPr>
      </w:pPr>
      <w:r>
        <w:rPr>
          <w:rFonts w:ascii="Times New Roman" w:hAnsi="Times New Roman"/>
          <w:noProof/>
          <w:sz w:val="24"/>
        </w:rPr>
        <w:t>În conformitate cu obiectivele strategice stabilite în Comunicarea Comisiei privind „O perspectivă credibilă de aderare pentru Balcanii de Vest și un angajament sporit al UE în regiune” (inițiativa emblematică 2; securitate și migrație)</w:t>
      </w:r>
      <w:r>
        <w:rPr>
          <w:rStyle w:val="FootnoteReference"/>
          <w:rFonts w:ascii="Times New Roman" w:hAnsi="Times New Roman"/>
          <w:noProof/>
          <w:sz w:val="24"/>
        </w:rPr>
        <w:footnoteReference w:id="37"/>
      </w:r>
      <w:r>
        <w:rPr>
          <w:rFonts w:ascii="Times New Roman" w:hAnsi="Times New Roman"/>
          <w:noProof/>
          <w:sz w:val="24"/>
        </w:rPr>
        <w:t>, UE va sprijini în continuare</w:t>
      </w:r>
      <w:r>
        <w:rPr>
          <w:rFonts w:ascii="Times New Roman" w:hAnsi="Times New Roman"/>
          <w:noProof/>
          <w:color w:val="000000"/>
          <w:sz w:val="24"/>
        </w:rPr>
        <w:t xml:space="preserve"> Biroul de control pentru Europa de Sud</w:t>
      </w:r>
      <w:r>
        <w:rPr>
          <w:noProof/>
        </w:rPr>
        <w:noBreakHyphen/>
      </w:r>
      <w:r>
        <w:rPr>
          <w:rFonts w:ascii="Times New Roman" w:hAnsi="Times New Roman"/>
          <w:noProof/>
          <w:color w:val="000000"/>
          <w:sz w:val="24"/>
        </w:rPr>
        <w:t xml:space="preserve">Est și de Est asupra armelor de calibru mic și a armamentului ușor (SEESAC) al UNDP, </w:t>
      </w:r>
      <w:r>
        <w:rPr>
          <w:rFonts w:ascii="Times New Roman" w:hAnsi="Times New Roman"/>
          <w:noProof/>
          <w:sz w:val="24"/>
        </w:rPr>
        <w:t xml:space="preserve">va menține cooperarea cu organizațiile regionale relevante din domeniul controlului SALW și va lua în considerare inițiativele regionale, precum Foaia de parcurs privind abordarea SALW ilicite în Balcanii de Vest. În sens mai larg, va continua să investească în prevenirea și soluționarea conflictelor regionale printr-o gamă largă de instrumente și politici. Această strategie se concentrează pe controlul armelor convenționale, care reprezintă o componentă esențială a politicilor mai largi de prevenire a conflictelor și de combatere a terorismului. </w:t>
      </w:r>
    </w:p>
    <w:p>
      <w:pPr>
        <w:spacing w:after="240" w:line="240" w:lineRule="auto"/>
        <w:jc w:val="both"/>
        <w:rPr>
          <w:rFonts w:ascii="Times New Roman" w:hAnsi="Times New Roman" w:cs="Times New Roman"/>
          <w:noProof/>
          <w:sz w:val="24"/>
          <w:szCs w:val="24"/>
        </w:rPr>
      </w:pPr>
      <w:r>
        <w:rPr>
          <w:rFonts w:ascii="Times New Roman" w:hAnsi="Times New Roman"/>
          <w:noProof/>
          <w:sz w:val="24"/>
        </w:rPr>
        <w:t>Deși s-au înregistrat progrese semnificative în ultimii ani, în special în Europa de Sud</w:t>
      </w:r>
      <w:r>
        <w:rPr>
          <w:noProof/>
        </w:rPr>
        <w:noBreakHyphen/>
      </w:r>
      <w:r>
        <w:rPr>
          <w:rFonts w:ascii="Times New Roman" w:hAnsi="Times New Roman"/>
          <w:noProof/>
          <w:sz w:val="24"/>
        </w:rPr>
        <w:t>Est, scara de acumulare a SALW și a munițiilor, condițiile inadecvate de depozitare, posesia ilicită întâlnită pe scară largă și lacunele în punerea în aplicare limitează în continuare eficacitatea eforturilor de control al armelor de foc/SALW în unele părți din Balcanii de Vest. Pentru a aborda mai eficient problema furnizării de arme de foc ilicite și stocul mare de arme, va fi acordată prioritate distrugerii surplusului, documentării și urmăririi SALW ilicite, schimbului de informații prin utilizarea canalelor europene, regionale și globale de schimb de informații (de exemplu, Europol, Interpol), precum și instituirii și desfășurării de operațiuni comune.</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rPr>
          <w:trHeight w:val="3245"/>
        </w:trP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va</w:t>
            </w:r>
            <w:r>
              <w:rPr>
                <w:rFonts w:ascii="Times New Roman" w:hAnsi="Times New Roman"/>
                <w:noProof/>
                <w:color w:val="000000"/>
                <w:sz w:val="24"/>
              </w:rPr>
              <w:t xml:space="preserve"> sprijini eforturile de reducere a surplusului stocurilor de SALW și de muniții, de reducere a posesiei ilegale, de a contracara deturnarea și traficul de arme, de a îmbunătăți controalele la frontieră, de a îmbunătăți marcarea, ținerea evidențelor și urmărirea SALW, precum și a capacităților de eliminare, pentru a crește nivelul de conștientizare și pentru a sprijini capacitățile de aplicare a legii; luând în considerare sprijinul de lungă durată acordat Biroului de control pentru Europa de Sud-Est și de Est asupra armelor de calibru mic și a armamentului ușor (SEESAC) al UNDP, UE va menține sprijinul pentru sistemele naționale de control și va lua în considerare inițiativele regionale relevante pentru contracararea SALW ilicite și a munițiilor acestora, cum ar fi inițiativa privind Foaia de parcurs;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și statele sale membre vor</w:t>
            </w:r>
            <w:r>
              <w:rPr>
                <w:rFonts w:ascii="Times New Roman" w:hAnsi="Times New Roman"/>
                <w:noProof/>
                <w:color w:val="000000"/>
                <w:sz w:val="24"/>
              </w:rPr>
              <w:t xml:space="preserve"> asigura cooperarea coerentă dintre Uniune și țările din regiunea Balcanilor de Vest prin punerea în aplicare a inițiativelor de combatere a traficului de arme de foc, prevăzute în ciclul de politici </w:t>
            </w:r>
            <w:r>
              <w:rPr>
                <w:rFonts w:ascii="Times New Roman" w:hAnsi="Times New Roman"/>
                <w:noProof/>
                <w:sz w:val="24"/>
              </w:rPr>
              <w:t>2018-2021 privind formele grave de criminalitate internațională și criminalitate organizată care include operațiuni specifice (</w:t>
            </w:r>
            <w:r>
              <w:rPr>
                <w:rFonts w:ascii="Times New Roman" w:hAnsi="Times New Roman"/>
                <w:noProof/>
                <w:color w:val="000000"/>
                <w:sz w:val="24"/>
              </w:rPr>
              <w:t>arme de foc EMPACT)</w:t>
            </w:r>
            <w:r>
              <w:rPr>
                <w:rStyle w:val="FootnoteReference"/>
                <w:rFonts w:ascii="Times New Roman" w:hAnsi="Times New Roman"/>
                <w:noProof/>
                <w:color w:val="000000"/>
                <w:sz w:val="24"/>
              </w:rPr>
              <w:footnoteReference w:id="38"/>
            </w:r>
            <w:r>
              <w:rPr>
                <w:rFonts w:ascii="Times New Roman" w:hAnsi="Times New Roman"/>
                <w:noProof/>
                <w:color w:val="000000"/>
                <w:sz w:val="24"/>
              </w:rPr>
              <w:t xml:space="preserve"> și planul de acțiune UE-Balcanii de Vest din cadrul guvernanței integratoare în materie de securitate internă (IISG) în Balcanii de Vest;</w:t>
            </w:r>
          </w:p>
          <w:p>
            <w:pPr>
              <w:pStyle w:val="PlainText"/>
              <w:numPr>
                <w:ilvl w:val="0"/>
                <w:numId w:val="2"/>
              </w:numPr>
              <w:tabs>
                <w:tab w:val="left" w:pos="0"/>
              </w:tabs>
              <w:spacing w:after="240"/>
              <w:ind w:left="318" w:hanging="318"/>
              <w:jc w:val="both"/>
              <w:rPr>
                <w:rFonts w:ascii="Times New Roman" w:eastAsia="Times New Roman" w:hAnsi="Times New Roman"/>
                <w:noProof/>
                <w:color w:val="000000"/>
                <w:sz w:val="24"/>
                <w:szCs w:val="24"/>
              </w:rPr>
            </w:pPr>
            <w:r>
              <w:rPr>
                <w:rFonts w:ascii="Times New Roman" w:hAnsi="Times New Roman"/>
                <w:noProof/>
                <w:sz w:val="24"/>
              </w:rPr>
              <w:t>UE și statele membre ale acesteia vor</w:t>
            </w:r>
            <w:r>
              <w:rPr>
                <w:rFonts w:ascii="Times New Roman" w:hAnsi="Times New Roman"/>
                <w:noProof/>
                <w:color w:val="000000"/>
                <w:sz w:val="24"/>
              </w:rPr>
              <w:t xml:space="preserve"> coordona eforturile UE cu alte inițiative bilaterale, regionale sau multilaterale pentru a reduce riscul suprapunerii și pentru a îmbunătăți eficiența cooperării în investigațiile privind infracțiunile transfrontaliere, în conformitate cu Concluziile Consiliului din 13 decembrie 2016;</w:t>
            </w:r>
            <w:r>
              <w:rPr>
                <w:rFonts w:ascii="Times New Roman" w:hAnsi="Times New Roman"/>
                <w:noProof/>
                <w:color w:val="000000"/>
                <w:sz w:val="24"/>
                <w:vertAlign w:val="superscript"/>
              </w:rPr>
              <w:footnoteReference w:id="39"/>
            </w:r>
            <w:r>
              <w:rPr>
                <w:rFonts w:ascii="Times New Roman" w:hAnsi="Times New Roman"/>
                <w:noProof/>
                <w:color w:val="000000"/>
                <w:sz w:val="24"/>
              </w:rPr>
              <w:t xml:space="preserve"> și</w:t>
            </w:r>
          </w:p>
          <w:p>
            <w:pPr>
              <w:pStyle w:val="PlainText"/>
              <w:keepNext/>
              <w:numPr>
                <w:ilvl w:val="0"/>
                <w:numId w:val="2"/>
              </w:numPr>
              <w:tabs>
                <w:tab w:val="left" w:pos="0"/>
              </w:tabs>
              <w:spacing w:after="120"/>
              <w:ind w:left="318" w:hanging="318"/>
              <w:jc w:val="both"/>
              <w:rPr>
                <w:rFonts w:ascii="Times New Roman" w:hAnsi="Times New Roman"/>
                <w:b/>
                <w:i/>
                <w:noProof/>
                <w:sz w:val="24"/>
                <w:szCs w:val="24"/>
              </w:rPr>
            </w:pPr>
            <w:r>
              <w:rPr>
                <w:rFonts w:ascii="Times New Roman" w:hAnsi="Times New Roman"/>
                <w:noProof/>
                <w:sz w:val="24"/>
              </w:rPr>
              <w:t>UE și statele membre ale acesteia vor</w:t>
            </w:r>
            <w:r>
              <w:rPr>
                <w:rFonts w:ascii="Times New Roman" w:hAnsi="Times New Roman"/>
                <w:noProof/>
                <w:color w:val="000000"/>
                <w:sz w:val="24"/>
              </w:rPr>
              <w:t xml:space="preserve"> utiliza pe deplin și vor crea sinergii între ofițerii de legătură Europol care își vor desfășura activitatea în Balcanii de Vest, SEESAC</w:t>
            </w:r>
            <w:r>
              <w:rPr>
                <w:rFonts w:ascii="Times New Roman" w:hAnsi="Times New Roman"/>
                <w:noProof/>
                <w:color w:val="000000"/>
                <w:sz w:val="24"/>
                <w:vertAlign w:val="superscript"/>
              </w:rPr>
              <w:footnoteReference w:id="40"/>
            </w:r>
            <w:r>
              <w:rPr>
                <w:rFonts w:ascii="Times New Roman" w:hAnsi="Times New Roman"/>
                <w:noProof/>
                <w:color w:val="000000"/>
                <w:sz w:val="24"/>
              </w:rPr>
              <w:t xml:space="preserve"> și programarea regională din cadrul instrumentului de asistență pentru preaderare (IPA) privind „combaterea formelor grave de infracționalitate în Balcanii de Vest”</w:t>
            </w:r>
            <w:r>
              <w:rPr>
                <w:rFonts w:ascii="Times New Roman" w:hAnsi="Times New Roman"/>
                <w:noProof/>
                <w:color w:val="000000"/>
                <w:sz w:val="24"/>
                <w:vertAlign w:val="superscript"/>
              </w:rPr>
              <w:footnoteReference w:id="41"/>
            </w:r>
            <w:r>
              <w:rPr>
                <w:rFonts w:ascii="Times New Roman" w:hAnsi="Times New Roman"/>
                <w:noProof/>
                <w:color w:val="000000"/>
                <w:sz w:val="24"/>
              </w:rPr>
              <w:t xml:space="preserve"> și „măsurarea și evaluarea criminalității organizate în Balcanii de Vest: sprijinirea elaborării de politici bazate pe date concrete”.</w:t>
            </w:r>
            <w:r>
              <w:rPr>
                <w:rFonts w:ascii="Times New Roman" w:hAnsi="Times New Roman"/>
                <w:noProof/>
                <w:color w:val="000000"/>
                <w:sz w:val="24"/>
                <w:vertAlign w:val="superscript"/>
              </w:rPr>
              <w:footnoteReference w:id="42"/>
            </w:r>
            <w:r>
              <w:rPr>
                <w:rFonts w:ascii="Times New Roman" w:hAnsi="Times New Roman"/>
                <w:noProof/>
                <w:color w:val="000000"/>
                <w:sz w:val="24"/>
              </w:rPr>
              <w:t xml:space="preserve"> </w:t>
            </w:r>
          </w:p>
          <w:p>
            <w:pPr>
              <w:pStyle w:val="PlainText"/>
              <w:keepNext/>
              <w:spacing w:after="120"/>
              <w:jc w:val="both"/>
              <w:rPr>
                <w:rFonts w:ascii="Times New Roman" w:hAnsi="Times New Roman"/>
                <w:b/>
                <w:i/>
                <w:noProof/>
                <w:sz w:val="24"/>
                <w:szCs w:val="24"/>
              </w:rPr>
            </w:pPr>
            <w:r>
              <w:rPr>
                <w:rFonts w:ascii="Times New Roman" w:hAnsi="Times New Roman"/>
                <w:b/>
                <w:i/>
                <w:noProof/>
                <w:sz w:val="24"/>
              </w:rPr>
              <w:t>Etapele următoare:</w:t>
            </w:r>
          </w:p>
          <w:p>
            <w:pPr>
              <w:pStyle w:val="Default"/>
              <w:numPr>
                <w:ilvl w:val="0"/>
                <w:numId w:val="7"/>
              </w:numPr>
              <w:ind w:left="318" w:hanging="318"/>
              <w:jc w:val="both"/>
              <w:rPr>
                <w:rFonts w:ascii="Times New Roman" w:eastAsia="Times New Roman" w:hAnsi="Times New Roman" w:cs="Times New Roman"/>
                <w:noProof/>
              </w:rPr>
            </w:pPr>
            <w:r>
              <w:rPr>
                <w:rFonts w:ascii="Times New Roman" w:hAnsi="Times New Roman"/>
                <w:noProof/>
              </w:rPr>
              <w:t>Planul de acțiune 2015-2019 privind traficul ilicit de arme de foc va fi evaluat pentru a stabili eficacitatea acestuia în soluționarea problemei referitoare la furnizarea de arme de foc ilicite și la stocurile mari de arme; și</w:t>
            </w:r>
          </w:p>
          <w:p>
            <w:pPr>
              <w:pStyle w:val="Default"/>
              <w:ind w:left="318" w:hanging="318"/>
              <w:jc w:val="both"/>
              <w:rPr>
                <w:rFonts w:ascii="Times New Roman" w:eastAsia="Times New Roman" w:hAnsi="Times New Roman" w:cs="Times New Roman"/>
                <w:noProof/>
              </w:rPr>
            </w:pPr>
          </w:p>
          <w:p>
            <w:pPr>
              <w:pStyle w:val="Default"/>
              <w:numPr>
                <w:ilvl w:val="0"/>
                <w:numId w:val="7"/>
              </w:numPr>
              <w:ind w:left="318" w:hanging="318"/>
              <w:jc w:val="both"/>
              <w:rPr>
                <w:rFonts w:ascii="Times New Roman" w:eastAsia="Times New Roman" w:hAnsi="Times New Roman" w:cs="Times New Roman"/>
                <w:noProof/>
              </w:rPr>
            </w:pPr>
            <w:r>
              <w:rPr>
                <w:rFonts w:ascii="Times New Roman" w:hAnsi="Times New Roman"/>
                <w:noProof/>
              </w:rPr>
              <w:t>Ciclul de politici UE privind criminalitatea organizată va fi extins în măsura în care acest lucru este posibil pentru a include Balcanii de Vest în activitățile sale operaționale. Țările din Balcanii de Vest vor fi invitate să ia parte la proiectele din cadrul Platformei multidisciplinare europene împotriva amenințărilor infracționale și la reuniunile Comitetului permanent pentru cooperarea operațională în materie de securitate internă, inclusiv la reuniunile organizate ad-hoc împreună cu Comitetul politic și de securitate, atunci când sunt discutate proiectele.</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Vecinătatea estică</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Instabilitatea actuală din Europa de Est a ridicat nivelul traficului ilicit de arme de foc în diferite țări din regiune, cum ar fi Ucraina. Acest lucru reprezintă o amenințare pe termen lung la adresa securității atât pentru Ucraina, cât și pentru UE. Cooperarea dintre UE și Ucraina în această privință prezintă, astfel, interes pentru ambele părți. UE își urmează angajamentul bilateral cu Ucraina și alte țări din regiune și integrează sistematic lupta împotriva SALW ilicite în toate dialogurile în materie de securitate cu țările partenere din vecinătate.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rPr>
            </w:pPr>
            <w:r>
              <w:rPr>
                <w:rFonts w:ascii="Times New Roman" w:hAnsi="Times New Roman"/>
                <w:b/>
                <w:i/>
                <w:noProof/>
                <w:sz w:val="24"/>
              </w:rPr>
              <w:t>Acțiuni:</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UE și statele sale membre acesteia vor integra lupta împotriva traficului de arme de foc/SALW în contextul dialogului în materie de securitate cu țările partenere din vecinătate, precum Ucraina;</w:t>
            </w:r>
          </w:p>
          <w:p>
            <w:pPr>
              <w:pStyle w:val="PlainText"/>
              <w:numPr>
                <w:ilvl w:val="0"/>
                <w:numId w:val="2"/>
              </w:numPr>
              <w:tabs>
                <w:tab w:val="left" w:pos="0"/>
              </w:tabs>
              <w:spacing w:after="120"/>
              <w:ind w:left="318" w:hanging="318"/>
              <w:jc w:val="both"/>
              <w:rPr>
                <w:rFonts w:ascii="Times New Roman" w:hAnsi="Times New Roman"/>
                <w:noProof/>
                <w:sz w:val="24"/>
                <w:szCs w:val="24"/>
              </w:rPr>
            </w:pPr>
            <w:r>
              <w:rPr>
                <w:rFonts w:ascii="Times New Roman" w:hAnsi="Times New Roman"/>
                <w:noProof/>
                <w:sz w:val="24"/>
              </w:rPr>
              <w:t>UE și statele sale membre vor institui canale de comunicare între experții UE și experții ucraineni, vor identifica un punct de contact pentru a asigura cooperarea fluidă, creșterea nivelului de conștientizare, pentru partajarea bunelor practici și a expertizei și, de asemenea, vor identifica nevoile de formare și alte măsuri de sprijin pentru consolidarea capacităților Ucrainei în acest domeniu; și</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UE și statele sale membre vor participa în continuare la o masă rotundă permanentă pe probleme tehnice cu Ucraina pentru soluționarea problemei presante a traficului ilicit de arme de foc și a riscurilor asociate cazurilor în care aceste arme intră în posesia teroriștilor și a grupurilor de criminalitate organizată.</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rPr>
        <w:t xml:space="preserve">Vecinătatea sudică </w:t>
      </w:r>
    </w:p>
    <w:p>
      <w:pPr>
        <w:spacing w:after="240" w:line="240" w:lineRule="auto"/>
        <w:jc w:val="both"/>
        <w:rPr>
          <w:rFonts w:ascii="Times New Roman" w:hAnsi="Times New Roman" w:cs="Times New Roman"/>
          <w:noProof/>
          <w:sz w:val="24"/>
          <w:szCs w:val="24"/>
        </w:rPr>
      </w:pPr>
      <w:r>
        <w:rPr>
          <w:rFonts w:ascii="Times New Roman" w:hAnsi="Times New Roman"/>
          <w:noProof/>
          <w:sz w:val="24"/>
        </w:rPr>
        <w:t>Conflictele armate de lungă durată cu repercusiuni însemnate la nivel regional din Orientul Mijlociu și Africa de Nord (MENA) continuă să fie alimentate prin deturnarea și traficul de SALW. SALW ilicite din această regiune provin din mai multe surse, inclusiv din stocurile cu nivel scăzut de securitate și SALW din producția legală și exporturile autorizate ale statelor membre ale UE, care au fost deturnate ulterior către utilizatori finali neautorizați.</w:t>
      </w:r>
    </w:p>
    <w:p>
      <w:pPr>
        <w:spacing w:after="240" w:line="240" w:lineRule="auto"/>
        <w:jc w:val="both"/>
        <w:rPr>
          <w:rFonts w:ascii="Times New Roman" w:hAnsi="Times New Roman" w:cs="Times New Roman"/>
          <w:noProof/>
          <w:sz w:val="24"/>
          <w:szCs w:val="24"/>
        </w:rPr>
      </w:pPr>
      <w:r>
        <w:rPr>
          <w:rFonts w:ascii="Times New Roman" w:hAnsi="Times New Roman"/>
          <w:noProof/>
          <w:sz w:val="24"/>
        </w:rPr>
        <w:t>Ciclul de politici ale UE pentru 2018-2021 privind formele grave de criminalitate internațională și criminalitate organizată include acțiuni operaționale specifice în aceste regiuni în vederea îmbunătățirii cooperării în domeniul traficului ilicit de arme de foc. Aprofundarea cooperării bilaterale este esențială pentru contracararea mai eficientă a dimensiunii transnaționale a traficului ilegal de arme de foc în întreaga regiune. Prin urmare, coordonarea UE-MENA în acest domeniu ar trebui încurajată, ținând seama de necesitatea de a evita suprapunerea eforturilor și de a asigura coerența și coordonarea cu inițiativele existente sprijinite sau finanțate de UE.</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eastAsia="Times New Roman" w:hAnsi="Times New Roman"/>
                <w:b/>
                <w:i/>
                <w:noProof/>
                <w:color w:val="000000"/>
                <w:sz w:val="24"/>
                <w:szCs w:val="24"/>
              </w:rPr>
            </w:pPr>
            <w:r>
              <w:rPr>
                <w:rFonts w:ascii="Times New Roman" w:hAnsi="Times New Roman"/>
                <w:b/>
                <w:i/>
                <w:noProof/>
                <w:sz w:val="24"/>
              </w:rPr>
              <w:t>Acțiuni în Orientul Mijlociu și Africa de Nord:</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UE va căuta să</w:t>
            </w:r>
            <w:r>
              <w:rPr>
                <w:rFonts w:ascii="Times New Roman" w:hAnsi="Times New Roman"/>
                <w:noProof/>
                <w:color w:val="000000"/>
                <w:sz w:val="24"/>
              </w:rPr>
              <w:t xml:space="preserve"> îmbunătățească cooperarea cu </w:t>
            </w:r>
            <w:r>
              <w:rPr>
                <w:rFonts w:ascii="Times New Roman" w:hAnsi="Times New Roman"/>
                <w:b/>
                <w:noProof/>
                <w:color w:val="000000"/>
                <w:sz w:val="24"/>
              </w:rPr>
              <w:t>Algeria</w:t>
            </w:r>
            <w:r>
              <w:rPr>
                <w:rFonts w:ascii="Times New Roman" w:hAnsi="Times New Roman"/>
                <w:noProof/>
                <w:color w:val="000000"/>
                <w:sz w:val="24"/>
              </w:rPr>
              <w:t>, printr-un dialog privind securitatea, în ceea ce privește controlul transferului armelor de foc și combaterea traficului ilegal de arme de calibru mic;</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UE va sprijini</w:t>
            </w:r>
            <w:r>
              <w:rPr>
                <w:rFonts w:ascii="Times New Roman" w:hAnsi="Times New Roman"/>
                <w:noProof/>
                <w:color w:val="000000"/>
                <w:sz w:val="24"/>
              </w:rPr>
              <w:t xml:space="preserve"> în continuare </w:t>
            </w:r>
            <w:r>
              <w:rPr>
                <w:rFonts w:ascii="Times New Roman" w:hAnsi="Times New Roman"/>
                <w:b/>
                <w:noProof/>
                <w:color w:val="000000"/>
                <w:sz w:val="24"/>
              </w:rPr>
              <w:t>Tunisia</w:t>
            </w:r>
            <w:r>
              <w:rPr>
                <w:rFonts w:ascii="Times New Roman" w:hAnsi="Times New Roman"/>
                <w:noProof/>
                <w:color w:val="000000"/>
                <w:sz w:val="24"/>
              </w:rPr>
              <w:t xml:space="preserve"> în reforma sectorului securității și a gestionării frontierelor, în principal printr-un program de finanțare specific, care va avea impact direct asupra controlului traficului ilicit de arme de foc;</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UE va</w:t>
            </w:r>
            <w:r>
              <w:rPr>
                <w:rFonts w:ascii="Times New Roman" w:hAnsi="Times New Roman"/>
                <w:noProof/>
                <w:color w:val="000000"/>
                <w:sz w:val="24"/>
              </w:rPr>
              <w:t xml:space="preserve"> promova punerea în aplicare a tuturor inițiativelor de consolidare a cooperării cu </w:t>
            </w:r>
            <w:r>
              <w:rPr>
                <w:rFonts w:ascii="Times New Roman" w:hAnsi="Times New Roman"/>
                <w:b/>
                <w:noProof/>
                <w:color w:val="000000"/>
                <w:sz w:val="24"/>
              </w:rPr>
              <w:t>Marocul</w:t>
            </w:r>
            <w:r>
              <w:rPr>
                <w:rFonts w:ascii="Times New Roman" w:hAnsi="Times New Roman"/>
                <w:noProof/>
                <w:color w:val="000000"/>
                <w:sz w:val="24"/>
              </w:rPr>
              <w:t xml:space="preserve"> cu privire la controlul </w:t>
            </w:r>
            <w:r>
              <w:rPr>
                <w:rFonts w:ascii="Times New Roman" w:hAnsi="Times New Roman"/>
                <w:noProof/>
                <w:sz w:val="24"/>
              </w:rPr>
              <w:t>exporturilor</w:t>
            </w:r>
            <w:r>
              <w:rPr>
                <w:rFonts w:ascii="Times New Roman" w:hAnsi="Times New Roman"/>
                <w:noProof/>
                <w:color w:val="000000"/>
                <w:sz w:val="24"/>
              </w:rPr>
              <w:t xml:space="preserve"> de arme de foc și a produselor cu dublă utilizare, după cum se prevede în </w:t>
            </w:r>
            <w:r>
              <w:rPr>
                <w:rStyle w:val="FootnoteReference"/>
                <w:rFonts w:ascii="Times New Roman" w:hAnsi="Times New Roman"/>
                <w:noProof/>
                <w:vertAlign w:val="baseline"/>
              </w:rPr>
              <w:t>Planul de acțiune UE-Maroc pentru punerea în aplicare a statutului avansat</w:t>
            </w:r>
            <w:r>
              <w:rPr>
                <w:rFonts w:ascii="Times New Roman" w:hAnsi="Times New Roman"/>
                <w:noProof/>
                <w:color w:val="000000"/>
                <w:sz w:val="24"/>
              </w:rPr>
              <w:t>;</w:t>
            </w:r>
            <w:r>
              <w:rPr>
                <w:rFonts w:ascii="Times New Roman" w:hAnsi="Times New Roman"/>
                <w:noProof/>
                <w:color w:val="000000"/>
                <w:sz w:val="24"/>
                <w:vertAlign w:val="superscript"/>
              </w:rPr>
              <w:footnoteReference w:id="43"/>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UE va</w:t>
            </w:r>
            <w:r>
              <w:rPr>
                <w:rFonts w:ascii="Times New Roman" w:hAnsi="Times New Roman"/>
                <w:noProof/>
                <w:color w:val="000000"/>
                <w:sz w:val="24"/>
              </w:rPr>
              <w:t xml:space="preserve"> acorda în continuare sprijin </w:t>
            </w:r>
            <w:r>
              <w:rPr>
                <w:rFonts w:ascii="Times New Roman" w:hAnsi="Times New Roman"/>
                <w:b/>
                <w:noProof/>
                <w:color w:val="000000"/>
                <w:sz w:val="24"/>
              </w:rPr>
              <w:t>Libanului</w:t>
            </w:r>
            <w:r>
              <w:rPr>
                <w:rFonts w:ascii="Times New Roman" w:hAnsi="Times New Roman"/>
                <w:noProof/>
                <w:color w:val="000000"/>
                <w:sz w:val="24"/>
              </w:rPr>
              <w:t xml:space="preserve"> și </w:t>
            </w:r>
            <w:r>
              <w:rPr>
                <w:rFonts w:ascii="Times New Roman" w:hAnsi="Times New Roman"/>
                <w:b/>
                <w:noProof/>
                <w:color w:val="000000"/>
                <w:sz w:val="24"/>
              </w:rPr>
              <w:t>Iordaniei</w:t>
            </w:r>
            <w:r>
              <w:rPr>
                <w:rFonts w:ascii="Times New Roman" w:hAnsi="Times New Roman"/>
                <w:noProof/>
                <w:color w:val="000000"/>
                <w:sz w:val="24"/>
              </w:rPr>
              <w:t xml:space="preserve"> </w:t>
            </w:r>
            <w:r>
              <w:rPr>
                <w:rFonts w:ascii="Times New Roman" w:hAnsi="Times New Roman"/>
                <w:noProof/>
                <w:sz w:val="24"/>
              </w:rPr>
              <w:t>în</w:t>
            </w:r>
            <w:r>
              <w:rPr>
                <w:rFonts w:ascii="Times New Roman" w:hAnsi="Times New Roman"/>
                <w:noProof/>
                <w:color w:val="000000"/>
                <w:sz w:val="24"/>
              </w:rPr>
              <w:t xml:space="preserve"> soluționarea problemei criminalității organizate (inclusiv prin asistență pentru reforma sistemului de securitate și sprijin pentru managementul integrat al frontierelor) și pentru controlul traficului ilicit de arme de foc; </w:t>
            </w:r>
          </w:p>
          <w:p>
            <w:pPr>
              <w:pStyle w:val="PlainText"/>
              <w:numPr>
                <w:ilvl w:val="0"/>
                <w:numId w:val="2"/>
              </w:numPr>
              <w:tabs>
                <w:tab w:val="left" w:pos="0"/>
              </w:tabs>
              <w:ind w:left="318" w:hanging="284"/>
              <w:jc w:val="both"/>
              <w:rPr>
                <w:rFonts w:ascii="Times New Roman" w:eastAsia="Times New Roman" w:hAnsi="Times New Roman"/>
                <w:noProof/>
                <w:color w:val="000000"/>
                <w:sz w:val="24"/>
                <w:szCs w:val="24"/>
              </w:rPr>
            </w:pPr>
            <w:r>
              <w:rPr>
                <w:rFonts w:ascii="Times New Roman" w:hAnsi="Times New Roman"/>
                <w:noProof/>
                <w:color w:val="000000"/>
                <w:sz w:val="24"/>
              </w:rPr>
              <w:t>UE va consolida în continuare cooperarea UE-MENA în combaterea traficului ilicit de arme de foc, inclusiv prin programul Euromed Police IV</w:t>
            </w:r>
            <w:r>
              <w:rPr>
                <w:rStyle w:val="FootnoteReference"/>
                <w:rFonts w:ascii="Times New Roman" w:hAnsi="Times New Roman"/>
                <w:noProof/>
                <w:color w:val="000000"/>
                <w:sz w:val="24"/>
              </w:rPr>
              <w:footnoteReference w:id="44"/>
            </w:r>
            <w:r>
              <w:rPr>
                <w:rFonts w:ascii="Times New Roman" w:hAnsi="Times New Roman"/>
                <w:noProof/>
                <w:color w:val="000000"/>
                <w:sz w:val="24"/>
              </w:rPr>
              <w:t xml:space="preserve">. Acest program regional are scopul de a îmbunătăți cooperarea polițienească operațională și strategică în regiunea MENA dintre autoritățile naționale și țările partenere meridionale, precum și cu statele membre ale UE (și agențiile UE); </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 xml:space="preserve"> UE va</w:t>
            </w:r>
            <w:r>
              <w:rPr>
                <w:rFonts w:ascii="Times New Roman" w:hAnsi="Times New Roman"/>
                <w:noProof/>
                <w:color w:val="000000"/>
                <w:sz w:val="24"/>
              </w:rPr>
              <w:t xml:space="preserve"> sprijini în continuare monitorizarea deturnării către actori neautorizați din regiune, evaluarea riscurilor bazată pe informații și măsurile de combatere a deturnării, luând astfel în considerare rezultatele pozitive ale proiectului iTrace</w:t>
            </w:r>
            <w:r>
              <w:rPr>
                <w:rStyle w:val="FootnoteReference"/>
                <w:rFonts w:ascii="Times New Roman" w:hAnsi="Times New Roman"/>
                <w:noProof/>
                <w:color w:val="000000"/>
                <w:sz w:val="24"/>
              </w:rPr>
              <w:footnoteReference w:id="45"/>
            </w:r>
            <w:r>
              <w:rPr>
                <w:rFonts w:ascii="Times New Roman" w:hAnsi="Times New Roman"/>
                <w:noProof/>
                <w:color w:val="000000"/>
                <w:sz w:val="24"/>
              </w:rPr>
              <w:t>; și</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rPr>
            </w:pPr>
            <w:r>
              <w:rPr>
                <w:rFonts w:ascii="Times New Roman" w:hAnsi="Times New Roman"/>
                <w:noProof/>
                <w:sz w:val="24"/>
              </w:rPr>
              <w:t>UE va</w:t>
            </w:r>
            <w:r>
              <w:rPr>
                <w:rFonts w:ascii="Times New Roman" w:hAnsi="Times New Roman"/>
                <w:noProof/>
                <w:color w:val="000000"/>
                <w:sz w:val="24"/>
              </w:rPr>
              <w:t xml:space="preserve"> sprijini în continuare consolidarea capacităților pentru forțele locale de aplicare a legii </w:t>
            </w:r>
            <w:r>
              <w:rPr>
                <w:rFonts w:ascii="Times New Roman" w:hAnsi="Times New Roman"/>
                <w:noProof/>
                <w:sz w:val="24"/>
              </w:rPr>
              <w:t>și</w:t>
            </w:r>
            <w:r>
              <w:rPr>
                <w:rFonts w:ascii="Times New Roman" w:hAnsi="Times New Roman"/>
                <w:noProof/>
                <w:color w:val="000000"/>
                <w:sz w:val="24"/>
              </w:rPr>
              <w:t xml:space="preserve"> de securitate în ceea ce privește securitatea fizică și gestionarea stocurilor (PSSM), distrugerea surplusului și documentarea și urmărirea SALW ilicite. </w:t>
            </w:r>
          </w:p>
        </w:tc>
      </w:tr>
      <w:tr>
        <w:tc>
          <w:tcPr>
            <w:tcW w:w="9072" w:type="dxa"/>
          </w:tcPr>
          <w:p>
            <w:pPr>
              <w:keepNext/>
              <w:spacing w:after="240"/>
              <w:jc w:val="both"/>
              <w:rPr>
                <w:rFonts w:ascii="Times New Roman" w:hAnsi="Times New Roman" w:cs="Times New Roman"/>
                <w:b/>
                <w:i/>
                <w:noProof/>
                <w:sz w:val="24"/>
                <w:szCs w:val="24"/>
              </w:rPr>
            </w:pPr>
            <w:r>
              <w:rPr>
                <w:noProof/>
              </w:rPr>
              <w:br w:type="page"/>
            </w:r>
            <w:r>
              <w:rPr>
                <w:rFonts w:ascii="Times New Roman" w:hAnsi="Times New Roman"/>
                <w:b/>
                <w:i/>
                <w:noProof/>
                <w:sz w:val="24"/>
              </w:rPr>
              <w:t xml:space="preserve">Acțiuni în Africa (regiunea Sahel): </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UE va sprijini urmărirea bazată pe informații a rețelelor de trafic, inclusiv a celor din afara Regiunii Sahel, pentru a contracara mai eficient riscul pe care fluxul semnificativ de stocuri ale statului din cursul crizelor politice din </w:t>
            </w:r>
            <w:r>
              <w:rPr>
                <w:rFonts w:ascii="Times New Roman" w:hAnsi="Times New Roman"/>
                <w:b/>
                <w:noProof/>
                <w:sz w:val="24"/>
              </w:rPr>
              <w:t>Mali</w:t>
            </w:r>
            <w:r>
              <w:rPr>
                <w:rFonts w:ascii="Times New Roman" w:hAnsi="Times New Roman"/>
                <w:noProof/>
                <w:sz w:val="24"/>
              </w:rPr>
              <w:t xml:space="preserve"> și </w:t>
            </w:r>
            <w:r>
              <w:rPr>
                <w:rFonts w:ascii="Times New Roman" w:hAnsi="Times New Roman"/>
                <w:b/>
                <w:noProof/>
                <w:sz w:val="24"/>
              </w:rPr>
              <w:t>Libia</w:t>
            </w:r>
            <w:r>
              <w:rPr>
                <w:rFonts w:ascii="Times New Roman" w:hAnsi="Times New Roman"/>
                <w:noProof/>
                <w:sz w:val="24"/>
              </w:rPr>
              <w:t xml:space="preserve"> continuă să îl reprezinte pentru stabilitatea regională;</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UE va sprijini dezvoltarea capacității de gestionare și de înregistrare a armelor în </w:t>
            </w:r>
            <w:r>
              <w:rPr>
                <w:rFonts w:ascii="Times New Roman" w:hAnsi="Times New Roman"/>
                <w:b/>
                <w:noProof/>
                <w:sz w:val="24"/>
              </w:rPr>
              <w:t>Mali</w:t>
            </w:r>
            <w:r>
              <w:rPr>
                <w:rFonts w:ascii="Times New Roman" w:hAnsi="Times New Roman"/>
                <w:noProof/>
                <w:sz w:val="24"/>
              </w:rPr>
              <w:t xml:space="preserve"> și </w:t>
            </w:r>
            <w:r>
              <w:rPr>
                <w:rFonts w:ascii="Times New Roman" w:hAnsi="Times New Roman"/>
                <w:b/>
                <w:noProof/>
                <w:sz w:val="24"/>
              </w:rPr>
              <w:t>Libia</w:t>
            </w:r>
            <w:r>
              <w:rPr>
                <w:rFonts w:ascii="Times New Roman" w:hAnsi="Times New Roman"/>
                <w:noProof/>
                <w:sz w:val="24"/>
              </w:rPr>
              <w:t xml:space="preserve"> în vederea îmbunătățirii sistemelor de protejare și gestionare a SALW, inclusiv gestionarea stocurilor, distrugerea surplusului și sisteme cuprinzătoare de înregistrare și contabilizare a armelor;</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UE va sprijini capacitățile pentru urmărirea și schimbul de informații la nivel regional, inclusiv prin intermediul unor mecanisme regionale, precum prevederile „clearing house” ale Convenției Comunității Economice a Statelor din Africa de Vest (ECOWAS) cu privire la SALW, G5 Sahel</w:t>
            </w:r>
            <w:r>
              <w:rPr>
                <w:rStyle w:val="FootnoteReference"/>
                <w:rFonts w:ascii="Times New Roman" w:hAnsi="Times New Roman"/>
                <w:noProof/>
                <w:sz w:val="24"/>
              </w:rPr>
              <w:footnoteReference w:id="46"/>
            </w:r>
            <w:r>
              <w:rPr>
                <w:rFonts w:ascii="Times New Roman" w:hAnsi="Times New Roman"/>
                <w:noProof/>
                <w:sz w:val="24"/>
              </w:rPr>
              <w:t>, Uniunea Africană și canalele globale precum baza de date iARMS;</w:t>
            </w:r>
          </w:p>
          <w:p>
            <w:pPr>
              <w:pStyle w:val="PlainText"/>
              <w:numPr>
                <w:ilvl w:val="0"/>
                <w:numId w:val="2"/>
              </w:numPr>
              <w:spacing w:after="120"/>
              <w:ind w:left="318" w:hanging="318"/>
              <w:jc w:val="both"/>
              <w:rPr>
                <w:rFonts w:ascii="Times New Roman" w:hAnsi="Times New Roman"/>
                <w:noProof/>
                <w:sz w:val="24"/>
                <w:szCs w:val="24"/>
              </w:rPr>
            </w:pPr>
            <w:r>
              <w:rPr>
                <w:rFonts w:ascii="Times New Roman" w:hAnsi="Times New Roman"/>
                <w:noProof/>
                <w:sz w:val="24"/>
              </w:rPr>
              <w:t xml:space="preserve">UE va încuraja în continuare cooperarea judiciară și inițiativele comune privind securitatea frontierelor; </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UE va </w:t>
            </w:r>
            <w:r>
              <w:rPr>
                <w:rFonts w:ascii="Times New Roman" w:hAnsi="Times New Roman"/>
                <w:noProof/>
                <w:color w:val="000000"/>
                <w:sz w:val="24"/>
              </w:rPr>
              <w:t>sprijini capacitatea actorilor relevanți de a urmări, raporta, contracara și elimina SALW ilicite și va acorda misiunilor PSAC din regiune un rol mai mare în monitorizarea SALW ilicite, în organizarea activităților de formare privind controlul SALW, în sprijinirea securității fizice și a gestionării stocurilor de arme și în eliminarea surplusului, precum și în facilitarea urmăririi și a controlului frontierelor;</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sz w:val="24"/>
              </w:rPr>
              <w:t xml:space="preserve">UE va </w:t>
            </w:r>
            <w:r>
              <w:rPr>
                <w:rFonts w:ascii="Times New Roman" w:hAnsi="Times New Roman"/>
                <w:noProof/>
                <w:color w:val="000000"/>
                <w:sz w:val="24"/>
              </w:rPr>
              <w:t>căuta sinergii cu inițiativa Uniunii Africane privind „reducerea armelor la tăcere”</w:t>
            </w:r>
            <w:r>
              <w:rPr>
                <w:rStyle w:val="FootnoteReference"/>
                <w:rFonts w:ascii="Times New Roman" w:hAnsi="Times New Roman"/>
                <w:noProof/>
                <w:color w:val="000000"/>
                <w:sz w:val="24"/>
              </w:rPr>
              <w:footnoteReference w:id="47"/>
            </w:r>
            <w:r>
              <w:rPr>
                <w:rFonts w:ascii="Times New Roman" w:hAnsi="Times New Roman"/>
                <w:noProof/>
                <w:color w:val="000000"/>
                <w:sz w:val="24"/>
              </w:rPr>
              <w:t>, cu Declarația de la Bamako privind SALW ilicite, adoptată de către Consiliul de Miniștri ai Uniunii Africane în 2000</w:t>
            </w:r>
            <w:r>
              <w:rPr>
                <w:rStyle w:val="FootnoteReference"/>
                <w:rFonts w:ascii="Times New Roman" w:hAnsi="Times New Roman"/>
                <w:noProof/>
                <w:color w:val="000000"/>
                <w:sz w:val="24"/>
              </w:rPr>
              <w:footnoteReference w:id="48"/>
            </w:r>
            <w:r>
              <w:rPr>
                <w:rFonts w:ascii="Times New Roman" w:hAnsi="Times New Roman"/>
                <w:noProof/>
                <w:color w:val="000000"/>
                <w:sz w:val="24"/>
              </w:rPr>
              <w:t xml:space="preserve"> și cu Strategia Uniunii Africane împotriva SALW ilicite adoptată la Lomé în 2011</w:t>
            </w:r>
            <w:r>
              <w:rPr>
                <w:rStyle w:val="FootnoteReference"/>
                <w:rFonts w:ascii="Times New Roman" w:hAnsi="Times New Roman"/>
                <w:noProof/>
                <w:color w:val="000000"/>
                <w:sz w:val="24"/>
              </w:rPr>
              <w:footnoteReference w:id="49"/>
            </w:r>
            <w:r>
              <w:rPr>
                <w:rFonts w:ascii="Times New Roman" w:hAnsi="Times New Roman"/>
                <w:noProof/>
                <w:color w:val="000000"/>
                <w:sz w:val="24"/>
              </w:rPr>
              <w:t>; și</w:t>
            </w:r>
          </w:p>
          <w:p>
            <w:pPr>
              <w:pStyle w:val="PlainText"/>
              <w:numPr>
                <w:ilvl w:val="0"/>
                <w:numId w:val="2"/>
              </w:numPr>
              <w:spacing w:after="120"/>
              <w:ind w:left="318" w:hanging="318"/>
              <w:jc w:val="both"/>
              <w:rPr>
                <w:rFonts w:ascii="Times New Roman" w:eastAsia="Times New Roman" w:hAnsi="Times New Roman"/>
                <w:noProof/>
                <w:color w:val="000000"/>
                <w:sz w:val="24"/>
                <w:szCs w:val="24"/>
              </w:rPr>
            </w:pPr>
            <w:r>
              <w:rPr>
                <w:rFonts w:ascii="Times New Roman" w:hAnsi="Times New Roman"/>
                <w:noProof/>
                <w:color w:val="000000"/>
                <w:sz w:val="24"/>
              </w:rPr>
              <w:t>UE își va îmbunătăți capacitatea de coordonare cu alți donatori cu privire la controlul SALW în regiune.</w:t>
            </w:r>
          </w:p>
        </w:tc>
      </w:tr>
    </w:tbl>
    <w:p>
      <w:pPr>
        <w:spacing w:after="0" w:line="240" w:lineRule="auto"/>
        <w:jc w:val="both"/>
        <w:rPr>
          <w:rFonts w:ascii="Times New Roman" w:hAnsi="Times New Roman" w:cs="Times New Roman"/>
          <w:bCs/>
          <w:noProof/>
          <w:sz w:val="24"/>
          <w:szCs w:val="24"/>
        </w:rPr>
      </w:pPr>
    </w:p>
    <w:p>
      <w:pPr>
        <w:spacing w:after="0" w:line="240" w:lineRule="auto"/>
        <w:jc w:val="both"/>
        <w:rPr>
          <w:rFonts w:ascii="Times New Roman" w:hAnsi="Times New Roman" w:cs="Times New Roman"/>
          <w:b/>
          <w:bCs/>
          <w:i/>
          <w:noProof/>
          <w:sz w:val="24"/>
          <w:szCs w:val="24"/>
        </w:rPr>
      </w:pPr>
      <w:r>
        <w:rPr>
          <w:rFonts w:ascii="Times New Roman" w:hAnsi="Times New Roman"/>
          <w:b/>
          <w:i/>
          <w:noProof/>
          <w:sz w:val="24"/>
        </w:rPr>
        <w:t>Continentele americane</w:t>
      </w:r>
    </w:p>
    <w:p>
      <w:pPr>
        <w:spacing w:after="0" w:line="240" w:lineRule="auto"/>
        <w:jc w:val="both"/>
        <w:rPr>
          <w:rFonts w:ascii="Times New Roman" w:hAnsi="Times New Roman" w:cs="Times New Roman"/>
          <w:bCs/>
          <w:noProof/>
          <w:sz w:val="24"/>
          <w:szCs w:val="24"/>
        </w:rPr>
      </w:pPr>
    </w:p>
    <w:tbl>
      <w:tblPr>
        <w:tblStyle w:val="TableGrid"/>
        <w:tblW w:w="0" w:type="auto"/>
        <w:tblInd w:w="108" w:type="dxa"/>
        <w:tblLook w:val="04A0" w:firstRow="1" w:lastRow="0" w:firstColumn="1" w:lastColumn="0" w:noHBand="0" w:noVBand="1"/>
      </w:tblPr>
      <w:tblGrid>
        <w:gridCol w:w="9072"/>
      </w:tblGrid>
      <w:tr>
        <w:tc>
          <w:tcPr>
            <w:tcW w:w="9072" w:type="dxa"/>
          </w:tcPr>
          <w:p>
            <w:pPr>
              <w:spacing w:after="120"/>
              <w:jc w:val="both"/>
              <w:rPr>
                <w:rFonts w:ascii="Times New Roman" w:eastAsia="Times New Roman" w:hAnsi="Times New Roman" w:cs="Times New Roman"/>
                <w:b/>
                <w:i/>
                <w:noProof/>
                <w:color w:val="000000"/>
                <w:sz w:val="24"/>
                <w:szCs w:val="24"/>
              </w:rPr>
            </w:pPr>
            <w:r>
              <w:rPr>
                <w:rFonts w:ascii="Times New Roman" w:hAnsi="Times New Roman"/>
                <w:b/>
                <w:i/>
                <w:noProof/>
                <w:color w:val="000000"/>
                <w:sz w:val="24"/>
              </w:rPr>
              <w:t>Acțiuni pe continentele americane:</w:t>
            </w:r>
          </w:p>
          <w:p>
            <w:pPr>
              <w:pStyle w:val="ListParagraph"/>
              <w:numPr>
                <w:ilvl w:val="0"/>
                <w:numId w:val="13"/>
              </w:numPr>
              <w:spacing w:after="240"/>
              <w:ind w:left="318" w:hanging="318"/>
              <w:contextualSpacing w:val="0"/>
              <w:jc w:val="both"/>
              <w:rPr>
                <w:rFonts w:ascii="Times New Roman Bold" w:hAnsi="Times New Roman Bold" w:cs="Times New Roman"/>
                <w:bCs/>
                <w:smallCaps/>
                <w:noProof/>
                <w:sz w:val="24"/>
                <w:szCs w:val="24"/>
              </w:rPr>
            </w:pPr>
            <w:r>
              <w:rPr>
                <w:rFonts w:ascii="Times New Roman" w:hAnsi="Times New Roman"/>
                <w:noProof/>
                <w:color w:val="000000"/>
                <w:sz w:val="24"/>
              </w:rPr>
              <w:t>UE va căuta sinergii cu statele americane relevante și cu organizațiile regionale pentru reducerea proliferării și traficului ilicite de SALW, în vederea reducerii violenței armate și a activităților infracționale.</w:t>
            </w:r>
            <w:r>
              <w:rPr>
                <w:rFonts w:ascii="Times New Roman" w:hAnsi="Times New Roman"/>
                <w:noProof/>
                <w:color w:val="000000"/>
                <w:sz w:val="24"/>
                <w:vertAlign w:val="superscript"/>
              </w:rPr>
              <w:footnoteReference w:id="50"/>
            </w:r>
          </w:p>
        </w:tc>
      </w:tr>
    </w:tbl>
    <w:p>
      <w:pPr>
        <w:pStyle w:val="ListParagraph"/>
        <w:spacing w:after="240" w:line="240" w:lineRule="auto"/>
        <w:ind w:left="567"/>
        <w:contextualSpacing w:val="0"/>
        <w:jc w:val="both"/>
        <w:rPr>
          <w:rFonts w:ascii="Times New Roman Bold" w:hAnsi="Times New Roman Bold" w:cs="Times New Roman"/>
          <w:b/>
          <w:smallCaps/>
          <w:noProof/>
          <w:sz w:val="24"/>
          <w:szCs w:val="24"/>
        </w:r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b/>
          <w:smallCaps/>
          <w:noProof/>
          <w:sz w:val="24"/>
        </w:rPr>
        <w:t>Acțiuni subsecvente și concluzii</w:t>
      </w:r>
    </w:p>
    <w:p>
      <w:pPr>
        <w:pStyle w:val="FootnoteText"/>
        <w:spacing w:after="240"/>
        <w:jc w:val="both"/>
        <w:rPr>
          <w:rFonts w:ascii="Times New Roman" w:hAnsi="Times New Roman" w:cs="Times New Roman"/>
          <w:noProof/>
          <w:sz w:val="24"/>
          <w:szCs w:val="24"/>
        </w:rPr>
      </w:pPr>
      <w:r>
        <w:rPr>
          <w:rFonts w:ascii="Times New Roman" w:hAnsi="Times New Roman"/>
          <w:noProof/>
          <w:sz w:val="24"/>
        </w:rPr>
        <w:t xml:space="preserve">Prezenta Comunicare comună prezintă elementele necesare unei înțelegeri comune și a unei căi comune de urmat pentru UE privind modalitatea de soluționare a amenințării reprezentate de armele de foc și SALW ilicite și de munițiile acestora, un set de măsuri care urmează să fie adoptate de către UE și statele membre ale acesteia în interiorul frontierelor UE, precum și propuneri de cooperare și asistență pentru controlul SALW în vecinătatea UE și în restul lumii. </w:t>
      </w:r>
    </w:p>
    <w:p>
      <w:pPr>
        <w:pStyle w:val="FootnoteText"/>
        <w:spacing w:after="240"/>
        <w:jc w:val="both"/>
        <w:rPr>
          <w:rFonts w:ascii="Times New Roman" w:hAnsi="Times New Roman" w:cs="Times New Roman"/>
          <w:bCs/>
          <w:noProof/>
          <w:sz w:val="24"/>
          <w:szCs w:val="24"/>
        </w:rPr>
      </w:pPr>
      <w:r>
        <w:rPr>
          <w:rFonts w:ascii="Times New Roman" w:hAnsi="Times New Roman"/>
          <w:noProof/>
          <w:sz w:val="24"/>
        </w:rPr>
        <w:t>Comisia și Înaltul Reprezentant al Uniunii pentru afaceri externe și politica de securitate invită Consiliul să adopte o strategie a UE împotriva armelor de foc și a armelor de calibru mic și a armamentului ușor (SALW) ilicite și a munițiilor acestora, care să acopere atât armele de foc de uz civil, cât și armele de foc de calitate militară pentru a răspunde în mod cuprinzător acestei amenințări, pe baza elementelor prezentate în prezenta Comunicare comună.</w:t>
      </w:r>
      <w:r>
        <w:rPr>
          <w:rFonts w:ascii="Times New Roman" w:hAnsi="Times New Roman"/>
          <w:noProof/>
          <w:sz w:val="24"/>
        </w:rPr>
        <w:tab/>
      </w:r>
      <w:r>
        <w:rPr>
          <w:rFonts w:ascii="Times New Roman" w:hAnsi="Times New Roman"/>
          <w:noProof/>
          <w:sz w:val="24"/>
        </w:rPr>
        <w:br/>
      </w:r>
      <w:r>
        <w:rPr>
          <w:rFonts w:ascii="Times New Roman" w:hAnsi="Times New Roman" w:cs="Times New Roman"/>
          <w:noProof/>
          <w:sz w:val="24"/>
          <w:szCs w:val="24"/>
        </w:rPr>
        <w:tab/>
      </w:r>
      <w:r>
        <w:rPr>
          <w:rFonts w:ascii="Times New Roman" w:hAnsi="Times New Roman" w:cs="Times New Roman"/>
          <w:noProof/>
          <w:sz w:val="24"/>
          <w:szCs w:val="24"/>
        </w:rPr>
        <w:br/>
      </w:r>
      <w:r>
        <w:rPr>
          <w:rFonts w:ascii="Times New Roman" w:hAnsi="Times New Roman"/>
          <w:noProof/>
          <w:sz w:val="24"/>
        </w:rPr>
        <w:t xml:space="preserve">SEAE și Comisia vor elabora rapoarte anuale privind progresele realizate în punerea în aplicare a strategiei. </w:t>
      </w:r>
    </w:p>
    <w:p>
      <w:pPr>
        <w:pStyle w:val="FootnoteText"/>
        <w:spacing w:after="240"/>
        <w:jc w:val="both"/>
        <w:rPr>
          <w:rFonts w:ascii="Times New Roman" w:hAnsi="Times New Roman" w:cs="Times New Roman"/>
          <w:noProof/>
          <w:sz w:val="24"/>
          <w:szCs w:val="24"/>
        </w:rPr>
      </w:pPr>
    </w:p>
    <w:p>
      <w:pPr>
        <w:pStyle w:val="FootnoteText"/>
        <w:spacing w:after="240"/>
        <w:jc w:val="center"/>
        <w:rPr>
          <w:rFonts w:ascii="Times New Roman" w:hAnsi="Times New Roman" w:cs="Times New Roman"/>
          <w:noProof/>
        </w:rPr>
      </w:pPr>
      <w:r>
        <w:rPr>
          <w:rFonts w:ascii="Times New Roman" w:hAnsi="Times New Roman"/>
          <w:noProof/>
          <w:sz w:val="24"/>
        </w:rPr>
        <w:t xml:space="preserve">___________________________________ </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319"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DD499E" w15:done="0"/>
  <w15:commentEx w15:paraId="2329EFB2" w15:done="0"/>
  <w15:commentEx w15:paraId="53180E8C" w15:done="0"/>
  <w15:commentEx w15:paraId="385E4833" w15:done="0"/>
  <w15:commentEx w15:paraId="31D1FD5D" w15:done="0"/>
  <w15:commentEx w15:paraId="442EC4ED" w15:done="0"/>
  <w15:commentEx w15:paraId="4277C5B2" w15:done="0"/>
  <w15:commentEx w15:paraId="22D4E487" w15:done="0"/>
  <w15:commentEx w15:paraId="48FD15E7" w15:done="0"/>
  <w15:commentEx w15:paraId="0771EEF7" w15:done="0"/>
  <w15:commentEx w15:paraId="3DD11AAD" w15:done="0"/>
  <w15:commentEx w15:paraId="792FBA49" w15:done="0"/>
  <w15:commentEx w15:paraId="557885A0" w15:done="0"/>
  <w15:commentEx w15:paraId="0383D780" w15:done="0"/>
  <w15:commentEx w15:paraId="08C0EBC9" w15:done="0"/>
  <w15:commentEx w15:paraId="63A13004" w15:done="0"/>
  <w15:commentEx w15:paraId="1688F5AA" w15:done="0"/>
  <w15:commentEx w15:paraId="6002BFDE" w15:done="0"/>
  <w15:commentEx w15:paraId="4025EBD9" w15:done="0"/>
  <w15:commentEx w15:paraId="7C5D89F2" w15:done="0"/>
  <w15:commentEx w15:paraId="58085DD9" w15:done="0"/>
  <w15:commentEx w15:paraId="391C499F" w15:done="0"/>
  <w15:commentEx w15:paraId="3A83ABCA" w15:done="0"/>
  <w15:commentEx w15:paraId="0A118292" w15:done="0"/>
  <w15:commentEx w15:paraId="65981BB1" w15:done="0"/>
  <w15:commentEx w15:paraId="17DE003D" w15:done="0"/>
  <w15:commentEx w15:paraId="69889AE4" w15:done="0"/>
  <w15:commentEx w15:paraId="73F1878D" w15:done="0"/>
  <w15:commentEx w15:paraId="64D3EAF0" w15:done="0"/>
  <w15:commentEx w15:paraId="23206CA7" w15:done="0"/>
  <w15:commentEx w15:paraId="5C668A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DD499E" w16cid:durableId="1EB84845"/>
  <w16cid:commentId w16cid:paraId="2329EFB2" w16cid:durableId="1EB84846"/>
  <w16cid:commentId w16cid:paraId="53180E8C" w16cid:durableId="1EB84847"/>
  <w16cid:commentId w16cid:paraId="385E4833" w16cid:durableId="1EB6D58F"/>
  <w16cid:commentId w16cid:paraId="31D1FD5D" w16cid:durableId="1EB84849"/>
  <w16cid:commentId w16cid:paraId="442EC4ED" w16cid:durableId="1EB8484A"/>
  <w16cid:commentId w16cid:paraId="4277C5B2" w16cid:durableId="1EB8484B"/>
  <w16cid:commentId w16cid:paraId="22D4E487" w16cid:durableId="1EB8484C"/>
  <w16cid:commentId w16cid:paraId="48FD15E7" w16cid:durableId="1EB8DBBE"/>
  <w16cid:commentId w16cid:paraId="0771EEF7" w16cid:durableId="1EB8484D"/>
  <w16cid:commentId w16cid:paraId="3DD11AAD" w16cid:durableId="1EB8484E"/>
  <w16cid:commentId w16cid:paraId="792FBA49" w16cid:durableId="1EB8DEC3"/>
  <w16cid:commentId w16cid:paraId="557885A0" w16cid:durableId="1EB8484F"/>
  <w16cid:commentId w16cid:paraId="0383D780" w16cid:durableId="1EB84850"/>
  <w16cid:commentId w16cid:paraId="08C0EBC9" w16cid:durableId="1EB84851"/>
  <w16cid:commentId w16cid:paraId="63A13004" w16cid:durableId="1EB84852"/>
  <w16cid:commentId w16cid:paraId="1688F5AA" w16cid:durableId="1EB84853"/>
  <w16cid:commentId w16cid:paraId="6002BFDE" w16cid:durableId="1EB84854"/>
  <w16cid:commentId w16cid:paraId="4025EBD9" w16cid:durableId="1EB84855"/>
  <w16cid:commentId w16cid:paraId="7C5D89F2" w16cid:durableId="1EB84856"/>
  <w16cid:commentId w16cid:paraId="58085DD9" w16cid:durableId="1EB84857"/>
  <w16cid:commentId w16cid:paraId="391C499F" w16cid:durableId="1EB84858"/>
  <w16cid:commentId w16cid:paraId="3A83ABCA" w16cid:durableId="1EB84859"/>
  <w16cid:commentId w16cid:paraId="0A118292" w16cid:durableId="1EB8485A"/>
  <w16cid:commentId w16cid:paraId="65981BB1" w16cid:durableId="1EB8485B"/>
  <w16cid:commentId w16cid:paraId="17DE003D" w16cid:durableId="1EB84AA7"/>
  <w16cid:commentId w16cid:paraId="69889AE4" w16cid:durableId="1EB84AE2"/>
  <w16cid:commentId w16cid:paraId="73F1878D" w16cid:durableId="1EB6D35F"/>
  <w16cid:commentId w16cid:paraId="64D3EAF0" w16cid:durableId="1EB8485D"/>
  <w16cid:commentId w16cid:paraId="23206CA7" w16cid:durableId="1EB84996"/>
  <w16cid:commentId w16cid:paraId="5C668ADA" w16cid:durableId="1EB848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DGAIN B+ EU Albertina# 20">
    <w:altName w:val="EU Albertina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56535"/>
      <w:docPartObj>
        <w:docPartGallery w:val="Page Numbers (Bottom of Page)"/>
        <w:docPartUnique/>
      </w:docPartObj>
    </w:sdtPr>
    <w:sdtEndPr>
      <w:rPr>
        <w:noProof/>
        <w:sz w:val="20"/>
        <w:szCs w:val="20"/>
      </w:rPr>
    </w:sdtEndPr>
    <w:sdtContent>
      <w:p>
        <w:pPr>
          <w:pStyle w:val="Footer"/>
          <w:jc w:val="center"/>
          <w:rPr>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18</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5443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rPr>
        <w:footnoteRef/>
      </w:r>
      <w:r>
        <w:rPr>
          <w:rStyle w:val="FootnoteReference"/>
          <w:rFonts w:ascii="Times New Roman" w:hAnsi="Times New Roman"/>
          <w:vertAlign w:val="baseline"/>
        </w:rPr>
        <w:t xml:space="preserve"> </w:t>
      </w:r>
      <w:r>
        <w:tab/>
      </w:r>
      <w:hyperlink r:id="rId1">
        <w:r>
          <w:rPr>
            <w:rStyle w:val="FootnoteReference"/>
            <w:rFonts w:ascii="Times New Roman" w:hAnsi="Times New Roman" w:cs="Times New Roman"/>
            <w:vertAlign w:val="baseline"/>
          </w:rPr>
          <w:t>https://s3.amazonaws.com/unoda-web/wp-content/uploads/2016/10/english.pdf</w:t>
        </w:r>
      </w:hyperlink>
      <w:r>
        <w:rPr>
          <w:rFonts w:ascii="Times New Roman" w:hAnsi="Times New Roman" w:cs="Times New Roman"/>
        </w:rPr>
        <w:t xml:space="preserve"> </w:t>
      </w:r>
    </w:p>
  </w:footnote>
  <w:footnote w:id="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r:id="rId2">
        <w:r>
          <w:rPr>
            <w:rStyle w:val="FootnoteReference"/>
            <w:rFonts w:ascii="Times New Roman" w:hAnsi="Times New Roman" w:cs="Times New Roman"/>
            <w:vertAlign w:val="baseline"/>
          </w:rPr>
          <w:t>https://www.europol.europa.eu/socta/2017/</w:t>
        </w:r>
      </w:hyperlink>
      <w:r>
        <w:rPr>
          <w:rFonts w:ascii="Times New Roman" w:hAnsi="Times New Roman" w:cs="Times New Roman"/>
        </w:rPr>
        <w:t xml:space="preserve"> </w:t>
      </w:r>
    </w:p>
  </w:footnote>
  <w:footnote w:id="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t xml:space="preserve">Consiliul </w:t>
      </w:r>
      <w:r>
        <w:rPr>
          <w:rStyle w:val="FootnoteReference"/>
          <w:rFonts w:ascii="Times New Roman" w:hAnsi="Times New Roman" w:cs="Times New Roman"/>
          <w:vertAlign w:val="baseline"/>
        </w:rPr>
        <w:t>5319/06</w:t>
      </w:r>
      <w:r>
        <w:rPr>
          <w:rFonts w:ascii="Times New Roman" w:hAnsi="Times New Roman" w:cs="Times New Roman"/>
        </w:rPr>
        <w:t xml:space="preserve"> </w:t>
      </w:r>
      <w:r>
        <w:rPr>
          <w:rStyle w:val="FootnoteReference"/>
          <w:rFonts w:ascii="Times New Roman" w:hAnsi="Times New Roman" w:cs="Times New Roman"/>
          <w:vertAlign w:val="baseline"/>
        </w:rPr>
        <w:t>http://register.consilium.europa.eu/doc/srv?l=EN&amp;f=ST%205319%202006%20INIT</w:t>
      </w:r>
    </w:p>
  </w:footnote>
  <w:footnote w:id="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A/CONF.192/15.</w:t>
      </w:r>
    </w:p>
  </w:footnote>
  <w:footnote w:id="5">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Agenda </w:t>
      </w:r>
      <w:r>
        <w:rPr>
          <w:rFonts w:ascii="Times New Roman" w:hAnsi="Times New Roman" w:cs="Times New Roman"/>
        </w:rPr>
        <w:t>e</w:t>
      </w:r>
      <w:r>
        <w:rPr>
          <w:rStyle w:val="FootnoteReference"/>
          <w:rFonts w:ascii="Times New Roman" w:hAnsi="Times New Roman" w:cs="Times New Roman"/>
          <w:vertAlign w:val="baseline"/>
        </w:rPr>
        <w:t xml:space="preserve">uropeană privind </w:t>
      </w:r>
      <w:r>
        <w:rPr>
          <w:rFonts w:ascii="Times New Roman" w:hAnsi="Times New Roman" w:cs="Times New Roman"/>
        </w:rPr>
        <w:t>s</w:t>
      </w:r>
      <w:r>
        <w:rPr>
          <w:rStyle w:val="FootnoteReference"/>
          <w:rFonts w:ascii="Times New Roman" w:hAnsi="Times New Roman" w:cs="Times New Roman"/>
          <w:vertAlign w:val="baseline"/>
        </w:rPr>
        <w:t>ecuritatea</w:t>
      </w:r>
      <w:r>
        <w:rPr>
          <w:rFonts w:ascii="Times New Roman" w:hAnsi="Times New Roman" w:cs="Times New Roman"/>
        </w:rPr>
        <w:t xml:space="preserve">, </w:t>
      </w:r>
      <w:r>
        <w:rPr>
          <w:rStyle w:val="FootnoteReference"/>
          <w:rFonts w:ascii="Times New Roman" w:hAnsi="Times New Roman" w:cs="Times New Roman"/>
          <w:vertAlign w:val="baseline"/>
        </w:rPr>
        <w:t>Comunicare a Comisiei către Parlamentul European și Consiliu</w:t>
      </w:r>
      <w:r>
        <w:rPr>
          <w:rFonts w:ascii="Times New Roman" w:hAnsi="Times New Roman" w:cs="Times New Roman"/>
        </w:rPr>
        <w:t xml:space="preserve"> (COM(2015) 185 final, 28.4.2015)</w:t>
      </w:r>
      <w:r>
        <w:rPr>
          <w:rStyle w:val="FootnoteReference"/>
          <w:rFonts w:ascii="Times New Roman" w:hAnsi="Times New Roman" w:cs="Times New Roman"/>
          <w:vertAlign w:val="baseline"/>
        </w:rPr>
        <w:t>.</w:t>
      </w:r>
    </w:p>
  </w:footnote>
  <w:footnote w:id="6">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Punerea în aplicare a </w:t>
      </w:r>
      <w:r>
        <w:rPr>
          <w:rFonts w:ascii="Times New Roman" w:hAnsi="Times New Roman" w:cs="Times New Roman"/>
        </w:rPr>
        <w:t>A</w:t>
      </w:r>
      <w:r>
        <w:rPr>
          <w:rStyle w:val="FootnoteReference"/>
          <w:rFonts w:ascii="Times New Roman" w:hAnsi="Times New Roman" w:cs="Times New Roman"/>
          <w:vertAlign w:val="baseline"/>
        </w:rPr>
        <w:t xml:space="preserve">gendei europene privind </w:t>
      </w:r>
      <w:r>
        <w:rPr>
          <w:rFonts w:ascii="Times New Roman" w:hAnsi="Times New Roman" w:cs="Times New Roman"/>
        </w:rPr>
        <w:t>s</w:t>
      </w:r>
      <w:r>
        <w:rPr>
          <w:rStyle w:val="FootnoteReference"/>
          <w:rFonts w:ascii="Times New Roman" w:hAnsi="Times New Roman" w:cs="Times New Roman"/>
          <w:vertAlign w:val="baseline"/>
        </w:rPr>
        <w:t>ecuritatea: planul de acțiune al UE împotriva traficului și utilizării ilegale de arme de foc și explozivi</w:t>
      </w:r>
      <w:r>
        <w:rPr>
          <w:rFonts w:ascii="Times New Roman" w:hAnsi="Times New Roman" w:cs="Times New Roman"/>
        </w:rPr>
        <w:t>,</w:t>
      </w:r>
      <w:r>
        <w:rPr>
          <w:rStyle w:val="FootnoteReference"/>
          <w:rFonts w:ascii="Times New Roman" w:hAnsi="Times New Roman" w:cs="Times New Roman"/>
          <w:vertAlign w:val="baseline"/>
        </w:rPr>
        <w:t xml:space="preserve"> Comunicare a Comisiei către Parlamentul European și Consiliu </w:t>
      </w:r>
      <w:r>
        <w:rPr>
          <w:rFonts w:ascii="Times New Roman" w:hAnsi="Times New Roman" w:cs="Times New Roman"/>
        </w:rPr>
        <w:t>(</w:t>
      </w:r>
      <w:r>
        <w:rPr>
          <w:rStyle w:val="FootnoteReference"/>
          <w:rFonts w:ascii="Times New Roman" w:hAnsi="Times New Roman" w:cs="Times New Roman"/>
          <w:vertAlign w:val="baseline"/>
        </w:rPr>
        <w:t>COM(2015) 624 final, 2.12.2015</w:t>
      </w:r>
      <w:r>
        <w:rPr>
          <w:rFonts w:ascii="Times New Roman" w:hAnsi="Times New Roman" w:cs="Times New Roman"/>
        </w:rPr>
        <w:t>)</w:t>
      </w:r>
      <w:r>
        <w:rPr>
          <w:rStyle w:val="FootnoteReference"/>
          <w:rFonts w:ascii="Times New Roman" w:hAnsi="Times New Roman" w:cs="Times New Roman"/>
          <w:vertAlign w:val="baseline"/>
        </w:rPr>
        <w:t>.</w:t>
      </w:r>
    </w:p>
  </w:footnote>
  <w:footnote w:id="7">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r:id="rId3">
        <w:r>
          <w:rPr>
            <w:rStyle w:val="FootnoteReference"/>
            <w:rFonts w:ascii="Times New Roman" w:hAnsi="Times New Roman" w:cs="Times New Roman"/>
            <w:vertAlign w:val="baseline"/>
          </w:rPr>
          <w:t>Directiva 91/477/CEE</w:t>
        </w:r>
      </w:hyperlink>
      <w:r>
        <w:rPr>
          <w:rStyle w:val="FootnoteReference"/>
          <w:rFonts w:ascii="Times New Roman" w:hAnsi="Times New Roman" w:cs="Times New Roman"/>
          <w:vertAlign w:val="baseline"/>
        </w:rPr>
        <w:t xml:space="preserve"> privind controlul achiziționării și deținerii de arme</w:t>
      </w:r>
      <w:r>
        <w:rPr>
          <w:rFonts w:ascii="Times New Roman" w:hAnsi="Times New Roman" w:cs="Times New Roman"/>
        </w:rPr>
        <w:t xml:space="preserve"> (</w:t>
      </w:r>
      <w:r>
        <w:rPr>
          <w:rStyle w:val="FootnoteReference"/>
          <w:rFonts w:ascii="Times New Roman" w:hAnsi="Times New Roman" w:cs="Times New Roman"/>
          <w:vertAlign w:val="baseline"/>
        </w:rPr>
        <w:t>JO L 256, 13.9.1991, p. 51) și 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w:t>
      </w:r>
      <w:r>
        <w:rPr>
          <w:rFonts w:ascii="Times New Roman" w:hAnsi="Times New Roman" w:cs="Times New Roman"/>
        </w:rPr>
        <w:t xml:space="preserve"> (</w:t>
      </w:r>
      <w:r>
        <w:rPr>
          <w:rStyle w:val="FootnoteReference"/>
          <w:rFonts w:ascii="Times New Roman" w:hAnsi="Times New Roman" w:cs="Times New Roman"/>
          <w:vertAlign w:val="baseline"/>
        </w:rPr>
        <w:t>JO L 94, 30.3.2012, p.</w:t>
      </w:r>
      <w:r>
        <w:rPr>
          <w:rFonts w:ascii="Times New Roman" w:hAnsi="Times New Roman" w:cs="Times New Roman"/>
        </w:rPr>
        <w:t> </w:t>
      </w:r>
      <w:r>
        <w:rPr>
          <w:rStyle w:val="FootnoteReference"/>
          <w:rFonts w:ascii="Times New Roman" w:hAnsi="Times New Roman" w:cs="Times New Roman"/>
          <w:vertAlign w:val="baseline"/>
        </w:rPr>
        <w:t xml:space="preserve">1). </w:t>
      </w:r>
    </w:p>
  </w:footnote>
  <w:footnote w:id="8">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r:id="rId4">
        <w:r>
          <w:rPr>
            <w:rStyle w:val="FootnoteReference"/>
            <w:rFonts w:ascii="Times New Roman" w:hAnsi="Times New Roman" w:cs="Times New Roman"/>
            <w:vertAlign w:val="baseline"/>
          </w:rPr>
          <w:t>https://europa.eu/globalstrategy/en/global-strategy-foreign-and-security-policy-european-union</w:t>
        </w:r>
      </w:hyperlink>
      <w:r>
        <w:rPr>
          <w:rFonts w:ascii="Times New Roman" w:hAnsi="Times New Roman" w:cs="Times New Roman"/>
        </w:rPr>
        <w:t xml:space="preserve"> </w:t>
      </w:r>
    </w:p>
  </w:footnote>
  <w:footnote w:id="9">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http://treaties.un.org/doc/Treaties/2013/04/20130410%2012-01%20PM/Ch_XXVI_08.pdf#page=21</w:t>
      </w:r>
      <w:r>
        <w:rPr>
          <w:rFonts w:ascii="Times New Roman" w:hAnsi="Times New Roman" w:cs="Times New Roman"/>
        </w:rPr>
        <w:t xml:space="preserve"> </w:t>
      </w:r>
    </w:p>
  </w:footnote>
  <w:footnote w:id="10">
    <w:p>
      <w:pPr>
        <w:spacing w:after="0"/>
        <w:ind w:left="284" w:hanging="284"/>
        <w:jc w:val="both"/>
        <w:rPr>
          <w:rFonts w:ascii="Times New Roman" w:hAnsi="Times New Roman" w:cs="Times New Roman"/>
          <w:sz w:val="20"/>
          <w:szCs w:val="20"/>
          <w:lang w:val="fi-FI"/>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r>
        <w:rPr>
          <w:rStyle w:val="FootnoteReference"/>
          <w:rFonts w:ascii="Times New Roman" w:hAnsi="Times New Roman" w:cs="Times New Roman"/>
          <w:sz w:val="20"/>
          <w:szCs w:val="20"/>
          <w:vertAlign w:val="baseline"/>
        </w:rPr>
        <w:t>A se vedea n</w:t>
      </w:r>
      <w:r>
        <w:rPr>
          <w:rFonts w:ascii="Times New Roman" w:hAnsi="Times New Roman" w:cs="Times New Roman"/>
          <w:sz w:val="20"/>
          <w:szCs w:val="20"/>
        </w:rPr>
        <w:t>ota</w:t>
      </w:r>
      <w:r>
        <w:rPr>
          <w:rStyle w:val="FootnoteReference"/>
          <w:rFonts w:ascii="Times New Roman" w:hAnsi="Times New Roman" w:cs="Times New Roman"/>
          <w:sz w:val="20"/>
          <w:szCs w:val="20"/>
          <w:vertAlign w:val="baseline"/>
        </w:rPr>
        <w:t xml:space="preserve"> de subsol 7</w:t>
      </w:r>
    </w:p>
  </w:footnote>
  <w:footnote w:id="11">
    <w:p>
      <w:pPr>
        <w:pStyle w:val="FootnoteText"/>
        <w:rPr>
          <w:rFonts w:ascii="Times New Roman" w:hAnsi="Times New Roman" w:cs="Times New Roman"/>
          <w:lang w:val="fi-FI"/>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Poziția comună 2008/944/PESC din 8 decembrie 2008 de definire a normelor comune care reglementează controlul exporturilor de tehnologie și echipament militar. Transferul intra-UE de tehnologie și echipament militar se supune Directivei 2009/43/CE</w:t>
      </w:r>
    </w:p>
  </w:footnote>
  <w:footnote w:id="12">
    <w:p>
      <w:pPr>
        <w:pStyle w:val="FootnoteText"/>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Armele de </w:t>
      </w:r>
      <w:r>
        <w:rPr>
          <w:rFonts w:ascii="Times New Roman" w:hAnsi="Times New Roman" w:cs="Times New Roman"/>
        </w:rPr>
        <w:t>calibru</w:t>
      </w:r>
      <w:r>
        <w:rPr>
          <w:rStyle w:val="FootnoteReference"/>
          <w:rFonts w:ascii="Times New Roman" w:hAnsi="Times New Roman" w:cs="Times New Roman"/>
          <w:vertAlign w:val="baseline"/>
        </w:rPr>
        <w:t xml:space="preserve"> mic și </w:t>
      </w:r>
      <w:r>
        <w:rPr>
          <w:rFonts w:ascii="Times New Roman" w:hAnsi="Times New Roman" w:cs="Times New Roman"/>
        </w:rPr>
        <w:t>a</w:t>
      </w:r>
      <w:r>
        <w:rPr>
          <w:rStyle w:val="FootnoteReference"/>
          <w:rFonts w:ascii="Times New Roman" w:hAnsi="Times New Roman" w:cs="Times New Roman"/>
          <w:vertAlign w:val="baseline"/>
        </w:rPr>
        <w:t xml:space="preserve">rmamentul </w:t>
      </w:r>
      <w:r>
        <w:rPr>
          <w:rFonts w:ascii="Times New Roman" w:hAnsi="Times New Roman" w:cs="Times New Roman"/>
        </w:rPr>
        <w:t>u</w:t>
      </w:r>
      <w:r>
        <w:rPr>
          <w:rStyle w:val="FootnoteReference"/>
          <w:rFonts w:ascii="Times New Roman" w:hAnsi="Times New Roman" w:cs="Times New Roman"/>
          <w:vertAlign w:val="baseline"/>
        </w:rPr>
        <w:t>șor (SALW) și munițiile acestora sunt arme de calitate militară</w:t>
      </w:r>
      <w:r>
        <w:rPr>
          <w:rFonts w:ascii="Times New Roman" w:hAnsi="Times New Roman" w:cs="Times New Roman"/>
        </w:rPr>
        <w:t>; acestea includ</w:t>
      </w:r>
      <w:r>
        <w:rPr>
          <w:rStyle w:val="FootnoteReference"/>
          <w:rFonts w:ascii="Times New Roman" w:hAnsi="Times New Roman" w:cs="Times New Roman"/>
          <w:vertAlign w:val="baseline"/>
        </w:rPr>
        <w:t xml:space="preserve">: </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(a) </w:t>
      </w:r>
      <w:r>
        <w:rPr>
          <w:rFonts w:ascii="Times New Roman" w:hAnsi="Times New Roman" w:cs="Times New Roman"/>
        </w:rPr>
        <w:tab/>
        <w:t>arme</w:t>
      </w:r>
      <w:r>
        <w:rPr>
          <w:rStyle w:val="FootnoteReference"/>
          <w:rFonts w:ascii="Times New Roman" w:hAnsi="Times New Roman" w:cs="Times New Roman"/>
          <w:vertAlign w:val="baseline"/>
        </w:rPr>
        <w:t xml:space="preserve"> de calibru mic: puști de asalt; puști semi-automate și carabine de calitate</w:t>
      </w:r>
      <w:r>
        <w:rPr>
          <w:rFonts w:ascii="Times New Roman" w:hAnsi="Times New Roman" w:cs="Times New Roman"/>
        </w:rPr>
        <w:t xml:space="preserve"> </w:t>
      </w:r>
      <w:r>
        <w:rPr>
          <w:rStyle w:val="FootnoteReference"/>
          <w:rFonts w:ascii="Times New Roman" w:hAnsi="Times New Roman" w:cs="Times New Roman"/>
          <w:vertAlign w:val="baseline"/>
        </w:rPr>
        <w:t>militară; revolvere și pistoale semi-automate de calitate</w:t>
      </w:r>
      <w:r>
        <w:rPr>
          <w:rFonts w:ascii="Times New Roman" w:hAnsi="Times New Roman" w:cs="Times New Roman"/>
        </w:rPr>
        <w:t xml:space="preserve"> </w:t>
      </w:r>
      <w:r>
        <w:rPr>
          <w:rStyle w:val="FootnoteReference"/>
          <w:rFonts w:ascii="Times New Roman" w:hAnsi="Times New Roman" w:cs="Times New Roman"/>
          <w:vertAlign w:val="baseline"/>
        </w:rPr>
        <w:t>militară; mitraliere</w:t>
      </w:r>
      <w:r>
        <w:rPr>
          <w:rFonts w:ascii="Times New Roman" w:hAnsi="Times New Roman" w:cs="Times New Roman"/>
        </w:rPr>
        <w:t xml:space="preserve"> </w:t>
      </w:r>
      <w:r>
        <w:rPr>
          <w:rStyle w:val="FootnoteReference"/>
          <w:rFonts w:ascii="Times New Roman" w:hAnsi="Times New Roman" w:cs="Times New Roman"/>
          <w:vertAlign w:val="baseline"/>
        </w:rPr>
        <w:t>ușoare; puști mitraliere, inclusiv pistoale-mitralieră</w:t>
      </w:r>
      <w:r>
        <w:rPr>
          <w:rFonts w:ascii="Times New Roman" w:hAnsi="Times New Roman" w:cs="Times New Roman"/>
        </w:rPr>
        <w: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(b) </w:t>
      </w:r>
      <w:r>
        <w:rPr>
          <w:rFonts w:ascii="Times New Roman" w:hAnsi="Times New Roman" w:cs="Times New Roman"/>
        </w:rPr>
        <w:tab/>
        <w:t>armament</w:t>
      </w:r>
      <w:r>
        <w:rPr>
          <w:rStyle w:val="FootnoteReference"/>
          <w:rFonts w:ascii="Times New Roman" w:hAnsi="Times New Roman" w:cs="Times New Roman"/>
          <w:vertAlign w:val="baseline"/>
        </w:rPr>
        <w:t xml:space="preserve"> ușor: mitraliere grele; tunuri, obuziere și mortiere cu calibru mai mic de 100 mm; aruncătoare de grenade; tunuri fără recul; rachete lansate de la umăr și alte sisteme antitanc și de apărare aeriană care lansează proiectile, inclusiv MANPAD, toate cu condiția să poată fi purtate de o persoană sau de un echipaj</w:t>
      </w:r>
      <w:r>
        <w:rPr>
          <w:rFonts w:ascii="Times New Roman" w:hAnsi="Times New Roman" w:cs="Times New Roman"/>
        </w:rPr>
        <w: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(c) </w:t>
      </w:r>
      <w:r>
        <w:rPr>
          <w:rFonts w:ascii="Times New Roman" w:hAnsi="Times New Roman" w:cs="Times New Roman"/>
        </w:rPr>
        <w:tab/>
      </w:r>
      <w:r>
        <w:rPr>
          <w:rStyle w:val="FootnoteReference"/>
          <w:rFonts w:ascii="Times New Roman" w:hAnsi="Times New Roman" w:cs="Times New Roman"/>
          <w:vertAlign w:val="baseline"/>
        </w:rPr>
        <w:t>piese pentru SALW</w:t>
      </w:r>
      <w:r>
        <w:rPr>
          <w:rFonts w:ascii="Times New Roman" w:hAnsi="Times New Roman" w:cs="Times New Roman"/>
        </w:rPr>
        <w: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(d) </w:t>
      </w:r>
      <w:r>
        <w:rPr>
          <w:rFonts w:ascii="Times New Roman" w:hAnsi="Times New Roman" w:cs="Times New Roman"/>
        </w:rPr>
        <w:tab/>
      </w:r>
      <w:r>
        <w:rPr>
          <w:rStyle w:val="FootnoteReference"/>
          <w:rFonts w:ascii="Times New Roman" w:hAnsi="Times New Roman" w:cs="Times New Roman"/>
          <w:vertAlign w:val="baseline"/>
        </w:rPr>
        <w:t>accesorii pentru SALW (precum binoclu pentru vedere nocturnă, amortizoare etc.)</w:t>
      </w:r>
      <w:r>
        <w:rPr>
          <w:rFonts w:ascii="Times New Roman" w:hAnsi="Times New Roman" w:cs="Times New Roman"/>
        </w:rPr>
        <w:t>; și</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(e) </w:t>
      </w:r>
      <w:r>
        <w:rPr>
          <w:rFonts w:ascii="Times New Roman" w:hAnsi="Times New Roman" w:cs="Times New Roman"/>
        </w:rPr>
        <w:tab/>
      </w:r>
      <w:r>
        <w:rPr>
          <w:rStyle w:val="FootnoteReference"/>
          <w:rFonts w:ascii="Times New Roman" w:hAnsi="Times New Roman" w:cs="Times New Roman"/>
          <w:vertAlign w:val="baseline"/>
        </w:rPr>
        <w:t>muniții pentru SALW.</w:t>
      </w:r>
    </w:p>
    <w:p>
      <w:pPr>
        <w:pStyle w:val="FootnoteText"/>
        <w:ind w:left="284"/>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Această definiție nu aduce atingere niciunei definiții viitoare a SALW convenite la nivel internațional.</w:t>
      </w:r>
    </w:p>
  </w:footnote>
  <w:footnote w:id="1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Termenul </w:t>
      </w:r>
      <w:r>
        <w:rPr>
          <w:rFonts w:ascii="Times New Roman" w:hAnsi="Times New Roman" w:cs="Times New Roman"/>
        </w:rPr>
        <w:t>„</w:t>
      </w:r>
      <w:r>
        <w:rPr>
          <w:rStyle w:val="FootnoteReference"/>
          <w:rFonts w:ascii="Times New Roman" w:hAnsi="Times New Roman" w:cs="Times New Roman"/>
          <w:vertAlign w:val="baseline"/>
        </w:rPr>
        <w:t xml:space="preserve">arme de foc” are un sens mai larg care acoperă atât armele de foc de uz civil, </w:t>
      </w:r>
      <w:r>
        <w:rPr>
          <w:rFonts w:ascii="Times New Roman" w:hAnsi="Times New Roman" w:cs="Times New Roman"/>
        </w:rPr>
        <w:t>cât</w:t>
      </w:r>
      <w:r>
        <w:rPr>
          <w:rStyle w:val="FootnoteReference"/>
          <w:rFonts w:ascii="Times New Roman" w:hAnsi="Times New Roman" w:cs="Times New Roman"/>
          <w:vertAlign w:val="baseline"/>
        </w:rPr>
        <w:t xml:space="preserve"> și armele de foc de calitate</w:t>
      </w:r>
      <w:r>
        <w:rPr>
          <w:rFonts w:ascii="Times New Roman" w:hAnsi="Times New Roman" w:cs="Times New Roman"/>
        </w:rPr>
        <w:t xml:space="preserve"> </w:t>
      </w:r>
      <w:r>
        <w:rPr>
          <w:rStyle w:val="FootnoteReference"/>
          <w:rFonts w:ascii="Times New Roman" w:hAnsi="Times New Roman" w:cs="Times New Roman"/>
          <w:vertAlign w:val="baseline"/>
        </w:rPr>
        <w:t>militară. Protocolul ONU privind armele de foc definește o armă de foc drept orice armă portabilă cu țeavă care poate expulza, este concepută să expulzeze sau poate fi transformată să expulzeze o alice, un glonț sau un proiectil prin acțiunea unui exploziv</w:t>
      </w:r>
      <w:r>
        <w:rPr>
          <w:rFonts w:ascii="Times New Roman" w:hAnsi="Times New Roman" w:cs="Times New Roman"/>
        </w:rPr>
        <w:t>,</w:t>
      </w:r>
      <w:r>
        <w:rPr>
          <w:rStyle w:val="FootnoteReference"/>
          <w:rFonts w:ascii="Times New Roman" w:hAnsi="Times New Roman" w:cs="Times New Roman"/>
          <w:vertAlign w:val="baseline"/>
        </w:rPr>
        <w:t xml:space="preserve"> excluzând armele de foc antice sau replicile acestora. Trebuie reținut că unele arme ușoare, precum lansatoarele de rachetă, nu sunt arme de foc.</w:t>
      </w:r>
      <w:r>
        <w:rPr>
          <w:rFonts w:ascii="Times New Roman" w:hAnsi="Times New Roman" w:cs="Times New Roman"/>
        </w:rPr>
        <w:t xml:space="preserve"> Prin urmare, termenul „arme de foc” nu acoperă toate SALW.</w:t>
      </w:r>
    </w:p>
  </w:footnote>
  <w:footnote w:id="14">
    <w:p>
      <w:pPr>
        <w:pStyle w:val="FootnoteText"/>
        <w:ind w:left="284" w:hanging="284"/>
        <w:rPr>
          <w:rStyle w:val="Hyperlink"/>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5">
        <w:r>
          <w:rPr>
            <w:rStyle w:val="Hyperlink"/>
            <w:rFonts w:ascii="Times New Roman" w:hAnsi="Times New Roman" w:cs="Times New Roman"/>
            <w:color w:val="000000" w:themeColor="text1"/>
          </w:rPr>
          <w:t>https://europa.eu/globalstrategy/sites/globalstrategy/files/pages/files/eugs_review_web_13.pdf</w:t>
        </w:r>
      </w:hyperlink>
    </w:p>
  </w:footnote>
  <w:footnote w:id="15">
    <w:p>
      <w:pPr>
        <w:pStyle w:val="FootnoteText"/>
        <w:ind w:left="284" w:hanging="284"/>
        <w:jc w:val="both"/>
        <w:rPr>
          <w:rStyle w:val="FootnoteReference"/>
          <w:rFonts w:ascii="Times New Roman" w:hAnsi="Times New Roman" w:cs="Times New Roman"/>
          <w:color w:val="000000" w:themeColor="text1"/>
          <w:vertAlign w:val="baseline"/>
        </w:rPr>
      </w:pPr>
      <w:r>
        <w:rPr>
          <w:rStyle w:val="FootnoteReference"/>
          <w:rFonts w:ascii="Times New Roman" w:hAnsi="Times New Roman" w:cs="Times New Roman"/>
          <w:color w:val="000000" w:themeColor="text1"/>
        </w:rPr>
        <w:footnoteRef/>
      </w:r>
      <w:r>
        <w:rPr>
          <w:rStyle w:val="FootnoteReference"/>
          <w:rFonts w:ascii="Times New Roman" w:hAnsi="Times New Roman" w:cs="Times New Roman"/>
          <w:color w:val="000000" w:themeColor="text1"/>
          <w:vertAlign w:val="baseline"/>
        </w:rPr>
        <w:t xml:space="preserve"> </w:t>
      </w:r>
      <w:r>
        <w:rPr>
          <w:rFonts w:ascii="Times New Roman" w:hAnsi="Times New Roman" w:cs="Times New Roman"/>
        </w:rPr>
        <w:tab/>
      </w:r>
      <w:hyperlink r:id="rId6">
        <w:r>
          <w:rPr>
            <w:rStyle w:val="Hyperlink"/>
            <w:rFonts w:ascii="Times New Roman" w:hAnsi="Times New Roman" w:cs="Times New Roman"/>
            <w:color w:val="000000" w:themeColor="text1"/>
          </w:rPr>
          <w:t>http://www.un.org/events/smallarms2006/pdf/192.15%20(E).pdf</w:t>
        </w:r>
      </w:hyperlink>
      <w:r>
        <w:rPr>
          <w:rFonts w:ascii="Times New Roman" w:hAnsi="Times New Roman" w:cs="Times New Roman"/>
          <w:color w:val="000000" w:themeColor="text1"/>
        </w:rPr>
        <w:t xml:space="preserve"> </w:t>
      </w:r>
    </w:p>
  </w:footnote>
  <w:footnote w:id="16">
    <w:p>
      <w:pPr>
        <w:pStyle w:val="FootnoteText"/>
        <w:ind w:left="284" w:hanging="284"/>
        <w:rPr>
          <w:rStyle w:val="Hyperlink"/>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Hyperlink"/>
          <w:rFonts w:ascii="Times New Roman" w:hAnsi="Times New Roman" w:cs="Times New Roman"/>
          <w:color w:val="000000" w:themeColor="text1"/>
        </w:rPr>
        <w:t>http://www.poa-iss.org/InternationalTracing/InternationalTracing.aspx</w:t>
      </w:r>
    </w:p>
  </w:footnote>
  <w:footnote w:id="1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
        <w:r>
          <w:rPr>
            <w:rStyle w:val="Hyperlink"/>
            <w:rFonts w:ascii="Times New Roman" w:hAnsi="Times New Roman" w:cs="Times New Roman"/>
            <w:color w:val="000000" w:themeColor="text1"/>
          </w:rPr>
          <w:t>https://www.un.org/disarmament/att/</w:t>
        </w:r>
      </w:hyperlink>
    </w:p>
  </w:footnote>
  <w:footnote w:id="1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Protocol împotriva fabricării și traficului ilegale de arme de foc, piese și componente ale acestora, precum și de muniții, adițional la Convenția Națiunilor Unite împotriva criminalității transnaționale</w:t>
      </w:r>
      <w:r>
        <w:rPr>
          <w:rFonts w:ascii="Times New Roman" w:hAnsi="Times New Roman" w:cs="Times New Roman"/>
        </w:rPr>
        <w:t xml:space="preserve"> </w:t>
      </w:r>
      <w:r>
        <w:rPr>
          <w:rStyle w:val="FootnoteReference"/>
          <w:rFonts w:ascii="Times New Roman" w:hAnsi="Times New Roman" w:cs="Times New Roman"/>
          <w:vertAlign w:val="baseline"/>
        </w:rPr>
        <w:t>organizate (UNTOC);</w:t>
      </w:r>
      <w:r>
        <w:rPr>
          <w:rFonts w:ascii="Times New Roman" w:hAnsi="Times New Roman" w:cs="Times New Roman"/>
        </w:rPr>
        <w:tab/>
      </w:r>
      <w:r>
        <w:rPr>
          <w:rStyle w:val="FootnoteReference"/>
          <w:rFonts w:ascii="Times New Roman" w:hAnsi="Times New Roman" w:cs="Times New Roman"/>
          <w:vertAlign w:val="baseline"/>
        </w:rPr>
        <w:br/>
      </w:r>
      <w:hyperlink r:id="rId8">
        <w:r>
          <w:rPr>
            <w:rStyle w:val="Hyperlink"/>
            <w:rFonts w:ascii="Times New Roman" w:hAnsi="Times New Roman" w:cs="Times New Roman"/>
            <w:color w:val="auto"/>
          </w:rPr>
          <w:t>http://www.unodc.org/unodc/en/firearms-protocol/the-firearms-protocol.html</w:t>
        </w:r>
      </w:hyperlink>
      <w:r>
        <w:rPr>
          <w:rFonts w:ascii="Times New Roman" w:hAnsi="Times New Roman" w:cs="Times New Roman"/>
        </w:rPr>
        <w:t xml:space="preserve"> </w:t>
      </w:r>
    </w:p>
  </w:footnote>
  <w:footnote w:id="1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JO L</w:t>
      </w:r>
      <w:r>
        <w:rPr>
          <w:rFonts w:ascii="Times New Roman" w:hAnsi="Times New Roman" w:cs="Times New Roman"/>
        </w:rPr>
        <w:t xml:space="preserve"> </w:t>
      </w:r>
      <w:r>
        <w:rPr>
          <w:rStyle w:val="FootnoteReference"/>
          <w:rFonts w:ascii="Times New Roman" w:hAnsi="Times New Roman" w:cs="Times New Roman"/>
          <w:vertAlign w:val="baseline"/>
        </w:rPr>
        <w:t>89, 25.3.2014, p. 7.</w:t>
      </w:r>
    </w:p>
  </w:footnote>
  <w:footnote w:id="2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Documentul COM(2018)</w:t>
      </w:r>
      <w:r>
        <w:rPr>
          <w:rFonts w:ascii="Times New Roman" w:hAnsi="Times New Roman" w:cs="Times New Roman"/>
        </w:rPr>
        <w:t xml:space="preserve"> </w:t>
      </w:r>
      <w:r>
        <w:rPr>
          <w:rStyle w:val="FootnoteReference"/>
          <w:rFonts w:ascii="Times New Roman" w:hAnsi="Times New Roman" w:cs="Times New Roman"/>
          <w:vertAlign w:val="baseline"/>
        </w:rPr>
        <w:t>2197 final</w:t>
      </w:r>
      <w:r>
        <w:rPr>
          <w:rFonts w:ascii="Times New Roman" w:hAnsi="Times New Roman" w:cs="Times New Roman"/>
        </w:rPr>
        <w:t>.</w:t>
      </w:r>
    </w:p>
  </w:footnote>
  <w:footnote w:id="2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r:id="rId9">
        <w:r>
          <w:rPr>
            <w:rStyle w:val="Hyperlink"/>
            <w:rFonts w:ascii="Times New Roman" w:hAnsi="Times New Roman" w:cs="Times New Roman"/>
            <w:color w:val="auto"/>
          </w:rPr>
          <w:t>https://www.un.org/sustainabledevelopment/sustainable-development-goals/</w:t>
        </w:r>
      </w:hyperlink>
      <w:r>
        <w:rPr>
          <w:rFonts w:ascii="Times New Roman" w:hAnsi="Times New Roman" w:cs="Times New Roman"/>
        </w:rPr>
        <w:t xml:space="preserve"> </w:t>
      </w:r>
    </w:p>
  </w:footnote>
  <w:footnote w:id="22">
    <w:p>
      <w:pPr>
        <w:spacing w:after="0" w:line="240" w:lineRule="auto"/>
        <w:ind w:left="284" w:hanging="284"/>
        <w:rPr>
          <w:rFonts w:ascii="Times New Roman" w:hAnsi="Times New Roman" w:cs="Times New Roman"/>
          <w:color w:val="000000"/>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r>
        <w:rPr>
          <w:rStyle w:val="Hyperlink"/>
          <w:rFonts w:ascii="Times New Roman" w:hAnsi="Times New Roman" w:cs="Times New Roman"/>
          <w:color w:val="auto"/>
          <w:sz w:val="20"/>
          <w:szCs w:val="20"/>
          <w:u w:val="none"/>
        </w:rPr>
        <w:t>Art. 13.5 din Directiva 91/477 prevede adoptarea acestui act de punere în aplicare până la 14 septembrie 2018.</w:t>
      </w:r>
    </w:p>
    <w:p>
      <w:pPr>
        <w:pStyle w:val="FootnoteText"/>
        <w:rPr>
          <w:rFonts w:ascii="Times New Roman" w:hAnsi="Times New Roman" w:cs="Times New Roman"/>
        </w:rPr>
      </w:pP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Articolul 10.4 ce urmează să fie adoptat până la 14 septembrie 2018 al Directivei (UE) 2017/853 a Parlamentului European și a Consiliului din 17 mai 2017 de modificare a Directivei 91/477/CEE a Consiliului privind controlul achiziționării și deținerii de arme (JO L 137, 24.5.2017, p. 22).</w:t>
      </w:r>
    </w:p>
  </w:footnote>
  <w:footnote w:id="2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Documentul COM(2017)</w:t>
      </w:r>
      <w:r>
        <w:rPr>
          <w:rFonts w:ascii="Times New Roman" w:hAnsi="Times New Roman" w:cs="Times New Roman"/>
        </w:rPr>
        <w:t xml:space="preserve"> </w:t>
      </w:r>
      <w:r>
        <w:rPr>
          <w:rStyle w:val="FootnoteReference"/>
          <w:rFonts w:ascii="Times New Roman" w:hAnsi="Times New Roman" w:cs="Times New Roman"/>
          <w:vertAlign w:val="baseline"/>
        </w:rPr>
        <w:t>737 final din 12.12.2017</w:t>
      </w:r>
      <w:r>
        <w:rPr>
          <w:rFonts w:ascii="Times New Roman" w:hAnsi="Times New Roman" w:cs="Times New Roman"/>
        </w:rPr>
        <w:t>.</w:t>
      </w:r>
    </w:p>
  </w:footnote>
  <w:footnote w:id="25">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Platformă online pentru schimbul de informații între autoritățile statelor membre responsabile de controlul exporturilor instituită în cadrul Grupului de lucru pentru exportul de arme convenționale (COARM) al Consiliului. Grupul de lucru pentru exportul de arme convenționale se ocupă de activități privind controlul exporturilor de arme convenționale. Acesta funcționează totodată ca un forum în care statele membre comunică și fac schimb de informații cu privire la politicile lor de export către țările care nu fac parte din UE și cu privire la respingerea la nivel național a cererilor privind autorizații de export către țările care nu fac parte din UE.</w:t>
      </w:r>
    </w:p>
  </w:footnote>
  <w:footnote w:id="2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Documentul C(2018) 2197 final din 17.4.2018</w:t>
      </w:r>
    </w:p>
  </w:footnote>
  <w:footnote w:id="2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t xml:space="preserve">Regulamentul </w:t>
      </w:r>
      <w:r>
        <w:rPr>
          <w:rStyle w:val="FootnoteReference"/>
          <w:rFonts w:ascii="Times New Roman" w:hAnsi="Times New Roman" w:cs="Times New Roman"/>
          <w:vertAlign w:val="baseline"/>
        </w:rPr>
        <w:t>de punere în aplicare (UE)2018/337 al Comisiei din 5 martie 2018 de modificare a Regulamentului de punere în aplicare (UE) 2015/2403 de elaborare a unor orientări comune privind standardele și tehnicile de dezactivare, pentru a garanta că armele de foc dezactivate sunt în mod ireversibil nefuncționale</w:t>
      </w:r>
      <w:r>
        <w:rPr>
          <w:rFonts w:ascii="Times New Roman" w:hAnsi="Times New Roman" w:cs="Times New Roman"/>
        </w:rPr>
        <w:t xml:space="preserve"> (JO L 333, 19.12.2015, p. 62).</w:t>
      </w:r>
    </w:p>
  </w:footnote>
  <w:footnote w:id="2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i/>
          <w:vertAlign w:val="baseline"/>
        </w:rPr>
        <w:t xml:space="preserve">Sisteme de informații mai puternice și mai inteligente în materie de frontiere </w:t>
      </w:r>
      <w:r>
        <w:rPr>
          <w:rFonts w:ascii="Times New Roman" w:hAnsi="Times New Roman" w:cs="Times New Roman"/>
          <w:i/>
        </w:rPr>
        <w:t xml:space="preserve">și </w:t>
      </w:r>
      <w:r>
        <w:rPr>
          <w:rStyle w:val="FootnoteReference"/>
          <w:rFonts w:ascii="Times New Roman" w:hAnsi="Times New Roman" w:cs="Times New Roman"/>
          <w:i/>
          <w:vertAlign w:val="baseline"/>
        </w:rPr>
        <w:t>de securitate</w:t>
      </w:r>
      <w:r>
        <w:rPr>
          <w:rStyle w:val="FootnoteReference"/>
          <w:rFonts w:ascii="Times New Roman" w:hAnsi="Times New Roman" w:cs="Times New Roman"/>
          <w:vertAlign w:val="baseline"/>
        </w:rPr>
        <w:t>, Comunicare a Comisiei către Parlamentul European și Consiliu</w:t>
      </w:r>
      <w:r>
        <w:rPr>
          <w:rFonts w:ascii="Times New Roman" w:hAnsi="Times New Roman" w:cs="Times New Roman"/>
        </w:rPr>
        <w:t>(</w:t>
      </w:r>
      <w:r>
        <w:rPr>
          <w:rStyle w:val="FootnoteReference"/>
          <w:rFonts w:ascii="Times New Roman" w:hAnsi="Times New Roman" w:cs="Times New Roman"/>
          <w:vertAlign w:val="baseline"/>
        </w:rPr>
        <w:t>COM(2016) 205 final, 6.4.2016).</w:t>
      </w:r>
    </w:p>
  </w:footnote>
  <w:footnote w:id="2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hyperlink r:id="rId10">
        <w:r>
          <w:rPr>
            <w:rStyle w:val="Hyperlink"/>
            <w:rFonts w:ascii="Times New Roman" w:hAnsi="Times New Roman" w:cs="Times New Roman"/>
            <w:color w:val="auto"/>
          </w:rPr>
          <w:t>https://www.interpol.int/Crime-areas/Firearms-trafficking/INTERPOL-Illicit-Arms-Records-and-tracing-Management-System-iARMS</w:t>
        </w:r>
      </w:hyperlink>
      <w:r>
        <w:rPr>
          <w:rFonts w:ascii="Times New Roman" w:hAnsi="Times New Roman" w:cs="Times New Roman"/>
        </w:rPr>
        <w:t xml:space="preserve"> </w:t>
      </w:r>
    </w:p>
  </w:footnote>
  <w:footnote w:id="3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Planul de acțiune al UE împotriva traficului și utilizării ilegale de arme de foc și explozivi, 2 decembrie 2015, </w:t>
      </w:r>
    </w:p>
    <w:p>
      <w:pPr>
        <w:pStyle w:val="FootnoteText"/>
        <w:ind w:left="284" w:hanging="284"/>
        <w:jc w:val="both"/>
        <w:rPr>
          <w:rFonts w:ascii="Times New Roman" w:hAnsi="Times New Roman" w:cs="Times New Roman"/>
        </w:rPr>
      </w:pPr>
      <w:r>
        <w:rPr>
          <w:rFonts w:ascii="Times New Roman" w:hAnsi="Times New Roman" w:cs="Times New Roman"/>
        </w:rPr>
        <w:t xml:space="preserve"> </w:t>
      </w:r>
      <w:r>
        <w:rPr>
          <w:rStyle w:val="FootnoteReference"/>
          <w:rFonts w:ascii="Times New Roman" w:hAnsi="Times New Roman" w:cs="Times New Roman"/>
          <w:vertAlign w:val="baseline"/>
        </w:rPr>
        <w:t>COM(2015), 624 final</w:t>
      </w:r>
    </w:p>
  </w:footnote>
  <w:footnote w:id="31">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https://ec.europa.eu/home-affairs/financing/fundings/security-and-safeguarding-liberties/internal-security-fund-police_en</w:t>
      </w:r>
    </w:p>
  </w:footnote>
  <w:footnote w:id="3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În sensul prezentei strategii, termenul „asigurarea respectării legii” se referă la </w:t>
      </w:r>
      <w:r>
        <w:rPr>
          <w:rFonts w:ascii="Times New Roman" w:hAnsi="Times New Roman" w:cs="Times New Roman"/>
        </w:rPr>
        <w:t xml:space="preserve">activitatea </w:t>
      </w:r>
      <w:r>
        <w:rPr>
          <w:rStyle w:val="FootnoteReference"/>
          <w:rFonts w:ascii="Times New Roman" w:hAnsi="Times New Roman" w:cs="Times New Roman"/>
          <w:vertAlign w:val="baseline"/>
        </w:rPr>
        <w:t>poliției, a poliției de frontieră și a gărzii de coastă, precum și a vămilor.</w:t>
      </w:r>
    </w:p>
  </w:footnote>
  <w:footnote w:id="3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Concluziile </w:t>
      </w:r>
      <w:r>
        <w:rPr>
          <w:rFonts w:ascii="Times New Roman" w:hAnsi="Times New Roman" w:cs="Times New Roman"/>
        </w:rPr>
        <w:t>C</w:t>
      </w:r>
      <w:r>
        <w:rPr>
          <w:rStyle w:val="FootnoteReference"/>
          <w:rFonts w:ascii="Times New Roman" w:hAnsi="Times New Roman" w:cs="Times New Roman"/>
          <w:vertAlign w:val="baseline"/>
        </w:rPr>
        <w:t>onsiliului privind crearea și punerea în aplicare a unui ciclu de politici ale UE privind formele grave de criminalitate internațională și criminalitatea organizată (doc. 15358/10 COSI 69 ENFOPOL 298 CRIMORG 185 ENFOCUSTOM 94, 10</w:t>
      </w:r>
      <w:r>
        <w:rPr>
          <w:rFonts w:ascii="Times New Roman" w:hAnsi="Times New Roman" w:cs="Times New Roman"/>
        </w:rPr>
        <w:t>.6.</w:t>
      </w:r>
      <w:r>
        <w:rPr>
          <w:rStyle w:val="FootnoteReference"/>
          <w:rFonts w:ascii="Times New Roman" w:hAnsi="Times New Roman" w:cs="Times New Roman"/>
          <w:vertAlign w:val="baseline"/>
        </w:rPr>
        <w:t>2011).</w:t>
      </w:r>
    </w:p>
  </w:footnote>
  <w:footnote w:id="3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Concluziile </w:t>
      </w:r>
      <w:r>
        <w:rPr>
          <w:rFonts w:ascii="Times New Roman" w:hAnsi="Times New Roman" w:cs="Times New Roman"/>
        </w:rPr>
        <w:t>C</w:t>
      </w:r>
      <w:r>
        <w:rPr>
          <w:rStyle w:val="FootnoteReference"/>
          <w:rFonts w:ascii="Times New Roman" w:hAnsi="Times New Roman" w:cs="Times New Roman"/>
          <w:vertAlign w:val="baseline"/>
        </w:rPr>
        <w:t>onsiliului privind stabilirea unui ciclu de politici ale UE privind formele grave de criminalitate internațională și criminalitatea organizată (2014-2017) (doc.12095/13, 7.6.2013).</w:t>
      </w:r>
    </w:p>
  </w:footnote>
  <w:footnote w:id="35">
    <w:p>
      <w:pPr>
        <w:pStyle w:val="Default"/>
        <w:ind w:left="284" w:hanging="284"/>
        <w:rPr>
          <w:rStyle w:val="FootnoteReference"/>
          <w:rFonts w:ascii="Times New Roman" w:hAnsi="Times New Roman" w:cs="Times New Roman"/>
          <w:sz w:val="20"/>
          <w:szCs w:val="20"/>
          <w:vertAlign w:val="baselin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r>
        <w:rPr>
          <w:rStyle w:val="FootnoteReference"/>
          <w:rFonts w:ascii="Times New Roman" w:hAnsi="Times New Roman" w:cs="Times New Roman"/>
          <w:color w:val="auto"/>
          <w:sz w:val="20"/>
          <w:szCs w:val="20"/>
          <w:vertAlign w:val="baseline"/>
        </w:rPr>
        <w:t>Regulamentul (UE) nr. 230/2014 al Parlamentului European și al Consiliului din 11 martie 2014</w:t>
      </w:r>
    </w:p>
  </w:footnote>
  <w:footnote w:id="36">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t>R</w:t>
      </w:r>
      <w:r>
        <w:rPr>
          <w:rStyle w:val="FootnoteReference"/>
          <w:rFonts w:ascii="Times New Roman" w:hAnsi="Times New Roman" w:cs="Times New Roman"/>
          <w:vertAlign w:val="baseline"/>
        </w:rPr>
        <w:t>ezoluția 1325 (2000) a Consiliului de Securitate al ONU și rezoluțiile ulterioare privind femeile, pacea și securitatea, de exemplu</w:t>
      </w:r>
      <w:r>
        <w:rPr>
          <w:rFonts w:ascii="Times New Roman" w:hAnsi="Times New Roman" w:cs="Times New Roman"/>
        </w:rPr>
        <w:t> </w:t>
      </w:r>
      <w:r>
        <w:rPr>
          <w:rStyle w:val="FootnoteReference"/>
          <w:rFonts w:ascii="Times New Roman" w:hAnsi="Times New Roman" w:cs="Times New Roman"/>
          <w:vertAlign w:val="baseline"/>
        </w:rPr>
        <w:t>UNSCR 2242 (2015)</w:t>
      </w:r>
      <w:r>
        <w:rPr>
          <w:rFonts w:ascii="Times New Roman" w:hAnsi="Times New Roman" w:cs="Times New Roman"/>
        </w:rPr>
        <w:t>.</w:t>
      </w:r>
    </w:p>
  </w:footnote>
  <w:footnote w:id="3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Documentul COM(2018) 65 final din 6.2.2018</w:t>
      </w:r>
      <w:r>
        <w:rPr>
          <w:rFonts w:ascii="Times New Roman" w:hAnsi="Times New Roman" w:cs="Times New Roman"/>
        </w:rPr>
        <w:t xml:space="preserve"> și anexa</w:t>
      </w:r>
    </w:p>
  </w:footnote>
  <w:footnote w:id="3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EMPACT – Platforma multidisciplinară europeană împotriva amenințărilor infracționale.</w:t>
      </w:r>
    </w:p>
  </w:footnote>
  <w:footnote w:id="3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ab/>
        <w:t>c</w:t>
      </w:r>
      <w:r>
        <w:rPr>
          <w:rStyle w:val="FootnoteReference"/>
          <w:rFonts w:ascii="Times New Roman" w:hAnsi="Times New Roman" w:cs="Times New Roman"/>
          <w:vertAlign w:val="baseline"/>
        </w:rPr>
        <w:t xml:space="preserve">oncluziile s-au </w:t>
      </w:r>
      <w:r>
        <w:rPr>
          <w:rFonts w:ascii="Times New Roman" w:hAnsi="Times New Roman" w:cs="Times New Roman"/>
        </w:rPr>
        <w:t>referit la</w:t>
      </w:r>
      <w:r>
        <w:rPr>
          <w:rStyle w:val="FootnoteReference"/>
          <w:rFonts w:ascii="Times New Roman" w:hAnsi="Times New Roman" w:cs="Times New Roman"/>
          <w:vertAlign w:val="baseline"/>
        </w:rPr>
        <w:t xml:space="preserve"> </w:t>
      </w:r>
      <w:r>
        <w:rPr>
          <w:rFonts w:ascii="Times New Roman" w:hAnsi="Times New Roman" w:cs="Times New Roman"/>
        </w:rPr>
        <w:t>„</w:t>
      </w:r>
      <w:r>
        <w:rPr>
          <w:rStyle w:val="FootnoteReference"/>
          <w:rFonts w:ascii="Times New Roman" w:hAnsi="Times New Roman" w:cs="Times New Roman"/>
          <w:vertAlign w:val="baseline"/>
        </w:rPr>
        <w:t>nevoia unei cooperări regionale și internaționale efective și intense, inclusiv cu E</w:t>
      </w:r>
      <w:r>
        <w:rPr>
          <w:rFonts w:ascii="Times New Roman" w:hAnsi="Times New Roman" w:cs="Times New Roman"/>
        </w:rPr>
        <w:t>uropol</w:t>
      </w:r>
      <w:r>
        <w:rPr>
          <w:rStyle w:val="FootnoteReference"/>
          <w:rFonts w:ascii="Times New Roman" w:hAnsi="Times New Roman" w:cs="Times New Roman"/>
          <w:vertAlign w:val="baseline"/>
        </w:rPr>
        <w:t xml:space="preserve"> și Eurojust, fără a aduce atingere pozițiilor statelor membre referitoare la statut”.</w:t>
      </w:r>
    </w:p>
  </w:footnote>
  <w:footnote w:id="4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ab/>
      </w:r>
      <w:r>
        <w:rPr>
          <w:rStyle w:val="FootnoteReference"/>
          <w:rFonts w:ascii="Times New Roman" w:hAnsi="Times New Roman" w:cs="Times New Roman"/>
          <w:vertAlign w:val="baseline"/>
        </w:rPr>
        <w:t>Programul finanțat de PESC, 2017-2019,</w:t>
      </w:r>
      <w:r>
        <w:rPr>
          <w:rFonts w:ascii="Times New Roman" w:hAnsi="Times New Roman" w:cs="Times New Roman"/>
        </w:rPr>
        <w:t xml:space="preserve"> </w:t>
      </w:r>
      <w:r>
        <w:rPr>
          <w:rStyle w:val="FootnoteReference"/>
          <w:rFonts w:ascii="Times New Roman" w:hAnsi="Times New Roman" w:cs="Times New Roman"/>
          <w:vertAlign w:val="baseline"/>
        </w:rPr>
        <w:t>6 508 136 EUR.</w:t>
      </w:r>
    </w:p>
  </w:footnote>
  <w:footnote w:id="41">
    <w:p>
      <w:pPr>
        <w:pStyle w:val="FootnoteText"/>
        <w:ind w:left="284" w:hanging="284"/>
        <w:jc w:val="both"/>
        <w:rPr>
          <w:rStyle w:val="FootnoteReference"/>
          <w:rFonts w:ascii="Times New Roman" w:hAnsi="Times New Roman" w:cs="Times New Roman"/>
          <w:vertAlign w:val="baseline"/>
          <w:lang w:val="de-D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IPA 2017-2019, 13 milioane EUR</w:t>
      </w:r>
      <w:r>
        <w:rPr>
          <w:rFonts w:ascii="Times New Roman" w:hAnsi="Times New Roman" w:cs="Times New Roman"/>
        </w:rPr>
        <w:t>: </w:t>
      </w:r>
      <w:r>
        <w:rPr>
          <w:rFonts w:ascii="Times New Roman" w:hAnsi="Times New Roman" w:cs="Times New Roman"/>
          <w:i/>
        </w:rPr>
        <w:t>Deutsche Gesellschaft für internationale Zusammenarbeit</w:t>
      </w:r>
      <w:r>
        <w:rPr>
          <w:rFonts w:ascii="Times New Roman" w:hAnsi="Times New Roman" w:cs="Times New Roman"/>
        </w:rPr>
        <w:t xml:space="preserve"> (</w:t>
      </w:r>
      <w:r>
        <w:rPr>
          <w:rStyle w:val="FootnoteReference"/>
          <w:rFonts w:ascii="Times New Roman" w:hAnsi="Times New Roman" w:cs="Times New Roman"/>
          <w:vertAlign w:val="baseline"/>
        </w:rPr>
        <w:t>GIZ).</w:t>
      </w:r>
    </w:p>
  </w:footnote>
  <w:footnote w:id="4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IPA 2015-2019, 2 milioane EUR: UNODC.</w:t>
      </w:r>
    </w:p>
  </w:footnote>
  <w:footnote w:id="4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Propunere comună de decizie a Consiliului privind poziția Uniunii în cadrul Consiliului de asociere înființat prin Acordul euro-mediteraneean de instituire a unei asocieri între Comunitățile Europene și statele membre ale acestora, pe de o parte, și Regatul Maroc, pe de altă parte, în ceea ce privește adoptarea unei recomandări referitoare la punerea în aplicare a planului de acțiune UE-Maroc pentru punerea în aplicare a statutului avansat (2013-2017) </w:t>
      </w:r>
      <w:r>
        <w:rPr>
          <w:rFonts w:ascii="Times New Roman" w:hAnsi="Times New Roman" w:cs="Times New Roman"/>
        </w:rPr>
        <w:t>[</w:t>
      </w:r>
      <w:r>
        <w:rPr>
          <w:rStyle w:val="FootnoteReference"/>
          <w:rFonts w:ascii="Times New Roman" w:hAnsi="Times New Roman" w:cs="Times New Roman"/>
          <w:vertAlign w:val="baseline"/>
        </w:rPr>
        <w:t>/* JOIN/2013/06 final - 2013/0107 (NLE)</w:t>
      </w:r>
      <w:r>
        <w:rPr>
          <w:rFonts w:ascii="Times New Roman" w:hAnsi="Times New Roman" w:cs="Times New Roman"/>
        </w:rPr>
        <w:t>]</w:t>
      </w:r>
      <w:r>
        <w:rPr>
          <w:rStyle w:val="FootnoteReference"/>
          <w:rFonts w:ascii="Times New Roman" w:hAnsi="Times New Roman" w:cs="Times New Roman"/>
          <w:vertAlign w:val="baseline"/>
        </w:rPr>
        <w:t>.</w:t>
      </w:r>
    </w:p>
  </w:footnote>
  <w:footnote w:id="44">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https://www.euromed-police.eu/</w:t>
      </w:r>
    </w:p>
  </w:footnote>
  <w:footnote w:id="4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https://www.conflictarm.com/itrace</w:t>
      </w:r>
    </w:p>
  </w:footnote>
  <w:footnote w:id="4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http://www.g5sahel.org/</w:t>
      </w:r>
    </w:p>
  </w:footnote>
  <w:footnote w:id="47">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https://issafrica.org/pscreport/uploads/AU%20Roadmap%20Silencing%20Guns%202020%20pdf%20en.pdf</w:t>
      </w:r>
    </w:p>
  </w:footnote>
  <w:footnote w:id="4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http://www.un.org/en/africa/osaa/pdf/au/cap_smallarms_2000.pdf</w:t>
      </w:r>
    </w:p>
  </w:footnote>
  <w:footnote w:id="49">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https://www.unrec.org/docs/Strategy%20Final.pdf</w:t>
      </w:r>
    </w:p>
  </w:footnote>
  <w:footnote w:id="5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Potrivit unui studiu al UNODC din 2013, infracțiunile de omor cu intenție au cauzat decesul a aproape o jumătate de milion (437</w:t>
      </w:r>
      <w:r>
        <w:rPr>
          <w:rFonts w:ascii="Times New Roman" w:hAnsi="Times New Roman" w:cs="Times New Roman"/>
        </w:rPr>
        <w:t> </w:t>
      </w:r>
      <w:r>
        <w:rPr>
          <w:rStyle w:val="FootnoteReference"/>
          <w:rFonts w:ascii="Times New Roman" w:hAnsi="Times New Roman" w:cs="Times New Roman"/>
          <w:vertAlign w:val="baseline"/>
        </w:rPr>
        <w:t>000) de persoane în întreaga lume în 2012. Peste</w:t>
      </w:r>
      <w:r>
        <w:rPr>
          <w:rFonts w:ascii="Times New Roman" w:hAnsi="Times New Roman" w:cs="Times New Roman"/>
        </w:rPr>
        <w:t xml:space="preserve"> </w:t>
      </w:r>
      <w:r>
        <w:rPr>
          <w:rStyle w:val="FootnoteReference"/>
          <w:rFonts w:ascii="Times New Roman" w:hAnsi="Times New Roman" w:cs="Times New Roman"/>
          <w:vertAlign w:val="baseline"/>
        </w:rPr>
        <w:t>o treime dintre acestea (36</w:t>
      </w:r>
      <w:r>
        <w:rPr>
          <w:rFonts w:ascii="Times New Roman" w:hAnsi="Times New Roman" w:cs="Times New Roman"/>
        </w:rPr>
        <w:t> </w:t>
      </w:r>
      <w:r>
        <w:rPr>
          <w:rStyle w:val="FootnoteReference"/>
          <w:rFonts w:ascii="Times New Roman" w:hAnsi="Times New Roman" w:cs="Times New Roman"/>
          <w:vertAlign w:val="baseline"/>
        </w:rPr>
        <w:t xml:space="preserve">%) au avut loc pe continentele americane. Aproape jumătate din toate victimele omuciderilor </w:t>
      </w:r>
      <w:r>
        <w:rPr>
          <w:rFonts w:ascii="Times New Roman" w:hAnsi="Times New Roman" w:cs="Times New Roman"/>
        </w:rPr>
        <w:t xml:space="preserve">au </w:t>
      </w:r>
      <w:r>
        <w:rPr>
          <w:rStyle w:val="FootnoteReference"/>
          <w:rFonts w:ascii="Times New Roman" w:hAnsi="Times New Roman" w:cs="Times New Roman"/>
          <w:vertAlign w:val="baseline"/>
        </w:rPr>
        <w:t>vârsta cuprinsă între 15 și 29 de ani și utilizarea armelor de foc are o prevalență specifică în această regiune, în care două treimi (66</w:t>
      </w:r>
      <w:r>
        <w:rPr>
          <w:rFonts w:ascii="Times New Roman" w:hAnsi="Times New Roman" w:cs="Times New Roman"/>
        </w:rPr>
        <w:t> </w:t>
      </w:r>
      <w:r>
        <w:rPr>
          <w:rStyle w:val="FootnoteReference"/>
          <w:rFonts w:ascii="Times New Roman" w:hAnsi="Times New Roman" w:cs="Times New Roman"/>
          <w:vertAlign w:val="baseline"/>
        </w:rPr>
        <w:t>%) din omucideri sunt comise utilizând arme.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960"/>
    <w:multiLevelType w:val="hybridMultilevel"/>
    <w:tmpl w:val="6816A066"/>
    <w:lvl w:ilvl="0" w:tplc="0809000F">
      <w:start w:val="1"/>
      <w:numFmt w:val="decimal"/>
      <w:lvlText w:val="%1."/>
      <w:lvlJc w:val="left"/>
      <w:pPr>
        <w:ind w:left="720" w:hanging="360"/>
      </w:pPr>
    </w:lvl>
    <w:lvl w:ilvl="1" w:tplc="86841D4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5E135DD"/>
    <w:multiLevelType w:val="hybridMultilevel"/>
    <w:tmpl w:val="3DFC5EBC"/>
    <w:lvl w:ilvl="0" w:tplc="08130001">
      <w:start w:val="1"/>
      <w:numFmt w:val="bullet"/>
      <w:lvlText w:val=""/>
      <w:lvlJc w:val="left"/>
      <w:pPr>
        <w:ind w:left="785" w:hanging="360"/>
      </w:pPr>
      <w:rPr>
        <w:rFonts w:ascii="Symbol" w:hAnsi="Symbol"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2">
    <w:nsid w:val="1F9F5F02"/>
    <w:multiLevelType w:val="hybridMultilevel"/>
    <w:tmpl w:val="40AEE462"/>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3B667DC1"/>
    <w:multiLevelType w:val="hybridMultilevel"/>
    <w:tmpl w:val="46023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F962986"/>
    <w:multiLevelType w:val="hybridMultilevel"/>
    <w:tmpl w:val="FDC61C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14D4208"/>
    <w:multiLevelType w:val="hybridMultilevel"/>
    <w:tmpl w:val="E63C4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9D16244"/>
    <w:multiLevelType w:val="hybridMultilevel"/>
    <w:tmpl w:val="0FD6C55E"/>
    <w:lvl w:ilvl="0" w:tplc="5F12CC6A">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DA3E05"/>
    <w:multiLevelType w:val="hybridMultilevel"/>
    <w:tmpl w:val="1DC45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63310F3C"/>
    <w:multiLevelType w:val="hybridMultilevel"/>
    <w:tmpl w:val="BEBE1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430501A"/>
    <w:multiLevelType w:val="hybridMultilevel"/>
    <w:tmpl w:val="8CD8D2BE"/>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6B241553"/>
    <w:multiLevelType w:val="hybridMultilevel"/>
    <w:tmpl w:val="A638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FEF380D"/>
    <w:multiLevelType w:val="hybridMultilevel"/>
    <w:tmpl w:val="922AF7F6"/>
    <w:lvl w:ilvl="0" w:tplc="779E591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2"/>
  </w:num>
  <w:num w:numId="5">
    <w:abstractNumId w:val="5"/>
  </w:num>
  <w:num w:numId="6">
    <w:abstractNumId w:val="0"/>
  </w:num>
  <w:num w:numId="7">
    <w:abstractNumId w:val="8"/>
  </w:num>
  <w:num w:numId="8">
    <w:abstractNumId w:val="1"/>
  </w:num>
  <w:num w:numId="9">
    <w:abstractNumId w:val="4"/>
  </w:num>
  <w:num w:numId="10">
    <w:abstractNumId w:val="10"/>
  </w:num>
  <w:num w:numId="11">
    <w:abstractNumId w:val="11"/>
  </w:num>
  <w:num w:numId="12">
    <w:abstractNumId w:val="7"/>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k Meeussen">
    <w15:presenceInfo w15:providerId="Windows Live" w15:userId="3ccabd9197b49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760DAB8-0C34-486D-92DD-31015CA4CDC0"/>
    <w:docVar w:name="LW_COVERPAGE_TYPE" w:val="1"/>
    <w:docVar w:name="LW_CROSSREFERENCE" w:val="&lt;UNUSED&gt;"/>
    <w:docVar w:name="LW_DocType" w:val="NORMAL"/>
    <w:docVar w:name="LW_EMISSION" w:val="13.6.2018"/>
    <w:docVar w:name="LW_EMISSION_ISODATE" w:val="2018-06-13"/>
    <w:docVar w:name="LW_EMISSION_LOCATION" w:val="BRX"/>
    <w:docVar w:name="LW_EMISSION_PREFIX" w:val="Bruxelles, "/>
    <w:docVar w:name="LW_EMISSION_SUFFIX" w:val="&lt;EMPTY&gt;"/>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8) 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lemente pentru o Strategie a UE împotriva armelor de foc, a armelor de calibru mic \u537?i a armamentului u\u537?or \u537?i a muni\u539?iei aferente _x000b_\u8222?Asigurarea securit\u259?\u539?ii armelor, protejarea cet\u259?\u539?enilor\u8221?"/>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 w:type="paragraph" w:customStyle="1" w:styleId="Paragraphedeliste">
    <w:name w:val="Paragraphe de liste"/>
    <w:basedOn w:val="Normal"/>
    <w:uiPriority w:val="34"/>
    <w:qFormat/>
    <w:pPr>
      <w:spacing w:after="0" w:line="240" w:lineRule="auto"/>
      <w:ind w:left="720"/>
    </w:pPr>
    <w:rPr>
      <w:rFonts w:ascii="Calibri" w:eastAsia="SimSun" w:hAnsi="Calibri" w:cs="Times New Roman"/>
    </w:r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Pr>
      <w:rFonts w:ascii="Calibri" w:eastAsia="SimSun" w:hAnsi="Calibri" w:cs="Times New Roman"/>
      <w:szCs w:val="21"/>
      <w:lang w:val="ro-RO" w:eastAsia="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character" w:customStyle="1" w:styleId="intro">
    <w:name w:val="intro"/>
    <w:basedOn w:val="DefaultParagraphFont"/>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 w:type="paragraph" w:customStyle="1" w:styleId="Paragraphedeliste">
    <w:name w:val="Paragraphe de liste"/>
    <w:basedOn w:val="Normal"/>
    <w:uiPriority w:val="34"/>
    <w:qFormat/>
    <w:pPr>
      <w:spacing w:after="0" w:line="240" w:lineRule="auto"/>
      <w:ind w:left="720"/>
    </w:pPr>
    <w:rPr>
      <w:rFonts w:ascii="Calibri" w:eastAsia="SimSun" w:hAnsi="Calibri" w:cs="Times New Roman"/>
    </w:r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Pr>
      <w:rFonts w:ascii="Calibri" w:eastAsia="SimSun" w:hAnsi="Calibri" w:cs="Times New Roman"/>
      <w:szCs w:val="21"/>
      <w:lang w:val="ro-RO" w:eastAsia="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character" w:customStyle="1" w:styleId="intro">
    <w:name w:val="intro"/>
    <w:basedOn w:val="DefaultParagraphFont"/>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450329">
      <w:bodyDiv w:val="1"/>
      <w:marLeft w:val="0"/>
      <w:marRight w:val="0"/>
      <w:marTop w:val="0"/>
      <w:marBottom w:val="0"/>
      <w:divBdr>
        <w:top w:val="none" w:sz="0" w:space="0" w:color="auto"/>
        <w:left w:val="none" w:sz="0" w:space="0" w:color="auto"/>
        <w:bottom w:val="none" w:sz="0" w:space="0" w:color="auto"/>
        <w:right w:val="none" w:sz="0" w:space="0" w:color="auto"/>
      </w:divBdr>
    </w:div>
    <w:div w:id="1402093070">
      <w:bodyDiv w:val="1"/>
      <w:marLeft w:val="0"/>
      <w:marRight w:val="0"/>
      <w:marTop w:val="0"/>
      <w:marBottom w:val="0"/>
      <w:divBdr>
        <w:top w:val="none" w:sz="0" w:space="0" w:color="auto"/>
        <w:left w:val="none" w:sz="0" w:space="0" w:color="auto"/>
        <w:bottom w:val="none" w:sz="0" w:space="0" w:color="auto"/>
        <w:right w:val="none" w:sz="0" w:space="0" w:color="auto"/>
      </w:divBdr>
    </w:div>
    <w:div w:id="1536700226">
      <w:bodyDiv w:val="1"/>
      <w:marLeft w:val="0"/>
      <w:marRight w:val="0"/>
      <w:marTop w:val="0"/>
      <w:marBottom w:val="0"/>
      <w:divBdr>
        <w:top w:val="none" w:sz="0" w:space="0" w:color="auto"/>
        <w:left w:val="none" w:sz="0" w:space="0" w:color="auto"/>
        <w:bottom w:val="none" w:sz="0" w:space="0" w:color="auto"/>
        <w:right w:val="none" w:sz="0" w:space="0" w:color="auto"/>
      </w:divBdr>
    </w:div>
    <w:div w:id="1872641337">
      <w:bodyDiv w:val="1"/>
      <w:marLeft w:val="0"/>
      <w:marRight w:val="0"/>
      <w:marTop w:val="0"/>
      <w:marBottom w:val="0"/>
      <w:divBdr>
        <w:top w:val="none" w:sz="0" w:space="0" w:color="auto"/>
        <w:left w:val="none" w:sz="0" w:space="0" w:color="auto"/>
        <w:bottom w:val="none" w:sz="0" w:space="0" w:color="auto"/>
        <w:right w:val="none" w:sz="0" w:space="0" w:color="auto"/>
      </w:divBdr>
    </w:div>
    <w:div w:id="198142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www.unodc.org/unodc/en/firearms-protocol/the-firearms-protocol.html" TargetMode="External"/><Relationship Id="rId3" Type="http://schemas.openxmlformats.org/officeDocument/2006/relationships/hyperlink" Target="https://eur-lex.europa.eu/legal-content/RO/TXT/?uri=CELEX:31991L0477" TargetMode="External"/><Relationship Id="rId7" Type="http://schemas.openxmlformats.org/officeDocument/2006/relationships/hyperlink" Target="https://www.un.org/disarmament/att/" TargetMode="External"/><Relationship Id="rId2" Type="http://schemas.openxmlformats.org/officeDocument/2006/relationships/hyperlink" Target="https://www.europol.europa.eu/socta/2017/" TargetMode="External"/><Relationship Id="rId1" Type="http://schemas.openxmlformats.org/officeDocument/2006/relationships/hyperlink" Target="https://s3.amazonaws.com/unoda-web/wp-content/uploads/2016/10/english.pdf" TargetMode="External"/><Relationship Id="rId6" Type="http://schemas.openxmlformats.org/officeDocument/2006/relationships/hyperlink" Target="http://www.un.org/events/smallarms2006/pdf/192.15%20(E).pdf" TargetMode="External"/><Relationship Id="rId5" Type="http://schemas.openxmlformats.org/officeDocument/2006/relationships/hyperlink" Target="https://europa.eu/globalstrategy/sites/globalstrategy/files/pages/files/eugs_review_web_13.pdf" TargetMode="External"/><Relationship Id="rId10" Type="http://schemas.openxmlformats.org/officeDocument/2006/relationships/hyperlink" Target="https://www.interpol.int/Crime-areas/Firearms-trafficking/INTERPOL-Illicit-Arms-Records-and-tracing-Management-System-iARMS" TargetMode="External"/><Relationship Id="rId4" Type="http://schemas.openxmlformats.org/officeDocument/2006/relationships/hyperlink" Target="https://europa.eu/globalstrategy/en/global-strategy-foreign-and-security-policy-european-union" TargetMode="External"/><Relationship Id="rId9" Type="http://schemas.openxmlformats.org/officeDocument/2006/relationships/hyperlink" Target="https://www.un.org/sustainabledevelopment/sustainable-development-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A5FC6-9095-4581-866E-5EDF4F0A3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19</Pages>
  <Words>6697</Words>
  <Characters>39716</Characters>
  <Application>Microsoft Office Word</Application>
  <DocSecurity>0</DocSecurity>
  <Lines>630</Lines>
  <Paragraphs>186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2018-06-05T08:19:00Z</cp:lastPrinted>
  <dcterms:created xsi:type="dcterms:W3CDTF">2018-06-06T13:00:00Z</dcterms:created>
  <dcterms:modified xsi:type="dcterms:W3CDTF">2018-07-17T13:24:00Z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