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958" w:rsidRDefault="00A5355A">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0C26DFA-4E48-46D2-9E0D-BD4264F3907D" style="width:450.75pt;height:293.25pt">
            <v:imagedata r:id="rId9" o:title=""/>
          </v:shape>
        </w:pict>
      </w:r>
    </w:p>
    <w:bookmarkEnd w:id="0"/>
    <w:p w:rsidR="00EF4958" w:rsidRDefault="00EF4958">
      <w:pPr>
        <w:jc w:val="both"/>
        <w:rPr>
          <w:noProof/>
        </w:rPr>
        <w:sectPr w:rsidR="00EF4958">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2"/>
          <w:cols w:space="720"/>
          <w:docGrid w:linePitch="326"/>
        </w:sectPr>
      </w:pPr>
    </w:p>
    <w:p w:rsidR="00EF4958" w:rsidRDefault="00A5355A">
      <w:pPr>
        <w:pStyle w:val="En-tte0"/>
        <w:numPr>
          <w:ilvl w:val="0"/>
          <w:numId w:val="2"/>
        </w:numPr>
        <w:spacing w:before="0" w:after="240"/>
        <w:rPr>
          <w:noProof/>
          <w:sz w:val="26"/>
          <w:szCs w:val="26"/>
        </w:rPr>
      </w:pPr>
      <w:r>
        <w:rPr>
          <w:noProof/>
          <w:sz w:val="26"/>
        </w:rPr>
        <w:lastRenderedPageBreak/>
        <w:t>Introducere: îmbunătățirea mobilității militare în UE</w:t>
      </w:r>
    </w:p>
    <w:p w:rsidR="00EF4958" w:rsidRDefault="00A5355A">
      <w:pPr>
        <w:pStyle w:val="Briefingtext"/>
        <w:spacing w:after="200" w:line="276" w:lineRule="auto"/>
        <w:rPr>
          <w:rStyle w:val="Aucun"/>
          <w:rFonts w:ascii="Times New Roman" w:hAnsi="Times New Roman" w:cs="Times New Roman"/>
          <w:noProof/>
          <w:sz w:val="24"/>
          <w:szCs w:val="24"/>
        </w:rPr>
      </w:pPr>
      <w:r>
        <w:rPr>
          <w:rStyle w:val="Aucun"/>
          <w:rFonts w:ascii="Times New Roman" w:hAnsi="Times New Roman"/>
          <w:noProof/>
          <w:sz w:val="24"/>
        </w:rPr>
        <w:t>În discursul său din 2017 privind starea Uniunii</w:t>
      </w:r>
      <w:r>
        <w:rPr>
          <w:rStyle w:val="FootnoteReference"/>
          <w:rFonts w:ascii="Times New Roman" w:hAnsi="Times New Roman"/>
          <w:noProof/>
          <w:sz w:val="24"/>
        </w:rPr>
        <w:footnoteReference w:id="2"/>
      </w:r>
      <w:r>
        <w:rPr>
          <w:rStyle w:val="Aucun"/>
          <w:rFonts w:ascii="Times New Roman" w:hAnsi="Times New Roman"/>
          <w:noProof/>
          <w:sz w:val="24"/>
        </w:rPr>
        <w:t xml:space="preserve">, președintele Juncker a accentuat </w:t>
      </w:r>
      <w:r>
        <w:rPr>
          <w:rStyle w:val="Aucun"/>
          <w:rFonts w:ascii="Times New Roman" w:hAnsi="Times New Roman"/>
          <w:noProof/>
          <w:sz w:val="24"/>
        </w:rPr>
        <w:t xml:space="preserve">necesitatea imperativă de a crea, până în 2025, o veritabilă Uniune Europeană a Apărării. UE aplică deja măsurile necesare pentru a construi o Uniune mai eficientă, mai reactivă și mai solidară, capabilă să urmărească interesele și prioritățile comune ale </w:t>
      </w:r>
      <w:r>
        <w:rPr>
          <w:rStyle w:val="Aucun"/>
          <w:rFonts w:ascii="Times New Roman" w:hAnsi="Times New Roman"/>
          <w:noProof/>
          <w:sz w:val="24"/>
        </w:rPr>
        <w:t>UE de promovare a păcii și de garantare a securității cetățenilor și teritoriului ei, astfel cum se menționează și în Strategia globală pentru politica externă și de securitate a UE</w:t>
      </w:r>
      <w:r>
        <w:rPr>
          <w:rStyle w:val="FootnoteReference"/>
          <w:rFonts w:ascii="Times New Roman" w:hAnsi="Times New Roman"/>
          <w:noProof/>
          <w:sz w:val="24"/>
        </w:rPr>
        <w:footnoteReference w:id="3"/>
      </w:r>
      <w:r>
        <w:rPr>
          <w:rStyle w:val="Aucun"/>
          <w:rFonts w:ascii="Times New Roman" w:hAnsi="Times New Roman"/>
          <w:noProof/>
          <w:sz w:val="24"/>
        </w:rPr>
        <w:t>. Planul de acțiune european în domeniul apărării și în special Fondul eur</w:t>
      </w:r>
      <w:r>
        <w:rPr>
          <w:rStyle w:val="Aucun"/>
          <w:rFonts w:ascii="Times New Roman" w:hAnsi="Times New Roman"/>
          <w:noProof/>
          <w:sz w:val="24"/>
        </w:rPr>
        <w:t>opean de apărare arată angajamentul Europei de a desfășura acțiuni curajoase pentru a sprijini statele membre. Îmbunătățirea mobilității militare în Uniunea Europeană este una dintre măsurile practice în acest sens, contribuind astfel la construirea unei U</w:t>
      </w:r>
      <w:r>
        <w:rPr>
          <w:rStyle w:val="Aucun"/>
          <w:rFonts w:ascii="Times New Roman" w:hAnsi="Times New Roman"/>
          <w:noProof/>
          <w:sz w:val="24"/>
        </w:rPr>
        <w:t>niuni care protejează, în care solidaritatea și asistența reciprocă europeană</w:t>
      </w:r>
      <w:r>
        <w:rPr>
          <w:rStyle w:val="FootnoteReference"/>
          <w:rFonts w:ascii="Times New Roman" w:hAnsi="Times New Roman"/>
          <w:noProof/>
          <w:sz w:val="24"/>
        </w:rPr>
        <w:footnoteReference w:id="4"/>
      </w:r>
      <w:r>
        <w:rPr>
          <w:rStyle w:val="Aucun"/>
          <w:rFonts w:ascii="Times New Roman" w:hAnsi="Times New Roman"/>
          <w:noProof/>
          <w:sz w:val="24"/>
        </w:rPr>
        <w:t xml:space="preserve"> sunt puse în aplicare în mod eficient. </w:t>
      </w:r>
    </w:p>
    <w:p w:rsidR="00EF4958" w:rsidRDefault="00A5355A">
      <w:pPr>
        <w:spacing w:after="200" w:line="276" w:lineRule="auto"/>
        <w:jc w:val="both"/>
        <w:rPr>
          <w:rStyle w:val="Aucun"/>
          <w:noProof/>
        </w:rPr>
      </w:pPr>
      <w:bookmarkStart w:id="1" w:name="_GoBack"/>
      <w:r>
        <w:rPr>
          <w:noProof/>
          <w:color w:val="000000"/>
          <w:u w:color="000000"/>
        </w:rPr>
        <w:t>Douăzeci și cinci de state membre ale UE au decis să includă mobilitatea militară printre angajamentele cu un caracter obligatoriu mai pr</w:t>
      </w:r>
      <w:r>
        <w:rPr>
          <w:noProof/>
          <w:color w:val="000000"/>
          <w:u w:color="000000"/>
        </w:rPr>
        <w:t>onunțat pe care și le-au asumat în cadrul cooperării structurate permanente lansate la 11 decembrie 2017</w:t>
      </w:r>
      <w:r>
        <w:rPr>
          <w:rStyle w:val="FootnoteReference"/>
          <w:noProof/>
          <w:color w:val="000000"/>
          <w:u w:color="000000"/>
        </w:rPr>
        <w:footnoteReference w:id="5"/>
      </w:r>
      <w:r>
        <w:rPr>
          <w:noProof/>
          <w:color w:val="000000"/>
          <w:u w:color="000000"/>
        </w:rPr>
        <w:t>. La 6 martie 2018, Consiliul a adoptat, de asemenea, o Recomandare privind foaia de parcurs pentru punerea în aplicare a cooperării structurate perman</w:t>
      </w:r>
      <w:r>
        <w:rPr>
          <w:noProof/>
          <w:color w:val="000000"/>
          <w:u w:color="000000"/>
        </w:rPr>
        <w:t>ente și o Decizie de stabilire a listei de proiecte care urmează să fie dezvoltate în cadrul cooperării structurate permanente</w:t>
      </w:r>
      <w:r>
        <w:rPr>
          <w:rStyle w:val="FootnoteReference"/>
          <w:noProof/>
          <w:color w:val="000000"/>
          <w:u w:color="000000"/>
        </w:rPr>
        <w:footnoteReference w:id="6"/>
      </w:r>
      <w:r>
        <w:rPr>
          <w:noProof/>
          <w:color w:val="000000"/>
          <w:u w:color="000000"/>
        </w:rPr>
        <w:t>. În decembrie 2017, mobilitatea militară a fost adăugată la setul comun de propuneri noi</w:t>
      </w:r>
      <w:r>
        <w:rPr>
          <w:noProof/>
          <w:color w:val="000000"/>
          <w:u w:color="000000"/>
          <w:vertAlign w:val="superscript"/>
        </w:rPr>
        <w:footnoteReference w:id="7"/>
      </w:r>
      <w:r>
        <w:rPr>
          <w:noProof/>
          <w:color w:val="000000"/>
          <w:u w:color="000000"/>
        </w:rPr>
        <w:t xml:space="preserve"> pentru punerea în aplicare a Declarați</w:t>
      </w:r>
      <w:r>
        <w:rPr>
          <w:noProof/>
          <w:color w:val="000000"/>
          <w:u w:color="000000"/>
        </w:rPr>
        <w:t>ei comune UE-NATO din iulie 2016</w:t>
      </w:r>
      <w:r>
        <w:rPr>
          <w:noProof/>
          <w:color w:val="000000"/>
          <w:u w:color="000000"/>
          <w:vertAlign w:val="superscript"/>
        </w:rPr>
        <w:footnoteReference w:id="8"/>
      </w:r>
      <w:r>
        <w:rPr>
          <w:noProof/>
          <w:color w:val="000000"/>
          <w:u w:color="000000"/>
        </w:rPr>
        <w:t>. În decembrie 2017</w:t>
      </w:r>
      <w:r>
        <w:rPr>
          <w:rStyle w:val="FootnoteReference"/>
          <w:noProof/>
          <w:color w:val="000000"/>
          <w:u w:color="000000"/>
        </w:rPr>
        <w:footnoteReference w:id="9"/>
      </w:r>
      <w:r>
        <w:rPr>
          <w:noProof/>
          <w:color w:val="000000"/>
          <w:u w:color="000000"/>
        </w:rPr>
        <w:t xml:space="preserve">, Consiliul European a invitat Înaltul Reprezentant, Comisia și statele membre ale UE să avanseze activitățile vizând mobilitatea militară, atât în ceea ce privește cooperarea structurată permanentă </w:t>
      </w:r>
      <w:r>
        <w:rPr>
          <w:noProof/>
          <w:color w:val="000000"/>
          <w:u w:color="000000"/>
        </w:rPr>
        <w:t>(PESCO), cât și în contextul cooperării UE-NATO.</w:t>
      </w:r>
    </w:p>
    <w:bookmarkEnd w:id="1"/>
    <w:p w:rsidR="00EF4958" w:rsidRDefault="00A5355A">
      <w:pPr>
        <w:pStyle w:val="Briefingtext"/>
        <w:keepNext/>
        <w:spacing w:before="240" w:line="276" w:lineRule="auto"/>
        <w:rPr>
          <w:rStyle w:val="Aucun"/>
          <w:rFonts w:ascii="Times New Roman" w:hAnsi="Times New Roman" w:cs="Times New Roman"/>
          <w:b/>
          <w:noProof/>
          <w:sz w:val="24"/>
          <w:szCs w:val="24"/>
        </w:rPr>
      </w:pPr>
      <w:r>
        <w:rPr>
          <w:rStyle w:val="Aucun"/>
          <w:rFonts w:ascii="Times New Roman" w:hAnsi="Times New Roman"/>
          <w:b/>
          <w:noProof/>
          <w:sz w:val="24"/>
        </w:rPr>
        <w:t xml:space="preserve">Principiile directoare ale abordării UE </w:t>
      </w:r>
    </w:p>
    <w:p w:rsidR="00EF4958" w:rsidRDefault="00A5355A">
      <w:pPr>
        <w:pStyle w:val="Briefingtext"/>
        <w:spacing w:after="200" w:line="276" w:lineRule="auto"/>
        <w:rPr>
          <w:rStyle w:val="Aucun"/>
          <w:rFonts w:ascii="Times New Roman" w:hAnsi="Times New Roman" w:cs="Times New Roman"/>
          <w:noProof/>
          <w:sz w:val="24"/>
          <w:szCs w:val="24"/>
        </w:rPr>
      </w:pPr>
      <w:r>
        <w:rPr>
          <w:rStyle w:val="Aucun"/>
          <w:rFonts w:ascii="Times New Roman" w:hAnsi="Times New Roman"/>
          <w:noProof/>
          <w:sz w:val="24"/>
        </w:rPr>
        <w:t>Ca acțiune subsecventă Comunicării comune privind îmbunătățirea mobilității militare în UE, din noiembrie 2017</w:t>
      </w:r>
      <w:r>
        <w:rPr>
          <w:rStyle w:val="FootnoteReference"/>
          <w:rFonts w:ascii="Times New Roman" w:hAnsi="Times New Roman"/>
          <w:noProof/>
          <w:sz w:val="24"/>
        </w:rPr>
        <w:footnoteReference w:id="10"/>
      </w:r>
      <w:r>
        <w:rPr>
          <w:rFonts w:ascii="Times New Roman" w:hAnsi="Times New Roman"/>
          <w:noProof/>
        </w:rPr>
        <w:t xml:space="preserve"> </w:t>
      </w:r>
      <w:r>
        <w:rPr>
          <w:rStyle w:val="Aucun"/>
          <w:rFonts w:ascii="Times New Roman" w:hAnsi="Times New Roman"/>
          <w:noProof/>
          <w:sz w:val="24"/>
        </w:rPr>
        <w:t>ș</w:t>
      </w:r>
      <w:r>
        <w:rPr>
          <w:rStyle w:val="Aucun"/>
          <w:rFonts w:ascii="Times New Roman" w:hAnsi="Times New Roman"/>
          <w:noProof/>
          <w:sz w:val="24"/>
        </w:rPr>
        <w:t>i pe baza Foii de parcurs elaborate de grupul de lucr</w:t>
      </w:r>
      <w:r>
        <w:rPr>
          <w:rStyle w:val="Aucun"/>
          <w:rFonts w:ascii="Times New Roman" w:hAnsi="Times New Roman"/>
          <w:noProof/>
          <w:sz w:val="24"/>
        </w:rPr>
        <w:t xml:space="preserve">u ad-hoc privind transporturile militare transfrontaliere în Europa în cadrul activităților Agenției Europene de Apărare, prezentul Plan de acțiune își propune să pună la dispoziție un cadru </w:t>
      </w:r>
      <w:r>
        <w:rPr>
          <w:rStyle w:val="Aucun"/>
          <w:rFonts w:ascii="Times New Roman" w:hAnsi="Times New Roman"/>
          <w:noProof/>
          <w:sz w:val="24"/>
        </w:rPr>
        <w:lastRenderedPageBreak/>
        <w:t>coerent pentru programele, proiectele, inițiativele și activități</w:t>
      </w:r>
      <w:r>
        <w:rPr>
          <w:rStyle w:val="Aucun"/>
          <w:rFonts w:ascii="Times New Roman" w:hAnsi="Times New Roman"/>
          <w:noProof/>
          <w:sz w:val="24"/>
        </w:rPr>
        <w:t xml:space="preserve">le în curs de desfășurare și viitoare. Acest lucru va permite o abordare mai coordonată la nivelul UE, consolidarea solidarității între statele membre și îmbunătățirea valorii adăugate a UE. </w:t>
      </w:r>
    </w:p>
    <w:p w:rsidR="00EF4958" w:rsidRDefault="00A5355A">
      <w:pPr>
        <w:pStyle w:val="Briefingtext"/>
        <w:spacing w:after="200" w:line="276" w:lineRule="auto"/>
        <w:rPr>
          <w:rStyle w:val="Aucun"/>
          <w:rFonts w:ascii="Times New Roman" w:hAnsi="Times New Roman" w:cs="Times New Roman"/>
          <w:noProof/>
          <w:sz w:val="24"/>
          <w:szCs w:val="24"/>
        </w:rPr>
      </w:pPr>
      <w:r>
        <w:rPr>
          <w:rStyle w:val="Aucun"/>
          <w:rFonts w:ascii="Times New Roman" w:hAnsi="Times New Roman"/>
          <w:noProof/>
          <w:sz w:val="24"/>
        </w:rPr>
        <w:t>O mai bună mobilitate a forțelor în interiorul și în afara UE va</w:t>
      </w:r>
      <w:r>
        <w:rPr>
          <w:rStyle w:val="Aucun"/>
          <w:rFonts w:ascii="Times New Roman" w:hAnsi="Times New Roman"/>
          <w:noProof/>
          <w:sz w:val="24"/>
        </w:rPr>
        <w:t xml:space="preserve"> consolida securitatea europeană permițând statelor membre ale UE să acționeze mai rapid, în concordanță cu necesitățile și responsabilitățile lor în materie de apărare, atât în contextul misiunilor și operațiunilor desfășurate în cadrul Politicii de secur</w:t>
      </w:r>
      <w:r>
        <w:rPr>
          <w:rStyle w:val="Aucun"/>
          <w:rFonts w:ascii="Times New Roman" w:hAnsi="Times New Roman"/>
          <w:noProof/>
          <w:sz w:val="24"/>
        </w:rPr>
        <w:t xml:space="preserve">itate și apărare comune, cât și al activităților naționale și multinaționale (de exemplu în cadrul NATO). </w:t>
      </w:r>
    </w:p>
    <w:p w:rsidR="00EF4958" w:rsidRDefault="00A5355A">
      <w:pPr>
        <w:pStyle w:val="Briefingtext"/>
        <w:spacing w:after="200" w:line="276" w:lineRule="auto"/>
        <w:rPr>
          <w:rStyle w:val="Aucun"/>
          <w:rFonts w:ascii="Times New Roman" w:hAnsi="Times New Roman" w:cs="Times New Roman"/>
          <w:noProof/>
          <w:sz w:val="24"/>
          <w:szCs w:val="24"/>
        </w:rPr>
      </w:pPr>
      <w:r>
        <w:rPr>
          <w:rStyle w:val="Aucun"/>
          <w:rFonts w:ascii="Times New Roman" w:hAnsi="Times New Roman"/>
          <w:noProof/>
          <w:sz w:val="24"/>
        </w:rPr>
        <w:t>Conlucrarea în strânsă colaborare cu statele membre ale UE, inclusiv cu toți actorii relevanți, este esențială pentru punerea în aplicare a prezentul</w:t>
      </w:r>
      <w:r>
        <w:rPr>
          <w:rStyle w:val="Aucun"/>
          <w:rFonts w:ascii="Times New Roman" w:hAnsi="Times New Roman"/>
          <w:noProof/>
          <w:sz w:val="24"/>
        </w:rPr>
        <w:t>ui Plan de acțiune. Acest lucru va fi realizat respectând pe deplin suveranitatea statelor membre ale UE asupra teritoriului lor național și asupra proceselor decizionale naționale în ceea ce privește deplasările de interes militar. În plus, măsurile de in</w:t>
      </w:r>
      <w:r>
        <w:rPr>
          <w:rStyle w:val="Aucun"/>
          <w:rFonts w:ascii="Times New Roman" w:hAnsi="Times New Roman"/>
          <w:noProof/>
          <w:sz w:val="24"/>
        </w:rPr>
        <w:t>tensificare a cooperării între instituțiile, agențiile și organismele Uniunii și autoritățile naționale competente din statele membre ale UE vor fi luate respectând pe deplin diferitele competențe ale actorilor implicați. Coordonarea strânsă dintre prezent</w:t>
      </w:r>
      <w:r>
        <w:rPr>
          <w:rStyle w:val="Aucun"/>
          <w:rFonts w:ascii="Times New Roman" w:hAnsi="Times New Roman"/>
          <w:noProof/>
          <w:sz w:val="24"/>
        </w:rPr>
        <w:t>ul Plan de acțiune și proiectul de cooperare structurată permanentă vizând mobilitatea militară trebuie să fie asigurată pentru a se obține complementaritatea rezultatelor.</w:t>
      </w:r>
    </w:p>
    <w:p w:rsidR="00EF4958" w:rsidRDefault="00A5355A">
      <w:pPr>
        <w:pStyle w:val="Briefingtext"/>
        <w:spacing w:after="200" w:line="276" w:lineRule="auto"/>
        <w:rPr>
          <w:rStyle w:val="Aucun"/>
          <w:rFonts w:ascii="Times New Roman" w:hAnsi="Times New Roman" w:cs="Times New Roman"/>
          <w:noProof/>
          <w:sz w:val="24"/>
          <w:szCs w:val="24"/>
        </w:rPr>
      </w:pPr>
      <w:r>
        <w:rPr>
          <w:rStyle w:val="Aucun"/>
          <w:rFonts w:ascii="Times New Roman" w:hAnsi="Times New Roman"/>
          <w:noProof/>
          <w:sz w:val="24"/>
        </w:rPr>
        <w:t>Cooperarea suplimentară cu NATO în ceea ce privește mobilitatea militară, în cadrul punerii în aplicare a Declarației comune, este, de asemenea, importantă. În concordanță cu concluziile Consiliului din decembrie 2017, cooperarea și consultarea cu NATO are</w:t>
      </w:r>
      <w:r>
        <w:rPr>
          <w:rStyle w:val="Aucun"/>
          <w:rFonts w:ascii="Times New Roman" w:hAnsi="Times New Roman"/>
          <w:noProof/>
          <w:sz w:val="24"/>
        </w:rPr>
        <w:t xml:space="preserve"> loc la nivel de personal, prin intermediul unor reuniuni periodice vizând aspecte ale mobilității militare pe toate căile (terestră, maritimă, aeriană). Intenția este aceea de a se asigura o abordare coerentă și sinergii între UE și NATO, cu scopul de a a</w:t>
      </w:r>
      <w:r>
        <w:rPr>
          <w:rStyle w:val="Aucun"/>
          <w:rFonts w:ascii="Times New Roman" w:hAnsi="Times New Roman"/>
          <w:noProof/>
          <w:sz w:val="24"/>
        </w:rPr>
        <w:t>borda eficient barierele existente, inclusiv cele juridice, de infrastructură și procedurale, pentru a facilita și a urgenta deplasările și trecerea frontierelor de către personalul și materialele de uz militar, cu respectarea deplină a deciziilor național</w:t>
      </w:r>
      <w:r>
        <w:rPr>
          <w:rStyle w:val="Aucun"/>
          <w:rFonts w:ascii="Times New Roman" w:hAnsi="Times New Roman"/>
          <w:noProof/>
          <w:sz w:val="24"/>
        </w:rPr>
        <w:t>e suverane. Această cooperare va fi continuată în condiții de deschidere și de transparență depline, de respectare a autonomiei și a procedurilor decizionale ale ambelor organizații, de incluziune și reciprocitate, fără a se aduce atingere caracterului spe</w:t>
      </w:r>
      <w:r>
        <w:rPr>
          <w:rStyle w:val="Aucun"/>
          <w:rFonts w:ascii="Times New Roman" w:hAnsi="Times New Roman"/>
          <w:noProof/>
          <w:sz w:val="24"/>
        </w:rPr>
        <w:t xml:space="preserve">cific al politicii de securitate și apărare a niciunui stat membru al UE. Interacțiunea cu toate părțile interesate relevante va urmări optimizarea coordonării și a eficacității, pentru a fructifica toate sinergiile. </w:t>
      </w:r>
    </w:p>
    <w:p w:rsidR="00EF4958" w:rsidRDefault="00A5355A">
      <w:pPr>
        <w:pStyle w:val="Briefingtext"/>
        <w:keepNext/>
        <w:spacing w:before="240" w:line="276" w:lineRule="auto"/>
        <w:rPr>
          <w:rStyle w:val="Aucun"/>
          <w:rFonts w:ascii="Times New Roman" w:hAnsi="Times New Roman" w:cs="Times New Roman"/>
          <w:b/>
          <w:noProof/>
          <w:sz w:val="24"/>
          <w:szCs w:val="24"/>
        </w:rPr>
      </w:pPr>
      <w:r>
        <w:rPr>
          <w:rStyle w:val="Aucun"/>
          <w:rFonts w:ascii="Times New Roman" w:hAnsi="Times New Roman"/>
          <w:b/>
          <w:noProof/>
          <w:sz w:val="24"/>
        </w:rPr>
        <w:t>Rezultatele Grupului de lucru ad-hoc c</w:t>
      </w:r>
      <w:r>
        <w:rPr>
          <w:rStyle w:val="Aucun"/>
          <w:rFonts w:ascii="Times New Roman" w:hAnsi="Times New Roman"/>
          <w:b/>
          <w:noProof/>
          <w:sz w:val="24"/>
        </w:rPr>
        <w:t>u privire la transporturilor militare transfrontaliere</w:t>
      </w:r>
    </w:p>
    <w:p w:rsidR="00EF4958" w:rsidRDefault="00A5355A">
      <w:pPr>
        <w:spacing w:before="120" w:after="120" w:line="276" w:lineRule="auto"/>
        <w:jc w:val="both"/>
        <w:rPr>
          <w:rStyle w:val="Hyperlink"/>
          <w:rFonts w:eastAsia="Arial"/>
          <w:noProof/>
        </w:rPr>
      </w:pPr>
      <w:r>
        <w:rPr>
          <w:rStyle w:val="Aucun"/>
          <w:noProof/>
        </w:rPr>
        <w:t>Prezentul Plan de acțiune se bazează pe Foaia de parcurs pentru mobilitatea militară elaborată de Grupul de lucru ad hoc înființat în cadrul Agenției Europene de Apărare prin decizia Comitetului ei dir</w:t>
      </w:r>
      <w:r>
        <w:rPr>
          <w:rStyle w:val="Aucun"/>
          <w:noProof/>
        </w:rPr>
        <w:t>ector din septembrie 2017. Foaia de parcurs elaborată de Grupul de lucru ad hoc a identificat sarcini, responsabilități și calendare ambițioase pentru îmbunătățirea mobilității militare în ceea ce privește următoarele patru aspecte: aspecte juridice; vămi;</w:t>
      </w:r>
      <w:r>
        <w:rPr>
          <w:rStyle w:val="Aucun"/>
          <w:noProof/>
        </w:rPr>
        <w:t xml:space="preserve"> cerințe militare, inclusiv standarde militare legate de infrastructură; și permisiuni de deplasare transfrontalieră, inclusiv autorizații diplomatice. Comitetul director al Agenției Europene de Apărare și-a exprimat asentimentul față de Foaia de parcurs l</w:t>
      </w:r>
      <w:r>
        <w:rPr>
          <w:rStyle w:val="Aucun"/>
          <w:noProof/>
        </w:rPr>
        <w:t>a 9 februarie 2018 și a însărcinat Agenția Europeană de Apărare să desfășoare activități suplimentare vizând îmbunătățirea mobilității militare, inclusiv în cadrul punerii în aplicare a prezentului Plan de acțiune, precum și să-i raporteze anual cu privire</w:t>
      </w:r>
      <w:r>
        <w:rPr>
          <w:rStyle w:val="Aucun"/>
          <w:noProof/>
        </w:rPr>
        <w:t xml:space="preserve"> la progresele înregistrate.</w:t>
      </w:r>
      <w:r>
        <w:rPr>
          <w:rStyle w:val="Hyperlink"/>
          <w:noProof/>
        </w:rPr>
        <w:t xml:space="preserve"> </w:t>
      </w:r>
    </w:p>
    <w:p w:rsidR="00EF4958" w:rsidRDefault="00A5355A">
      <w:pPr>
        <w:spacing w:before="120" w:after="120" w:line="276" w:lineRule="auto"/>
        <w:jc w:val="both"/>
        <w:rPr>
          <w:noProof/>
        </w:rPr>
      </w:pPr>
      <w:r>
        <w:rPr>
          <w:rStyle w:val="Aucun"/>
          <w:noProof/>
        </w:rPr>
        <w:t>În plus, statele membre ale UE sunt angajate într-o serie de proiecte și inițiative de cooperare facilitate de Agenția Europeană de Apărare:</w:t>
      </w:r>
      <w:r>
        <w:rPr>
          <w:noProof/>
        </w:rPr>
        <w:t xml:space="preserve"> Proiectul în echipă Deplasări și transport (</w:t>
      </w:r>
      <w:r>
        <w:rPr>
          <w:i/>
          <w:noProof/>
        </w:rPr>
        <w:t>Project Team Movement and Transport</w:t>
      </w:r>
      <w:r>
        <w:rPr>
          <w:noProof/>
        </w:rPr>
        <w:t xml:space="preserve"> – PT </w:t>
      </w:r>
      <w:r>
        <w:rPr>
          <w:noProof/>
        </w:rPr>
        <w:t>M&amp;T)</w:t>
      </w:r>
      <w:r>
        <w:rPr>
          <w:rStyle w:val="FootnoteReference"/>
          <w:noProof/>
        </w:rPr>
        <w:footnoteReference w:id="11"/>
      </w:r>
      <w:r>
        <w:rPr>
          <w:noProof/>
        </w:rPr>
        <w:t>, Platforma UE de transport multimodal</w:t>
      </w:r>
      <w:r>
        <w:rPr>
          <w:rStyle w:val="FootnoteReference"/>
          <w:noProof/>
        </w:rPr>
        <w:footnoteReference w:id="12"/>
      </w:r>
      <w:r>
        <w:rPr>
          <w:noProof/>
        </w:rPr>
        <w:t xml:space="preserve"> și Acordul tehnic privind autorizațiile diplomatice</w:t>
      </w:r>
      <w:r>
        <w:rPr>
          <w:rStyle w:val="FootnoteReference"/>
          <w:noProof/>
        </w:rPr>
        <w:footnoteReference w:id="13"/>
      </w:r>
      <w:r>
        <w:rPr>
          <w:noProof/>
        </w:rPr>
        <w:t xml:space="preserve">. </w:t>
      </w:r>
    </w:p>
    <w:p w:rsidR="00EF4958" w:rsidRDefault="00EF4958">
      <w:pPr>
        <w:pStyle w:val="Briefingtext"/>
        <w:spacing w:after="200" w:line="276" w:lineRule="auto"/>
        <w:rPr>
          <w:rStyle w:val="Aucun"/>
          <w:rFonts w:ascii="Times New Roman" w:hAnsi="Times New Roman" w:cs="Times New Roman"/>
          <w:noProof/>
          <w:sz w:val="2"/>
          <w:szCs w:val="2"/>
        </w:rPr>
      </w:pPr>
    </w:p>
    <w:p w:rsidR="00EF4958" w:rsidRDefault="00A5355A">
      <w:pPr>
        <w:pStyle w:val="En-tte0"/>
        <w:spacing w:before="240" w:after="240"/>
        <w:ind w:left="0" w:firstLine="0"/>
        <w:rPr>
          <w:noProof/>
          <w:sz w:val="26"/>
          <w:szCs w:val="26"/>
        </w:rPr>
      </w:pPr>
      <w:r>
        <w:rPr>
          <w:noProof/>
          <w:sz w:val="26"/>
        </w:rPr>
        <w:t>2.</w:t>
      </w:r>
      <w:r>
        <w:rPr>
          <w:noProof/>
        </w:rPr>
        <w:tab/>
      </w:r>
      <w:r>
        <w:rPr>
          <w:noProof/>
          <w:sz w:val="26"/>
        </w:rPr>
        <w:t>Acțiuni identificate</w:t>
      </w:r>
    </w:p>
    <w:p w:rsidR="00EF4958" w:rsidRDefault="00A5355A">
      <w:pPr>
        <w:pStyle w:val="Sous-section2"/>
        <w:numPr>
          <w:ilvl w:val="0"/>
          <w:numId w:val="0"/>
        </w:numPr>
        <w:spacing w:before="240" w:after="240"/>
        <w:ind w:left="709"/>
        <w:rPr>
          <w:noProof/>
        </w:rPr>
      </w:pPr>
      <w:r>
        <w:rPr>
          <w:noProof/>
        </w:rPr>
        <w:t>2.1</w:t>
      </w:r>
      <w:r>
        <w:rPr>
          <w:noProof/>
        </w:rPr>
        <w:tab/>
        <w:t xml:space="preserve">Cerințe militare </w:t>
      </w:r>
    </w:p>
    <w:p w:rsidR="00EF4958" w:rsidRDefault="00A5355A">
      <w:pPr>
        <w:pStyle w:val="Text2"/>
        <w:ind w:left="0"/>
        <w:jc w:val="both"/>
        <w:rPr>
          <w:rFonts w:ascii="Times New Roman" w:hAnsi="Times New Roman" w:cs="Times New Roman"/>
          <w:noProof/>
          <w:sz w:val="24"/>
          <w:szCs w:val="24"/>
        </w:rPr>
      </w:pPr>
      <w:r>
        <w:rPr>
          <w:rFonts w:ascii="Times New Roman" w:hAnsi="Times New Roman"/>
          <w:noProof/>
          <w:sz w:val="24"/>
        </w:rPr>
        <w:t xml:space="preserve">Identificarea și acceptarea cerințelor militare, reflectând necesitățile UE și ale statelor sale membre, vor </w:t>
      </w:r>
      <w:r>
        <w:rPr>
          <w:rFonts w:ascii="Times New Roman" w:hAnsi="Times New Roman"/>
          <w:noProof/>
          <w:sz w:val="24"/>
        </w:rPr>
        <w:t>reprezenta punctul de pornire pentru o abordare eficace în întreaga UE, care să includă toate celelalte acțiuni definite în secțiunile următoare. Aceste cerințe ar trebui să includă, de asemenea, definiția infrastructurii necesare pentru mobilitatea milita</w:t>
      </w:r>
      <w:r>
        <w:rPr>
          <w:rFonts w:ascii="Times New Roman" w:hAnsi="Times New Roman"/>
          <w:noProof/>
          <w:sz w:val="24"/>
        </w:rPr>
        <w:t>ră. Ea presupune ca statele membre ale UE să urmeze o abordare care să cuprindă întreaga administrație publică și să implice și alte autorități naționale competente în plus față de ministerele apărării.</w:t>
      </w:r>
    </w:p>
    <w:p w:rsidR="00EF4958" w:rsidRDefault="00A5355A">
      <w:pPr>
        <w:keepNext/>
        <w:pBdr>
          <w:top w:val="single" w:sz="4" w:space="0" w:color="000000"/>
          <w:left w:val="single" w:sz="4" w:space="0" w:color="000000"/>
          <w:bottom w:val="single" w:sz="4" w:space="0" w:color="000000"/>
          <w:right w:val="single" w:sz="4" w:space="0" w:color="000000"/>
        </w:pBdr>
        <w:shd w:val="clear" w:color="auto" w:fill="D9D9D9"/>
        <w:spacing w:before="60" w:after="60" w:line="276" w:lineRule="auto"/>
        <w:jc w:val="both"/>
        <w:rPr>
          <w:rFonts w:eastAsia="Calibri"/>
          <w:b/>
          <w:bCs/>
          <w:noProof/>
          <w:color w:val="000000"/>
          <w:u w:color="000000"/>
        </w:rPr>
      </w:pPr>
      <w:r>
        <w:rPr>
          <w:b/>
          <w:noProof/>
          <w:color w:val="000000"/>
          <w:u w:color="000000"/>
        </w:rPr>
        <w:t xml:space="preserve">Acțiuni-cheie la nivelul UE: </w:t>
      </w:r>
    </w:p>
    <w:p w:rsidR="00EF4958" w:rsidRDefault="00A5355A">
      <w:pPr>
        <w:pStyle w:val="Text1"/>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hAnsi="Times New Roman" w:cs="Times New Roman"/>
          <w:noProof/>
          <w:sz w:val="24"/>
          <w:szCs w:val="24"/>
        </w:rPr>
      </w:pPr>
      <w:r>
        <w:rPr>
          <w:rFonts w:ascii="Times New Roman" w:hAnsi="Times New Roman"/>
          <w:noProof/>
          <w:sz w:val="24"/>
        </w:rPr>
        <w:t xml:space="preserve">Serviciul European de </w:t>
      </w:r>
      <w:r>
        <w:rPr>
          <w:rFonts w:ascii="Times New Roman" w:hAnsi="Times New Roman"/>
          <w:noProof/>
          <w:sz w:val="24"/>
        </w:rPr>
        <w:t>Acțiune Externă/Statul Major al UE va elabora cerințele militare în strânsă cooperare cu statele membre ale UE, cu Comisia și cu agențiile și organismele relevante ale Uniunii (inclusiv Agenția Europeană de Apărare) și, dacă este cazul, în consultare cu NA</w:t>
      </w:r>
      <w:r>
        <w:rPr>
          <w:rFonts w:ascii="Times New Roman" w:hAnsi="Times New Roman"/>
          <w:noProof/>
          <w:sz w:val="24"/>
        </w:rPr>
        <w:t>TO.</w:t>
      </w:r>
    </w:p>
    <w:p w:rsidR="00EF4958" w:rsidRDefault="00A5355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hAnsi="Times New Roman" w:cs="Times New Roman"/>
          <w:noProof/>
          <w:sz w:val="24"/>
          <w:szCs w:val="24"/>
        </w:rPr>
      </w:pPr>
      <w:r>
        <w:rPr>
          <w:rFonts w:ascii="Times New Roman" w:hAnsi="Times New Roman"/>
          <w:noProof/>
          <w:sz w:val="24"/>
        </w:rPr>
        <w:t xml:space="preserve">Până la jumătatea anului 2018, Consiliul este invitat să examineze și să valideze cerințele militare, implicând grupurile de pregătire relevante, inclusiv Comitetul militar al UE. </w:t>
      </w:r>
    </w:p>
    <w:p w:rsidR="00EF4958" w:rsidRDefault="00A5355A">
      <w:pPr>
        <w:pStyle w:val="Sous-section2"/>
        <w:numPr>
          <w:ilvl w:val="0"/>
          <w:numId w:val="0"/>
        </w:numPr>
        <w:spacing w:before="240" w:after="240"/>
        <w:ind w:left="709"/>
        <w:rPr>
          <w:noProof/>
        </w:rPr>
      </w:pPr>
      <w:r>
        <w:rPr>
          <w:noProof/>
        </w:rPr>
        <w:t>2.2</w:t>
      </w:r>
      <w:r>
        <w:rPr>
          <w:noProof/>
        </w:rPr>
        <w:tab/>
        <w:t>Infrastructura de transport</w:t>
      </w:r>
    </w:p>
    <w:p w:rsidR="00EF4958" w:rsidRDefault="00A5355A">
      <w:pPr>
        <w:spacing w:after="200" w:line="276" w:lineRule="auto"/>
        <w:jc w:val="both"/>
        <w:rPr>
          <w:rStyle w:val="Aucun"/>
          <w:noProof/>
        </w:rPr>
      </w:pPr>
      <w:r>
        <w:rPr>
          <w:rStyle w:val="Aucun"/>
          <w:noProof/>
        </w:rPr>
        <w:t>Politica în materie de infrastructură d</w:t>
      </w:r>
      <w:r>
        <w:rPr>
          <w:rStyle w:val="Aucun"/>
          <w:noProof/>
        </w:rPr>
        <w:t>e transport oferă o oportunitate clară de creștere a sinergiilor dintre nevoile de apărare și politicile existente ale Uniunii și, în special, rețeaua transeuropeană de transport (TEN-T)</w:t>
      </w:r>
      <w:r>
        <w:rPr>
          <w:rStyle w:val="FootnoteReference"/>
          <w:noProof/>
        </w:rPr>
        <w:footnoteReference w:id="14"/>
      </w:r>
      <w:r>
        <w:rPr>
          <w:rStyle w:val="Aucun"/>
          <w:noProof/>
        </w:rPr>
        <w:t>. În acest context,</w:t>
      </w:r>
      <w:r>
        <w:rPr>
          <w:noProof/>
        </w:rPr>
        <w:t xml:space="preserve"> </w:t>
      </w:r>
      <w:r>
        <w:rPr>
          <w:rStyle w:val="Aucun"/>
          <w:noProof/>
        </w:rPr>
        <w:t>există oportunitatea de a demonstra valoarea adău</w:t>
      </w:r>
      <w:r>
        <w:rPr>
          <w:rStyle w:val="Aucun"/>
          <w:noProof/>
        </w:rPr>
        <w:t>gată a UE</w:t>
      </w:r>
      <w:r>
        <w:rPr>
          <w:noProof/>
        </w:rPr>
        <w:t xml:space="preserve"> </w:t>
      </w:r>
      <w:r>
        <w:rPr>
          <w:rStyle w:val="Aucun"/>
          <w:noProof/>
        </w:rPr>
        <w:t>ș</w:t>
      </w:r>
      <w:r>
        <w:rPr>
          <w:rStyle w:val="Aucun"/>
          <w:noProof/>
        </w:rPr>
        <w:t>i de a asigura o utilizare mai eficientă a fondurilor publice.</w:t>
      </w:r>
    </w:p>
    <w:p w:rsidR="00EF4958" w:rsidRDefault="00A5355A">
      <w:pPr>
        <w:pStyle w:val="Briefingtext"/>
        <w:keepNext/>
        <w:spacing w:before="240"/>
        <w:rPr>
          <w:rStyle w:val="Aucun"/>
          <w:rFonts w:ascii="Times New Roman" w:eastAsia="Times New Roman" w:hAnsi="Times New Roman" w:cs="Times New Roman"/>
          <w:b/>
          <w:noProof/>
          <w:sz w:val="24"/>
          <w:szCs w:val="24"/>
        </w:rPr>
      </w:pPr>
      <w:r>
        <w:rPr>
          <w:rStyle w:val="Aucun"/>
          <w:rFonts w:ascii="Times New Roman" w:hAnsi="Times New Roman"/>
          <w:b/>
          <w:noProof/>
          <w:sz w:val="24"/>
        </w:rPr>
        <w:t>Exercițiu-pilot</w:t>
      </w:r>
    </w:p>
    <w:p w:rsidR="00EF4958" w:rsidRDefault="00A5355A">
      <w:pPr>
        <w:spacing w:after="200" w:line="276" w:lineRule="auto"/>
        <w:jc w:val="both"/>
        <w:rPr>
          <w:rStyle w:val="Aucun"/>
          <w:noProof/>
        </w:rPr>
      </w:pPr>
      <w:r>
        <w:rPr>
          <w:rStyle w:val="Aucun"/>
          <w:noProof/>
        </w:rPr>
        <w:t>Pentru a verifica fezabilitatea unei abordări la nivelul UE, Președinția estonă a inițiat în 2017 o analiză-pilot pentru țările coridorului Marea Nordului – Marea Bal</w:t>
      </w:r>
      <w:r>
        <w:rPr>
          <w:rStyle w:val="Aucun"/>
          <w:noProof/>
        </w:rPr>
        <w:t>tică a rețelei transeuropene de transport</w:t>
      </w:r>
      <w:r>
        <w:rPr>
          <w:rStyle w:val="FootnoteReference"/>
          <w:noProof/>
        </w:rPr>
        <w:footnoteReference w:id="15"/>
      </w:r>
      <w:r>
        <w:rPr>
          <w:rStyle w:val="Aucun"/>
          <w:noProof/>
        </w:rPr>
        <w:t>, cu implicarea reprezentanților acestora în domeniul apărării și al transportului. Scopul analizei este de a iniția măsurile descrise mai jos, pentru a identifica elementele preliminare care ar putea fi utile pent</w:t>
      </w:r>
      <w:r>
        <w:rPr>
          <w:rStyle w:val="Aucun"/>
          <w:noProof/>
        </w:rPr>
        <w:t>ru o analiză completă.</w:t>
      </w:r>
    </w:p>
    <w:p w:rsidR="00EF4958" w:rsidRDefault="00A5355A">
      <w:pPr>
        <w:spacing w:after="200" w:line="276" w:lineRule="auto"/>
        <w:jc w:val="both"/>
        <w:rPr>
          <w:rStyle w:val="Aucun"/>
          <w:noProof/>
        </w:rPr>
      </w:pPr>
      <w:r>
        <w:rPr>
          <w:rStyle w:val="Aucun"/>
          <w:noProof/>
        </w:rPr>
        <w:t>Acest exercițiu-pilot și-a dovedit utilitatea. Statele membre participante în exercițiul-pilot au identificat deja o serie de puncte slabe în rețelele lor de transport pentru scopuri militare, care trebuie să fie modernizate, și au s</w:t>
      </w:r>
      <w:r>
        <w:rPr>
          <w:rStyle w:val="Aucun"/>
          <w:noProof/>
        </w:rPr>
        <w:t>tabilit o listă de priorități.</w:t>
      </w:r>
    </w:p>
    <w:p w:rsidR="00EF4958" w:rsidRDefault="00A5355A">
      <w:pPr>
        <w:spacing w:after="200" w:line="276" w:lineRule="auto"/>
        <w:jc w:val="both"/>
        <w:rPr>
          <w:rStyle w:val="Aucun"/>
          <w:noProof/>
        </w:rPr>
      </w:pPr>
      <w:r>
        <w:rPr>
          <w:rStyle w:val="Aucun"/>
          <w:noProof/>
        </w:rPr>
        <w:t>Pentru a da două exemple concrete, analiza a arătat că, în rețelele rutiere din câteva state membre ale UE, înălțimea maximă de trecere la nivelul podurilor rutiere, precum și gabaritul tolerat de anumite poduri nu sunt sufic</w:t>
      </w:r>
      <w:r>
        <w:rPr>
          <w:rStyle w:val="Aucun"/>
          <w:noProof/>
        </w:rPr>
        <w:t xml:space="preserve">iente pentru vehiculele militare supradimensionate sau supragabaritice; în mod similar, în ceea ce privește transportul feroviar, în anumite cazuri există o capacitate de încărcare insuficientă pentru transportul echipamentelor militare supradimensionate. </w:t>
      </w:r>
    </w:p>
    <w:p w:rsidR="00EF4958" w:rsidRDefault="00A5355A">
      <w:pPr>
        <w:spacing w:after="200" w:line="276" w:lineRule="auto"/>
        <w:jc w:val="both"/>
        <w:rPr>
          <w:rStyle w:val="Aucun"/>
          <w:noProof/>
        </w:rPr>
      </w:pPr>
      <w:r>
        <w:rPr>
          <w:rStyle w:val="Aucun"/>
          <w:noProof/>
        </w:rPr>
        <w:t>Exercițiul-pilot a identificat faptul că există oportunități majore pentru infrastructura cu dublă utilizare civilă și militară, printre altele, posibilitatea, în cazul platformelor multimodale, de realizare a unui transfer rapid al echipamentelor militar</w:t>
      </w:r>
      <w:r>
        <w:rPr>
          <w:rStyle w:val="Aucun"/>
          <w:noProof/>
        </w:rPr>
        <w:t>e din porturi și aeroporturi pe mijloace de transport feroviar și rutier, îmbunătățirea capacității terminalelor din zonele interioare și asigurarea unor gabarite de încărcare corespunzătoare în cazul liniilor feroviare de transport de marfă. Toate acestea</w:t>
      </w:r>
      <w:r>
        <w:rPr>
          <w:rStyle w:val="Aucun"/>
          <w:noProof/>
        </w:rPr>
        <w:t xml:space="preserve"> urmează să fie perfecționate ca urmare a acțiunilor prevăzute în prezentul Plan de acțiune, dar exercițiul-pilot a confirmat că metodologia aplicată, care este descrisă în caseta de mai jos, funcționează.</w:t>
      </w:r>
    </w:p>
    <w:p w:rsidR="00EF4958" w:rsidRDefault="00A5355A">
      <w:pPr>
        <w:keepNext/>
        <w:spacing w:before="240" w:after="240" w:line="276" w:lineRule="auto"/>
        <w:jc w:val="both"/>
        <w:rPr>
          <w:rFonts w:eastAsia="Times New Roman"/>
          <w:b/>
          <w:noProof/>
        </w:rPr>
      </w:pPr>
      <w:r>
        <w:rPr>
          <w:b/>
          <w:noProof/>
        </w:rPr>
        <w:t>Utilizarea infrastructurii de transport din UE pen</w:t>
      </w:r>
      <w:r>
        <w:rPr>
          <w:b/>
          <w:noProof/>
        </w:rPr>
        <w:t>tru produsele cu dublă utilizare civilă și militară</w:t>
      </w:r>
    </w:p>
    <w:p w:rsidR="00EF4958" w:rsidRDefault="00A5355A">
      <w:pPr>
        <w:spacing w:after="200" w:line="276" w:lineRule="auto"/>
        <w:jc w:val="both"/>
        <w:rPr>
          <w:rStyle w:val="Aucun"/>
          <w:noProof/>
        </w:rPr>
      </w:pPr>
      <w:r>
        <w:rPr>
          <w:rStyle w:val="Aucun"/>
          <w:noProof/>
        </w:rPr>
        <w:t xml:space="preserve">Astfel cum s-a identificat în Foaia de parcurs elaborată de Grupul de lucru ad hoc, intenția este de a extinde și de a aprofunda exercițiul-pilot pentru a evalua în ce măsură infrastructura de transport </w:t>
      </w:r>
      <w:r>
        <w:rPr>
          <w:rStyle w:val="Aucun"/>
          <w:noProof/>
        </w:rPr>
        <w:t>existentă, luată în considerare cu prioritate de către Regulamentul privind rețeaua transeuropeană de transport pentru toate modurile de transport, și cerințele sale tehnice, sunt relevante și suficiente pentru transportul militar al personalului și al ech</w:t>
      </w:r>
      <w:r>
        <w:rPr>
          <w:rStyle w:val="Aucun"/>
          <w:noProof/>
        </w:rPr>
        <w:t>ipamentelor militare și, în măsura în care nu sunt, de a investiga și dezvolta secțiuni și elemente de infrastructură suplimentare și de a moderniza cerințele.</w:t>
      </w:r>
    </w:p>
    <w:p w:rsidR="00EF4958" w:rsidRDefault="00A5355A">
      <w:pPr>
        <w:pStyle w:val="Text1"/>
        <w:keepNext/>
        <w:pBdr>
          <w:top w:val="single" w:sz="4" w:space="0" w:color="000000"/>
          <w:left w:val="single" w:sz="4" w:space="0" w:color="000000"/>
          <w:bottom w:val="single" w:sz="4" w:space="0" w:color="000000"/>
          <w:right w:val="single" w:sz="4" w:space="0" w:color="000000"/>
        </w:pBdr>
        <w:shd w:val="clear" w:color="auto" w:fill="D9D9D9"/>
        <w:spacing w:before="60" w:after="60"/>
        <w:ind w:left="0"/>
        <w:jc w:val="both"/>
        <w:rPr>
          <w:rStyle w:val="Aucun"/>
          <w:rFonts w:ascii="Times New Roman" w:eastAsia="Times New Roman" w:hAnsi="Times New Roman" w:cs="Times New Roman"/>
          <w:b/>
          <w:bCs/>
          <w:noProof/>
          <w:sz w:val="24"/>
          <w:szCs w:val="24"/>
        </w:rPr>
      </w:pPr>
      <w:r>
        <w:rPr>
          <w:rStyle w:val="Aucun"/>
          <w:rFonts w:ascii="Times New Roman" w:hAnsi="Times New Roman"/>
          <w:b/>
          <w:noProof/>
          <w:sz w:val="24"/>
        </w:rPr>
        <w:t>Acțiuni-cheie la nivelul UE:</w:t>
      </w:r>
    </w:p>
    <w:p w:rsidR="00EF4958" w:rsidRDefault="00A5355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rPr>
      </w:pPr>
      <w:r>
        <w:rPr>
          <w:rFonts w:ascii="Times New Roman" w:hAnsi="Times New Roman"/>
          <w:noProof/>
          <w:sz w:val="24"/>
        </w:rPr>
        <w:t xml:space="preserve">Până la sfârșitul anului 2018, Comisia va identifica, în cooperare </w:t>
      </w:r>
      <w:r>
        <w:rPr>
          <w:rFonts w:ascii="Times New Roman" w:hAnsi="Times New Roman"/>
          <w:noProof/>
          <w:sz w:val="24"/>
        </w:rPr>
        <w:t>cu statele membre ale UE, cu Serviciul European de Acțiune Externă/Statul Major al UE și cu Agenția Europeană de Apărare, discrepanțele dintre, pe de o parte, cerințele tehnice actuale aplicabile rețelei transeuropene de transport și, pe de altă parte, cee</w:t>
      </w:r>
      <w:r>
        <w:rPr>
          <w:rFonts w:ascii="Times New Roman" w:hAnsi="Times New Roman"/>
          <w:noProof/>
          <w:sz w:val="24"/>
        </w:rPr>
        <w:t>a ce este adecvat pentru transporturile militare. În plus, vor fi, de asemenea, identificate discrepanțele de ordin geografic.</w:t>
      </w:r>
    </w:p>
    <w:p w:rsidR="00EF4958" w:rsidRDefault="00A5355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rPr>
      </w:pPr>
      <w:r>
        <w:rPr>
          <w:rFonts w:ascii="Times New Roman" w:hAnsi="Times New Roman"/>
          <w:noProof/>
          <w:sz w:val="24"/>
        </w:rPr>
        <w:t>Până în 2019, serviciile Comisiei vor identifica părțile rețelei transeuropene de transport care sunt adecvate pentru transportur</w:t>
      </w:r>
      <w:r>
        <w:rPr>
          <w:rFonts w:ascii="Times New Roman" w:hAnsi="Times New Roman"/>
          <w:noProof/>
          <w:sz w:val="24"/>
        </w:rPr>
        <w:t xml:space="preserve">i militare, inclusiv modernizările necesare ale infrastructurii existente. Proiectele vizând produsele cu dublă utilizare vor fi identificate în mod specific, iar costurile lor vor fi cuantificate. Pe baza constatărilor efectuate, se va întocmi o listă de </w:t>
      </w:r>
      <w:r>
        <w:rPr>
          <w:rFonts w:ascii="Times New Roman" w:hAnsi="Times New Roman"/>
          <w:noProof/>
          <w:sz w:val="24"/>
        </w:rPr>
        <w:t>proiecte prioritare. În plus, va fi efectuată o estimare a volumului total al investițiilor pentru nevoile militare în ceea ce privește rețeaua transeuropeană de transport.</w:t>
      </w:r>
    </w:p>
    <w:p w:rsidR="00EF4958" w:rsidRDefault="00A5355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rPr>
      </w:pPr>
      <w:r>
        <w:rPr>
          <w:rFonts w:ascii="Times New Roman" w:hAnsi="Times New Roman"/>
          <w:noProof/>
          <w:sz w:val="24"/>
        </w:rPr>
        <w:t>Până în 2020, Comisia va</w:t>
      </w:r>
      <w:r>
        <w:rPr>
          <w:rFonts w:ascii="Times New Roman" w:hAnsi="Times New Roman"/>
          <w:noProof/>
        </w:rPr>
        <w:t xml:space="preserve"> </w:t>
      </w:r>
      <w:r>
        <w:rPr>
          <w:rFonts w:ascii="Times New Roman" w:hAnsi="Times New Roman"/>
          <w:noProof/>
          <w:sz w:val="24"/>
        </w:rPr>
        <w:t>evalua necesitatea de a adapta Regulamentul privind rețeau</w:t>
      </w:r>
      <w:r>
        <w:rPr>
          <w:rFonts w:ascii="Times New Roman" w:hAnsi="Times New Roman"/>
          <w:noProof/>
          <w:sz w:val="24"/>
        </w:rPr>
        <w:t>a transeuropeană de transport, pentru a include cerințele tehnice actualizate – cuprinzând, posibil, și cerințe militare.</w:t>
      </w:r>
    </w:p>
    <w:p w:rsidR="00EF4958" w:rsidRDefault="00A5355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rPr>
      </w:pPr>
      <w:r>
        <w:rPr>
          <w:rFonts w:ascii="Times New Roman" w:hAnsi="Times New Roman"/>
          <w:noProof/>
          <w:sz w:val="24"/>
        </w:rPr>
        <w:t>Până la sfârșitul anului 2019, Comisia va stabili, în cooperare cu părțile relevante, fezabilitatea interconectării bazelor de date mi</w:t>
      </w:r>
      <w:r>
        <w:rPr>
          <w:rFonts w:ascii="Times New Roman" w:hAnsi="Times New Roman"/>
          <w:noProof/>
          <w:sz w:val="24"/>
        </w:rPr>
        <w:t xml:space="preserve">litare și civile (TENtec), precum și posibila sferă de cuprindere a oricărei astfel de acțiuni. Pe această bază, Comisia va identifica orice adaptări suplimentare ale funcționalităților TENtec care ar fi necesare în acest scopuri și va stabili o procedură </w:t>
      </w:r>
      <w:r>
        <w:rPr>
          <w:rFonts w:ascii="Times New Roman" w:hAnsi="Times New Roman"/>
          <w:noProof/>
          <w:sz w:val="24"/>
        </w:rPr>
        <w:t>pentru a menține bazele de date actualizate.</w:t>
      </w:r>
    </w:p>
    <w:p w:rsidR="00EF4958" w:rsidRDefault="00A5355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Style w:val="Aucun"/>
          <w:rFonts w:ascii="Times New Roman" w:eastAsia="Times New Roman" w:hAnsi="Times New Roman" w:cs="Times New Roman"/>
          <w:noProof/>
          <w:sz w:val="2"/>
          <w:szCs w:val="2"/>
        </w:rPr>
      </w:pPr>
      <w:r>
        <w:rPr>
          <w:rFonts w:ascii="Times New Roman" w:hAnsi="Times New Roman"/>
          <w:noProof/>
          <w:sz w:val="24"/>
        </w:rPr>
        <w:t>În curs de desfășurare: Comisia va continua să caute și să promoveze sinergii între rețeaua transeuropeană de transport și programele sale spațiale relevante (de exemplu EGNOS/Galileo).</w:t>
      </w:r>
    </w:p>
    <w:p w:rsidR="00EF4958" w:rsidRDefault="00A5355A">
      <w:pPr>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jc w:val="both"/>
        <w:rPr>
          <w:rStyle w:val="Aucun"/>
          <w:rFonts w:eastAsia="Times New Roman"/>
          <w:b/>
          <w:bCs/>
          <w:noProof/>
        </w:rPr>
      </w:pPr>
      <w:r>
        <w:rPr>
          <w:rStyle w:val="Aucun"/>
          <w:b/>
          <w:noProof/>
        </w:rPr>
        <w:t>Statele membre ale UE sun</w:t>
      </w:r>
      <w:r>
        <w:rPr>
          <w:rStyle w:val="Aucun"/>
          <w:b/>
          <w:noProof/>
        </w:rPr>
        <w:t>t invitate:</w:t>
      </w:r>
    </w:p>
    <w:p w:rsidR="00EF4958" w:rsidRDefault="00A5355A">
      <w:pPr>
        <w:pStyle w:val="ListParagraph"/>
        <w:keepLines/>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360"/>
        <w:jc w:val="both"/>
        <w:rPr>
          <w:rFonts w:ascii="Times New Roman" w:eastAsia="Times New Roman" w:hAnsi="Times New Roman" w:cs="Times New Roman"/>
          <w:noProof/>
          <w:sz w:val="24"/>
          <w:szCs w:val="24"/>
        </w:rPr>
      </w:pPr>
      <w:r>
        <w:rPr>
          <w:rFonts w:ascii="Times New Roman" w:hAnsi="Times New Roman"/>
          <w:noProof/>
          <w:sz w:val="24"/>
        </w:rPr>
        <w:t>să stabilească cât mai curând posibil un punct unic de contact pentru informații privind accesul la infrastructura de transport în scopuri militare;</w:t>
      </w:r>
    </w:p>
    <w:p w:rsidR="00EF4958" w:rsidRDefault="00A5355A">
      <w:pPr>
        <w:pStyle w:val="ListParagraph"/>
        <w:keepLines/>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360"/>
        <w:jc w:val="both"/>
        <w:rPr>
          <w:rFonts w:ascii="Times New Roman" w:eastAsia="Times New Roman" w:hAnsi="Times New Roman" w:cs="Times New Roman"/>
          <w:noProof/>
          <w:sz w:val="24"/>
          <w:szCs w:val="24"/>
        </w:rPr>
      </w:pPr>
      <w:r>
        <w:rPr>
          <w:rFonts w:ascii="Times New Roman" w:hAnsi="Times New Roman"/>
          <w:noProof/>
          <w:sz w:val="24"/>
        </w:rPr>
        <w:t>să ia sistematic în considerare cerințele militare la construirea infrastructurii de transport.</w:t>
      </w:r>
    </w:p>
    <w:p w:rsidR="00EF4958" w:rsidRDefault="00A5355A">
      <w:pPr>
        <w:pStyle w:val="Sous-section2"/>
        <w:numPr>
          <w:ilvl w:val="0"/>
          <w:numId w:val="0"/>
        </w:numPr>
        <w:spacing w:before="240" w:after="240"/>
        <w:ind w:left="709"/>
        <w:rPr>
          <w:noProof/>
        </w:rPr>
      </w:pPr>
      <w:r>
        <w:rPr>
          <w:noProof/>
        </w:rPr>
        <w:t>2.3</w:t>
      </w:r>
      <w:r>
        <w:rPr>
          <w:noProof/>
        </w:rPr>
        <w:tab/>
        <w:t>Aspecte de reglementare și procedurale</w:t>
      </w:r>
    </w:p>
    <w:p w:rsidR="00EF4958" w:rsidRDefault="00A5355A">
      <w:pPr>
        <w:pStyle w:val="Briefingtext"/>
        <w:keepNext/>
        <w:spacing w:before="240"/>
        <w:rPr>
          <w:rFonts w:ascii="Times New Roman" w:eastAsia="Times New Roman" w:hAnsi="Times New Roman" w:cs="Times New Roman"/>
          <w:b/>
          <w:noProof/>
          <w:sz w:val="24"/>
          <w:szCs w:val="24"/>
        </w:rPr>
      </w:pPr>
      <w:r>
        <w:rPr>
          <w:rFonts w:ascii="Times New Roman" w:hAnsi="Times New Roman"/>
          <w:b/>
          <w:noProof/>
          <w:sz w:val="24"/>
        </w:rPr>
        <w:t>2.3.1</w:t>
      </w:r>
      <w:r>
        <w:rPr>
          <w:noProof/>
        </w:rPr>
        <w:tab/>
      </w:r>
      <w:r>
        <w:rPr>
          <w:rFonts w:ascii="Times New Roman" w:hAnsi="Times New Roman"/>
          <w:b/>
          <w:noProof/>
          <w:sz w:val="24"/>
        </w:rPr>
        <w:t>Mărfuri periculoase</w:t>
      </w:r>
    </w:p>
    <w:p w:rsidR="00EF4958" w:rsidRDefault="00A5355A">
      <w:pPr>
        <w:spacing w:after="200" w:line="276" w:lineRule="auto"/>
        <w:jc w:val="both"/>
        <w:rPr>
          <w:rFonts w:eastAsia="Times New Roman"/>
          <w:noProof/>
          <w:u w:color="000000"/>
        </w:rPr>
      </w:pPr>
      <w:r>
        <w:rPr>
          <w:noProof/>
        </w:rPr>
        <w:t xml:space="preserve">Transportul terestru al mărfurilor periculoase este un domeniu în care statele membre ale UE și Comisia sunt implicate în mod activ în negocierea unui set complex de convenții </w:t>
      </w:r>
      <w:r>
        <w:rPr>
          <w:noProof/>
        </w:rPr>
        <w:t>internaționale și de recomandări ale Organizației Națiunilor Unite. Totuși, acestea sunt valabile numai pentru uz civil, în timp ce statele membre ale UE aplică norme naționale atunci când li se solicită să acorde libertate de deplasare unui transport mili</w:t>
      </w:r>
      <w:r>
        <w:rPr>
          <w:noProof/>
        </w:rPr>
        <w:t>tar, inclusiv mărfurilor periculoase. Această divergență față de normele civile necesită autorizații ad hoc și generează întârzieri.</w:t>
      </w:r>
    </w:p>
    <w:p w:rsidR="00EF4958" w:rsidRDefault="00A5355A">
      <w:pPr>
        <w:spacing w:after="200" w:line="276" w:lineRule="auto"/>
        <w:jc w:val="both"/>
        <w:rPr>
          <w:rFonts w:eastAsia="Times New Roman"/>
          <w:noProof/>
          <w:u w:color="000000"/>
        </w:rPr>
      </w:pPr>
      <w:r>
        <w:rPr>
          <w:noProof/>
        </w:rPr>
        <w:t>Alinierea normelor aplicabile forțelor militare cu legislația actuală a UE ar putea crește siguranța și ar putea asigura si</w:t>
      </w:r>
      <w:r>
        <w:rPr>
          <w:noProof/>
        </w:rPr>
        <w:t>nergii și coerență pentru transportul mărfurilor periculoase din domeniul militar, fără a diminua standardele civile.</w:t>
      </w:r>
    </w:p>
    <w:p w:rsidR="00EF4958" w:rsidRDefault="00EF4958">
      <w:pPr>
        <w:spacing w:before="120" w:after="120" w:line="276" w:lineRule="auto"/>
        <w:jc w:val="both"/>
        <w:rPr>
          <w:rFonts w:eastAsia="Times New Roman"/>
          <w:noProof/>
          <w:sz w:val="2"/>
          <w:szCs w:val="2"/>
          <w:u w:color="000000"/>
        </w:rPr>
      </w:pPr>
    </w:p>
    <w:p w:rsidR="00EF4958" w:rsidRDefault="00A5355A">
      <w:pPr>
        <w:pStyle w:val="Text1"/>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0"/>
        <w:jc w:val="both"/>
        <w:rPr>
          <w:rFonts w:ascii="Times New Roman" w:hAnsi="Times New Roman" w:cs="Times New Roman"/>
          <w:b/>
          <w:noProof/>
          <w:color w:val="auto"/>
          <w:sz w:val="24"/>
          <w:szCs w:val="24"/>
        </w:rPr>
      </w:pPr>
      <w:r>
        <w:rPr>
          <w:rFonts w:ascii="Times New Roman" w:hAnsi="Times New Roman"/>
          <w:b/>
          <w:noProof/>
          <w:color w:val="auto"/>
          <w:sz w:val="24"/>
        </w:rPr>
        <w:t>Acțiuni-cheie la nivelul UE:</w:t>
      </w:r>
    </w:p>
    <w:p w:rsidR="00EF4958" w:rsidRDefault="00A5355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 xml:space="preserve">Până în primăvara anului 2019, Agenția Europeană de Apărare va desfășura, în strânsă colaborare cu Serviciul European de Acțiune Externă /Statul Major al UE și cu toate celelalte autorități implicate, un sondaj care să vizeze câteva elemente: dispozițiile </w:t>
      </w:r>
      <w:r>
        <w:rPr>
          <w:rFonts w:ascii="Times New Roman" w:hAnsi="Times New Roman"/>
          <w:noProof/>
          <w:color w:val="auto"/>
          <w:sz w:val="24"/>
        </w:rPr>
        <w:t xml:space="preserve">naționale, o definiție a nevoilor, adecvarea normelor civile armonizate existente și eventuala necesitate a unor dispoziții sau ajustări suplimentare. Statele membre ale UE sunt invitate să susțină în mod activ acest proces. </w:t>
      </w:r>
    </w:p>
    <w:p w:rsidR="00EF4958" w:rsidRDefault="00A5355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În curs de desfășurare: Servic</w:t>
      </w:r>
      <w:r>
        <w:rPr>
          <w:rFonts w:ascii="Times New Roman" w:hAnsi="Times New Roman"/>
          <w:noProof/>
          <w:color w:val="auto"/>
          <w:sz w:val="24"/>
        </w:rPr>
        <w:t>iile Comisiei vor continua să faciliteze, în strânsă cooperare cu Serviciul European de Acțiune Externă/Statul Major al UE și susținute de Agenția Europeană de Apărare, schimbul de cunoștințe între experții civili și militari privind transportul mărfurilor</w:t>
      </w:r>
      <w:r>
        <w:rPr>
          <w:rFonts w:ascii="Times New Roman" w:hAnsi="Times New Roman"/>
          <w:noProof/>
          <w:color w:val="auto"/>
          <w:sz w:val="24"/>
        </w:rPr>
        <w:t xml:space="preserve"> periculoase. </w:t>
      </w:r>
    </w:p>
    <w:p w:rsidR="00EF4958" w:rsidRDefault="00A5355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Până în 2020, serviciile Comisiei vor evalua fezabilitatea și necesitatea unor acțiuni suplimentare la nivelul UE, în strânsă cooperare cu Serviciul European de Acțiune Externă/Statul Major al UE și cu Agenția Europeană de Apărare.</w:t>
      </w:r>
    </w:p>
    <w:p w:rsidR="00EF4958" w:rsidRDefault="00A5355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Până în v</w:t>
      </w:r>
      <w:r>
        <w:rPr>
          <w:rFonts w:ascii="Times New Roman" w:hAnsi="Times New Roman"/>
          <w:noProof/>
          <w:color w:val="auto"/>
          <w:sz w:val="24"/>
        </w:rPr>
        <w:t>ara anului 2019, Agenția Europeană de Apărare va investiga de asemenea, în strânsă cooperare cu statele membre și cu Serviciul European de Acțiune Externă/Statul Major al UE, fezabilitatea îmbunătățirii coerenței normelor și procedurilor în ceea ce priveșt</w:t>
      </w:r>
      <w:r>
        <w:rPr>
          <w:rFonts w:ascii="Times New Roman" w:hAnsi="Times New Roman"/>
          <w:noProof/>
          <w:color w:val="auto"/>
          <w:sz w:val="24"/>
        </w:rPr>
        <w:t xml:space="preserve">e transportul militar aerian (transport și manipulare) pe teritoriul statelor membre. </w:t>
      </w:r>
    </w:p>
    <w:p w:rsidR="00EF4958" w:rsidRDefault="00A5355A">
      <w:pPr>
        <w:keepNext/>
        <w:tabs>
          <w:tab w:val="left" w:pos="1429"/>
        </w:tabs>
        <w:spacing w:before="240" w:after="240" w:line="276" w:lineRule="auto"/>
        <w:jc w:val="both"/>
        <w:outlineLvl w:val="1"/>
        <w:rPr>
          <w:b/>
          <w:bCs/>
          <w:noProof/>
          <w:color w:val="000000"/>
          <w:u w:color="000000"/>
        </w:rPr>
      </w:pPr>
      <w:r>
        <w:rPr>
          <w:b/>
          <w:noProof/>
          <w:color w:val="000000"/>
          <w:u w:color="000000"/>
        </w:rPr>
        <w:t>2.3.2 Taxe vamale și taxa pe valoarea adăugată</w:t>
      </w:r>
    </w:p>
    <w:p w:rsidR="00EF4958" w:rsidRDefault="00A5355A">
      <w:pPr>
        <w:pStyle w:val="Briefingtext"/>
        <w:spacing w:after="200" w:line="276" w:lineRule="auto"/>
        <w:rPr>
          <w:rStyle w:val="Aucun"/>
          <w:rFonts w:ascii="Times New Roman" w:hAnsi="Times New Roman" w:cs="Times New Roman"/>
          <w:noProof/>
          <w:color w:val="auto"/>
          <w:sz w:val="24"/>
          <w:szCs w:val="24"/>
          <w:u w:color="1F497D"/>
        </w:rPr>
      </w:pPr>
      <w:r>
        <w:rPr>
          <w:rStyle w:val="Aucun"/>
          <w:rFonts w:ascii="Times New Roman" w:hAnsi="Times New Roman"/>
          <w:noProof/>
          <w:color w:val="auto"/>
          <w:sz w:val="24"/>
          <w:u w:color="1F497D"/>
        </w:rPr>
        <w:t>În timpul lucrărilor Grupului de lucru ad-hoc, unele state membre ale UE au raportat dificultăți operaționale rezultate di</w:t>
      </w:r>
      <w:r>
        <w:rPr>
          <w:rStyle w:val="Aucun"/>
          <w:rFonts w:ascii="Times New Roman" w:hAnsi="Times New Roman"/>
          <w:noProof/>
          <w:color w:val="auto"/>
          <w:sz w:val="24"/>
          <w:u w:color="1F497D"/>
        </w:rPr>
        <w:t>ntr-o lipsă de claritate în ceea ce privește utilizarea formularului 302 pentru exportul temporar și reimportul mărfurilor militare de către sau în numele forțelor armate ale statelor membre ale UE.</w:t>
      </w:r>
    </w:p>
    <w:p w:rsidR="00EF4958" w:rsidRDefault="00A5355A">
      <w:pPr>
        <w:pStyle w:val="Briefingtext"/>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rPr>
          <w:rFonts w:ascii="Times New Roman" w:hAnsi="Times New Roman" w:cs="Times New Roman"/>
          <w:noProof/>
          <w:sz w:val="24"/>
          <w:szCs w:val="24"/>
        </w:rPr>
      </w:pPr>
      <w:r>
        <w:rPr>
          <w:rStyle w:val="Aucun"/>
          <w:rFonts w:ascii="Times New Roman" w:hAnsi="Times New Roman"/>
          <w:b/>
          <w:noProof/>
          <w:color w:val="auto"/>
          <w:sz w:val="24"/>
        </w:rPr>
        <w:t>Acțiuni-cheie la nivelul UE în domeniul vamal:</w:t>
      </w:r>
    </w:p>
    <w:p w:rsidR="00EF4958" w:rsidRDefault="00A5355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Style w:val="Aucun"/>
          <w:rFonts w:ascii="Times New Roman" w:hAnsi="Times New Roman" w:cs="Times New Roman"/>
          <w:noProof/>
          <w:color w:val="auto"/>
          <w:sz w:val="24"/>
          <w:szCs w:val="24"/>
        </w:rPr>
      </w:pPr>
      <w:r>
        <w:rPr>
          <w:rFonts w:ascii="Times New Roman" w:hAnsi="Times New Roman"/>
          <w:noProof/>
          <w:color w:val="auto"/>
          <w:sz w:val="24"/>
        </w:rPr>
        <w:t xml:space="preserve">Până la </w:t>
      </w:r>
      <w:r>
        <w:rPr>
          <w:rFonts w:ascii="Times New Roman" w:hAnsi="Times New Roman"/>
          <w:noProof/>
          <w:color w:val="auto"/>
          <w:sz w:val="24"/>
        </w:rPr>
        <w:t>sfârșitul anului 2018, serviciile Comisiei vor realiza, împreună cu statele membre ale UE, Serviciul European de Acțiune Externă/Statul Major al UE și cu Agenția Europeană de Apărare, un inventar al activităților vamale care urmează să fie vizate de formul</w:t>
      </w:r>
      <w:r>
        <w:rPr>
          <w:rFonts w:ascii="Times New Roman" w:hAnsi="Times New Roman"/>
          <w:noProof/>
          <w:color w:val="auto"/>
          <w:sz w:val="24"/>
        </w:rPr>
        <w:t>arul 302. În plus, serviciile Comisiei vor evalua, în strânsă cooperare cu Agenția Europeană de Apărare, necesitatea elaborării unui model UE al formularului 302 atunci când actualul formular 302 nu poate fi utilizat. Această evaluare va include impactul p</w:t>
      </w:r>
      <w:r>
        <w:rPr>
          <w:rFonts w:ascii="Times New Roman" w:hAnsi="Times New Roman"/>
          <w:noProof/>
          <w:color w:val="auto"/>
          <w:sz w:val="24"/>
        </w:rPr>
        <w:t>otențial asupra legislației vamale actuale.</w:t>
      </w:r>
    </w:p>
    <w:p w:rsidR="00EF4958" w:rsidRDefault="00A5355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Până la sfârșitul anului 2018, Comisia va analiza opțiunile posibile pentru raționalizarea și simplificarea formalităților vamale referitoare la activitățile vamale vizând operațiile militare.</w:t>
      </w:r>
      <w:r>
        <w:rPr>
          <w:rFonts w:ascii="Times New Roman" w:hAnsi="Times New Roman"/>
          <w:noProof/>
        </w:rPr>
        <w:t xml:space="preserve"> </w:t>
      </w:r>
      <w:r>
        <w:rPr>
          <w:rFonts w:ascii="Times New Roman" w:hAnsi="Times New Roman"/>
          <w:noProof/>
          <w:color w:val="auto"/>
          <w:sz w:val="24"/>
        </w:rPr>
        <w:t>Ea va asigura, de a</w:t>
      </w:r>
      <w:r>
        <w:rPr>
          <w:rFonts w:ascii="Times New Roman" w:hAnsi="Times New Roman"/>
          <w:noProof/>
          <w:color w:val="auto"/>
          <w:sz w:val="24"/>
        </w:rPr>
        <w:t>semenea, o aplicare și o implementare uniformă a dispozițiilor vamale conexe.</w:t>
      </w:r>
    </w:p>
    <w:p w:rsidR="00EF4958" w:rsidRDefault="00A5355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Până la sfârșitul anului 2018, Comisia va identifica actele care urmează să fie modificate, dacă este cazul. Dacă este necesar și pe această bază, Comisia va iniția modificări al</w:t>
      </w:r>
      <w:r>
        <w:rPr>
          <w:rFonts w:ascii="Times New Roman" w:hAnsi="Times New Roman"/>
          <w:noProof/>
          <w:color w:val="auto"/>
          <w:sz w:val="24"/>
        </w:rPr>
        <w:t>e Cadrului de reglementare vamală și, în special, ale Codului vamal al Uniunii – Actelor conexe ale Comisiei</w:t>
      </w:r>
      <w:r>
        <w:rPr>
          <w:rFonts w:ascii="Times New Roman" w:hAnsi="Times New Roman"/>
          <w:noProof/>
          <w:color w:val="auto"/>
          <w:sz w:val="24"/>
          <w:vertAlign w:val="superscript"/>
        </w:rPr>
        <w:footnoteReference w:id="16"/>
      </w:r>
      <w:r>
        <w:rPr>
          <w:rFonts w:ascii="Times New Roman" w:hAnsi="Times New Roman"/>
          <w:noProof/>
          <w:color w:val="auto"/>
          <w:sz w:val="24"/>
        </w:rPr>
        <w:t xml:space="preserve"> cu scopul de a clarifica utilizarea formularului 302 pentru activitățile vamale identificate. </w:t>
      </w:r>
    </w:p>
    <w:p w:rsidR="00EF4958" w:rsidRDefault="00A5355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Comisia va elabora, cu implicarea Serviciului Europ</w:t>
      </w:r>
      <w:r>
        <w:rPr>
          <w:rFonts w:ascii="Times New Roman" w:hAnsi="Times New Roman"/>
          <w:noProof/>
          <w:color w:val="auto"/>
          <w:sz w:val="24"/>
        </w:rPr>
        <w:t>ean de Acțiune Externă/Statului Major al UE și a Agenției Europene de Apărare, orientări prin care să asigure aplicarea corectă și uniformă a legislației vamale cu privire la aspecte referitoare la activitățile militare. Calendarul pentru aceasta va depind</w:t>
      </w:r>
      <w:r>
        <w:rPr>
          <w:rFonts w:ascii="Times New Roman" w:hAnsi="Times New Roman"/>
          <w:noProof/>
          <w:color w:val="auto"/>
          <w:sz w:val="24"/>
        </w:rPr>
        <w:t>e de adoptarea modificărilor menționate mai sus.</w:t>
      </w:r>
    </w:p>
    <w:p w:rsidR="00EF4958" w:rsidRDefault="00A5355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Până în vara lui 2018, Agenția Europeană de Apărare va elabora un proiect din categoria A referitor la vămi, care va fi supus deciziei Comitetului director, în condițiile unei coordonări permanente cu Servic</w:t>
      </w:r>
      <w:r>
        <w:rPr>
          <w:rFonts w:ascii="Times New Roman" w:hAnsi="Times New Roman"/>
          <w:noProof/>
          <w:color w:val="auto"/>
          <w:sz w:val="24"/>
        </w:rPr>
        <w:t>iul European de Acțiune Externă/Statul Major al UE, cu serviciile Comisiei și cu experții în domeniul vamal și militar ai statelor membre, fără a aduce atingere inițiativei Comisiei privind legislația vamală a Uniunii.</w:t>
      </w:r>
    </w:p>
    <w:p w:rsidR="00EF4958" w:rsidRDefault="00EF4958">
      <w:pPr>
        <w:pStyle w:val="Briefingtext"/>
        <w:spacing w:after="200" w:line="276" w:lineRule="auto"/>
        <w:rPr>
          <w:rStyle w:val="Aucun"/>
          <w:rFonts w:ascii="Times New Roman" w:hAnsi="Times New Roman" w:cs="Times New Roman"/>
          <w:noProof/>
          <w:color w:val="auto"/>
          <w:sz w:val="2"/>
          <w:szCs w:val="2"/>
          <w:u w:color="1F497D"/>
        </w:rPr>
      </w:pPr>
    </w:p>
    <w:p w:rsidR="00EF4958" w:rsidRDefault="00A5355A">
      <w:pPr>
        <w:pStyle w:val="Briefingtext"/>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rPr>
          <w:rFonts w:ascii="Times New Roman" w:hAnsi="Times New Roman" w:cs="Times New Roman"/>
          <w:b/>
          <w:noProof/>
          <w:color w:val="auto"/>
          <w:sz w:val="24"/>
          <w:szCs w:val="24"/>
        </w:rPr>
      </w:pPr>
      <w:r>
        <w:rPr>
          <w:rFonts w:ascii="Times New Roman" w:hAnsi="Times New Roman"/>
          <w:b/>
          <w:noProof/>
          <w:color w:val="auto"/>
          <w:sz w:val="24"/>
        </w:rPr>
        <w:t>Statele membre ale UE sunt invitate</w:t>
      </w:r>
      <w:r>
        <w:rPr>
          <w:rFonts w:ascii="Times New Roman" w:hAnsi="Times New Roman"/>
          <w:noProof/>
          <w:color w:val="auto"/>
          <w:sz w:val="24"/>
        </w:rPr>
        <w:t xml:space="preserve"> să evalueze, până la sfârșitul anului 2020, necesitatea de a crea sisteme electronice, utilizând și tehnologiile spațiale ale UE, pentru gestionarea activităților din domeniul vamal de către autoritățile vamale și forțele militare</w:t>
      </w:r>
      <w:r>
        <w:rPr>
          <w:noProof/>
        </w:rPr>
        <w:t>.</w:t>
      </w:r>
    </w:p>
    <w:p w:rsidR="00EF4958" w:rsidRDefault="00EF4958">
      <w:pPr>
        <w:pStyle w:val="Briefingtext"/>
        <w:spacing w:after="200" w:line="276" w:lineRule="auto"/>
        <w:rPr>
          <w:rStyle w:val="Aucun"/>
          <w:rFonts w:ascii="Times New Roman" w:hAnsi="Times New Roman" w:cs="Times New Roman"/>
          <w:noProof/>
          <w:color w:val="auto"/>
          <w:sz w:val="10"/>
          <w:szCs w:val="10"/>
          <w:u w:color="1F497D"/>
        </w:rPr>
      </w:pPr>
    </w:p>
    <w:p w:rsidR="00EF4958" w:rsidRDefault="00A5355A">
      <w:pPr>
        <w:pStyle w:val="Briefingtext"/>
        <w:spacing w:after="200" w:line="276" w:lineRule="auto"/>
        <w:rPr>
          <w:rFonts w:ascii="Times New Roman" w:hAnsi="Times New Roman" w:cs="Times New Roman"/>
          <w:noProof/>
          <w:sz w:val="24"/>
          <w:szCs w:val="24"/>
        </w:rPr>
      </w:pPr>
      <w:r>
        <w:rPr>
          <w:rFonts w:ascii="Times New Roman" w:hAnsi="Times New Roman"/>
          <w:noProof/>
          <w:sz w:val="24"/>
        </w:rPr>
        <w:t xml:space="preserve">Facilitarea mobilității militare vizează și normele actuale privind taxa pe valoarea adăugată. Eforturile de apărare și în special mobilitatea militară necesită o serie de resurse, cum ar fi formarea profesională, materiale de exercițiu, cazare, furnizare </w:t>
      </w:r>
      <w:r>
        <w:rPr>
          <w:rFonts w:ascii="Times New Roman" w:hAnsi="Times New Roman"/>
          <w:noProof/>
          <w:sz w:val="24"/>
        </w:rPr>
        <w:t>de alimente/servicii de cantină, combustibil etc. Aceste resurse sunt, în principiu, supuse taxei pe valoarea adăugată. În cadrul Grupului de lucru ad hoc pentru mobilitatea militară, statele membre au identificat necesitatea de a asigura faptul că efortur</w:t>
      </w:r>
      <w:r>
        <w:rPr>
          <w:rFonts w:ascii="Times New Roman" w:hAnsi="Times New Roman"/>
          <w:noProof/>
          <w:sz w:val="24"/>
        </w:rPr>
        <w:t xml:space="preserve">ile de apărare sunt tratate în mod egal, pentru a reduce sarcina administrativă, evitându-se astfel întârzierile și cheltuielile militare aferente mobilității, oferind statelor membre un stimulent pentru a coopera. </w:t>
      </w:r>
    </w:p>
    <w:p w:rsidR="00EF4958" w:rsidRDefault="00A5355A">
      <w:pPr>
        <w:pStyle w:val="Text1"/>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0"/>
        <w:jc w:val="both"/>
        <w:rPr>
          <w:rFonts w:ascii="Times New Roman" w:hAnsi="Times New Roman" w:cs="Times New Roman"/>
          <w:b/>
          <w:noProof/>
          <w:color w:val="auto"/>
          <w:sz w:val="24"/>
          <w:szCs w:val="24"/>
        </w:rPr>
      </w:pPr>
      <w:r>
        <w:rPr>
          <w:rFonts w:ascii="Times New Roman" w:hAnsi="Times New Roman"/>
          <w:b/>
          <w:noProof/>
          <w:color w:val="auto"/>
          <w:sz w:val="24"/>
        </w:rPr>
        <w:t xml:space="preserve">Acțiuni-cheie la nivelul UE în domeniul </w:t>
      </w:r>
      <w:r>
        <w:rPr>
          <w:rFonts w:ascii="Times New Roman" w:hAnsi="Times New Roman"/>
          <w:b/>
          <w:noProof/>
          <w:color w:val="auto"/>
          <w:sz w:val="24"/>
        </w:rPr>
        <w:t>taxei pe valoarea adăugată:</w:t>
      </w:r>
    </w:p>
    <w:p w:rsidR="00EF4958" w:rsidRDefault="00A5355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Până la sfârșitul anului 2018, Comisia va evalua opțiunile, în consultare cu statele membre ale UE și în strânsă cooperare cu actori relevanți din Uniune, de a reduce sarcinile administrative, precum și fezabilitatea alinierii t</w:t>
      </w:r>
      <w:r>
        <w:rPr>
          <w:rFonts w:ascii="Times New Roman" w:hAnsi="Times New Roman"/>
          <w:noProof/>
          <w:color w:val="auto"/>
          <w:sz w:val="24"/>
        </w:rPr>
        <w:t>ratamentului aplicat în domeniul taxei pe valoarea adăugată eforturilor de apărare desfășurate în cadrul UE și sub egida NATO.</w:t>
      </w:r>
    </w:p>
    <w:p w:rsidR="00EF4958" w:rsidRDefault="00A5355A">
      <w:pPr>
        <w:pStyle w:val="Sous-section2"/>
        <w:numPr>
          <w:ilvl w:val="0"/>
          <w:numId w:val="0"/>
        </w:numPr>
        <w:spacing w:before="240" w:after="240"/>
        <w:rPr>
          <w:noProof/>
        </w:rPr>
      </w:pPr>
      <w:r>
        <w:rPr>
          <w:noProof/>
        </w:rPr>
        <w:t>2.3.3 Permisiunea de deplasare transfrontalieră</w:t>
      </w:r>
    </w:p>
    <w:p w:rsidR="00EF4958" w:rsidRDefault="00A5355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bdr w:val="none" w:sz="0" w:space="0" w:color="auto"/>
        </w:rPr>
      </w:pPr>
      <w:r>
        <w:rPr>
          <w:noProof/>
        </w:rPr>
        <w:t>Astfel cum s-a propus în Foaia de parcurs elaborată de Grupul de lucru ad hoc, permisiunea de deplasare transfrontalieră (inclusiv autorizația diplomatică) reprezintă un domeniu în care statele membre ale UE pot conlucra pentru a spori coerența și/sau efic</w:t>
      </w:r>
      <w:r>
        <w:rPr>
          <w:noProof/>
        </w:rPr>
        <w:t>acitatea procedurilor acestora. Permisiunea de deplasare transfrontalieră vizează procedurile de obținere a permisiunii de traversa frontiere. Autorizația diplomatică în vigoare reduce sarcina administrativă și timpul necesar pentru a permite mobilitatea m</w:t>
      </w:r>
      <w:r>
        <w:rPr>
          <w:noProof/>
        </w:rPr>
        <w:t>ilitară. Acordul tehnic existent privind autorizațiile diplomatice și-a demonstrat valoarea într-o parte specifică a transportului aerian, având și restricții clare, cum ar fi excluderea unor regiuni din spațiul aerian, a unor aerodromuri sau refuzul anumi</w:t>
      </w:r>
      <w:r>
        <w:rPr>
          <w:noProof/>
        </w:rPr>
        <w:t xml:space="preserve">tor misiuni, după cum sunt impuse în mod individual de către semnatari. Numerele autorizațiilor diplomatice eliberate anual din partea/de către statele membre ale UE care contribuie, precum și condițiile și orarul în care se poate realiza un contact, sunt </w:t>
      </w:r>
      <w:r>
        <w:rPr>
          <w:noProof/>
        </w:rPr>
        <w:t xml:space="preserve">gestionate și afișate pe un site de internet dedicat. </w:t>
      </w:r>
    </w:p>
    <w:p w:rsidR="00EF4958" w:rsidRDefault="00A5355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bdr w:val="none" w:sz="0" w:space="0" w:color="auto"/>
        </w:rPr>
      </w:pPr>
      <w:r>
        <w:rPr>
          <w:noProof/>
        </w:rPr>
        <w:t>Un acord privind permisiunea de deplasare transfrontalieră, centrat pe permisiunea de deplasare la suprafața terestră ar reprezenta o oportunitate de a spori mobilitatea militară în cazul transportului</w:t>
      </w:r>
      <w:r>
        <w:rPr>
          <w:noProof/>
        </w:rPr>
        <w:t xml:space="preserve"> rutier, feroviar și al celui pe căi navigabile interioare. Procedurile administrative ar putea fi parțial stipulate în forma unui acord pentru a se asigura norme și proceduri comune, în special în ceea ce privește misiunile și operațiunile din cadrul Poli</w:t>
      </w:r>
      <w:r>
        <w:rPr>
          <w:noProof/>
        </w:rPr>
        <w:t xml:space="preserve">ticii de securitate și apărare comune, precum și pentru activitățile desfășurate în alte contexte, pentru aplicații militare și pentru deplasările zilnice. </w:t>
      </w:r>
    </w:p>
    <w:p w:rsidR="00EF4958" w:rsidRDefault="00A5355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bdr w:val="none" w:sz="0" w:space="0" w:color="auto"/>
        </w:rPr>
      </w:pPr>
      <w:r>
        <w:rPr>
          <w:noProof/>
        </w:rPr>
        <w:t>În ceea ce privește deplasările pe calea aerului, cele efectuate în temeiul normelor pentru traficu</w:t>
      </w:r>
      <w:r>
        <w:rPr>
          <w:noProof/>
        </w:rPr>
        <w:t>l aerian general trebuie să respecte cadrul de reglementare stabilit în cadrul Cerului unic european. Pentru zborurile efectuate în conformitate cu normele naționale privind Traficul aerian operațional, statele membre trebuie să se poată baza pe acorduri b</w:t>
      </w:r>
      <w:r>
        <w:rPr>
          <w:noProof/>
        </w:rPr>
        <w:t>ilaterale sau pe Acordul tehnic privind autorizațiile diplomatice pentru operațiuni transfrontaliere. O raportare la timp și exactă a informațiilor privind siguranța la nivel european ar fi de ajutor atunci când este necesară verificarea îndeplinirii tutur</w:t>
      </w:r>
      <w:r>
        <w:rPr>
          <w:noProof/>
        </w:rPr>
        <w:t>or cerințelor în materie de siguranță. În plus, disponibilitatea anumitor facilități și servicii ar contribui la asigurarea atât a siguranței, a regularității și a eficienței sistemului aviatic global, cât și a respectării cerințelor în materie de operațiu</w:t>
      </w:r>
      <w:r>
        <w:rPr>
          <w:noProof/>
        </w:rPr>
        <w:t>ni militare aeriene. Acest obiectiv ar putea fi atins prin promovarea unei înțelegeri comune a principiilor-cheie, prin schimbul de bune practici și prin monitorizarea aplicării lor în practică.</w:t>
      </w:r>
    </w:p>
    <w:p w:rsidR="00EF4958" w:rsidRDefault="00A5355A">
      <w:pPr>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jc w:val="both"/>
        <w:rPr>
          <w:rFonts w:eastAsia="Times New Roman"/>
          <w:b/>
          <w:noProof/>
          <w:u w:color="000000"/>
        </w:rPr>
      </w:pPr>
      <w:r>
        <w:rPr>
          <w:b/>
          <w:noProof/>
          <w:u w:color="000000"/>
        </w:rPr>
        <w:t xml:space="preserve">Acțiuni-cheie la nivelul UE: </w:t>
      </w:r>
    </w:p>
    <w:p w:rsidR="00EF4958" w:rsidRDefault="00A5355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Până în vara anului 2018, Agenț</w:t>
      </w:r>
      <w:r>
        <w:rPr>
          <w:noProof/>
        </w:rPr>
        <w:t>ia Europeană de Apărare va pregăti un proiect de categoria A privind permisiunile de deplasare transfrontalieră, care va fi supus deciziei Comitetului director al Agenției Europene de Apărare, pentru a sprijini statele membre ale UE în elaborarea unor disp</w:t>
      </w:r>
      <w:r>
        <w:rPr>
          <w:noProof/>
        </w:rPr>
        <w:t xml:space="preserve">oziții privind permisiunile transfrontaliere. </w:t>
      </w:r>
    </w:p>
    <w:p w:rsidR="00EF4958" w:rsidRDefault="00A5355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Prin intermediul Proiectului în echipă Deplasări și transport, Agenția Europeană de Apărare va oferi o platformă pentru schimbul de opinii între statele membre ale UE și Serviciul European de Acțiune Externă/S</w:t>
      </w:r>
      <w:r>
        <w:rPr>
          <w:noProof/>
        </w:rPr>
        <w:t xml:space="preserve">tatul Major al UE și NATO, cu privire la termenele de executare a deplasărilor la suprafața terestră. </w:t>
      </w:r>
    </w:p>
    <w:p w:rsidR="00EF4958" w:rsidRDefault="00EF4958">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sz w:val="2"/>
          <w:szCs w:val="2"/>
          <w:bdr w:val="none" w:sz="0" w:space="0" w:color="auto"/>
        </w:rPr>
      </w:pPr>
    </w:p>
    <w:p w:rsidR="00EF4958" w:rsidRDefault="00A5355A">
      <w:pPr>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jc w:val="both"/>
        <w:rPr>
          <w:rFonts w:eastAsia="Times New Roman"/>
          <w:b/>
          <w:noProof/>
          <w:u w:color="000000"/>
        </w:rPr>
      </w:pPr>
      <w:r>
        <w:rPr>
          <w:b/>
          <w:noProof/>
          <w:u w:color="000000"/>
        </w:rPr>
        <w:t>Statele membre ale UE sunt invitate:</w:t>
      </w:r>
    </w:p>
    <w:p w:rsidR="00EF4958" w:rsidRDefault="00A5355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să inventarieze situația actuală a reglementărilor naționale care afectează permisiunile acordate altor echipamente</w:t>
      </w:r>
      <w:r>
        <w:rPr>
          <w:noProof/>
        </w:rPr>
        <w:t xml:space="preserve"> decât cele militare de a opera în statele membre ale UE, în special în ceea ce privește restricțiile;</w:t>
      </w:r>
    </w:p>
    <w:p w:rsidR="00EF4958" w:rsidRDefault="00A5355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să contribuie la definirea cerințelor operaționale specifice fiecărui domeniu în ceea ce privește deplasările echipamentelor militare, în contextul cerin</w:t>
      </w:r>
      <w:r>
        <w:rPr>
          <w:noProof/>
        </w:rPr>
        <w:t>ț</w:t>
      </w:r>
      <w:r>
        <w:rPr>
          <w:noProof/>
        </w:rPr>
        <w:t>elor militare;</w:t>
      </w:r>
    </w:p>
    <w:p w:rsidR="00EF4958" w:rsidRDefault="00A5355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să identifice restricțiile naționale în materie de reglementare și justificarea politică care stă la baza lor;</w:t>
      </w:r>
    </w:p>
    <w:p w:rsidR="00EF4958" w:rsidRDefault="00A5355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să dezvolte soluții prin intermediul utilizării actualelor direcții de lucru și produse și să pună în balanță cerințele operațion</w:t>
      </w:r>
      <w:r>
        <w:rPr>
          <w:noProof/>
        </w:rPr>
        <w:t>ale cu restricțiile politice raționale, acordându-se astfel autorizațiile (diplomatice) în condițiile unor impedimente naționale minime considerate necesare;</w:t>
      </w:r>
    </w:p>
    <w:p w:rsidR="00EF4958" w:rsidRDefault="00A5355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să determine necesitatea de a adapta reglementările naționale în cazul în care o îmbunătățire a mo</w:t>
      </w:r>
      <w:r>
        <w:rPr>
          <w:noProof/>
        </w:rPr>
        <w:t>bilității militare poate fi obținută pe baza acestor reglementări modificate, păstrând totodată restricțiile nemilitare esențiale justificate doar în cazurile în care sunt necesare;</w:t>
      </w:r>
    </w:p>
    <w:p w:rsidR="00EF4958" w:rsidRDefault="00A5355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 xml:space="preserve">să semneze acorduri specifice fiecărui domeniu prin care să se armonizeze </w:t>
      </w:r>
      <w:r>
        <w:rPr>
          <w:noProof/>
        </w:rPr>
        <w:t>procedurile și să permită preautorizarea permisiunilor de deplasare transfrontalieră pentru deplasările de ordin militar și necesitățile de transport care implică autorizare în prealabil.</w:t>
      </w:r>
    </w:p>
    <w:p w:rsidR="00EF4958" w:rsidRDefault="00EF495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eastAsia="Calibri"/>
          <w:noProof/>
          <w:sz w:val="2"/>
          <w:szCs w:val="2"/>
          <w:bdr w:val="none" w:sz="0" w:space="0" w:color="auto"/>
        </w:rPr>
      </w:pPr>
    </w:p>
    <w:p w:rsidR="00EF4958" w:rsidRDefault="00A5355A">
      <w:pPr>
        <w:keepNext/>
        <w:spacing w:before="240" w:after="240"/>
        <w:rPr>
          <w:b/>
          <w:noProof/>
        </w:rPr>
      </w:pPr>
      <w:r>
        <w:rPr>
          <w:b/>
          <w:noProof/>
        </w:rPr>
        <w:t>2.3.4</w:t>
      </w:r>
      <w:r>
        <w:rPr>
          <w:noProof/>
        </w:rPr>
        <w:tab/>
      </w:r>
      <w:r>
        <w:rPr>
          <w:b/>
          <w:noProof/>
        </w:rPr>
        <w:t xml:space="preserve">Alte aspecte </w:t>
      </w:r>
    </w:p>
    <w:p w:rsidR="00EF4958" w:rsidRDefault="00A5355A">
      <w:pPr>
        <w:tabs>
          <w:tab w:val="left" w:pos="1429"/>
        </w:tabs>
        <w:spacing w:after="200" w:line="276" w:lineRule="auto"/>
        <w:jc w:val="both"/>
        <w:outlineLvl w:val="1"/>
        <w:rPr>
          <w:noProof/>
        </w:rPr>
      </w:pPr>
      <w:r>
        <w:rPr>
          <w:noProof/>
        </w:rPr>
        <w:t>Liniile de acțiune neexhaustivă suplimentare le</w:t>
      </w:r>
      <w:r>
        <w:rPr>
          <w:noProof/>
        </w:rPr>
        <w:t>gate de aspectele de reglementare și procedurale, inclusiv aspectele juridice, sunt, de asemenea, stabilite în cadrul Foii de parcurs a Grupului ad hoc. Acestea includ clarificări suplimentare cu privire la impactul posibil al Acordului privind statutul fo</w:t>
      </w:r>
      <w:r>
        <w:rPr>
          <w:noProof/>
        </w:rPr>
        <w:t xml:space="preserve">rțelor UE militare în ceea ce privește mobilitatea militară, de îndată ce el va intra în vigoare. </w:t>
      </w:r>
    </w:p>
    <w:p w:rsidR="00EF4958" w:rsidRDefault="00A5355A">
      <w:pPr>
        <w:tabs>
          <w:tab w:val="left" w:pos="1429"/>
        </w:tabs>
        <w:spacing w:after="200" w:line="276" w:lineRule="auto"/>
        <w:jc w:val="both"/>
        <w:outlineLvl w:val="1"/>
        <w:rPr>
          <w:noProof/>
        </w:rPr>
      </w:pPr>
      <w:r>
        <w:rPr>
          <w:noProof/>
        </w:rPr>
        <w:t>În plus, îmbunătățirea mobilității militare în UE necesită luarea în considerare a amenințărilor de natură hibridă. Prin urmare, ar trebui luată în considera</w:t>
      </w:r>
      <w:r>
        <w:rPr>
          <w:noProof/>
        </w:rPr>
        <w:t>re dimensiunea mobilității militare atunci când se pun în aplicare acțiuni relevante în Cadrul comun privind contracararea amenințărilor hibride</w:t>
      </w:r>
      <w:r>
        <w:rPr>
          <w:rStyle w:val="FootnoteReference"/>
          <w:noProof/>
        </w:rPr>
        <w:footnoteReference w:id="17"/>
      </w:r>
      <w:r>
        <w:rPr>
          <w:noProof/>
        </w:rPr>
        <w:t>.</w:t>
      </w:r>
    </w:p>
    <w:p w:rsidR="00EF4958" w:rsidRDefault="00A5355A">
      <w:pPr>
        <w:pStyle w:val="Text1"/>
        <w:keepNext/>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9D9D9" w:themeFill="background1" w:themeFillShade="D9"/>
        <w:spacing w:before="60" w:after="60"/>
        <w:ind w:left="0"/>
        <w:jc w:val="both"/>
        <w:rPr>
          <w:rFonts w:ascii="Times New Roman" w:hAnsi="Times New Roman" w:cs="Times New Roman"/>
          <w:b/>
          <w:noProof/>
          <w:color w:val="auto"/>
          <w:sz w:val="24"/>
          <w:szCs w:val="24"/>
        </w:rPr>
      </w:pPr>
      <w:r>
        <w:rPr>
          <w:rFonts w:ascii="Times New Roman" w:hAnsi="Times New Roman"/>
          <w:b/>
          <w:noProof/>
          <w:color w:val="auto"/>
          <w:sz w:val="24"/>
        </w:rPr>
        <w:t>Acțiuni-cheie la nivelul UE:</w:t>
      </w:r>
    </w:p>
    <w:p w:rsidR="00EF4958" w:rsidRDefault="00A5355A">
      <w:pPr>
        <w:pStyle w:val="Text1"/>
        <w:keepLines/>
        <w:numPr>
          <w:ilvl w:val="0"/>
          <w:numId w:val="10"/>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Până în primăvara anului 2019, Agenția Europeană de Apărare va efectua un sondaj</w:t>
      </w:r>
      <w:r>
        <w:rPr>
          <w:rFonts w:ascii="Times New Roman" w:hAnsi="Times New Roman"/>
          <w:noProof/>
          <w:color w:val="auto"/>
          <w:sz w:val="24"/>
        </w:rPr>
        <w:t xml:space="preserve"> privind aceste alte aspecte, care implică autoritățile competente ale statelor membre, precum și serviciile Comisiei și Serviciul European de Acțiune Externă/Statul Major Militar al UE, după caz, pentru a identifica alte posibile linii de acțiune.</w:t>
      </w:r>
    </w:p>
    <w:p w:rsidR="00EF4958" w:rsidRDefault="00A5355A">
      <w:pPr>
        <w:pStyle w:val="Text1"/>
        <w:keepLines/>
        <w:numPr>
          <w:ilvl w:val="0"/>
          <w:numId w:val="10"/>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În curs</w:t>
      </w:r>
      <w:r>
        <w:rPr>
          <w:rFonts w:ascii="Times New Roman" w:hAnsi="Times New Roman"/>
          <w:noProof/>
          <w:color w:val="auto"/>
          <w:sz w:val="24"/>
        </w:rPr>
        <w:t xml:space="preserve"> de desfășurare: în cadrul punerii în aplicare a Cadrului comun privind contracararea amenințărilor hibride, o atenție deosebită va fi acordată dimensiunii mobilității militare, în special în ceea ce privește capacitatea de analiză a informațiilor în mater</w:t>
      </w:r>
      <w:r>
        <w:rPr>
          <w:rFonts w:ascii="Times New Roman" w:hAnsi="Times New Roman"/>
          <w:noProof/>
          <w:color w:val="auto"/>
          <w:sz w:val="24"/>
        </w:rPr>
        <w:t>ie de securitate (celulă de fuziune hibridă), luarea deciziilor în cazul unor amenințări și anduranța infrastructurii critice.</w:t>
      </w:r>
    </w:p>
    <w:p w:rsidR="00EF4958" w:rsidRDefault="00EF4958">
      <w:pPr>
        <w:pStyle w:val="Briefingtext"/>
        <w:spacing w:after="200" w:line="276" w:lineRule="auto"/>
        <w:ind w:left="357"/>
        <w:rPr>
          <w:rStyle w:val="Aucun"/>
          <w:rFonts w:ascii="Times New Roman" w:hAnsi="Times New Roman" w:cs="Times New Roman"/>
          <w:noProof/>
          <w:color w:val="auto"/>
          <w:sz w:val="2"/>
          <w:szCs w:val="2"/>
          <w:u w:color="1F497D"/>
        </w:rPr>
      </w:pPr>
    </w:p>
    <w:p w:rsidR="00EF4958" w:rsidRDefault="00A5355A">
      <w:pPr>
        <w:pStyle w:val="Briefingtext"/>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rPr>
          <w:rFonts w:ascii="Times New Roman" w:hAnsi="Times New Roman" w:cs="Times New Roman"/>
          <w:noProof/>
          <w:color w:val="auto"/>
          <w:sz w:val="24"/>
          <w:szCs w:val="24"/>
        </w:rPr>
      </w:pPr>
      <w:r>
        <w:rPr>
          <w:rFonts w:ascii="Times New Roman" w:hAnsi="Times New Roman"/>
          <w:b/>
          <w:noProof/>
          <w:color w:val="auto"/>
          <w:sz w:val="24"/>
        </w:rPr>
        <w:t>Statele membre ale UE sunt invitate</w:t>
      </w:r>
      <w:r>
        <w:rPr>
          <w:rFonts w:ascii="Times New Roman" w:hAnsi="Times New Roman"/>
          <w:noProof/>
          <w:color w:val="auto"/>
          <w:sz w:val="24"/>
        </w:rPr>
        <w:t xml:space="preserve"> să ia în considerare Acordul privind statutul forțelor UE și punerea sa în aplicare în ceea ce privește mobilitatea militară, odată ce acesta va intra în vigoare.</w:t>
      </w:r>
    </w:p>
    <w:p w:rsidR="00EF4958" w:rsidRDefault="00A5355A">
      <w:pPr>
        <w:pStyle w:val="En-tte0"/>
        <w:spacing w:before="240" w:after="240"/>
        <w:ind w:left="0" w:firstLine="0"/>
        <w:rPr>
          <w:noProof/>
        </w:rPr>
      </w:pPr>
      <w:r>
        <w:rPr>
          <w:noProof/>
        </w:rPr>
        <w:t>3.</w:t>
      </w:r>
      <w:r>
        <w:rPr>
          <w:noProof/>
        </w:rPr>
        <w:tab/>
        <w:t>Impact bugetar</w:t>
      </w:r>
    </w:p>
    <w:p w:rsidR="00EF4958" w:rsidRDefault="00A5355A">
      <w:pPr>
        <w:pStyle w:val="Text1"/>
        <w:ind w:left="0"/>
        <w:jc w:val="both"/>
        <w:rPr>
          <w:rFonts w:ascii="Times New Roman" w:hAnsi="Times New Roman" w:cs="Times New Roman"/>
          <w:noProof/>
          <w:sz w:val="24"/>
          <w:szCs w:val="24"/>
        </w:rPr>
      </w:pPr>
      <w:r>
        <w:rPr>
          <w:rFonts w:ascii="Times New Roman" w:hAnsi="Times New Roman"/>
          <w:noProof/>
          <w:sz w:val="24"/>
        </w:rPr>
        <w:t>Prezentul Plan de acțiune nu are niciun impact asupra bugetului UE, cu exc</w:t>
      </w:r>
      <w:r>
        <w:rPr>
          <w:rFonts w:ascii="Times New Roman" w:hAnsi="Times New Roman"/>
          <w:noProof/>
          <w:sz w:val="24"/>
        </w:rPr>
        <w:t>epția unei posibile finanțări în viitor a infrastructurii cu dublă utilizare, astfel cum se evidențiază în capitolul 2.2 de mai sus. În acest context, posibilul sprijin financiar suplimentar din partea UE pentru punerea în aplicare a unor proiecte cu dublă</w:t>
      </w:r>
      <w:r>
        <w:rPr>
          <w:rFonts w:ascii="Times New Roman" w:hAnsi="Times New Roman"/>
          <w:noProof/>
          <w:sz w:val="24"/>
        </w:rPr>
        <w:t xml:space="preserve"> utilizare va fi luat în considerare în viitoarea propunere a Comisiei privind cadrul financiar multianual.</w:t>
      </w:r>
    </w:p>
    <w:p w:rsidR="00EF4958" w:rsidRDefault="00A5355A">
      <w:pPr>
        <w:pStyle w:val="En-tte0"/>
        <w:spacing w:before="240" w:after="240"/>
        <w:ind w:left="0" w:firstLine="0"/>
        <w:rPr>
          <w:noProof/>
        </w:rPr>
      </w:pPr>
      <w:r>
        <w:rPr>
          <w:noProof/>
        </w:rPr>
        <w:t>4.</w:t>
      </w:r>
      <w:r>
        <w:rPr>
          <w:noProof/>
        </w:rPr>
        <w:tab/>
        <w:t>Calea de urmat</w:t>
      </w:r>
    </w:p>
    <w:p w:rsidR="00EF4958" w:rsidRDefault="00A5355A">
      <w:pPr>
        <w:pStyle w:val="Text1"/>
        <w:spacing w:after="0"/>
        <w:ind w:left="0"/>
        <w:jc w:val="both"/>
        <w:rPr>
          <w:rFonts w:ascii="Times New Roman" w:hAnsi="Times New Roman" w:cs="Times New Roman"/>
          <w:noProof/>
          <w:sz w:val="24"/>
          <w:szCs w:val="24"/>
        </w:rPr>
      </w:pPr>
      <w:r>
        <w:rPr>
          <w:rFonts w:ascii="Times New Roman" w:hAnsi="Times New Roman"/>
          <w:noProof/>
          <w:sz w:val="24"/>
        </w:rPr>
        <w:t>Planul de acțiune privind mobilitatea militară este transmis de Înaltul Reprezentant și de Comisie statelor membre ale UE spre exa</w:t>
      </w:r>
      <w:r>
        <w:rPr>
          <w:rFonts w:ascii="Times New Roman" w:hAnsi="Times New Roman"/>
          <w:noProof/>
          <w:sz w:val="24"/>
        </w:rPr>
        <w:t>minare și aprobare, ceea ce va permite punerea sa în aplicare în timp util și în mod coordonat. El ar trebui să fie considerat un plan evolutiv, care este pasibil să fie revizuit în viitor, dacă va fi cazul.</w:t>
      </w:r>
    </w:p>
    <w:p w:rsidR="00EF4958" w:rsidRDefault="00A5355A">
      <w:pPr>
        <w:pStyle w:val="Text1"/>
        <w:spacing w:before="120" w:after="120"/>
        <w:ind w:left="0"/>
        <w:jc w:val="both"/>
        <w:rPr>
          <w:rFonts w:ascii="Times New Roman" w:hAnsi="Times New Roman" w:cs="Times New Roman"/>
          <w:noProof/>
          <w:sz w:val="24"/>
          <w:szCs w:val="24"/>
        </w:rPr>
      </w:pPr>
      <w:r>
        <w:rPr>
          <w:rFonts w:ascii="Times New Roman" w:hAnsi="Times New Roman"/>
          <w:noProof/>
          <w:sz w:val="24"/>
        </w:rPr>
        <w:t>Înaltul Reprezentant și Comisia, după caz, vor p</w:t>
      </w:r>
      <w:r>
        <w:rPr>
          <w:rFonts w:ascii="Times New Roman" w:hAnsi="Times New Roman"/>
          <w:noProof/>
          <w:sz w:val="24"/>
        </w:rPr>
        <w:t>rezenta statelor membre ale UE rapoarte periodice cu privire la progresele realizate în punerea în aplicare a prezentului Plan de acțiune, primul urmând să fie transmis până în vara anului 2019, în plus și în complementaritate cu raportul anual al Agenției</w:t>
      </w:r>
      <w:r>
        <w:rPr>
          <w:rFonts w:ascii="Times New Roman" w:hAnsi="Times New Roman"/>
          <w:noProof/>
          <w:sz w:val="24"/>
        </w:rPr>
        <w:t xml:space="preserve"> Europene de Apărare prezentat miniștrilor apărării din statele membre.</w:t>
      </w:r>
    </w:p>
    <w:sectPr w:rsidR="00EF4958">
      <w:headerReference w:type="even" r:id="rId16"/>
      <w:headerReference w:type="default" r:id="rId17"/>
      <w:footerReference w:type="even" r:id="rId18"/>
      <w:footerReference w:type="default" r:id="rId19"/>
      <w:headerReference w:type="first" r:id="rId20"/>
      <w:footerReference w:type="first" r:id="rId21"/>
      <w:pgSz w:w="11900" w:h="16840"/>
      <w:pgMar w:top="1620" w:right="1620" w:bottom="1620" w:left="1620" w:header="300" w:footer="30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E4D47D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4D47D4" w16cid:durableId="1E4865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958" w:rsidRDefault="00A5355A">
      <w:r>
        <w:separator/>
      </w:r>
    </w:p>
  </w:endnote>
  <w:endnote w:type="continuationSeparator" w:id="0">
    <w:p w:rsidR="00EF4958" w:rsidRDefault="00A53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506020202030204"/>
    <w:charset w:val="00"/>
    <w:family w:val="swiss"/>
    <w:pitch w:val="variable"/>
    <w:sig w:usb0="00000287" w:usb1="00000800" w:usb2="00000000" w:usb3="00000000" w:csb0="0000009F" w:csb1="00000000"/>
  </w:font>
  <w:font w:name="Helvetica Neue">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EF49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A5355A">
    <w:pPr>
      <w:pStyle w:val="FooterCoverPage"/>
      <w:rPr>
        <w:rFonts w:ascii="Arial" w:hAnsi="Arial" w:cs="Arial"/>
        <w:b/>
        <w:sz w:val="48"/>
      </w:rPr>
    </w:pPr>
    <w:r>
      <w:rPr>
        <w:rFonts w:ascii="Arial" w:hAnsi="Arial" w:cs="Arial"/>
        <w:b/>
        <w:sz w:val="48"/>
      </w:rPr>
      <w:tab/>
    </w: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EF4958">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EF495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995311"/>
      <w:docPartObj>
        <w:docPartGallery w:val="Page Numbers (Bottom of Page)"/>
        <w:docPartUnique/>
      </w:docPartObj>
    </w:sdtPr>
    <w:sdtEndPr>
      <w:rPr>
        <w:noProof/>
      </w:rPr>
    </w:sdtEndPr>
    <w:sdtContent>
      <w:p w:rsidR="00EF4958" w:rsidRDefault="00A5355A">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EF4958" w:rsidRDefault="00EF4958">
    <w:pPr>
      <w:pStyle w:val="Footer"/>
      <w:tabs>
        <w:tab w:val="clear" w:pos="9071"/>
        <w:tab w:val="clear" w:pos="9921"/>
        <w:tab w:val="right" w:pos="8593"/>
        <w:tab w:val="right" w:pos="859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EF49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958" w:rsidRDefault="00A5355A">
      <w:r>
        <w:separator/>
      </w:r>
    </w:p>
  </w:footnote>
  <w:footnote w:type="continuationSeparator" w:id="0">
    <w:p w:rsidR="00EF4958" w:rsidRDefault="00A5355A">
      <w:r>
        <w:continuationSeparator/>
      </w:r>
    </w:p>
  </w:footnote>
  <w:footnote w:type="continuationNotice" w:id="1">
    <w:p w:rsidR="00EF4958" w:rsidRDefault="00EF4958"/>
  </w:footnote>
  <w:footnote w:id="2">
    <w:p w:rsidR="00EF4958" w:rsidRDefault="00A5355A">
      <w:pPr>
        <w:pStyle w:val="FootnoteText"/>
        <w:spacing w:after="0" w:line="240" w:lineRule="auto"/>
        <w:ind w:left="360" w:hanging="360"/>
        <w:jc w:val="both"/>
        <w:rPr>
          <w:rFonts w:ascii="Times New Roman" w:hAnsi="Times New Roman" w:cs="Times New Roman"/>
          <w:lang w:val="it-IT"/>
        </w:rPr>
      </w:pPr>
      <w:r>
        <w:rPr>
          <w:rStyle w:val="FootnoteReference"/>
          <w:rFonts w:ascii="Times New Roman" w:hAnsi="Times New Roman"/>
        </w:rPr>
        <w:footnoteRef/>
      </w:r>
      <w:r>
        <w:tab/>
      </w:r>
      <w:r>
        <w:rPr>
          <w:rFonts w:ascii="Times New Roman" w:hAnsi="Times New Roman"/>
        </w:rPr>
        <w:t xml:space="preserve">Discurs privind starea Uniunii în 2017, 13 septembrie 2017: </w:t>
      </w:r>
      <w:hyperlink r:id="rId1" w:history="1">
        <w:r>
          <w:rPr>
            <w:rStyle w:val="Hyperlink"/>
            <w:rFonts w:ascii="Times New Roman" w:hAnsi="Times New Roman" w:cs="Times New Roman"/>
          </w:rPr>
          <w:t>http://europa.eu/rapid/press-release_SPEECH-17-3165_ro.htm</w:t>
        </w:r>
      </w:hyperlink>
    </w:p>
  </w:footnote>
  <w:footnote w:id="3">
    <w:p w:rsidR="00EF4958" w:rsidRDefault="00A5355A">
      <w:pPr>
        <w:pStyle w:val="FootnoteText"/>
        <w:spacing w:after="0" w:line="240" w:lineRule="auto"/>
        <w:ind w:left="360" w:hanging="360"/>
        <w:jc w:val="both"/>
        <w:rPr>
          <w:rFonts w:ascii="Times New Roman" w:hAnsi="Times New Roman" w:cs="Times New Roman"/>
          <w:lang w:val="it-IT"/>
        </w:rPr>
      </w:pPr>
      <w:r>
        <w:rPr>
          <w:rStyle w:val="FootnoteReference"/>
          <w:rFonts w:ascii="Times New Roman" w:hAnsi="Times New Roman"/>
        </w:rPr>
        <w:footnoteRef/>
      </w:r>
      <w:r>
        <w:tab/>
      </w:r>
      <w:r>
        <w:rPr>
          <w:rFonts w:ascii="Times New Roman" w:hAnsi="Times New Roman"/>
        </w:rPr>
        <w:t>Strategia globală pentru politica externă și de securitate a Uniunii Europene, concluziile Consiliului Afaceri Externe, 14 noiembrie 2016.</w:t>
      </w:r>
    </w:p>
  </w:footnote>
  <w:footnote w:id="4">
    <w:p w:rsidR="00EF4958" w:rsidRDefault="00A5355A">
      <w:pPr>
        <w:pStyle w:val="FootnoteText"/>
        <w:spacing w:after="0" w:line="240" w:lineRule="auto"/>
        <w:ind w:left="360" w:hanging="360"/>
        <w:rPr>
          <w:rFonts w:ascii="Times New Roman" w:hAnsi="Times New Roman" w:cs="Times New Roman"/>
          <w:lang w:val="it-IT"/>
        </w:rPr>
      </w:pPr>
      <w:r>
        <w:rPr>
          <w:rStyle w:val="FootnoteReference"/>
          <w:rFonts w:ascii="Times New Roman" w:hAnsi="Times New Roman"/>
        </w:rPr>
        <w:footnoteRef/>
      </w:r>
      <w:r>
        <w:tab/>
      </w:r>
      <w:r>
        <w:rPr>
          <w:rFonts w:ascii="Times New Roman" w:hAnsi="Times New Roman"/>
        </w:rPr>
        <w:t>Articolul 42 alineatul (7) din TUE.</w:t>
      </w:r>
    </w:p>
  </w:footnote>
  <w:footnote w:id="5">
    <w:p w:rsidR="00EF4958" w:rsidRDefault="00A5355A">
      <w:pPr>
        <w:pStyle w:val="FootnoteText"/>
        <w:spacing w:after="0" w:line="240" w:lineRule="auto"/>
        <w:ind w:left="360" w:hanging="360"/>
        <w:rPr>
          <w:rFonts w:ascii="Times New Roman" w:hAnsi="Times New Roman" w:cs="Times New Roman"/>
        </w:rPr>
      </w:pPr>
      <w:r>
        <w:rPr>
          <w:rStyle w:val="FootnoteReference"/>
          <w:rFonts w:ascii="Times New Roman" w:hAnsi="Times New Roman"/>
        </w:rPr>
        <w:footnoteRef/>
      </w:r>
      <w:r>
        <w:tab/>
      </w:r>
      <w:r>
        <w:rPr>
          <w:rFonts w:ascii="Times New Roman" w:hAnsi="Times New Roman"/>
        </w:rPr>
        <w:t>http://www.consi</w:t>
      </w:r>
      <w:r>
        <w:rPr>
          <w:rFonts w:ascii="Times New Roman" w:hAnsi="Times New Roman"/>
        </w:rPr>
        <w:t>lium.europa.eu/media/32000/st14866en17.pdf</w:t>
      </w:r>
    </w:p>
  </w:footnote>
  <w:footnote w:id="6">
    <w:p w:rsidR="00EF4958" w:rsidRDefault="00A5355A">
      <w:pPr>
        <w:pStyle w:val="FootnoteText"/>
        <w:spacing w:after="0" w:line="240" w:lineRule="auto"/>
        <w:ind w:left="360" w:hanging="360"/>
        <w:rPr>
          <w:rFonts w:ascii="Times New Roman" w:hAnsi="Times New Roman" w:cs="Times New Roman"/>
        </w:rPr>
      </w:pPr>
      <w:r>
        <w:rPr>
          <w:rStyle w:val="FootnoteReference"/>
          <w:rFonts w:ascii="Times New Roman" w:hAnsi="Times New Roman"/>
        </w:rPr>
        <w:footnoteRef/>
      </w:r>
      <w:r>
        <w:tab/>
      </w:r>
      <w:hyperlink r:id="rId2">
        <w:r>
          <w:rPr>
            <w:rStyle w:val="Hyperlink"/>
            <w:rFonts w:ascii="Times New Roman" w:hAnsi="Times New Roman"/>
          </w:rPr>
          <w:t>http://www.consilium.europa.eu/media/33064/council-recommendation.pdf</w:t>
        </w:r>
      </w:hyperlink>
    </w:p>
    <w:p w:rsidR="00EF4958" w:rsidRDefault="00A5355A">
      <w:pPr>
        <w:pStyle w:val="FootnoteText"/>
        <w:spacing w:after="0" w:line="240" w:lineRule="auto"/>
        <w:ind w:left="360" w:firstLine="0"/>
        <w:rPr>
          <w:rFonts w:ascii="Times New Roman" w:hAnsi="Times New Roman" w:cs="Times New Roman"/>
        </w:rPr>
      </w:pPr>
      <w:r>
        <w:rPr>
          <w:rStyle w:val="Hyperlink"/>
          <w:rFonts w:ascii="Times New Roman" w:hAnsi="Times New Roman"/>
        </w:rPr>
        <w:t>http://data.consilium.europa.eu/doc/document/ST-6393</w:t>
      </w:r>
      <w:r>
        <w:rPr>
          <w:rStyle w:val="Hyperlink"/>
          <w:rFonts w:ascii="Times New Roman" w:hAnsi="Times New Roman"/>
        </w:rPr>
        <w:t>-2018-INIT/ro/pdf</w:t>
      </w:r>
    </w:p>
  </w:footnote>
  <w:footnote w:id="7">
    <w:p w:rsidR="00EF4958" w:rsidRDefault="00A5355A">
      <w:pPr>
        <w:pStyle w:val="FootnoteText"/>
        <w:spacing w:after="0" w:line="240" w:lineRule="auto"/>
        <w:ind w:left="360" w:hanging="360"/>
        <w:rPr>
          <w:rFonts w:ascii="Times New Roman" w:hAnsi="Times New Roman" w:cs="Times New Roman"/>
        </w:rPr>
      </w:pPr>
      <w:r>
        <w:rPr>
          <w:rStyle w:val="FootnoteReference"/>
          <w:rFonts w:ascii="Times New Roman" w:hAnsi="Times New Roman"/>
        </w:rPr>
        <w:footnoteRef/>
      </w:r>
      <w:r>
        <w:tab/>
      </w:r>
      <w:r>
        <w:rPr>
          <w:rFonts w:ascii="Times New Roman" w:hAnsi="Times New Roman"/>
        </w:rPr>
        <w:t>http://www.consilium.europa.eu/media/31947/st14802en17.pdf</w:t>
      </w:r>
    </w:p>
  </w:footnote>
  <w:footnote w:id="8">
    <w:p w:rsidR="00EF4958" w:rsidRDefault="00A5355A">
      <w:pPr>
        <w:pStyle w:val="FootnoteText"/>
        <w:spacing w:after="0" w:line="240" w:lineRule="auto"/>
        <w:ind w:left="360" w:hanging="360"/>
        <w:rPr>
          <w:rFonts w:ascii="Times New Roman" w:hAnsi="Times New Roman" w:cs="Times New Roman"/>
        </w:rPr>
      </w:pPr>
      <w:r>
        <w:rPr>
          <w:rStyle w:val="FootnoteReference"/>
          <w:rFonts w:ascii="Times New Roman" w:hAnsi="Times New Roman"/>
        </w:rPr>
        <w:footnoteRef/>
      </w:r>
      <w:r>
        <w:tab/>
      </w:r>
      <w:hyperlink r:id="rId3">
        <w:r>
          <w:rPr>
            <w:rStyle w:val="Hyperlink"/>
            <w:rFonts w:ascii="Times New Roman" w:hAnsi="Times New Roman"/>
            <w:u w:val="none"/>
          </w:rPr>
          <w:t>http://www.consilium.europa.eu/media/21481/nato-eu-declaration-8-july-en-</w:t>
        </w:r>
        <w:r>
          <w:rPr>
            <w:rStyle w:val="Hyperlink"/>
            <w:rFonts w:ascii="Times New Roman" w:hAnsi="Times New Roman"/>
            <w:u w:val="none"/>
          </w:rPr>
          <w:t>final.pdf</w:t>
        </w:r>
      </w:hyperlink>
    </w:p>
    <w:p w:rsidR="00EF4958" w:rsidRDefault="00A5355A">
      <w:pPr>
        <w:pStyle w:val="FootnoteText"/>
        <w:spacing w:after="0" w:line="240" w:lineRule="auto"/>
        <w:ind w:left="360" w:firstLine="0"/>
        <w:rPr>
          <w:rFonts w:ascii="Times New Roman" w:hAnsi="Times New Roman" w:cs="Times New Roman"/>
        </w:rPr>
      </w:pPr>
      <w:r>
        <w:rPr>
          <w:rFonts w:ascii="Times New Roman" w:hAnsi="Times New Roman"/>
        </w:rPr>
        <w:t>http://www.consilium.europa.eu/media/31947/st14802en17.pdf</w:t>
      </w:r>
    </w:p>
  </w:footnote>
  <w:footnote w:id="9">
    <w:p w:rsidR="00EF4958" w:rsidRDefault="00A5355A">
      <w:pPr>
        <w:pStyle w:val="FootnoteText"/>
        <w:spacing w:after="0" w:line="240" w:lineRule="auto"/>
        <w:ind w:left="360" w:hanging="360"/>
      </w:pPr>
      <w:r>
        <w:rPr>
          <w:rStyle w:val="FootnoteReference"/>
          <w:rFonts w:ascii="Times New Roman" w:hAnsi="Times New Roman"/>
        </w:rPr>
        <w:footnoteRef/>
      </w:r>
      <w:r>
        <w:tab/>
      </w:r>
      <w:r>
        <w:rPr>
          <w:rFonts w:ascii="Times New Roman" w:hAnsi="Times New Roman"/>
        </w:rPr>
        <w:t>http://www.consilium.europa.eu/media/32204/14-final-conclusions-rev1-en.pdf</w:t>
      </w:r>
    </w:p>
  </w:footnote>
  <w:footnote w:id="10">
    <w:p w:rsidR="00EF4958" w:rsidRDefault="00A5355A">
      <w:pPr>
        <w:pStyle w:val="FootnoteText"/>
        <w:spacing w:after="0" w:line="240" w:lineRule="auto"/>
        <w:rPr>
          <w:rFonts w:ascii="Times New Roman" w:hAnsi="Times New Roman" w:cs="Times New Roman"/>
        </w:rPr>
      </w:pPr>
      <w:r>
        <w:rPr>
          <w:rStyle w:val="FootnoteReference"/>
          <w:rFonts w:ascii="Times New Roman" w:hAnsi="Times New Roman"/>
        </w:rPr>
        <w:footnoteRef/>
      </w:r>
      <w:r>
        <w:tab/>
      </w:r>
      <w:hyperlink r:id="rId4">
        <w:r>
          <w:rPr>
            <w:rStyle w:val="Hyperlink"/>
            <w:rFonts w:ascii="Times New Roman" w:hAnsi="Times New Roman"/>
            <w:u w:val="none"/>
          </w:rPr>
          <w:t>https://eeas.europa.eu/sites/eeas/files/joint_communication_to_the_european_parliament_and_the_</w:t>
        </w:r>
      </w:hyperlink>
      <w:r>
        <w:rPr>
          <w:rFonts w:ascii="Times New Roman" w:hAnsi="Times New Roman"/>
        </w:rPr>
        <w:t xml:space="preserve"> council_-_improving_military_mobility_in_the_european_union.pdf</w:t>
      </w:r>
    </w:p>
  </w:footnote>
  <w:footnote w:id="11">
    <w:p w:rsidR="00EF4958" w:rsidRDefault="00A5355A">
      <w:pPr>
        <w:pStyle w:val="FootnoteText"/>
        <w:spacing w:after="0"/>
        <w:ind w:left="360" w:hanging="36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PT M&amp;T reunește experți din statele membre ale UE cu scopul de a identifica potențiale</w:t>
      </w:r>
      <w:r>
        <w:rPr>
          <w:rFonts w:ascii="Times New Roman" w:hAnsi="Times New Roman"/>
        </w:rPr>
        <w:t xml:space="preserve"> domenii de cooperare, de a evalua fezabilitatea activităților de cooperare și de a spori coerența nevoilor militare. PT M&amp;T este o platformă în cadrul căreia statele membre ale UE fac schimb de informații cu privire la toate activitățile în curs de desfăș</w:t>
      </w:r>
      <w:r>
        <w:rPr>
          <w:rFonts w:ascii="Times New Roman" w:hAnsi="Times New Roman"/>
        </w:rPr>
        <w:t>urare privind deplasările și transportul, cu scopul de a beneficia de inițiativele aflate în derulare, evitând, în același timp, riscul de redundanță a activităților.</w:t>
      </w:r>
    </w:p>
  </w:footnote>
  <w:footnote w:id="12">
    <w:p w:rsidR="00EF4958" w:rsidRDefault="00A5355A">
      <w:pPr>
        <w:pStyle w:val="FootnoteText"/>
        <w:spacing w:after="0"/>
        <w:ind w:left="360" w:hanging="360"/>
        <w:jc w:val="both"/>
        <w:rPr>
          <w:rFonts w:ascii="Times New Roman" w:hAnsi="Times New Roman" w:cs="Times New Roman"/>
        </w:rPr>
      </w:pPr>
      <w:r>
        <w:rPr>
          <w:rStyle w:val="FootnoteReference"/>
          <w:rFonts w:ascii="Times New Roman" w:hAnsi="Times New Roman"/>
        </w:rPr>
        <w:footnoteRef/>
      </w:r>
      <w:r>
        <w:tab/>
      </w:r>
      <w:hyperlink r:id="rId5">
        <w:r>
          <w:rPr>
            <w:rStyle w:val="Hyperlink"/>
            <w:rFonts w:ascii="Times New Roman" w:hAnsi="Times New Roman"/>
          </w:rPr>
          <w:t>https://www.eda.europa.eu/what-we-do/activities/activities-search/eu-multimodal-transport-hubs</w:t>
        </w:r>
      </w:hyperlink>
      <w:r>
        <w:rPr>
          <w:rFonts w:ascii="Times New Roman" w:hAnsi="Times New Roman"/>
        </w:rPr>
        <w:t xml:space="preserve"> </w:t>
      </w:r>
    </w:p>
  </w:footnote>
  <w:footnote w:id="13">
    <w:p w:rsidR="00EF4958" w:rsidRDefault="00A5355A">
      <w:pPr>
        <w:pStyle w:val="FootnoteText"/>
        <w:spacing w:after="0"/>
        <w:ind w:left="360" w:hanging="360"/>
        <w:jc w:val="both"/>
        <w:rPr>
          <w:rFonts w:ascii="Times New Roman" w:hAnsi="Times New Roman" w:cs="Times New Roman"/>
        </w:rPr>
      </w:pPr>
      <w:r>
        <w:rPr>
          <w:rStyle w:val="FootnoteReference"/>
          <w:rFonts w:ascii="Times New Roman" w:hAnsi="Times New Roman"/>
        </w:rPr>
        <w:footnoteRef/>
      </w:r>
      <w:r>
        <w:tab/>
      </w:r>
      <w:hyperlink r:id="rId6">
        <w:r>
          <w:rPr>
            <w:rStyle w:val="Hyperlink"/>
            <w:rFonts w:ascii="Times New Roman" w:hAnsi="Times New Roman"/>
          </w:rPr>
          <w:t>https://www.eda.europa.eu/docs/default-source</w:t>
        </w:r>
        <w:r>
          <w:rPr>
            <w:rStyle w:val="Hyperlink"/>
            <w:rFonts w:ascii="Times New Roman" w:hAnsi="Times New Roman"/>
          </w:rPr>
          <w:t>/documents/dic-ip.pdf</w:t>
        </w:r>
      </w:hyperlink>
      <w:r>
        <w:rPr>
          <w:rFonts w:ascii="Times New Roman" w:hAnsi="Times New Roman"/>
        </w:rPr>
        <w:t xml:space="preserve"> </w:t>
      </w:r>
    </w:p>
  </w:footnote>
  <w:footnote w:id="14">
    <w:p w:rsidR="00EF4958" w:rsidRDefault="00A5355A">
      <w:pPr>
        <w:pStyle w:val="FootnoteText"/>
        <w:spacing w:after="0"/>
        <w:jc w:val="both"/>
        <w:rPr>
          <w:rFonts w:ascii="Times New Roman" w:hAnsi="Times New Roman" w:cs="Times New Roman"/>
        </w:rPr>
      </w:pPr>
      <w:r>
        <w:rPr>
          <w:rStyle w:val="FootnoteReference"/>
          <w:rFonts w:ascii="Times New Roman" w:hAnsi="Times New Roman"/>
        </w:rPr>
        <w:footnoteRef/>
      </w:r>
      <w:r>
        <w:tab/>
      </w:r>
      <w:r>
        <w:rPr>
          <w:rStyle w:val="Aucun"/>
          <w:rFonts w:ascii="Times New Roman" w:hAnsi="Times New Roman"/>
        </w:rPr>
        <w:t xml:space="preserve">Regulamentul (UE) nr. 1315/2013 al Parlamentului European și al Consiliului din 11 decembrie 2013 privind orientările Uniunii pentru dezvoltarea rețelei transeuropene de transport și de abrogare a Deciziei nr. 661/2010/UE, JO L </w:t>
      </w:r>
      <w:r>
        <w:rPr>
          <w:rStyle w:val="Aucun"/>
          <w:rFonts w:ascii="Times New Roman" w:hAnsi="Times New Roman"/>
        </w:rPr>
        <w:t>348, 20.12.2013, p. 1.</w:t>
      </w:r>
    </w:p>
  </w:footnote>
  <w:footnote w:id="15">
    <w:p w:rsidR="00EF4958" w:rsidRDefault="00A5355A">
      <w:pPr>
        <w:pStyle w:val="FootnoteText"/>
        <w:spacing w:after="0" w:line="240" w:lineRule="auto"/>
        <w:rPr>
          <w:rFonts w:ascii="Times New Roman" w:hAnsi="Times New Roman" w:cs="Times New Roman"/>
          <w:lang w:val="it-IT"/>
        </w:rPr>
      </w:pPr>
      <w:r>
        <w:rPr>
          <w:rStyle w:val="FootnoteReference"/>
          <w:rFonts w:ascii="Times New Roman" w:hAnsi="Times New Roman"/>
        </w:rPr>
        <w:footnoteRef/>
      </w:r>
      <w:r>
        <w:tab/>
      </w:r>
      <w:r>
        <w:rPr>
          <w:rFonts w:ascii="Times New Roman" w:hAnsi="Times New Roman"/>
        </w:rPr>
        <w:t>Ț</w:t>
      </w:r>
      <w:r>
        <w:rPr>
          <w:rFonts w:ascii="Times New Roman" w:hAnsi="Times New Roman"/>
        </w:rPr>
        <w:t>ările de Jos, Belgia, Germania, Polonia, Lituania, Letonia, Estonia și Finlanda.</w:t>
      </w:r>
    </w:p>
  </w:footnote>
  <w:footnote w:id="16">
    <w:p w:rsidR="00EF4958" w:rsidRDefault="00A5355A">
      <w:pPr>
        <w:pStyle w:val="FootnoteText"/>
        <w:spacing w:after="0" w:line="240" w:lineRule="auto"/>
        <w:ind w:left="360" w:hanging="36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Regulamentul delegat al Comisiei (UE) 2015/2446 din 28 iulie 2015 de completare a Regulamentului (UE) nr. 952/2013 al Parlamentului European și al </w:t>
      </w:r>
      <w:r>
        <w:rPr>
          <w:rFonts w:ascii="Times New Roman" w:hAnsi="Times New Roman"/>
        </w:rPr>
        <w:t>Consiliului în ceea ce privește normele detaliate ale anumitor dispoziții ale Codului vamal al Uniunii – JO L.343, 29.12.2015, p. 1 și Regulamentul de punere în aplicare (UE) 2015/2447 al Comisiei din 24 noiembrie 2015 de stabilire a unor norme pentru pune</w:t>
      </w:r>
      <w:r>
        <w:rPr>
          <w:rFonts w:ascii="Times New Roman" w:hAnsi="Times New Roman"/>
        </w:rPr>
        <w:t>rea în aplicare a anumitor dispoziții din Regulamentul (UE) nr. 952/2013 al Parlamentului European și al Consiliului de stabilire a Codului vamal al Uniunii – JO L.343, 29.12.2015, p. 558.</w:t>
      </w:r>
    </w:p>
  </w:footnote>
  <w:footnote w:id="17">
    <w:p w:rsidR="00EF4958" w:rsidRDefault="00A5355A">
      <w:pPr>
        <w:pStyle w:val="FootnoteText"/>
      </w:pPr>
      <w:r>
        <w:rPr>
          <w:rStyle w:val="FootnoteReference"/>
        </w:rPr>
        <w:footnoteRef/>
      </w:r>
      <w:r>
        <w:t xml:space="preserve"> </w:t>
      </w:r>
      <w:hyperlink r:id="rId7" w:history="1">
        <w:r>
          <w:rPr>
            <w:rStyle w:val="Hyperlink"/>
          </w:rPr>
          <w:t>http://eur-lex.europa.eu/legal-content/RO/TXT/?uri=CELEX:52016JC0018</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EF49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EF4958">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EF4958">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EF495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EF495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958" w:rsidRDefault="00EF49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69CC"/>
    <w:multiLevelType w:val="hybridMultilevel"/>
    <w:tmpl w:val="11DC9056"/>
    <w:styleLink w:val="Style12import"/>
    <w:lvl w:ilvl="0" w:tplc="9800B0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A92425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AA640AA">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960FC5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B48334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368D36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F04904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4660C2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A5E71D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nsid w:val="061A4B70"/>
    <w:multiLevelType w:val="hybridMultilevel"/>
    <w:tmpl w:val="7426652C"/>
    <w:styleLink w:val="Style2import"/>
    <w:lvl w:ilvl="0" w:tplc="AFB2EC6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1E2F54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E60584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D6F8C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303F8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AE805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6FCBF9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93E0B8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550674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0F6E2E1F"/>
    <w:multiLevelType w:val="hybridMultilevel"/>
    <w:tmpl w:val="1C80BB92"/>
    <w:styleLink w:val="Style6import"/>
    <w:lvl w:ilvl="0" w:tplc="529EEA5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4A9FB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E4A461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394F06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C826FF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E26F8E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6E1B3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54EC7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228281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0FA31AAD"/>
    <w:multiLevelType w:val="hybridMultilevel"/>
    <w:tmpl w:val="0AC6A03A"/>
    <w:styleLink w:val="Style7import"/>
    <w:lvl w:ilvl="0" w:tplc="7682C82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9B2B43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68379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B870D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4AC1D2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276DBA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3DEE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002B3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AFAAEB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22B64FFB"/>
    <w:multiLevelType w:val="hybridMultilevel"/>
    <w:tmpl w:val="1F682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54B6130"/>
    <w:multiLevelType w:val="hybridMultilevel"/>
    <w:tmpl w:val="64101E0C"/>
    <w:lvl w:ilvl="0" w:tplc="3C70EEF2">
      <w:start w:val="1"/>
      <w:numFmt w:val="bullet"/>
      <w:lvlText w:val="•"/>
      <w:lvlJc w:val="left"/>
      <w:pPr>
        <w:tabs>
          <w:tab w:val="num" w:pos="720"/>
        </w:tabs>
        <w:ind w:left="720" w:hanging="360"/>
      </w:pPr>
      <w:rPr>
        <w:rFonts w:ascii="Arial" w:hAnsi="Arial" w:hint="default"/>
      </w:rPr>
    </w:lvl>
    <w:lvl w:ilvl="1" w:tplc="5F50EC14">
      <w:numFmt w:val="bullet"/>
      <w:lvlText w:val="-"/>
      <w:lvlJc w:val="left"/>
      <w:pPr>
        <w:tabs>
          <w:tab w:val="num" w:pos="1440"/>
        </w:tabs>
        <w:ind w:left="1440" w:hanging="360"/>
      </w:pPr>
      <w:rPr>
        <w:rFonts w:ascii="Arial Narrow" w:hAnsi="Arial Narrow" w:hint="default"/>
      </w:rPr>
    </w:lvl>
    <w:lvl w:ilvl="2" w:tplc="3DCC2E92" w:tentative="1">
      <w:start w:val="1"/>
      <w:numFmt w:val="bullet"/>
      <w:lvlText w:val="•"/>
      <w:lvlJc w:val="left"/>
      <w:pPr>
        <w:tabs>
          <w:tab w:val="num" w:pos="2160"/>
        </w:tabs>
        <w:ind w:left="2160" w:hanging="360"/>
      </w:pPr>
      <w:rPr>
        <w:rFonts w:ascii="Arial" w:hAnsi="Arial" w:hint="default"/>
      </w:rPr>
    </w:lvl>
    <w:lvl w:ilvl="3" w:tplc="EF58A2A4" w:tentative="1">
      <w:start w:val="1"/>
      <w:numFmt w:val="bullet"/>
      <w:lvlText w:val="•"/>
      <w:lvlJc w:val="left"/>
      <w:pPr>
        <w:tabs>
          <w:tab w:val="num" w:pos="2880"/>
        </w:tabs>
        <w:ind w:left="2880" w:hanging="360"/>
      </w:pPr>
      <w:rPr>
        <w:rFonts w:ascii="Arial" w:hAnsi="Arial" w:hint="default"/>
      </w:rPr>
    </w:lvl>
    <w:lvl w:ilvl="4" w:tplc="ECF8A952" w:tentative="1">
      <w:start w:val="1"/>
      <w:numFmt w:val="bullet"/>
      <w:lvlText w:val="•"/>
      <w:lvlJc w:val="left"/>
      <w:pPr>
        <w:tabs>
          <w:tab w:val="num" w:pos="3600"/>
        </w:tabs>
        <w:ind w:left="3600" w:hanging="360"/>
      </w:pPr>
      <w:rPr>
        <w:rFonts w:ascii="Arial" w:hAnsi="Arial" w:hint="default"/>
      </w:rPr>
    </w:lvl>
    <w:lvl w:ilvl="5" w:tplc="61A2F77E" w:tentative="1">
      <w:start w:val="1"/>
      <w:numFmt w:val="bullet"/>
      <w:lvlText w:val="•"/>
      <w:lvlJc w:val="left"/>
      <w:pPr>
        <w:tabs>
          <w:tab w:val="num" w:pos="4320"/>
        </w:tabs>
        <w:ind w:left="4320" w:hanging="360"/>
      </w:pPr>
      <w:rPr>
        <w:rFonts w:ascii="Arial" w:hAnsi="Arial" w:hint="default"/>
      </w:rPr>
    </w:lvl>
    <w:lvl w:ilvl="6" w:tplc="59FC9DEC" w:tentative="1">
      <w:start w:val="1"/>
      <w:numFmt w:val="bullet"/>
      <w:lvlText w:val="•"/>
      <w:lvlJc w:val="left"/>
      <w:pPr>
        <w:tabs>
          <w:tab w:val="num" w:pos="5040"/>
        </w:tabs>
        <w:ind w:left="5040" w:hanging="360"/>
      </w:pPr>
      <w:rPr>
        <w:rFonts w:ascii="Arial" w:hAnsi="Arial" w:hint="default"/>
      </w:rPr>
    </w:lvl>
    <w:lvl w:ilvl="7" w:tplc="D3D2C4BC" w:tentative="1">
      <w:start w:val="1"/>
      <w:numFmt w:val="bullet"/>
      <w:lvlText w:val="•"/>
      <w:lvlJc w:val="left"/>
      <w:pPr>
        <w:tabs>
          <w:tab w:val="num" w:pos="5760"/>
        </w:tabs>
        <w:ind w:left="5760" w:hanging="360"/>
      </w:pPr>
      <w:rPr>
        <w:rFonts w:ascii="Arial" w:hAnsi="Arial" w:hint="default"/>
      </w:rPr>
    </w:lvl>
    <w:lvl w:ilvl="8" w:tplc="DD967658" w:tentative="1">
      <w:start w:val="1"/>
      <w:numFmt w:val="bullet"/>
      <w:lvlText w:val="•"/>
      <w:lvlJc w:val="left"/>
      <w:pPr>
        <w:tabs>
          <w:tab w:val="num" w:pos="6480"/>
        </w:tabs>
        <w:ind w:left="6480" w:hanging="360"/>
      </w:pPr>
      <w:rPr>
        <w:rFonts w:ascii="Arial" w:hAnsi="Arial" w:hint="default"/>
      </w:rPr>
    </w:lvl>
  </w:abstractNum>
  <w:abstractNum w:abstractNumId="6">
    <w:nsid w:val="2E5956E2"/>
    <w:multiLevelType w:val="hybridMultilevel"/>
    <w:tmpl w:val="A3B6F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AC42CB6"/>
    <w:multiLevelType w:val="hybridMultilevel"/>
    <w:tmpl w:val="E6B65C44"/>
    <w:styleLink w:val="Style5import"/>
    <w:lvl w:ilvl="0" w:tplc="F84AF43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372DA4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9466E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F8D01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DC57B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842CD1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F66A9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1D62E4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76A91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3E54601D"/>
    <w:multiLevelType w:val="hybridMultilevel"/>
    <w:tmpl w:val="0128A55C"/>
    <w:lvl w:ilvl="0" w:tplc="52B8BA80">
      <w:start w:val="1"/>
      <w:numFmt w:val="bullet"/>
      <w:lvlText w:val="·"/>
      <w:lvlJc w:val="left"/>
      <w:pPr>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1EE3A38">
      <w:start w:val="1"/>
      <w:numFmt w:val="bullet"/>
      <w:lvlText w:val="o"/>
      <w:lvlJc w:val="left"/>
      <w:pPr>
        <w:ind w:left="107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57A6C24">
      <w:start w:val="1"/>
      <w:numFmt w:val="bullet"/>
      <w:lvlText w:val="▪"/>
      <w:lvlJc w:val="left"/>
      <w:pPr>
        <w:ind w:left="17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252E930">
      <w:start w:val="1"/>
      <w:numFmt w:val="bullet"/>
      <w:lvlText w:val="·"/>
      <w:lvlJc w:val="left"/>
      <w:pPr>
        <w:ind w:left="251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B62CA8">
      <w:start w:val="1"/>
      <w:numFmt w:val="bullet"/>
      <w:lvlText w:val="o"/>
      <w:lvlJc w:val="left"/>
      <w:pPr>
        <w:ind w:left="323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29A983C">
      <w:start w:val="1"/>
      <w:numFmt w:val="bullet"/>
      <w:lvlText w:val="▪"/>
      <w:lvlJc w:val="left"/>
      <w:pPr>
        <w:ind w:left="395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AC0C06">
      <w:start w:val="1"/>
      <w:numFmt w:val="bullet"/>
      <w:lvlText w:val="·"/>
      <w:lvlJc w:val="left"/>
      <w:pPr>
        <w:ind w:left="467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53241B8">
      <w:start w:val="1"/>
      <w:numFmt w:val="bullet"/>
      <w:lvlText w:val="o"/>
      <w:lvlJc w:val="left"/>
      <w:pPr>
        <w:ind w:left="53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5AC5A0">
      <w:start w:val="1"/>
      <w:numFmt w:val="bullet"/>
      <w:lvlText w:val="▪"/>
      <w:lvlJc w:val="left"/>
      <w:pPr>
        <w:ind w:left="611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45DD7359"/>
    <w:multiLevelType w:val="hybridMultilevel"/>
    <w:tmpl w:val="E6EA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D0A41F1"/>
    <w:multiLevelType w:val="hybridMultilevel"/>
    <w:tmpl w:val="01EAC4C2"/>
    <w:lvl w:ilvl="0" w:tplc="A454BE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38A1330"/>
    <w:multiLevelType w:val="multilevel"/>
    <w:tmpl w:val="7862DCDA"/>
    <w:numStyleLink w:val="Style1import"/>
  </w:abstractNum>
  <w:abstractNum w:abstractNumId="12">
    <w:nsid w:val="58B436CE"/>
    <w:multiLevelType w:val="hybridMultilevel"/>
    <w:tmpl w:val="89CCB6E6"/>
    <w:styleLink w:val="Style3import"/>
    <w:lvl w:ilvl="0" w:tplc="411A137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D2EA5D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93E7C5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4F2A18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60116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1E6F4A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4FE69B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EC4178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78A51E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nsid w:val="5A636426"/>
    <w:multiLevelType w:val="hybridMultilevel"/>
    <w:tmpl w:val="BBE032A8"/>
    <w:lvl w:ilvl="0" w:tplc="DE1A4F2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EE99A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6205E3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1E003F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E0886C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7E4777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7F08D2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94231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AB2154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69E4264B"/>
    <w:multiLevelType w:val="hybridMultilevel"/>
    <w:tmpl w:val="9E3A9144"/>
    <w:styleLink w:val="Style13import"/>
    <w:lvl w:ilvl="0" w:tplc="761209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4A277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842DA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B2CD4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BA015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8BC33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3CE8D0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23AFE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1A0E6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
    <w:nsid w:val="6C5A7E85"/>
    <w:multiLevelType w:val="hybridMultilevel"/>
    <w:tmpl w:val="FAFACCB6"/>
    <w:styleLink w:val="Style4import"/>
    <w:lvl w:ilvl="0" w:tplc="FAE8386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3A8604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39285A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2D6F52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5E05D6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F0302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48227B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852DEF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5CE953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nsid w:val="710F2000"/>
    <w:multiLevelType w:val="hybridMultilevel"/>
    <w:tmpl w:val="FAFACCB6"/>
    <w:numStyleLink w:val="Style4import"/>
  </w:abstractNum>
  <w:abstractNum w:abstractNumId="17">
    <w:nsid w:val="73BB11B6"/>
    <w:multiLevelType w:val="multilevel"/>
    <w:tmpl w:val="7862DCDA"/>
    <w:styleLink w:val="Style1import"/>
    <w:lvl w:ilvl="0">
      <w:start w:val="1"/>
      <w:numFmt w:val="decimal"/>
      <w:pStyle w:val="HeaderSensitivity"/>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pStyle w:val="Sous-section2"/>
      <w:lvlText w:val="%1.%2."/>
      <w:lvlJc w:val="left"/>
      <w:pPr>
        <w:ind w:left="1429"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9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nsid w:val="75CF638A"/>
    <w:multiLevelType w:val="hybridMultilevel"/>
    <w:tmpl w:val="DEC27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7D16C50"/>
    <w:multiLevelType w:val="hybridMultilevel"/>
    <w:tmpl w:val="EA0080AE"/>
    <w:lvl w:ilvl="0" w:tplc="A454BE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86F7E5D"/>
    <w:multiLevelType w:val="hybridMultilevel"/>
    <w:tmpl w:val="33B62D4E"/>
    <w:styleLink w:val="Style14import"/>
    <w:lvl w:ilvl="0" w:tplc="83665A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8D6C7F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92427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CDA5DC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CFEE0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24ED9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57247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44A6E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C86C73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
    <w:nsid w:val="7E5427AE"/>
    <w:multiLevelType w:val="hybridMultilevel"/>
    <w:tmpl w:val="F15AA88A"/>
    <w:styleLink w:val="Style11import"/>
    <w:lvl w:ilvl="0" w:tplc="63506E6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170F2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434029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4D0B72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7FAD47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5813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45CF8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9E21E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B18AB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7"/>
  </w:num>
  <w:num w:numId="2">
    <w:abstractNumId w:val="11"/>
  </w:num>
  <w:num w:numId="3">
    <w:abstractNumId w:val="1"/>
  </w:num>
  <w:num w:numId="4">
    <w:abstractNumId w:val="12"/>
  </w:num>
  <w:num w:numId="5">
    <w:abstractNumId w:val="15"/>
  </w:num>
  <w:num w:numId="6">
    <w:abstractNumId w:val="16"/>
  </w:num>
  <w:num w:numId="7">
    <w:abstractNumId w:val="7"/>
  </w:num>
  <w:num w:numId="8">
    <w:abstractNumId w:val="2"/>
  </w:num>
  <w:num w:numId="9">
    <w:abstractNumId w:val="3"/>
  </w:num>
  <w:num w:numId="10">
    <w:abstractNumId w:val="8"/>
  </w:num>
  <w:num w:numId="11">
    <w:abstractNumId w:val="13"/>
  </w:num>
  <w:num w:numId="12">
    <w:abstractNumId w:val="21"/>
  </w:num>
  <w:num w:numId="13">
    <w:abstractNumId w:val="0"/>
  </w:num>
  <w:num w:numId="14">
    <w:abstractNumId w:val="14"/>
  </w:num>
  <w:num w:numId="15">
    <w:abstractNumId w:val="20"/>
  </w:num>
  <w:num w:numId="16">
    <w:abstractNumId w:val="9"/>
  </w:num>
  <w:num w:numId="17">
    <w:abstractNumId w:val="18"/>
  </w:num>
  <w:num w:numId="18">
    <w:abstractNumId w:val="19"/>
  </w:num>
  <w:num w:numId="19">
    <w:abstractNumId w:val="5"/>
  </w:num>
  <w:num w:numId="20">
    <w:abstractNumId w:val="6"/>
  </w:num>
  <w:num w:numId="21">
    <w:abstractNumId w:val="10"/>
  </w:num>
  <w:num w:numId="22">
    <w:abstractNumId w:val="4"/>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ssilis Tsiamis">
    <w15:presenceInfo w15:providerId="Windows Live" w15:userId="500e4b6cadaa2f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removePersonalInformation/>
  <w:removeDateAndTime/>
  <w:hideSpellingErrors/>
  <w:hideGrammaticalErrors/>
  <w:proofState w:spelling="clean" w:grammar="clean"/>
  <w:doNotTrackFormatting/>
  <w:defaultTabStop w:val="720"/>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4"/>
  </w:compat>
  <w:docVars>
    <w:docVar w:name="DocStatus" w:val="Red"/>
    <w:docVar w:name="LW_CORRIGENDUM" w:val="&lt;UNUSED&gt;"/>
    <w:docVar w:name="LW_COVERPAGE_EXISTS" w:val="True"/>
    <w:docVar w:name="LW_COVERPAGE_GUID" w:val="70C26DFA-4E48-46D2-9E0D-BD4264F3907D"/>
    <w:docVar w:name="LW_COVERPAGE_TYPE" w:val="1"/>
    <w:docVar w:name="LW_CROSSREFERENCE" w:val="&lt;UNUSED&gt;"/>
    <w:docVar w:name="LW_DocType" w:val="NORMAL"/>
    <w:docVar w:name="LW_EMISSION" w:val="28.3.2018"/>
    <w:docVar w:name="LW_EMISSION_ISODATE" w:val="2018-03-28"/>
    <w:docVar w:name="LW_EMISSION_LOCATION" w:val="BRX"/>
    <w:docVar w:name="LW_EMISSION_PREFIX" w:val="Bruxelles, "/>
    <w:docVar w:name="LW_EMISSION_SUFFIX" w:val="&lt;EMPTY&gt;"/>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18) 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privind Planul de ac\u539?iune vizând mobilitatea militar\u259?"/>
    <w:docVar w:name="LW_TYPE.DOC.CP" w:val="COMUNICARE COMUN\u258? C\u258?TRE PARLAMENTUL EUROPEAN \u350?I CONSILIU"/>
    <w:docVar w:name="LW_TYPE.DOC.CP.USERTEXT" w:val="&lt;EMPTY&gt;"/>
  </w:docVars>
  <w:rsids>
    <w:rsidRoot w:val="00EF4958"/>
    <w:rsid w:val="00A5355A"/>
    <w:rsid w:val="00EF495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o-RO" w:eastAsia="ro-RO" w:bidi="ro-RO"/>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Text4"/>
    <w:qFormat/>
    <w:pPr>
      <w:keepNext/>
      <w:tabs>
        <w:tab w:val="left" w:pos="1920"/>
      </w:tabs>
      <w:spacing w:after="200" w:line="276" w:lineRule="auto"/>
      <w:outlineLvl w:val="3"/>
    </w:pPr>
    <w:rPr>
      <w:rFonts w:cs="Arial Unicode M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
    <w:name w:val="En-tête"/>
    <w:pPr>
      <w:tabs>
        <w:tab w:val="right" w:pos="9020"/>
      </w:tabs>
    </w:pPr>
    <w:rPr>
      <w:rFonts w:ascii="Helvetica Neue" w:hAnsi="Helvetica Neue" w:cs="Arial Unicode MS"/>
      <w:color w:val="000000"/>
      <w:sz w:val="24"/>
      <w:szCs w:val="24"/>
    </w:rPr>
  </w:style>
  <w:style w:type="paragraph" w:styleId="Footer">
    <w:name w:val="footer"/>
    <w:link w:val="FooterChar"/>
    <w:uiPriority w:val="99"/>
    <w:pPr>
      <w:tabs>
        <w:tab w:val="center" w:pos="4535"/>
        <w:tab w:val="right" w:pos="9071"/>
        <w:tab w:val="right" w:pos="9921"/>
      </w:tabs>
      <w:spacing w:before="360"/>
    </w:pPr>
    <w:rPr>
      <w:rFonts w:cs="Arial Unicode MS"/>
      <w:color w:val="000000"/>
      <w:sz w:val="24"/>
      <w:szCs w:val="24"/>
      <w:u w:color="000000"/>
    </w:rPr>
  </w:style>
  <w:style w:type="paragraph" w:customStyle="1" w:styleId="En-tte0">
    <w:name w:val="En-tête"/>
    <w:next w:val="Text1"/>
    <w:link w:val="En-tteChar"/>
    <w:pPr>
      <w:keepNext/>
      <w:shd w:val="clear" w:color="auto" w:fill="FFFFFF"/>
      <w:tabs>
        <w:tab w:val="left" w:pos="480"/>
      </w:tabs>
      <w:spacing w:before="200" w:after="200" w:line="276" w:lineRule="auto"/>
      <w:ind w:left="482" w:hanging="482"/>
      <w:jc w:val="both"/>
      <w:outlineLvl w:val="0"/>
    </w:pPr>
    <w:rPr>
      <w:b/>
      <w:bCs/>
      <w:smallCaps/>
      <w:color w:val="000000"/>
      <w:sz w:val="24"/>
      <w:szCs w:val="24"/>
      <w:u w:color="000000"/>
    </w:rPr>
  </w:style>
  <w:style w:type="paragraph" w:customStyle="1" w:styleId="Text1">
    <w:name w:val="Text 1"/>
    <w:pPr>
      <w:spacing w:after="200" w:line="276" w:lineRule="auto"/>
      <w:ind w:left="482"/>
    </w:pPr>
    <w:rPr>
      <w:rFonts w:ascii="Calibri" w:eastAsia="Calibri" w:hAnsi="Calibri" w:cs="Calibri"/>
      <w:color w:val="000000"/>
      <w:sz w:val="22"/>
      <w:szCs w:val="22"/>
      <w:u w:color="000000"/>
    </w:rPr>
  </w:style>
  <w:style w:type="numbering" w:customStyle="1" w:styleId="Style1import">
    <w:name w:val="Style 1 importé"/>
    <w:pPr>
      <w:numPr>
        <w:numId w:val="1"/>
      </w:numPr>
    </w:pPr>
  </w:style>
  <w:style w:type="character" w:customStyle="1" w:styleId="Aucun">
    <w:name w:val="Aucun"/>
    <w:rPr>
      <w:lang w:val="ro-RO"/>
    </w:rPr>
  </w:style>
  <w:style w:type="paragraph" w:styleId="FootnoteText">
    <w:name w:val="footnote text"/>
    <w:link w:val="FootnoteTextChar"/>
    <w:uiPriority w:val="99"/>
    <w:pPr>
      <w:spacing w:after="200" w:line="276" w:lineRule="auto"/>
      <w:ind w:left="357" w:hanging="357"/>
    </w:pPr>
    <w:rPr>
      <w:rFonts w:ascii="Calibri" w:eastAsia="Calibri" w:hAnsi="Calibri" w:cs="Calibri"/>
      <w:color w:val="000000"/>
      <w:u w:color="000000"/>
    </w:rPr>
  </w:style>
  <w:style w:type="paragraph" w:customStyle="1" w:styleId="Sous-section2">
    <w:name w:val="Sous-section 2"/>
    <w:next w:val="Text2"/>
    <w:pPr>
      <w:keepNext/>
      <w:numPr>
        <w:ilvl w:val="1"/>
        <w:numId w:val="2"/>
      </w:numPr>
      <w:tabs>
        <w:tab w:val="left" w:pos="1429"/>
      </w:tabs>
      <w:spacing w:after="200" w:line="276" w:lineRule="auto"/>
      <w:jc w:val="both"/>
      <w:outlineLvl w:val="1"/>
    </w:pPr>
    <w:rPr>
      <w:b/>
      <w:bCs/>
      <w:color w:val="000000"/>
      <w:sz w:val="24"/>
      <w:szCs w:val="24"/>
      <w:u w:color="000000"/>
    </w:rPr>
  </w:style>
  <w:style w:type="paragraph" w:customStyle="1" w:styleId="Text2">
    <w:name w:val="Text 2"/>
    <w:pPr>
      <w:tabs>
        <w:tab w:val="left" w:pos="2302"/>
      </w:tabs>
      <w:spacing w:after="200" w:line="276" w:lineRule="auto"/>
      <w:ind w:left="1202"/>
    </w:pPr>
    <w:rPr>
      <w:rFonts w:ascii="Calibri" w:eastAsia="Calibri" w:hAnsi="Calibri" w:cs="Calibri"/>
      <w:color w:val="000000"/>
      <w:sz w:val="22"/>
      <w:szCs w:val="22"/>
      <w:u w:color="000000"/>
    </w:rPr>
  </w:style>
  <w:style w:type="paragraph" w:customStyle="1" w:styleId="Ss-section3">
    <w:name w:val="Ss-section 3"/>
    <w:next w:val="Corps"/>
    <w:pPr>
      <w:keepNext/>
      <w:tabs>
        <w:tab w:val="left" w:pos="720"/>
      </w:tabs>
      <w:spacing w:after="200" w:line="276" w:lineRule="auto"/>
      <w:outlineLvl w:val="2"/>
    </w:pPr>
    <w:rPr>
      <w:rFonts w:ascii="Calibri" w:eastAsia="Calibri" w:hAnsi="Calibri" w:cs="Calibri"/>
      <w:i/>
      <w:iCs/>
      <w:color w:val="000000"/>
      <w:sz w:val="22"/>
      <w:szCs w:val="22"/>
      <w:u w:color="000000"/>
    </w:rPr>
  </w:style>
  <w:style w:type="paragraph" w:customStyle="1" w:styleId="Corps">
    <w:name w:val="Corps"/>
    <w:pPr>
      <w:spacing w:after="200" w:line="276" w:lineRule="auto"/>
    </w:pPr>
    <w:rPr>
      <w:rFonts w:ascii="Calibri" w:eastAsia="Calibri" w:hAnsi="Calibri" w:cs="Calibri"/>
      <w:color w:val="000000"/>
      <w:sz w:val="22"/>
      <w:szCs w:val="22"/>
      <w:u w:color="000000"/>
    </w:rPr>
  </w:style>
  <w:style w:type="paragraph" w:customStyle="1" w:styleId="Text4">
    <w:name w:val="Text 4"/>
    <w:pPr>
      <w:tabs>
        <w:tab w:val="left" w:pos="2302"/>
      </w:tabs>
      <w:spacing w:after="200" w:line="276" w:lineRule="auto"/>
      <w:ind w:left="1202"/>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Style2import">
    <w:name w:val="Style 2 importé"/>
    <w:pPr>
      <w:numPr>
        <w:numId w:val="3"/>
      </w:numPr>
    </w:pPr>
  </w:style>
  <w:style w:type="numbering" w:customStyle="1" w:styleId="Style3import">
    <w:name w:val="Style 3 importé"/>
    <w:pPr>
      <w:numPr>
        <w:numId w:val="4"/>
      </w:numPr>
    </w:pPr>
  </w:style>
  <w:style w:type="numbering" w:customStyle="1" w:styleId="Style4import">
    <w:name w:val="Style 4 importé"/>
    <w:pPr>
      <w:numPr>
        <w:numId w:val="5"/>
      </w:numPr>
    </w:pPr>
  </w:style>
  <w:style w:type="numbering" w:customStyle="1" w:styleId="Style5import">
    <w:name w:val="Style 5 importé"/>
    <w:pPr>
      <w:numPr>
        <w:numId w:val="7"/>
      </w:numPr>
    </w:pPr>
  </w:style>
  <w:style w:type="numbering" w:customStyle="1" w:styleId="Style6import">
    <w:name w:val="Style 6 importé"/>
    <w:pPr>
      <w:numPr>
        <w:numId w:val="8"/>
      </w:numPr>
    </w:pPr>
  </w:style>
  <w:style w:type="numbering" w:customStyle="1" w:styleId="Style7import">
    <w:name w:val="Style 7 importé"/>
    <w:pPr>
      <w:numPr>
        <w:numId w:val="9"/>
      </w:numPr>
    </w:pPr>
  </w:style>
  <w:style w:type="paragraph" w:customStyle="1" w:styleId="Briefingtext">
    <w:name w:val="Briefing text"/>
    <w:link w:val="BriefingtextChar"/>
    <w:pPr>
      <w:spacing w:after="240"/>
      <w:jc w:val="both"/>
    </w:pPr>
    <w:rPr>
      <w:rFonts w:ascii="Arial" w:eastAsia="Arial" w:hAnsi="Arial" w:cs="Arial"/>
      <w:color w:val="000000"/>
      <w:sz w:val="22"/>
      <w:szCs w:val="22"/>
      <w:u w:color="000000"/>
    </w:rPr>
  </w:style>
  <w:style w:type="numbering" w:customStyle="1" w:styleId="Style11import">
    <w:name w:val="Style 11 importé"/>
    <w:pPr>
      <w:numPr>
        <w:numId w:val="12"/>
      </w:numPr>
    </w:pPr>
  </w:style>
  <w:style w:type="numbering" w:customStyle="1" w:styleId="Style12import">
    <w:name w:val="Style 12 importé"/>
    <w:pPr>
      <w:numPr>
        <w:numId w:val="13"/>
      </w:numPr>
    </w:pPr>
  </w:style>
  <w:style w:type="numbering" w:customStyle="1" w:styleId="Style13import">
    <w:name w:val="Style 13 importé"/>
    <w:pPr>
      <w:numPr>
        <w:numId w:val="14"/>
      </w:numPr>
    </w:pPr>
  </w:style>
  <w:style w:type="numbering" w:customStyle="1" w:styleId="Style14import">
    <w:name w:val="Style 14 importé"/>
    <w:pPr>
      <w:numPr>
        <w:numId w:val="15"/>
      </w:numPr>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ro-RO"/>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uiPriority w:val="99"/>
    <w:rPr>
      <w:rFonts w:ascii="Calibri" w:eastAsia="Calibri" w:hAnsi="Calibri" w:cs="Calibri"/>
      <w:color w:val="000000"/>
      <w:u w:color="000000"/>
      <w:lang w:val="ro-RO"/>
    </w:rPr>
  </w:style>
  <w:style w:type="numbering" w:customStyle="1" w:styleId="Style2import1">
    <w:name w:val="Style 2 importé1"/>
  </w:style>
  <w:style w:type="numbering" w:customStyle="1" w:styleId="Style2import2">
    <w:name w:val="Style 2 importé2"/>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ro-RO"/>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ro-RO"/>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sz w:val="24"/>
      <w:szCs w:val="24"/>
      <w:lang w:val="ro-RO"/>
    </w:rPr>
  </w:style>
  <w:style w:type="table" w:styleId="TableGrid">
    <w:name w:val="Table Grid"/>
    <w:basedOn w:val="TableNormal"/>
    <w:uiPriority w:val="5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ro-R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hanging="480"/>
    </w:pPr>
  </w:style>
  <w:style w:type="character" w:customStyle="1" w:styleId="En-tteChar">
    <w:name w:val="En-tête Char"/>
    <w:basedOn w:val="DefaultParagraphFont"/>
    <w:link w:val="En-tte0"/>
    <w:rPr>
      <w:b/>
      <w:bCs/>
      <w:smallCaps/>
      <w:color w:val="000000"/>
      <w:sz w:val="24"/>
      <w:szCs w:val="24"/>
      <w:u w:color="000000"/>
      <w:shd w:val="clear" w:color="auto" w:fill="FFFFFF"/>
    </w:rPr>
  </w:style>
  <w:style w:type="character" w:customStyle="1" w:styleId="FooterCoverPageChar">
    <w:name w:val="Footer Cover Page Char"/>
    <w:basedOn w:val="En-tteChar"/>
    <w:link w:val="FooterCoverPage"/>
    <w:rPr>
      <w:b w:val="0"/>
      <w:bCs w:val="0"/>
      <w:smallCaps w:val="0"/>
      <w:color w:val="000000"/>
      <w:sz w:val="24"/>
      <w:szCs w:val="24"/>
      <w:u w:color="000000"/>
      <w:shd w:val="clear" w:color="auto" w:fill="FFFFFF"/>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hanging="480"/>
      <w:jc w:val="center"/>
    </w:pPr>
    <w:rPr>
      <w:b/>
      <w:sz w:val="32"/>
    </w:rPr>
  </w:style>
  <w:style w:type="character" w:customStyle="1" w:styleId="FooterSensitivityChar">
    <w:name w:val="Footer Sensitivity Char"/>
    <w:basedOn w:val="En-tteChar"/>
    <w:link w:val="FooterSensitivity"/>
    <w:rPr>
      <w:b/>
      <w:bCs w:val="0"/>
      <w:smallCaps w:val="0"/>
      <w:color w:val="000000"/>
      <w:sz w:val="32"/>
      <w:szCs w:val="24"/>
      <w:u w:color="000000"/>
      <w:shd w:val="clear" w:color="auto" w:fill="FFFFFF"/>
    </w:rPr>
  </w:style>
  <w:style w:type="paragraph" w:customStyle="1" w:styleId="HeaderCoverPage">
    <w:name w:val="Header Cover Page"/>
    <w:basedOn w:val="Normal"/>
    <w:link w:val="HeaderCoverPageChar"/>
    <w:pPr>
      <w:tabs>
        <w:tab w:val="center" w:pos="4535"/>
        <w:tab w:val="right" w:pos="9071"/>
      </w:tabs>
      <w:spacing w:after="120"/>
      <w:ind w:hanging="480"/>
      <w:jc w:val="both"/>
    </w:pPr>
  </w:style>
  <w:style w:type="character" w:customStyle="1" w:styleId="HeaderCoverPageChar">
    <w:name w:val="Header Cover Page Char"/>
    <w:basedOn w:val="En-tteChar"/>
    <w:link w:val="HeaderCoverPage"/>
    <w:rPr>
      <w:b w:val="0"/>
      <w:bCs w:val="0"/>
      <w:smallCaps w:val="0"/>
      <w:color w:val="000000"/>
      <w:sz w:val="24"/>
      <w:szCs w:val="24"/>
      <w:u w:color="000000"/>
      <w:shd w:val="clear" w:color="auto" w:fill="FFFFFF"/>
    </w:rPr>
  </w:style>
  <w:style w:type="paragraph" w:customStyle="1" w:styleId="HeaderSensitivity">
    <w:name w:val="Header Sensitivity"/>
    <w:basedOn w:val="Normal"/>
    <w:link w:val="HeaderSensitivityChar"/>
    <w:pPr>
      <w:numPr>
        <w:numId w:val="2"/>
      </w:num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En-tteChar"/>
    <w:link w:val="HeaderSensitivity"/>
    <w:rPr>
      <w:b/>
      <w:bCs w:val="0"/>
      <w:smallCaps w:val="0"/>
      <w:color w:val="000000"/>
      <w:sz w:val="32"/>
      <w:szCs w:val="24"/>
      <w:u w:color="000000"/>
      <w:shd w:val="clear" w:color="auto" w:fill="FFFFFF"/>
    </w:rPr>
  </w:style>
  <w:style w:type="numbering" w:customStyle="1" w:styleId="Style4import1">
    <w:name w:val="Style 4 importé1"/>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FooterChar">
    <w:name w:val="Footer Char"/>
    <w:basedOn w:val="DefaultParagraphFont"/>
    <w:link w:val="Footer"/>
    <w:uiPriority w:val="99"/>
    <w:rPr>
      <w:rFonts w:cs="Arial Unicode MS"/>
      <w:color w:val="000000"/>
      <w:sz w:val="24"/>
      <w:szCs w:val="24"/>
      <w:u w:color="000000"/>
      <w:lang w:val="ro-RO"/>
    </w:rPr>
  </w:style>
  <w:style w:type="character" w:customStyle="1" w:styleId="BriefingtextChar">
    <w:name w:val="Briefing text Char"/>
    <w:link w:val="Briefingtext"/>
    <w:rPr>
      <w:rFonts w:ascii="Arial" w:eastAsia="Arial" w:hAnsi="Arial" w:cs="Arial"/>
      <w:color w:val="000000"/>
      <w:sz w:val="22"/>
      <w:szCs w:val="22"/>
      <w:u w:color="000000"/>
      <w:lang w:val="ro-RO"/>
    </w:rPr>
  </w:style>
  <w:style w:type="character" w:styleId="FollowedHyperlink">
    <w:name w:val="FollowedHyperlink"/>
    <w:basedOn w:val="DefaultParagraphFont"/>
    <w:uiPriority w:val="99"/>
    <w:semiHidden/>
    <w:unhideWhenUsed/>
    <w:rPr>
      <w:color w:val="FF00FF"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o-RO" w:eastAsia="ro-RO" w:bidi="ro-RO"/>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Text4"/>
    <w:qFormat/>
    <w:pPr>
      <w:keepNext/>
      <w:tabs>
        <w:tab w:val="left" w:pos="1920"/>
      </w:tabs>
      <w:spacing w:after="200" w:line="276" w:lineRule="auto"/>
      <w:outlineLvl w:val="3"/>
    </w:pPr>
    <w:rPr>
      <w:rFonts w:cs="Arial Unicode M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
    <w:name w:val="En-tête"/>
    <w:pPr>
      <w:tabs>
        <w:tab w:val="right" w:pos="9020"/>
      </w:tabs>
    </w:pPr>
    <w:rPr>
      <w:rFonts w:ascii="Helvetica Neue" w:hAnsi="Helvetica Neue" w:cs="Arial Unicode MS"/>
      <w:color w:val="000000"/>
      <w:sz w:val="24"/>
      <w:szCs w:val="24"/>
    </w:rPr>
  </w:style>
  <w:style w:type="paragraph" w:styleId="Footer">
    <w:name w:val="footer"/>
    <w:link w:val="FooterChar"/>
    <w:uiPriority w:val="99"/>
    <w:pPr>
      <w:tabs>
        <w:tab w:val="center" w:pos="4535"/>
        <w:tab w:val="right" w:pos="9071"/>
        <w:tab w:val="right" w:pos="9921"/>
      </w:tabs>
      <w:spacing w:before="360"/>
    </w:pPr>
    <w:rPr>
      <w:rFonts w:cs="Arial Unicode MS"/>
      <w:color w:val="000000"/>
      <w:sz w:val="24"/>
      <w:szCs w:val="24"/>
      <w:u w:color="000000"/>
    </w:rPr>
  </w:style>
  <w:style w:type="paragraph" w:customStyle="1" w:styleId="En-tte0">
    <w:name w:val="En-tête"/>
    <w:next w:val="Text1"/>
    <w:link w:val="En-tteChar"/>
    <w:pPr>
      <w:keepNext/>
      <w:shd w:val="clear" w:color="auto" w:fill="FFFFFF"/>
      <w:tabs>
        <w:tab w:val="left" w:pos="480"/>
      </w:tabs>
      <w:spacing w:before="200" w:after="200" w:line="276" w:lineRule="auto"/>
      <w:ind w:left="482" w:hanging="482"/>
      <w:jc w:val="both"/>
      <w:outlineLvl w:val="0"/>
    </w:pPr>
    <w:rPr>
      <w:b/>
      <w:bCs/>
      <w:smallCaps/>
      <w:color w:val="000000"/>
      <w:sz w:val="24"/>
      <w:szCs w:val="24"/>
      <w:u w:color="000000"/>
    </w:rPr>
  </w:style>
  <w:style w:type="paragraph" w:customStyle="1" w:styleId="Text1">
    <w:name w:val="Text 1"/>
    <w:pPr>
      <w:spacing w:after="200" w:line="276" w:lineRule="auto"/>
      <w:ind w:left="482"/>
    </w:pPr>
    <w:rPr>
      <w:rFonts w:ascii="Calibri" w:eastAsia="Calibri" w:hAnsi="Calibri" w:cs="Calibri"/>
      <w:color w:val="000000"/>
      <w:sz w:val="22"/>
      <w:szCs w:val="22"/>
      <w:u w:color="000000"/>
    </w:rPr>
  </w:style>
  <w:style w:type="numbering" w:customStyle="1" w:styleId="Style1import">
    <w:name w:val="Style 1 importé"/>
    <w:pPr>
      <w:numPr>
        <w:numId w:val="1"/>
      </w:numPr>
    </w:pPr>
  </w:style>
  <w:style w:type="character" w:customStyle="1" w:styleId="Aucun">
    <w:name w:val="Aucun"/>
    <w:rPr>
      <w:lang w:val="ro-RO"/>
    </w:rPr>
  </w:style>
  <w:style w:type="paragraph" w:styleId="FootnoteText">
    <w:name w:val="footnote text"/>
    <w:link w:val="FootnoteTextChar"/>
    <w:uiPriority w:val="99"/>
    <w:pPr>
      <w:spacing w:after="200" w:line="276" w:lineRule="auto"/>
      <w:ind w:left="357" w:hanging="357"/>
    </w:pPr>
    <w:rPr>
      <w:rFonts w:ascii="Calibri" w:eastAsia="Calibri" w:hAnsi="Calibri" w:cs="Calibri"/>
      <w:color w:val="000000"/>
      <w:u w:color="000000"/>
    </w:rPr>
  </w:style>
  <w:style w:type="paragraph" w:customStyle="1" w:styleId="Sous-section2">
    <w:name w:val="Sous-section 2"/>
    <w:next w:val="Text2"/>
    <w:pPr>
      <w:keepNext/>
      <w:numPr>
        <w:ilvl w:val="1"/>
        <w:numId w:val="2"/>
      </w:numPr>
      <w:tabs>
        <w:tab w:val="left" w:pos="1429"/>
      </w:tabs>
      <w:spacing w:after="200" w:line="276" w:lineRule="auto"/>
      <w:jc w:val="both"/>
      <w:outlineLvl w:val="1"/>
    </w:pPr>
    <w:rPr>
      <w:b/>
      <w:bCs/>
      <w:color w:val="000000"/>
      <w:sz w:val="24"/>
      <w:szCs w:val="24"/>
      <w:u w:color="000000"/>
    </w:rPr>
  </w:style>
  <w:style w:type="paragraph" w:customStyle="1" w:styleId="Text2">
    <w:name w:val="Text 2"/>
    <w:pPr>
      <w:tabs>
        <w:tab w:val="left" w:pos="2302"/>
      </w:tabs>
      <w:spacing w:after="200" w:line="276" w:lineRule="auto"/>
      <w:ind w:left="1202"/>
    </w:pPr>
    <w:rPr>
      <w:rFonts w:ascii="Calibri" w:eastAsia="Calibri" w:hAnsi="Calibri" w:cs="Calibri"/>
      <w:color w:val="000000"/>
      <w:sz w:val="22"/>
      <w:szCs w:val="22"/>
      <w:u w:color="000000"/>
    </w:rPr>
  </w:style>
  <w:style w:type="paragraph" w:customStyle="1" w:styleId="Ss-section3">
    <w:name w:val="Ss-section 3"/>
    <w:next w:val="Corps"/>
    <w:pPr>
      <w:keepNext/>
      <w:tabs>
        <w:tab w:val="left" w:pos="720"/>
      </w:tabs>
      <w:spacing w:after="200" w:line="276" w:lineRule="auto"/>
      <w:outlineLvl w:val="2"/>
    </w:pPr>
    <w:rPr>
      <w:rFonts w:ascii="Calibri" w:eastAsia="Calibri" w:hAnsi="Calibri" w:cs="Calibri"/>
      <w:i/>
      <w:iCs/>
      <w:color w:val="000000"/>
      <w:sz w:val="22"/>
      <w:szCs w:val="22"/>
      <w:u w:color="000000"/>
    </w:rPr>
  </w:style>
  <w:style w:type="paragraph" w:customStyle="1" w:styleId="Corps">
    <w:name w:val="Corps"/>
    <w:pPr>
      <w:spacing w:after="200" w:line="276" w:lineRule="auto"/>
    </w:pPr>
    <w:rPr>
      <w:rFonts w:ascii="Calibri" w:eastAsia="Calibri" w:hAnsi="Calibri" w:cs="Calibri"/>
      <w:color w:val="000000"/>
      <w:sz w:val="22"/>
      <w:szCs w:val="22"/>
      <w:u w:color="000000"/>
    </w:rPr>
  </w:style>
  <w:style w:type="paragraph" w:customStyle="1" w:styleId="Text4">
    <w:name w:val="Text 4"/>
    <w:pPr>
      <w:tabs>
        <w:tab w:val="left" w:pos="2302"/>
      </w:tabs>
      <w:spacing w:after="200" w:line="276" w:lineRule="auto"/>
      <w:ind w:left="1202"/>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Style2import">
    <w:name w:val="Style 2 importé"/>
    <w:pPr>
      <w:numPr>
        <w:numId w:val="3"/>
      </w:numPr>
    </w:pPr>
  </w:style>
  <w:style w:type="numbering" w:customStyle="1" w:styleId="Style3import">
    <w:name w:val="Style 3 importé"/>
    <w:pPr>
      <w:numPr>
        <w:numId w:val="4"/>
      </w:numPr>
    </w:pPr>
  </w:style>
  <w:style w:type="numbering" w:customStyle="1" w:styleId="Style4import">
    <w:name w:val="Style 4 importé"/>
    <w:pPr>
      <w:numPr>
        <w:numId w:val="5"/>
      </w:numPr>
    </w:pPr>
  </w:style>
  <w:style w:type="numbering" w:customStyle="1" w:styleId="Style5import">
    <w:name w:val="Style 5 importé"/>
    <w:pPr>
      <w:numPr>
        <w:numId w:val="7"/>
      </w:numPr>
    </w:pPr>
  </w:style>
  <w:style w:type="numbering" w:customStyle="1" w:styleId="Style6import">
    <w:name w:val="Style 6 importé"/>
    <w:pPr>
      <w:numPr>
        <w:numId w:val="8"/>
      </w:numPr>
    </w:pPr>
  </w:style>
  <w:style w:type="numbering" w:customStyle="1" w:styleId="Style7import">
    <w:name w:val="Style 7 importé"/>
    <w:pPr>
      <w:numPr>
        <w:numId w:val="9"/>
      </w:numPr>
    </w:pPr>
  </w:style>
  <w:style w:type="paragraph" w:customStyle="1" w:styleId="Briefingtext">
    <w:name w:val="Briefing text"/>
    <w:link w:val="BriefingtextChar"/>
    <w:pPr>
      <w:spacing w:after="240"/>
      <w:jc w:val="both"/>
    </w:pPr>
    <w:rPr>
      <w:rFonts w:ascii="Arial" w:eastAsia="Arial" w:hAnsi="Arial" w:cs="Arial"/>
      <w:color w:val="000000"/>
      <w:sz w:val="22"/>
      <w:szCs w:val="22"/>
      <w:u w:color="000000"/>
    </w:rPr>
  </w:style>
  <w:style w:type="numbering" w:customStyle="1" w:styleId="Style11import">
    <w:name w:val="Style 11 importé"/>
    <w:pPr>
      <w:numPr>
        <w:numId w:val="12"/>
      </w:numPr>
    </w:pPr>
  </w:style>
  <w:style w:type="numbering" w:customStyle="1" w:styleId="Style12import">
    <w:name w:val="Style 12 importé"/>
    <w:pPr>
      <w:numPr>
        <w:numId w:val="13"/>
      </w:numPr>
    </w:pPr>
  </w:style>
  <w:style w:type="numbering" w:customStyle="1" w:styleId="Style13import">
    <w:name w:val="Style 13 importé"/>
    <w:pPr>
      <w:numPr>
        <w:numId w:val="14"/>
      </w:numPr>
    </w:pPr>
  </w:style>
  <w:style w:type="numbering" w:customStyle="1" w:styleId="Style14import">
    <w:name w:val="Style 14 importé"/>
    <w:pPr>
      <w:numPr>
        <w:numId w:val="15"/>
      </w:numPr>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ro-RO"/>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uiPriority w:val="99"/>
    <w:rPr>
      <w:rFonts w:ascii="Calibri" w:eastAsia="Calibri" w:hAnsi="Calibri" w:cs="Calibri"/>
      <w:color w:val="000000"/>
      <w:u w:color="000000"/>
      <w:lang w:val="ro-RO"/>
    </w:rPr>
  </w:style>
  <w:style w:type="numbering" w:customStyle="1" w:styleId="Style2import1">
    <w:name w:val="Style 2 importé1"/>
  </w:style>
  <w:style w:type="numbering" w:customStyle="1" w:styleId="Style2import2">
    <w:name w:val="Style 2 importé2"/>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ro-RO"/>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ro-RO"/>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sz w:val="24"/>
      <w:szCs w:val="24"/>
      <w:lang w:val="ro-RO"/>
    </w:rPr>
  </w:style>
  <w:style w:type="table" w:styleId="TableGrid">
    <w:name w:val="Table Grid"/>
    <w:basedOn w:val="TableNormal"/>
    <w:uiPriority w:val="5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ro-R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hanging="480"/>
    </w:pPr>
  </w:style>
  <w:style w:type="character" w:customStyle="1" w:styleId="En-tteChar">
    <w:name w:val="En-tête Char"/>
    <w:basedOn w:val="DefaultParagraphFont"/>
    <w:link w:val="En-tte0"/>
    <w:rPr>
      <w:b/>
      <w:bCs/>
      <w:smallCaps/>
      <w:color w:val="000000"/>
      <w:sz w:val="24"/>
      <w:szCs w:val="24"/>
      <w:u w:color="000000"/>
      <w:shd w:val="clear" w:color="auto" w:fill="FFFFFF"/>
    </w:rPr>
  </w:style>
  <w:style w:type="character" w:customStyle="1" w:styleId="FooterCoverPageChar">
    <w:name w:val="Footer Cover Page Char"/>
    <w:basedOn w:val="En-tteChar"/>
    <w:link w:val="FooterCoverPage"/>
    <w:rPr>
      <w:b w:val="0"/>
      <w:bCs w:val="0"/>
      <w:smallCaps w:val="0"/>
      <w:color w:val="000000"/>
      <w:sz w:val="24"/>
      <w:szCs w:val="24"/>
      <w:u w:color="000000"/>
      <w:shd w:val="clear" w:color="auto" w:fill="FFFFFF"/>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hanging="480"/>
      <w:jc w:val="center"/>
    </w:pPr>
    <w:rPr>
      <w:b/>
      <w:sz w:val="32"/>
    </w:rPr>
  </w:style>
  <w:style w:type="character" w:customStyle="1" w:styleId="FooterSensitivityChar">
    <w:name w:val="Footer Sensitivity Char"/>
    <w:basedOn w:val="En-tteChar"/>
    <w:link w:val="FooterSensitivity"/>
    <w:rPr>
      <w:b/>
      <w:bCs w:val="0"/>
      <w:smallCaps w:val="0"/>
      <w:color w:val="000000"/>
      <w:sz w:val="32"/>
      <w:szCs w:val="24"/>
      <w:u w:color="000000"/>
      <w:shd w:val="clear" w:color="auto" w:fill="FFFFFF"/>
    </w:rPr>
  </w:style>
  <w:style w:type="paragraph" w:customStyle="1" w:styleId="HeaderCoverPage">
    <w:name w:val="Header Cover Page"/>
    <w:basedOn w:val="Normal"/>
    <w:link w:val="HeaderCoverPageChar"/>
    <w:pPr>
      <w:tabs>
        <w:tab w:val="center" w:pos="4535"/>
        <w:tab w:val="right" w:pos="9071"/>
      </w:tabs>
      <w:spacing w:after="120"/>
      <w:ind w:hanging="480"/>
      <w:jc w:val="both"/>
    </w:pPr>
  </w:style>
  <w:style w:type="character" w:customStyle="1" w:styleId="HeaderCoverPageChar">
    <w:name w:val="Header Cover Page Char"/>
    <w:basedOn w:val="En-tteChar"/>
    <w:link w:val="HeaderCoverPage"/>
    <w:rPr>
      <w:b w:val="0"/>
      <w:bCs w:val="0"/>
      <w:smallCaps w:val="0"/>
      <w:color w:val="000000"/>
      <w:sz w:val="24"/>
      <w:szCs w:val="24"/>
      <w:u w:color="000000"/>
      <w:shd w:val="clear" w:color="auto" w:fill="FFFFFF"/>
    </w:rPr>
  </w:style>
  <w:style w:type="paragraph" w:customStyle="1" w:styleId="HeaderSensitivity">
    <w:name w:val="Header Sensitivity"/>
    <w:basedOn w:val="Normal"/>
    <w:link w:val="HeaderSensitivityChar"/>
    <w:pPr>
      <w:numPr>
        <w:numId w:val="2"/>
      </w:num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En-tteChar"/>
    <w:link w:val="HeaderSensitivity"/>
    <w:rPr>
      <w:b/>
      <w:bCs w:val="0"/>
      <w:smallCaps w:val="0"/>
      <w:color w:val="000000"/>
      <w:sz w:val="32"/>
      <w:szCs w:val="24"/>
      <w:u w:color="000000"/>
      <w:shd w:val="clear" w:color="auto" w:fill="FFFFFF"/>
    </w:rPr>
  </w:style>
  <w:style w:type="numbering" w:customStyle="1" w:styleId="Style4import1">
    <w:name w:val="Style 4 importé1"/>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FooterChar">
    <w:name w:val="Footer Char"/>
    <w:basedOn w:val="DefaultParagraphFont"/>
    <w:link w:val="Footer"/>
    <w:uiPriority w:val="99"/>
    <w:rPr>
      <w:rFonts w:cs="Arial Unicode MS"/>
      <w:color w:val="000000"/>
      <w:sz w:val="24"/>
      <w:szCs w:val="24"/>
      <w:u w:color="000000"/>
      <w:lang w:val="ro-RO"/>
    </w:rPr>
  </w:style>
  <w:style w:type="character" w:customStyle="1" w:styleId="BriefingtextChar">
    <w:name w:val="Briefing text Char"/>
    <w:link w:val="Briefingtext"/>
    <w:rPr>
      <w:rFonts w:ascii="Arial" w:eastAsia="Arial" w:hAnsi="Arial" w:cs="Arial"/>
      <w:color w:val="000000"/>
      <w:sz w:val="22"/>
      <w:szCs w:val="22"/>
      <w:u w:color="000000"/>
      <w:lang w:val="ro-RO"/>
    </w:rPr>
  </w:style>
  <w:style w:type="character" w:styleId="FollowedHyperlink">
    <w:name w:val="FollowedHyperlink"/>
    <w:basedOn w:val="DefaultParagraphFont"/>
    <w:uiPriority w:val="99"/>
    <w:semiHidden/>
    <w:unhideWhenUse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95001">
      <w:bodyDiv w:val="1"/>
      <w:marLeft w:val="0"/>
      <w:marRight w:val="0"/>
      <w:marTop w:val="0"/>
      <w:marBottom w:val="0"/>
      <w:divBdr>
        <w:top w:val="none" w:sz="0" w:space="0" w:color="auto"/>
        <w:left w:val="none" w:sz="0" w:space="0" w:color="auto"/>
        <w:bottom w:val="none" w:sz="0" w:space="0" w:color="auto"/>
        <w:right w:val="none" w:sz="0" w:space="0" w:color="auto"/>
      </w:divBdr>
    </w:div>
    <w:div w:id="696540820">
      <w:bodyDiv w:val="1"/>
      <w:marLeft w:val="0"/>
      <w:marRight w:val="0"/>
      <w:marTop w:val="0"/>
      <w:marBottom w:val="0"/>
      <w:divBdr>
        <w:top w:val="none" w:sz="0" w:space="0" w:color="auto"/>
        <w:left w:val="none" w:sz="0" w:space="0" w:color="auto"/>
        <w:bottom w:val="none" w:sz="0" w:space="0" w:color="auto"/>
        <w:right w:val="none" w:sz="0" w:space="0" w:color="auto"/>
      </w:divBdr>
    </w:div>
    <w:div w:id="1666275363">
      <w:bodyDiv w:val="1"/>
      <w:marLeft w:val="0"/>
      <w:marRight w:val="0"/>
      <w:marTop w:val="0"/>
      <w:marBottom w:val="0"/>
      <w:divBdr>
        <w:top w:val="none" w:sz="0" w:space="0" w:color="auto"/>
        <w:left w:val="none" w:sz="0" w:space="0" w:color="auto"/>
        <w:bottom w:val="none" w:sz="0" w:space="0" w:color="auto"/>
        <w:right w:val="none" w:sz="0" w:space="0" w:color="auto"/>
      </w:divBdr>
    </w:div>
    <w:div w:id="1883441736">
      <w:bodyDiv w:val="1"/>
      <w:marLeft w:val="0"/>
      <w:marRight w:val="0"/>
      <w:marTop w:val="0"/>
      <w:marBottom w:val="0"/>
      <w:divBdr>
        <w:top w:val="none" w:sz="0" w:space="0" w:color="auto"/>
        <w:left w:val="none" w:sz="0" w:space="0" w:color="auto"/>
        <w:bottom w:val="none" w:sz="0" w:space="0" w:color="auto"/>
        <w:right w:val="none" w:sz="0" w:space="0" w:color="auto"/>
      </w:divBdr>
    </w:div>
    <w:div w:id="2059011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commentsExtended" Target="commentsExtended.xml"/></Relationships>
</file>

<file path=word/_rels/footnotes.xml.rels><?xml version="1.0" encoding="UTF-8" standalone="yes"?>
<Relationships xmlns="http://schemas.openxmlformats.org/package/2006/relationships"><Relationship Id="rId3" Type="http://schemas.openxmlformats.org/officeDocument/2006/relationships/hyperlink" Target="http://www.consilium.europa.eu/media/21481/nato-eu-declaration-8-july-en-final.pdf" TargetMode="External"/><Relationship Id="rId7" Type="http://schemas.openxmlformats.org/officeDocument/2006/relationships/hyperlink" Target="http://eur-lex.europa.eu/legal-content/RO/TXT/?uri=CELEX:52016JC0018" TargetMode="External"/><Relationship Id="rId2" Type="http://schemas.openxmlformats.org/officeDocument/2006/relationships/hyperlink" Target="http://www.consilium.europa.eu/media/33064/council-recommendation.pdf" TargetMode="External"/><Relationship Id="rId1" Type="http://schemas.openxmlformats.org/officeDocument/2006/relationships/hyperlink" Target="http://europa.eu/rapid/press-release_SPEECH-17-3165_ro.htm" TargetMode="External"/><Relationship Id="rId6" Type="http://schemas.openxmlformats.org/officeDocument/2006/relationships/hyperlink" Target="https://www.eda.europa.eu/docs/default-source/documents/dic-ip.pdf" TargetMode="External"/><Relationship Id="rId5" Type="http://schemas.openxmlformats.org/officeDocument/2006/relationships/hyperlink" Target="https://www.eda.europa.eu/what-we-do/activities/activities-search/eu-multimodal-transport-hubs" TargetMode="External"/><Relationship Id="rId4" Type="http://schemas.openxmlformats.org/officeDocument/2006/relationships/hyperlink" Target="https://eeas.europa.eu/sites/eeas/files/joint_communication_to_the_european_parliament_and_the_"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1078E-1746-4EC4-B2DF-A84D65DC4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3983</Words>
  <Characters>22704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2018-03-27T08:48:00Z</dcterms:created>
  <dcterms:modified xsi:type="dcterms:W3CDTF">2018-04-05T09:10:00Z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Red</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