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528B0E9E-5AF1-4B23-B1BB-AE175E987635" style="width:450.6pt;height:485pt">
            <v:imagedata r:id="rId12" o:title=""/>
          </v:shape>
        </w:pict>
      </w:r>
    </w:p>
    <w:bookmarkEnd w:id="0"/>
    <w:p>
      <w:pPr>
        <w:pStyle w:val="Pagedecouverture"/>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ListParagraph"/>
        <w:numPr>
          <w:ilvl w:val="0"/>
          <w:numId w:val="5"/>
        </w:numPr>
        <w:spacing w:line="240" w:lineRule="auto"/>
        <w:rPr>
          <w:b/>
          <w:bCs/>
          <w:noProof/>
          <w:sz w:val="28"/>
          <w:szCs w:val="28"/>
        </w:rPr>
      </w:pPr>
      <w:bookmarkStart w:id="1" w:name="_GoBack"/>
      <w:bookmarkEnd w:id="1"/>
      <w:r>
        <w:rPr>
          <w:b/>
          <w:bCs/>
          <w:noProof/>
          <w:sz w:val="28"/>
          <w:szCs w:val="28"/>
        </w:rPr>
        <w:lastRenderedPageBreak/>
        <w:t>Environmental implementation gaps cost Europeans around EUR 55 billion per year</w:t>
      </w:r>
    </w:p>
    <w:p>
      <w:pPr>
        <w:rPr>
          <w:rFonts w:cs="Times New Roman"/>
          <w:noProof/>
        </w:rPr>
      </w:pPr>
      <w:r>
        <w:rPr>
          <w:noProof/>
        </w:rPr>
        <w:t xml:space="preserve">Implementation of EU environmental policy and law is essential for a healthy environment. Overcoming the gap between what has been decided and actually implemented is critical to ensure good environmental </w:t>
      </w:r>
      <w:r>
        <w:rPr>
          <w:rFonts w:cs="Times New Roman"/>
          <w:noProof/>
        </w:rPr>
        <w:t xml:space="preserve">outcomes for citizens, as well as to preserve a level playing field for economic operators and to create opportunities for social and technological innovations and economic development. A new study estimates that the total costs for society of current environmental implementation gaps are </w:t>
      </w:r>
      <w:r>
        <w:rPr>
          <w:rFonts w:cs="Times New Roman"/>
          <w:iCs/>
          <w:noProof/>
          <w:color w:val="000000" w:themeColor="text1"/>
        </w:rPr>
        <w:t>around EUR 55</w:t>
      </w:r>
      <w:r>
        <w:rPr>
          <w:rFonts w:cs="Times New Roman"/>
          <w:noProof/>
          <w:color w:val="000000" w:themeColor="text1"/>
        </w:rPr>
        <w:t xml:space="preserve"> billion </w:t>
      </w:r>
      <w:r>
        <w:rPr>
          <w:rFonts w:cs="Times New Roman"/>
          <w:noProof/>
        </w:rPr>
        <w:t>annually</w:t>
      </w:r>
      <w:r>
        <w:rPr>
          <w:rStyle w:val="FootnoteReference"/>
          <w:rFonts w:cs="Times New Roman"/>
          <w:noProof/>
        </w:rPr>
        <w:footnoteReference w:id="2"/>
      </w:r>
      <w:r>
        <w:rPr>
          <w:rFonts w:cs="Times New Roman"/>
          <w:noProof/>
        </w:rPr>
        <w:t xml:space="preserve">. </w:t>
      </w:r>
    </w:p>
    <w:p>
      <w:pPr>
        <w:rPr>
          <w:rFonts w:cs="Times New Roman"/>
          <w:noProof/>
        </w:rPr>
      </w:pPr>
      <w:r>
        <w:rPr>
          <w:rFonts w:cs="Times New Roman"/>
          <w:noProof/>
        </w:rPr>
        <w:t xml:space="preserve">The Environmental Implementation Review aims at improving implementation in the field of EU environmental policy and legislation by identifying the causes of implementation gaps and addressing systemic obstacles to environmental integration across policy sectors. It maps the main challenges for each Member State, as well as existing good practices and points of excellence. </w:t>
      </w:r>
    </w:p>
    <w:p>
      <w:pPr>
        <w:rPr>
          <w:rFonts w:cs="Times New Roman"/>
          <w:noProof/>
        </w:rPr>
      </w:pPr>
      <w:r>
        <w:rPr>
          <w:rFonts w:cs="Times New Roman"/>
          <w:noProof/>
        </w:rPr>
        <w:t>The first Environmental Implementation Review package was adopted in February 2017</w:t>
      </w:r>
      <w:r>
        <w:rPr>
          <w:rStyle w:val="FootnoteReference"/>
          <w:rFonts w:cs="Times New Roman"/>
          <w:noProof/>
        </w:rPr>
        <w:footnoteReference w:id="3"/>
      </w:r>
      <w:r>
        <w:rPr>
          <w:rFonts w:cs="Times New Roman"/>
          <w:noProof/>
        </w:rPr>
        <w:t>. Since its adoption, many Member States have organised national Environmental Implementation Review dialogues on the priority themes identified in their reports. In many cases, regional and local authorities and key stakeholders have been involved. In addition, several sector specific dialogues have been organised. Shortly after the adoption of the first package, a TAIEX-EIR Peer to Peer tool was launched to facilitate peer learning between Member States, regions and municipalities on improving their implementation practices</w:t>
      </w:r>
      <w:r>
        <w:rPr>
          <w:rStyle w:val="FootnoteReference"/>
          <w:rFonts w:cs="Times New Roman"/>
          <w:noProof/>
        </w:rPr>
        <w:footnoteReference w:id="4"/>
      </w:r>
      <w:r>
        <w:rPr>
          <w:rFonts w:cs="Times New Roman"/>
          <w:noProof/>
        </w:rPr>
        <w:t xml:space="preserve">. </w:t>
      </w:r>
    </w:p>
    <w:p>
      <w:pPr>
        <w:rPr>
          <w:rFonts w:cs="Times New Roman"/>
          <w:noProof/>
        </w:rPr>
      </w:pPr>
      <w:r>
        <w:rPr>
          <w:rFonts w:cs="Times New Roman"/>
          <w:noProof/>
        </w:rPr>
        <w:t xml:space="preserve">This package includes the present Communication, an annex listing the key priority actions, a policy background document and 28 country reports outlining the state of play in the implementation of the main areas and objectives of the EU environmental rulebook, as well as the main challenges and opportunities for each Member State. </w:t>
      </w:r>
    </w:p>
    <w:p>
      <w:pPr>
        <w:rPr>
          <w:rFonts w:cs="Times New Roman"/>
          <w:noProof/>
        </w:rPr>
      </w:pPr>
      <w:r>
        <w:rPr>
          <w:rFonts w:cs="Times New Roman"/>
          <w:noProof/>
        </w:rPr>
        <w:t>Infringement procedures remain an important tool to ensure the proper implementation of legal obligations</w:t>
      </w:r>
      <w:r>
        <w:rPr>
          <w:rStyle w:val="FootnoteReference"/>
          <w:rFonts w:cs="Times New Roman"/>
          <w:noProof/>
        </w:rPr>
        <w:footnoteReference w:id="5"/>
      </w:r>
      <w:r>
        <w:rPr>
          <w:rFonts w:cs="Times New Roman"/>
          <w:noProof/>
        </w:rPr>
        <w:t xml:space="preserve"> and, therefore, the Environmental Implementation Review is without prejudice to enforcement actions by the Commission under the Treaties, under the control of the Court of Justice of the European Union</w:t>
      </w:r>
      <w:r>
        <w:rPr>
          <w:rStyle w:val="FootnoteReference"/>
          <w:rFonts w:cs="Times New Roman"/>
          <w:noProof/>
        </w:rPr>
        <w:footnoteReference w:id="6"/>
      </w:r>
      <w:r>
        <w:rPr>
          <w:rFonts w:cs="Times New Roman"/>
          <w:noProof/>
        </w:rPr>
        <w:t>. T</w:t>
      </w:r>
      <w:r>
        <w:rPr>
          <w:rFonts w:cs="Times New Roman"/>
          <w:noProof/>
          <w:lang w:val="en-IE"/>
        </w:rPr>
        <w:t xml:space="preserve">he </w:t>
      </w:r>
      <w:r>
        <w:rPr>
          <w:rFonts w:cs="Times New Roman"/>
          <w:noProof/>
        </w:rPr>
        <w:t xml:space="preserve">Environmental Implementation Review </w:t>
      </w:r>
      <w:r>
        <w:rPr>
          <w:rFonts w:cs="Times New Roman"/>
          <w:noProof/>
          <w:lang w:val="en-IE"/>
        </w:rPr>
        <w:t xml:space="preserve">makes it possible to enhance </w:t>
      </w:r>
      <w:r>
        <w:rPr>
          <w:rFonts w:cs="Times New Roman"/>
          <w:noProof/>
        </w:rPr>
        <w:t xml:space="preserve">compliance with EU environmental laws </w:t>
      </w:r>
      <w:r>
        <w:rPr>
          <w:rFonts w:cs="Times New Roman"/>
          <w:noProof/>
          <w:lang w:val="en-IE"/>
        </w:rPr>
        <w:t>by addressing the root causes of poor implementation and promoting more effective application, provided that Member States undertake swiftly and decisively at least the priority actions.</w:t>
      </w:r>
    </w:p>
    <w:p>
      <w:pPr>
        <w:rPr>
          <w:rFonts w:cs="Times New Roman"/>
          <w:noProof/>
        </w:rPr>
      </w:pPr>
      <w:r>
        <w:rPr>
          <w:rFonts w:cs="Times New Roman"/>
          <w:noProof/>
        </w:rPr>
        <w:t xml:space="preserve">The package illustrates the status of environmental implementation as of January 2019 and aims to foster cooperation among public authorities and stakeholders to find tailor-made solutions to address implementation gaps more effectively. The 2019 country reports also cover several new themes compared to 2017, particularly in response to the feedback attained from Member States, the European Parliament, the Economic and Social Committee, the Committee of the Regions and different stakeholders in the first cycle: climate change, invasive alien species, industrial emissions and chemicals, as well as new information. Nevertheless, the structure remains similar to the 2017 Environmental Implementation Review reports. </w:t>
      </w:r>
    </w:p>
    <w:p>
      <w:pPr>
        <w:spacing w:after="200" w:line="276" w:lineRule="auto"/>
        <w:jc w:val="left"/>
        <w:rPr>
          <w:rFonts w:cs="Times New Roman"/>
          <w:noProof/>
        </w:rPr>
      </w:pPr>
      <w:r>
        <w:rPr>
          <w:rFonts w:cs="Times New Roman"/>
          <w:noProof/>
        </w:rPr>
        <w:br w:type="page"/>
      </w:r>
    </w:p>
    <w:p>
      <w:pPr>
        <w:pStyle w:val="ListParagraph"/>
        <w:numPr>
          <w:ilvl w:val="0"/>
          <w:numId w:val="5"/>
        </w:numPr>
        <w:spacing w:before="240"/>
        <w:rPr>
          <w:rFonts w:cs="Times New Roman"/>
          <w:noProof/>
          <w:sz w:val="28"/>
          <w:szCs w:val="28"/>
        </w:rPr>
      </w:pPr>
      <w:r>
        <w:rPr>
          <w:rFonts w:cs="Times New Roman"/>
          <w:b/>
          <w:bCs/>
          <w:noProof/>
          <w:sz w:val="28"/>
          <w:szCs w:val="28"/>
        </w:rPr>
        <w:t>The state of implementation: main priorities</w:t>
      </w:r>
    </w:p>
    <w:p>
      <w:pPr>
        <w:pStyle w:val="ListParagraph"/>
        <w:ind w:left="360"/>
        <w:rPr>
          <w:rFonts w:cs="Times New Roman"/>
          <w:noProof/>
          <w:sz w:val="28"/>
        </w:rPr>
      </w:pPr>
    </w:p>
    <w:p>
      <w:pPr>
        <w:rPr>
          <w:rFonts w:cs="Times New Roman"/>
          <w:b/>
          <w:bCs/>
          <w:noProof/>
          <w:sz w:val="24"/>
          <w:szCs w:val="24"/>
        </w:rPr>
      </w:pPr>
      <w:r>
        <w:rPr>
          <w:rFonts w:cs="Times New Roman"/>
          <w:b/>
          <w:bCs/>
          <w:noProof/>
          <w:sz w:val="24"/>
          <w:szCs w:val="24"/>
        </w:rPr>
        <w:t>2.1. Turning the EU into a circular, resource-efficient, green and competitive low-carbon economy</w:t>
      </w:r>
    </w:p>
    <w:p>
      <w:pPr>
        <w:rPr>
          <w:rFonts w:cs="Times New Roman"/>
          <w:noProof/>
        </w:rPr>
      </w:pPr>
      <w:r>
        <w:rPr>
          <w:rFonts w:cs="Times New Roman"/>
          <w:b/>
          <w:bCs/>
          <w:noProof/>
        </w:rPr>
        <w:t>The transition from a linear to a circular economy is an opportunity to transform our economy</w:t>
      </w:r>
      <w:r>
        <w:rPr>
          <w:rFonts w:cs="Times New Roman"/>
          <w:noProof/>
        </w:rPr>
        <w:t xml:space="preserve"> </w:t>
      </w:r>
      <w:r>
        <w:rPr>
          <w:rFonts w:cs="Times New Roman"/>
          <w:b/>
          <w:bCs/>
          <w:noProof/>
        </w:rPr>
        <w:t>and make it more sustainable</w:t>
      </w:r>
      <w:r>
        <w:rPr>
          <w:rFonts w:cs="Times New Roman"/>
          <w:noProof/>
        </w:rPr>
        <w:t xml:space="preserve">, switching to a model where products, materials and resources are maintained and used for as long as possible. Sound waste prevention and management is an essential building block of the circular economy as it both helps prevent waste from having a negative impact on the environment and health, and directs it to efficient uses. </w:t>
      </w:r>
    </w:p>
    <w:p>
      <w:pPr>
        <w:rPr>
          <w:rFonts w:cs="Times New Roman"/>
          <w:noProof/>
        </w:rPr>
      </w:pPr>
      <w:r>
        <w:rPr>
          <w:rFonts w:cs="Times New Roman"/>
          <w:noProof/>
        </w:rPr>
        <w:drawing>
          <wp:anchor distT="0" distB="0" distL="114300" distR="114300" simplePos="0" relativeHeight="251655168" behindDoc="0" locked="0" layoutInCell="1" allowOverlap="1">
            <wp:simplePos x="0" y="0"/>
            <wp:positionH relativeFrom="column">
              <wp:posOffset>-85725</wp:posOffset>
            </wp:positionH>
            <wp:positionV relativeFrom="paragraph">
              <wp:posOffset>414948</wp:posOffset>
            </wp:positionV>
            <wp:extent cx="1988185" cy="2819400"/>
            <wp:effectExtent l="0" t="0" r="0" b="0"/>
            <wp:wrapThrough wrapText="bothSides">
              <wp:wrapPolygon edited="0">
                <wp:start x="2691" y="0"/>
                <wp:lineTo x="1449" y="438"/>
                <wp:lineTo x="0" y="1605"/>
                <wp:lineTo x="0" y="19265"/>
                <wp:lineTo x="1035" y="21016"/>
                <wp:lineTo x="2277" y="21454"/>
                <wp:lineTo x="19041" y="21454"/>
                <wp:lineTo x="20282" y="21016"/>
                <wp:lineTo x="21317" y="19265"/>
                <wp:lineTo x="21317" y="1751"/>
                <wp:lineTo x="20075" y="438"/>
                <wp:lineTo x="18834" y="0"/>
                <wp:lineTo x="2691" y="0"/>
              </wp:wrapPolygon>
            </wp:wrapThrough>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88185" cy="2819400"/>
                    </a:xfrm>
                    <a:prstGeom prst="rect">
                      <a:avLst/>
                    </a:prstGeom>
                    <a:noFill/>
                  </pic:spPr>
                </pic:pic>
              </a:graphicData>
            </a:graphic>
            <wp14:sizeRelH relativeFrom="page">
              <wp14:pctWidth>0</wp14:pctWidth>
            </wp14:sizeRelH>
            <wp14:sizeRelV relativeFrom="page">
              <wp14:pctHeight>0</wp14:pctHeight>
            </wp14:sizeRelV>
          </wp:anchor>
        </w:drawing>
      </w:r>
      <w:r>
        <w:rPr>
          <w:rFonts w:cs="Times New Roman"/>
          <w:noProof/>
        </w:rPr>
        <w:t>Since 2017, the Commission has been further implementing its Circular Economy action plan</w:t>
      </w:r>
      <w:r>
        <w:rPr>
          <w:rFonts w:cs="Times New Roman"/>
          <w:noProof/>
          <w:vertAlign w:val="superscript"/>
        </w:rPr>
        <w:footnoteReference w:id="7"/>
      </w:r>
      <w:r>
        <w:rPr>
          <w:rFonts w:cs="Times New Roman"/>
          <w:noProof/>
        </w:rPr>
        <w:t>, which included the publication of the EU Strategy for Plastics in a Circular Economy within the 2018 Circular Economy package</w:t>
      </w:r>
      <w:r>
        <w:rPr>
          <w:rStyle w:val="FootnoteReference"/>
          <w:rFonts w:cs="Times New Roman"/>
          <w:noProof/>
        </w:rPr>
        <w:footnoteReference w:id="8"/>
      </w:r>
      <w:r>
        <w:rPr>
          <w:rFonts w:cs="Times New Roman"/>
          <w:noProof/>
        </w:rPr>
        <w:t xml:space="preserve"> and the adoption of the amendments to waste legislation by the co-legislators</w:t>
      </w:r>
      <w:r>
        <w:rPr>
          <w:rFonts w:cs="Times New Roman"/>
          <w:noProof/>
          <w:vertAlign w:val="superscript"/>
        </w:rPr>
        <w:footnoteReference w:id="9"/>
      </w:r>
      <w:r>
        <w:rPr>
          <w:rFonts w:cs="Times New Roman"/>
          <w:noProof/>
        </w:rPr>
        <w:t>. The Commission also adopted a Monitoring Framework for the circular economy</w:t>
      </w:r>
      <w:r>
        <w:rPr>
          <w:rStyle w:val="FootnoteReference"/>
          <w:rFonts w:cs="Times New Roman"/>
          <w:noProof/>
        </w:rPr>
        <w:footnoteReference w:id="10"/>
      </w:r>
      <w:r>
        <w:rPr>
          <w:rFonts w:cs="Times New Roman"/>
          <w:noProof/>
        </w:rPr>
        <w:t>, a new tool that will allow policy makers to identify good practices and prioritise areas where further action is needed. A new communication on sustainable bio-economy for Europe</w:t>
      </w:r>
      <w:r>
        <w:rPr>
          <w:rStyle w:val="FootnoteReference"/>
          <w:rFonts w:cs="Times New Roman"/>
          <w:noProof/>
        </w:rPr>
        <w:footnoteReference w:id="11"/>
      </w:r>
      <w:r>
        <w:rPr>
          <w:rFonts w:cs="Times New Roman"/>
          <w:noProof/>
        </w:rPr>
        <w:t xml:space="preserve"> was released in October 2018, aimed at strengthening connections between economy, society and the environment. The 2018 proposal to reduce the impact of certain plastics on the environment</w:t>
      </w:r>
      <w:r>
        <w:rPr>
          <w:rStyle w:val="FootnoteReference"/>
          <w:rFonts w:cs="Times New Roman"/>
          <w:noProof/>
        </w:rPr>
        <w:footnoteReference w:id="12"/>
      </w:r>
      <w:r>
        <w:rPr>
          <w:rFonts w:cs="Times New Roman"/>
          <w:noProof/>
        </w:rPr>
        <w:t xml:space="preserve"> further illustrates the combined efforts in the EU to tackle more effectively environmental problems linked to the design, production and disposal of plastics; its implementation will be assessed in the following Environmental Implementation Review cycles. </w:t>
      </w:r>
    </w:p>
    <w:p>
      <w:pPr>
        <w:rPr>
          <w:rFonts w:cs="Times New Roman"/>
          <w:noProof/>
        </w:rPr>
      </w:pPr>
      <w:r>
        <w:rPr>
          <w:rFonts w:cs="Times New Roman"/>
          <w:noProof/>
        </w:rPr>
        <w:t>In addition, the Commission has recently proposed various requirements that will contribute to extending the lifetime of products</w:t>
      </w:r>
      <w:r>
        <w:rPr>
          <w:rStyle w:val="FootnoteReference"/>
          <w:rFonts w:cs="Times New Roman"/>
          <w:noProof/>
        </w:rPr>
        <w:footnoteReference w:id="13"/>
      </w:r>
      <w:r>
        <w:rPr>
          <w:rFonts w:cs="Times New Roman"/>
          <w:noProof/>
        </w:rPr>
        <w:t>. Consumer protection authorities are increasingly focusing on the issue of premature obsolescence of products. The Commission will further monitor these developments in the framework of the Consumer Protection Cooperation</w:t>
      </w:r>
      <w:r>
        <w:rPr>
          <w:rStyle w:val="FootnoteReference"/>
          <w:rFonts w:cs="Times New Roman"/>
          <w:noProof/>
        </w:rPr>
        <w:footnoteReference w:id="14"/>
      </w:r>
      <w:r>
        <w:rPr>
          <w:rFonts w:cs="Times New Roman"/>
          <w:noProof/>
        </w:rPr>
        <w:t xml:space="preserve">. </w:t>
      </w:r>
    </w:p>
    <w:p>
      <w:pPr>
        <w:rPr>
          <w:rFonts w:cs="Times New Roman"/>
          <w:noProof/>
        </w:rPr>
      </w:pPr>
      <w:r>
        <w:rPr>
          <w:rFonts w:cs="Times New Roman"/>
          <w:noProof/>
        </w:rPr>
        <w:t>In terms of progress, there has been some improvement in meeting EU requirements on waste management. At EU level, recycling rates have increased from 43.7 % in 2014 to 46.4 % in 2017 and the volume of landfilled municipal waste has decreased by 20.6 % between 2013 and 2017</w:t>
      </w:r>
      <w:r>
        <w:rPr>
          <w:rFonts w:cs="Times New Roman"/>
          <w:noProof/>
          <w:vertAlign w:val="superscript"/>
        </w:rPr>
        <w:footnoteReference w:id="15"/>
      </w:r>
      <w:r>
        <w:rPr>
          <w:rFonts w:cs="Times New Roman"/>
          <w:noProof/>
        </w:rPr>
        <w:t>. However, the situation varies considerably among Member States. Waste treatment obligations are still not fully met, with large divergences of performance within the EU.</w:t>
      </w:r>
    </w:p>
    <w:p>
      <w:pPr>
        <w:rPr>
          <w:rFonts w:cs="Times New Roman"/>
          <w:noProof/>
        </w:rPr>
      </w:pPr>
      <w:r>
        <w:rPr>
          <w:rFonts w:cs="Times New Roman"/>
          <w:noProof/>
        </w:rPr>
        <w:t>For the countries at risk of not meeting their 2020 preparation for re-use/recycling targets for municipal waste, the Commission has presented early warning reports</w:t>
      </w:r>
      <w:r>
        <w:rPr>
          <w:rStyle w:val="FootnoteReference"/>
          <w:rFonts w:cs="Times New Roman"/>
          <w:noProof/>
        </w:rPr>
        <w:footnoteReference w:id="16"/>
      </w:r>
      <w:r>
        <w:rPr>
          <w:rFonts w:cs="Times New Roman"/>
          <w:noProof/>
        </w:rPr>
        <w:t xml:space="preserve"> with blueprints for action to catch up with the EU waste legislation. </w:t>
      </w:r>
    </w:p>
    <w:p>
      <w:pPr>
        <w:rPr>
          <w:rFonts w:cs="Times New Roman"/>
          <w:noProof/>
        </w:rPr>
      </w:pPr>
    </w:p>
    <w:p>
      <w:pPr>
        <w:spacing w:after="200" w:line="276" w:lineRule="auto"/>
        <w:rPr>
          <w:rFonts w:cs="Times New Roman"/>
          <w:i/>
          <w:iCs/>
          <w:noProof/>
        </w:rPr>
      </w:pPr>
      <w:r>
        <w:rPr>
          <w:rFonts w:cs="Times New Roman"/>
          <w:i/>
          <w:iCs/>
          <w:noProof/>
        </w:rPr>
        <w:t>Policy findings</w:t>
      </w:r>
    </w:p>
    <w:p>
      <w:pPr>
        <w:numPr>
          <w:ilvl w:val="0"/>
          <w:numId w:val="3"/>
        </w:numPr>
        <w:spacing w:after="200" w:line="240" w:lineRule="auto"/>
        <w:rPr>
          <w:rFonts w:cs="Times New Roman"/>
          <w:i/>
          <w:iCs/>
          <w:noProof/>
        </w:rPr>
      </w:pPr>
      <w:r>
        <w:rPr>
          <w:rFonts w:cs="Times New Roman"/>
          <w:i/>
          <w:iCs/>
          <w:noProof/>
        </w:rPr>
        <w:t>Overall, the policy framework for circular economy has been strengthened since 2017. However, several Member States</w:t>
      </w:r>
      <w:r>
        <w:rPr>
          <w:rStyle w:val="FootnoteReference"/>
          <w:rFonts w:cs="Times New Roman"/>
          <w:i/>
          <w:iCs/>
          <w:noProof/>
        </w:rPr>
        <w:footnoteReference w:id="17"/>
      </w:r>
      <w:r>
        <w:rPr>
          <w:rFonts w:cs="Times New Roman"/>
          <w:i/>
          <w:iCs/>
          <w:noProof/>
        </w:rPr>
        <w:t xml:space="preserve"> should better implement circular economy principles in different areas, for instance concerning water and energy savings, waste prevention, the recycling of materials, the promotion of reuse and repair, and the uptake of secondary raw materials.</w:t>
      </w:r>
    </w:p>
    <w:p>
      <w:pPr>
        <w:numPr>
          <w:ilvl w:val="0"/>
          <w:numId w:val="3"/>
        </w:numPr>
        <w:spacing w:after="200" w:line="240" w:lineRule="auto"/>
        <w:rPr>
          <w:rFonts w:cs="Times New Roman"/>
          <w:b/>
          <w:bCs/>
          <w:i/>
          <w:iCs/>
          <w:noProof/>
        </w:rPr>
      </w:pPr>
      <w:r>
        <w:rPr>
          <w:rFonts w:cs="Times New Roman"/>
          <w:i/>
          <w:iCs/>
          <w:noProof/>
        </w:rPr>
        <w:t>Some Member States</w:t>
      </w:r>
      <w:r>
        <w:rPr>
          <w:rStyle w:val="FootnoteReference"/>
          <w:rFonts w:cs="Times New Roman"/>
          <w:i/>
          <w:iCs/>
          <w:noProof/>
        </w:rPr>
        <w:footnoteReference w:id="18"/>
      </w:r>
      <w:r>
        <w:rPr>
          <w:rFonts w:cs="Times New Roman"/>
          <w:i/>
          <w:iCs/>
          <w:noProof/>
        </w:rPr>
        <w:t xml:space="preserve"> should further incentivise resource efficiency measures; improve their eco-innovation performance; increase awareness and foster the uptake of voluntary instruments such as the EU Ecolabel and Eco-Management and Audit Schemes; increase recycling and circular measures in the SME sector; and/or facilitate green investments and ease the access to funding. </w:t>
      </w:r>
    </w:p>
    <w:p>
      <w:pPr>
        <w:numPr>
          <w:ilvl w:val="0"/>
          <w:numId w:val="3"/>
        </w:numPr>
        <w:spacing w:line="240" w:lineRule="auto"/>
        <w:ind w:left="357" w:hanging="357"/>
        <w:rPr>
          <w:rFonts w:cs="Times New Roman"/>
          <w:i/>
          <w:iCs/>
          <w:noProof/>
        </w:rPr>
      </w:pPr>
      <w:r>
        <w:rPr>
          <w:rFonts w:cs="Times New Roman"/>
          <w:i/>
          <w:iCs/>
          <w:noProof/>
        </w:rPr>
        <w:t>Waste prevention remains an important challenge in all Member States, including those with high recycling rates. Six Member States produce at least twice as much municipal waste per inhabitant than the Member State with the lowest waste generation</w:t>
      </w:r>
      <w:r>
        <w:rPr>
          <w:rStyle w:val="FootnoteReference"/>
          <w:rFonts w:cs="Times New Roman"/>
          <w:i/>
          <w:iCs/>
          <w:noProof/>
        </w:rPr>
        <w:footnoteReference w:id="19"/>
      </w:r>
      <w:r>
        <w:rPr>
          <w:rFonts w:cs="Times New Roman"/>
          <w:i/>
          <w:iCs/>
          <w:noProof/>
        </w:rPr>
        <w:t>. In addition, the average generation of municipal waste in the EU has increased since 2014: only nine Member States reduced their generation per capita between 2014 and 2016</w:t>
      </w:r>
      <w:r>
        <w:rPr>
          <w:rStyle w:val="FootnoteReference"/>
          <w:rFonts w:cs="Times New Roman"/>
          <w:i/>
          <w:iCs/>
          <w:noProof/>
        </w:rPr>
        <w:footnoteReference w:id="20"/>
      </w:r>
      <w:r>
        <w:rPr>
          <w:rFonts w:cs="Times New Roman"/>
          <w:i/>
          <w:iCs/>
          <w:noProof/>
        </w:rPr>
        <w:t>.</w:t>
      </w:r>
    </w:p>
    <w:p>
      <w:pPr>
        <w:numPr>
          <w:ilvl w:val="0"/>
          <w:numId w:val="3"/>
        </w:numPr>
        <w:spacing w:line="240" w:lineRule="auto"/>
        <w:ind w:left="357" w:hanging="357"/>
        <w:rPr>
          <w:rFonts w:cs="Times New Roman"/>
          <w:i/>
          <w:iCs/>
          <w:noProof/>
        </w:rPr>
      </w:pPr>
      <w:r>
        <w:rPr>
          <w:rFonts w:cs="Times New Roman"/>
          <w:i/>
          <w:iCs/>
          <w:noProof/>
        </w:rPr>
        <w:t>According to data reported to the Commission, only a few Member States have already reached the municipal waste recycling target of 50% by 2020</w:t>
      </w:r>
      <w:r>
        <w:rPr>
          <w:rStyle w:val="FootnoteReference"/>
          <w:rFonts w:cs="Times New Roman"/>
          <w:i/>
          <w:iCs/>
          <w:noProof/>
        </w:rPr>
        <w:footnoteReference w:id="21"/>
      </w:r>
      <w:r>
        <w:rPr>
          <w:rFonts w:cs="Times New Roman"/>
          <w:i/>
          <w:iCs/>
          <w:noProof/>
        </w:rPr>
        <w:t>, while several Member States have been identified as at risk of missing it</w:t>
      </w:r>
      <w:r>
        <w:rPr>
          <w:rFonts w:cs="Times New Roman"/>
          <w:i/>
          <w:iCs/>
          <w:noProof/>
          <w:vertAlign w:val="superscript"/>
        </w:rPr>
        <w:footnoteReference w:id="22"/>
      </w:r>
      <w:r>
        <w:rPr>
          <w:rFonts w:cs="Times New Roman"/>
          <w:i/>
          <w:iCs/>
          <w:noProof/>
        </w:rPr>
        <w:t>. There is scope for the introduction or improvement of policies, including economic instruments (e.g. landfill taxes, Extended Producer Responsibility, Pay as You Throw schemes), to further implement the waste hierarchy and make reuse and recycling more economically attractive.</w:t>
      </w:r>
    </w:p>
    <w:tbl>
      <w:tblPr>
        <w:tblStyle w:val="TableGrid"/>
        <w:tblpPr w:leftFromText="180" w:rightFromText="180" w:vertAnchor="text" w:horzAnchor="margin" w:tblpY="1935"/>
        <w:tblW w:w="0" w:type="auto"/>
        <w:tblLook w:val="04A0" w:firstRow="1" w:lastRow="0" w:firstColumn="1" w:lastColumn="0" w:noHBand="0" w:noVBand="1"/>
      </w:tblPr>
      <w:tblGrid>
        <w:gridCol w:w="9242"/>
      </w:tblGrid>
      <w:tr>
        <w:tc>
          <w:tcPr>
            <w:tcW w:w="9242" w:type="dxa"/>
            <w:shd w:val="clear" w:color="auto" w:fill="EAF1DD" w:themeFill="accent3" w:themeFillTint="33"/>
          </w:tcPr>
          <w:p>
            <w:pPr>
              <w:spacing w:after="200" w:line="240" w:lineRule="auto"/>
              <w:jc w:val="left"/>
              <w:rPr>
                <w:rFonts w:cs="Times New Roman"/>
                <w:noProof/>
              </w:rPr>
            </w:pPr>
            <w:r>
              <w:rPr>
                <w:rFonts w:cs="Times New Roman"/>
                <w:b/>
                <w:bCs/>
                <w:noProof/>
              </w:rPr>
              <w:t xml:space="preserve">Successful practices: </w:t>
            </w:r>
          </w:p>
          <w:p>
            <w:pPr>
              <w:rPr>
                <w:rFonts w:eastAsia="Calibri" w:cs="Times New Roman"/>
                <w:noProof/>
              </w:rPr>
            </w:pPr>
            <w:r>
              <w:rPr>
                <w:rFonts w:cs="Times New Roman"/>
                <w:b/>
                <w:bCs/>
                <w:noProof/>
              </w:rPr>
              <w:t>Slovenia</w:t>
            </w:r>
            <w:r>
              <w:rPr>
                <w:rFonts w:cs="Times New Roman"/>
                <w:noProof/>
              </w:rPr>
              <w:t xml:space="preserve"> illustrates that circular economy policies and improved waste management can be done in short time-frames. A comprehensive strategy on circularity has stimulated separate collection and recycling, with the help of EU funds.</w:t>
            </w:r>
            <w:r>
              <w:rPr>
                <w:rFonts w:eastAsia="Calibri" w:cs="Times New Roman"/>
                <w:noProof/>
              </w:rPr>
              <w:t xml:space="preserve"> </w:t>
            </w:r>
          </w:p>
          <w:p>
            <w:pPr>
              <w:spacing w:after="200" w:line="240" w:lineRule="auto"/>
              <w:rPr>
                <w:rFonts w:cs="Times New Roman"/>
                <w:noProof/>
              </w:rPr>
            </w:pPr>
            <w:r>
              <w:rPr>
                <w:rFonts w:eastAsia="Calibri" w:cs="Times New Roman"/>
                <w:b/>
                <w:bCs/>
                <w:noProof/>
              </w:rPr>
              <w:t xml:space="preserve">Denmark </w:t>
            </w:r>
            <w:r>
              <w:rPr>
                <w:rFonts w:cs="Times New Roman"/>
                <w:noProof/>
              </w:rPr>
              <w:t>provides a good example of open cooperation along value chains and innovation to promote the circular economy. The percentage of SMEs offering green products or services is significantly higher than the EU-average.</w:t>
            </w:r>
          </w:p>
          <w:p>
            <w:pPr>
              <w:spacing w:after="200" w:line="240" w:lineRule="auto"/>
              <w:rPr>
                <w:rFonts w:cs="Times New Roman"/>
                <w:noProof/>
              </w:rPr>
            </w:pPr>
            <w:r>
              <w:rPr>
                <w:rFonts w:cs="Times New Roman"/>
                <w:b/>
                <w:bCs/>
                <w:noProof/>
              </w:rPr>
              <w:t>France</w:t>
            </w:r>
            <w:r>
              <w:rPr>
                <w:rFonts w:cs="Times New Roman"/>
                <w:noProof/>
              </w:rPr>
              <w:t xml:space="preserve"> adopted an ambitious roadmap for circular economy</w:t>
            </w:r>
            <w:r>
              <w:rPr>
                <w:rStyle w:val="FootnoteReference"/>
                <w:rFonts w:cs="Times New Roman"/>
                <w:noProof/>
              </w:rPr>
              <w:footnoteReference w:id="23"/>
            </w:r>
            <w:r>
              <w:rPr>
                <w:rFonts w:cs="Times New Roman"/>
                <w:noProof/>
              </w:rPr>
              <w:t xml:space="preserve"> in 2018, with actions aiming to reduce resource use by 30 % by 2030. It introduced an ambitious target of 100 % recycling for plastics by 2025, with an estimation of creating 300 000 new green jobs. </w:t>
            </w:r>
          </w:p>
        </w:tc>
      </w:tr>
    </w:tbl>
    <w:p>
      <w:pPr>
        <w:numPr>
          <w:ilvl w:val="0"/>
          <w:numId w:val="3"/>
        </w:numPr>
        <w:spacing w:line="240" w:lineRule="auto"/>
        <w:ind w:left="357" w:hanging="357"/>
        <w:rPr>
          <w:rFonts w:cs="Times New Roman"/>
          <w:noProof/>
        </w:rPr>
      </w:pPr>
      <w:r>
        <w:rPr>
          <w:rFonts w:cs="Times New Roman"/>
          <w:i/>
          <w:iCs/>
          <w:noProof/>
        </w:rPr>
        <w:t>Many Member States</w:t>
      </w:r>
      <w:r>
        <w:rPr>
          <w:rStyle w:val="FootnoteReference"/>
          <w:rFonts w:cs="Times New Roman"/>
          <w:i/>
          <w:iCs/>
          <w:noProof/>
        </w:rPr>
        <w:footnoteReference w:id="24"/>
      </w:r>
      <w:r>
        <w:rPr>
          <w:rFonts w:cs="Times New Roman"/>
          <w:i/>
          <w:iCs/>
          <w:noProof/>
        </w:rPr>
        <w:t xml:space="preserve"> need to increase the effectiveness of separate waste collection, which is a prerequisite for improving recycling as regards quantity and/or quality. Another issue is the incineration or landfilling of recyclable waste. Nearly all Member States are encouraged to implement new measures aiming at shifting reusable and recyclable waste away from incineration and landfilling, and to improve and extend their separate collection systems.</w:t>
      </w:r>
      <w:r>
        <w:rPr>
          <w:rFonts w:cs="Times New Roman"/>
          <w:noProof/>
        </w:rPr>
        <w:t xml:space="preserve"> </w:t>
      </w:r>
      <w:r>
        <w:rPr>
          <w:rFonts w:cs="Times New Roman"/>
          <w:i/>
          <w:iCs/>
          <w:noProof/>
        </w:rPr>
        <w:t>The number of landfills not in line with the requirements of the Landfill Directive</w:t>
      </w:r>
      <w:r>
        <w:rPr>
          <w:rStyle w:val="FootnoteReference"/>
          <w:rFonts w:cs="Times New Roman"/>
          <w:i/>
          <w:iCs/>
          <w:noProof/>
        </w:rPr>
        <w:footnoteReference w:id="25"/>
      </w:r>
      <w:r>
        <w:rPr>
          <w:rFonts w:cs="Times New Roman"/>
          <w:i/>
          <w:iCs/>
          <w:noProof/>
        </w:rPr>
        <w:t xml:space="preserve"> remains a matter of concern. </w:t>
      </w:r>
    </w:p>
    <w:p>
      <w:pPr>
        <w:pStyle w:val="ListParagraph"/>
        <w:numPr>
          <w:ilvl w:val="1"/>
          <w:numId w:val="5"/>
        </w:numPr>
        <w:spacing w:before="240" w:line="240" w:lineRule="auto"/>
        <w:rPr>
          <w:rFonts w:cs="Times New Roman"/>
          <w:b/>
          <w:bCs/>
          <w:noProof/>
          <w:sz w:val="24"/>
          <w:szCs w:val="24"/>
        </w:rPr>
      </w:pPr>
      <w:r>
        <w:rPr>
          <w:rFonts w:cs="Times New Roman"/>
          <w:b/>
          <w:bCs/>
          <w:noProof/>
          <w:sz w:val="24"/>
          <w:szCs w:val="24"/>
        </w:rPr>
        <w:t>Climate change and the environment</w:t>
      </w:r>
    </w:p>
    <w:p>
      <w:pPr>
        <w:spacing w:before="240" w:line="240" w:lineRule="auto"/>
        <w:rPr>
          <w:rFonts w:cs="Times New Roman"/>
          <w:noProof/>
        </w:rPr>
      </w:pPr>
      <w:r>
        <w:rPr>
          <w:rFonts w:cs="Times New Roman"/>
          <w:noProof/>
        </w:rPr>
        <w:t>Many ecosystems, and some of the services they provide, have already changed due to global warming</w:t>
      </w:r>
      <w:r>
        <w:rPr>
          <w:rStyle w:val="FootnoteReference"/>
          <w:rFonts w:cs="Times New Roman"/>
          <w:noProof/>
        </w:rPr>
        <w:footnoteReference w:id="26"/>
      </w:r>
      <w:r>
        <w:rPr>
          <w:rFonts w:cs="Times New Roman"/>
          <w:noProof/>
        </w:rPr>
        <w:t xml:space="preserve"> and are at further risk because of changing climatic conditions.</w:t>
      </w:r>
    </w:p>
    <w:p>
      <w:pPr>
        <w:spacing w:line="240" w:lineRule="auto"/>
        <w:rPr>
          <w:rFonts w:cs="Times New Roman"/>
          <w:noProof/>
        </w:rPr>
      </w:pPr>
      <w:r>
        <w:rPr>
          <w:rFonts w:cs="Times New Roman"/>
          <w:noProof/>
        </w:rPr>
        <w:t>Climate action is essential to address many environmental challenges such as air pollution, biodiversity, water or invasive species, among others. Conversely, taking action in many environmental areas can have a direct benefit on the climate; inter alia, on agriculture and land use, waste or air pollution. The Commission’s strategic long-term vision for a prosperous, modern, competitive and climate neutral economy</w:t>
      </w:r>
      <w:r>
        <w:rPr>
          <w:rStyle w:val="FootnoteReference"/>
          <w:rFonts w:cs="Times New Roman"/>
          <w:noProof/>
        </w:rPr>
        <w:footnoteReference w:id="27"/>
      </w:r>
      <w:r>
        <w:rPr>
          <w:rFonts w:cs="Times New Roman"/>
          <w:noProof/>
        </w:rPr>
        <w:t xml:space="preserve"> confirms Europe's commitment to lead the global climate action and presents a vision that can lead to achieving net-zero greenhouse gas emissions by 2050.</w:t>
      </w:r>
    </w:p>
    <w:p>
      <w:pPr>
        <w:rPr>
          <w:rFonts w:cs="Times New Roman"/>
          <w:noProof/>
        </w:rPr>
      </w:pPr>
      <w:r>
        <w:rPr>
          <w:rFonts w:cs="Times New Roman"/>
          <w:noProof/>
        </w:rPr>
        <w:t>In 2018, the EU adopted legislation aiming to reduce its greenhouse gas emissions by at least 40 % by 2030, as compared to 1990</w:t>
      </w:r>
      <w:r>
        <w:rPr>
          <w:rStyle w:val="FootnoteReference"/>
          <w:rFonts w:cs="Times New Roman"/>
          <w:noProof/>
        </w:rPr>
        <w:footnoteReference w:id="28"/>
      </w:r>
      <w:r>
        <w:rPr>
          <w:rFonts w:cs="Times New Roman"/>
          <w:noProof/>
        </w:rPr>
        <w:t xml:space="preserve">. For the first time, the EU’s framework covers both emissions and removals from land. It has also raised the level of ambition on renewable energy and energy efficiency. When the agreed EU legislation is fully implemented, the cut to EU emissions is estimated to reach around 45 % by 2030. </w:t>
      </w:r>
    </w:p>
    <w:p>
      <w:pPr>
        <w:spacing w:line="240" w:lineRule="auto"/>
        <w:rPr>
          <w:rFonts w:cs="Times New Roman"/>
          <w:noProof/>
        </w:rPr>
      </w:pPr>
      <w:r>
        <w:rPr>
          <w:rFonts w:cs="Times New Roman"/>
          <w:noProof/>
        </w:rPr>
        <w:t xml:space="preserve">By the end of 2018, Member States had to submit their draft national energy and climate plans, work on their draft national air pollution control programmes and on their plans for accounting of greenhouse gas emissions and removals from land use, land use change and forestry. These plans should increase consistency between climate, air and energy policies and could therefore become good examples of how to link sector-specific policies, such as agriculture-nature-water and transport-air-health, to address common challenges. </w:t>
      </w:r>
    </w:p>
    <w:p>
      <w:pPr>
        <w:rPr>
          <w:rFonts w:cs="Times New Roman"/>
          <w:noProof/>
        </w:rPr>
      </w:pPr>
      <w:r>
        <w:rPr>
          <w:rFonts w:cs="Times New Roman"/>
          <w:noProof/>
        </w:rPr>
        <w:t>The Commission’s approach to climate change adaptation aims to contribute to a more climate-resilient Europe through better preparation and a stronger capacity to respond to the impacts of climate change at local, regional, national and EU levels. The Commission has evaluated</w:t>
      </w:r>
      <w:r>
        <w:rPr>
          <w:rFonts w:cs="Times New Roman"/>
          <w:noProof/>
          <w:vertAlign w:val="superscript"/>
        </w:rPr>
        <w:t xml:space="preserve"> </w:t>
      </w:r>
      <w:r>
        <w:rPr>
          <w:rFonts w:cs="Times New Roman"/>
          <w:noProof/>
        </w:rPr>
        <w:t>the 2013 EU adaptation strategy suggesting areas where more work needs to be done to prepare vulnerable regions and sectors</w:t>
      </w:r>
      <w:r>
        <w:rPr>
          <w:rStyle w:val="FootnoteReference"/>
          <w:rFonts w:cs="Times New Roman"/>
          <w:noProof/>
        </w:rPr>
        <w:footnoteReference w:id="29"/>
      </w:r>
      <w:r>
        <w:rPr>
          <w:rFonts w:cs="Times New Roman"/>
          <w:noProof/>
        </w:rPr>
        <w:t>. Synergies are needed between adaptation, sustainable development and disaster risk reduction efforts to avoid future damage.</w:t>
      </w:r>
    </w:p>
    <w:p>
      <w:pPr>
        <w:rPr>
          <w:rFonts w:cs="Times New Roman"/>
          <w:noProof/>
        </w:rPr>
      </w:pPr>
      <w:r>
        <w:rPr>
          <w:rFonts w:cs="Times New Roman"/>
          <w:noProof/>
        </w:rPr>
        <w:t>Overall, Member States have made good progress in developing a National adaptation strategy and/or a National adaptation plan. This progress suggests that there is a significantly higher baseline of preparation and adaptation policy-making than in 2013. Adaptation goals are to be included also in the national energy and climate plans under the energy union governance framework</w:t>
      </w:r>
      <w:r>
        <w:rPr>
          <w:rStyle w:val="FootnoteReference"/>
          <w:rFonts w:cs="Times New Roman"/>
          <w:noProof/>
        </w:rPr>
        <w:footnoteReference w:id="30"/>
      </w:r>
      <w:r>
        <w:rPr>
          <w:rFonts w:cs="Times New Roman"/>
          <w:noProof/>
        </w:rPr>
        <w:t>.</w:t>
      </w:r>
    </w:p>
    <w:p>
      <w:pPr>
        <w:spacing w:after="200" w:line="240" w:lineRule="auto"/>
        <w:jc w:val="left"/>
        <w:rPr>
          <w:rFonts w:cs="Times New Roman"/>
          <w:i/>
          <w:iCs/>
          <w:noProof/>
        </w:rPr>
      </w:pPr>
      <w:r>
        <w:rPr>
          <w:rFonts w:cs="Times New Roman"/>
          <w:i/>
          <w:iCs/>
          <w:noProof/>
        </w:rPr>
        <w:t>Policy findings:</w:t>
      </w:r>
    </w:p>
    <w:p>
      <w:pPr>
        <w:numPr>
          <w:ilvl w:val="0"/>
          <w:numId w:val="3"/>
        </w:numPr>
        <w:spacing w:line="240" w:lineRule="auto"/>
        <w:ind w:left="357" w:hanging="357"/>
        <w:rPr>
          <w:rFonts w:cs="Times New Roman"/>
          <w:i/>
          <w:iCs/>
          <w:noProof/>
        </w:rPr>
      </w:pPr>
      <w:r>
        <w:rPr>
          <w:rFonts w:cs="Times New Roman"/>
          <w:i/>
          <w:iCs/>
          <w:noProof/>
        </w:rPr>
        <w:t xml:space="preserve">Overall, there is a good level of implementation of climate legislation throughout the EU and the 2020 targets are thereby likely to be met. </w:t>
      </w:r>
    </w:p>
    <w:p>
      <w:pPr>
        <w:numPr>
          <w:ilvl w:val="0"/>
          <w:numId w:val="3"/>
        </w:numPr>
        <w:spacing w:line="240" w:lineRule="auto"/>
        <w:ind w:left="357" w:hanging="357"/>
        <w:rPr>
          <w:rFonts w:cs="Times New Roman"/>
          <w:i/>
          <w:iCs/>
          <w:noProof/>
        </w:rPr>
      </w:pPr>
      <w:r>
        <w:rPr>
          <w:rFonts w:cs="Times New Roman"/>
          <w:i/>
          <w:iCs/>
          <w:noProof/>
        </w:rPr>
        <w:t>All Member States complied with their obligations under the Effort Sharing Decision in 2013-2015. Some Member States</w:t>
      </w:r>
      <w:r>
        <w:rPr>
          <w:rStyle w:val="FootnoteReference"/>
          <w:rFonts w:cs="Times New Roman"/>
          <w:i/>
          <w:iCs/>
          <w:noProof/>
        </w:rPr>
        <w:footnoteReference w:id="31"/>
      </w:r>
      <w:r>
        <w:rPr>
          <w:rFonts w:cs="Times New Roman"/>
          <w:i/>
          <w:iCs/>
          <w:noProof/>
        </w:rPr>
        <w:t xml:space="preserve"> need to mobilise the flexibility mechanisms foreseen in the legislation to comply with their current obligations. </w:t>
      </w:r>
    </w:p>
    <w:p>
      <w:pPr>
        <w:numPr>
          <w:ilvl w:val="0"/>
          <w:numId w:val="3"/>
        </w:numPr>
        <w:spacing w:line="240" w:lineRule="auto"/>
        <w:ind w:left="357" w:hanging="357"/>
        <w:rPr>
          <w:rFonts w:cs="Times New Roman"/>
          <w:i/>
          <w:iCs/>
          <w:noProof/>
        </w:rPr>
      </w:pPr>
      <w:r>
        <w:rPr>
          <w:rFonts w:cs="Times New Roman"/>
          <w:i/>
          <w:iCs/>
          <w:noProof/>
        </w:rPr>
        <w:t xml:space="preserve">The EU ETS has a very high compliance rate, as each year installations cover around 99% of their emissions with the required number of allowances. </w:t>
      </w:r>
    </w:p>
    <w:p>
      <w:pPr>
        <w:numPr>
          <w:ilvl w:val="0"/>
          <w:numId w:val="3"/>
        </w:numPr>
        <w:spacing w:line="240" w:lineRule="auto"/>
        <w:ind w:left="357" w:hanging="357"/>
        <w:rPr>
          <w:rFonts w:cs="Times New Roman"/>
          <w:noProof/>
        </w:rPr>
      </w:pPr>
      <w:r>
        <w:rPr>
          <w:rFonts w:cs="Times New Roman"/>
          <w:i/>
          <w:iCs/>
          <w:noProof/>
        </w:rPr>
        <w:t>As of October 2018, twenty-five Member States</w:t>
      </w:r>
      <w:r>
        <w:rPr>
          <w:rStyle w:val="FootnoteReference"/>
          <w:rFonts w:cs="Times New Roman"/>
          <w:i/>
          <w:iCs/>
          <w:noProof/>
        </w:rPr>
        <w:footnoteReference w:id="32"/>
      </w:r>
      <w:r>
        <w:rPr>
          <w:rFonts w:cs="Times New Roman"/>
          <w:i/>
          <w:iCs/>
          <w:noProof/>
        </w:rPr>
        <w:t xml:space="preserve"> have already developed National Adaptation Strategies </w:t>
      </w:r>
      <w:r>
        <w:rPr>
          <w:rFonts w:eastAsia="Times New Roman" w:cs="Times New Roman"/>
          <w:i/>
          <w:iCs/>
          <w:noProof/>
        </w:rPr>
        <w:t>with continued efforts undertaken in the remaining three to finalise theirs.</w:t>
      </w:r>
    </w:p>
    <w:p>
      <w:pPr>
        <w:numPr>
          <w:ilvl w:val="0"/>
          <w:numId w:val="3"/>
        </w:numPr>
        <w:spacing w:line="240" w:lineRule="auto"/>
        <w:rPr>
          <w:rFonts w:cs="Times New Roman"/>
          <w:noProof/>
        </w:rPr>
      </w:pPr>
      <w:r>
        <w:rPr>
          <w:rFonts w:cs="Times New Roman"/>
          <w:i/>
          <w:iCs/>
          <w:noProof/>
        </w:rPr>
        <w:t>Adaptation efforts in each Member State and at EU level need to be intensified, as appropriate action to prevent and/or minimise damage that can be caused by climate change carries significant economic and social benefits.</w:t>
      </w:r>
    </w:p>
    <w:tbl>
      <w:tblPr>
        <w:tblStyle w:val="TableGrid"/>
        <w:tblpPr w:leftFromText="180" w:rightFromText="180" w:vertAnchor="text" w:horzAnchor="margin" w:tblpY="273"/>
        <w:tblOverlap w:val="never"/>
        <w:tblW w:w="9242" w:type="dxa"/>
        <w:shd w:val="clear" w:color="auto" w:fill="D6E3BC" w:themeFill="accent3" w:themeFillTint="66"/>
        <w:tblLook w:val="04A0" w:firstRow="1" w:lastRow="0" w:firstColumn="1" w:lastColumn="0" w:noHBand="0" w:noVBand="1"/>
      </w:tblPr>
      <w:tblGrid>
        <w:gridCol w:w="9242"/>
      </w:tblGrid>
      <w:tr>
        <w:tc>
          <w:tcPr>
            <w:tcW w:w="9242" w:type="dxa"/>
            <w:shd w:val="clear" w:color="auto" w:fill="EAF1DD" w:themeFill="accent3" w:themeFillTint="33"/>
          </w:tcPr>
          <w:p>
            <w:pPr>
              <w:spacing w:after="200" w:line="240" w:lineRule="auto"/>
              <w:jc w:val="left"/>
              <w:rPr>
                <w:rFonts w:cs="Times New Roman"/>
                <w:b/>
                <w:bCs/>
                <w:noProof/>
              </w:rPr>
            </w:pPr>
            <w:r>
              <w:rPr>
                <w:rFonts w:cs="Times New Roman"/>
                <w:b/>
                <w:bCs/>
                <w:noProof/>
              </w:rPr>
              <w:t>Successful practices:</w:t>
            </w:r>
          </w:p>
          <w:p>
            <w:pPr>
              <w:spacing w:after="200" w:line="240" w:lineRule="auto"/>
              <w:rPr>
                <w:rFonts w:cs="Times New Roman"/>
                <w:noProof/>
              </w:rPr>
            </w:pPr>
            <w:r>
              <w:rPr>
                <w:rFonts w:cs="Times New Roman"/>
                <w:noProof/>
              </w:rPr>
              <w:t xml:space="preserve">Under the Effort Sharing Decision, </w:t>
            </w:r>
            <w:r>
              <w:rPr>
                <w:rFonts w:cs="Times New Roman"/>
                <w:b/>
                <w:bCs/>
                <w:noProof/>
              </w:rPr>
              <w:t xml:space="preserve">Sweden </w:t>
            </w:r>
            <w:r>
              <w:rPr>
                <w:rFonts w:cs="Times New Roman"/>
                <w:noProof/>
              </w:rPr>
              <w:t xml:space="preserve">did not use its full allocation and cancelled the surplus annual emission allocation to enhance the environmental integrity of the system as a whole. </w:t>
            </w:r>
          </w:p>
          <w:p>
            <w:pPr>
              <w:rPr>
                <w:rFonts w:cs="Times New Roman"/>
                <w:noProof/>
              </w:rPr>
            </w:pPr>
            <w:r>
              <w:rPr>
                <w:rFonts w:cs="Times New Roman"/>
                <w:noProof/>
              </w:rPr>
              <w:t xml:space="preserve">The EU Strategy for the Danube Region puts a special focus on adaptation to extreme weather events and provides an important platform to foster cooperation between </w:t>
            </w:r>
            <w:r>
              <w:rPr>
                <w:rFonts w:cs="Times New Roman"/>
                <w:b/>
                <w:bCs/>
                <w:noProof/>
              </w:rPr>
              <w:t>Austria, Bulgaria, Croatia, the Czech Republic, Germany, Hungary, Romania and Slovakia</w:t>
            </w:r>
            <w:r>
              <w:rPr>
                <w:rFonts w:cs="Times New Roman"/>
                <w:noProof/>
              </w:rPr>
              <w:t xml:space="preserve"> on joint monitoring and flood management</w:t>
            </w:r>
            <w:r>
              <w:rPr>
                <w:rStyle w:val="FootnoteReference"/>
                <w:rFonts w:cs="Times New Roman"/>
                <w:noProof/>
              </w:rPr>
              <w:footnoteReference w:id="33"/>
            </w:r>
            <w:r>
              <w:rPr>
                <w:rFonts w:cs="Times New Roman"/>
                <w:noProof/>
              </w:rPr>
              <w:t xml:space="preserve">. </w:t>
            </w:r>
          </w:p>
          <w:p>
            <w:pPr>
              <w:rPr>
                <w:rFonts w:cs="Times New Roman"/>
                <w:noProof/>
              </w:rPr>
            </w:pPr>
            <w:r>
              <w:rPr>
                <w:rFonts w:cs="Times New Roman"/>
                <w:noProof/>
              </w:rPr>
              <w:t>Furthermore, international conventions on the Alps</w:t>
            </w:r>
            <w:r>
              <w:rPr>
                <w:rStyle w:val="FootnoteReference"/>
                <w:rFonts w:cs="Times New Roman"/>
                <w:noProof/>
              </w:rPr>
              <w:footnoteReference w:id="34"/>
            </w:r>
            <w:r>
              <w:rPr>
                <w:rFonts w:cs="Times New Roman"/>
                <w:noProof/>
              </w:rPr>
              <w:t xml:space="preserve"> and Carpathians</w:t>
            </w:r>
            <w:r>
              <w:rPr>
                <w:rStyle w:val="FootnoteReference"/>
                <w:rFonts w:cs="Times New Roman"/>
                <w:noProof/>
              </w:rPr>
              <w:footnoteReference w:id="35"/>
            </w:r>
            <w:r>
              <w:rPr>
                <w:rFonts w:cs="Times New Roman"/>
                <w:noProof/>
              </w:rPr>
              <w:t xml:space="preserve"> are in place. There is also transboundary cooperation with non-EU Members on biodiversity and adaptation issues in northern Europe. The Fennoscandia Green Belt initiative supports a joint nature conservation cooperation between </w:t>
            </w:r>
            <w:r>
              <w:rPr>
                <w:rFonts w:cs="Times New Roman"/>
                <w:b/>
                <w:bCs/>
                <w:noProof/>
              </w:rPr>
              <w:t>Finland</w:t>
            </w:r>
            <w:r>
              <w:rPr>
                <w:rFonts w:cs="Times New Roman"/>
                <w:noProof/>
              </w:rPr>
              <w:t xml:space="preserve">, Norway and Russia, among other foci on threats to ecosystem services from climate change. </w:t>
            </w:r>
          </w:p>
        </w:tc>
      </w:tr>
    </w:tbl>
    <w:p>
      <w:pPr>
        <w:pStyle w:val="ListParagraph"/>
        <w:spacing w:before="240"/>
        <w:ind w:left="360"/>
        <w:rPr>
          <w:rFonts w:cs="Times New Roman"/>
          <w:b/>
          <w:bCs/>
          <w:noProof/>
          <w:sz w:val="24"/>
          <w:szCs w:val="24"/>
        </w:rPr>
      </w:pPr>
    </w:p>
    <w:p>
      <w:pPr>
        <w:pStyle w:val="ListParagraph"/>
        <w:numPr>
          <w:ilvl w:val="1"/>
          <w:numId w:val="5"/>
        </w:numPr>
        <w:spacing w:before="240"/>
        <w:rPr>
          <w:rFonts w:cs="Times New Roman"/>
          <w:b/>
          <w:bCs/>
          <w:noProof/>
          <w:sz w:val="24"/>
          <w:szCs w:val="24"/>
        </w:rPr>
      </w:pPr>
      <w:r>
        <w:rPr>
          <w:rFonts w:cs="Times New Roman"/>
          <w:b/>
          <w:bCs/>
          <w:noProof/>
          <w:sz w:val="24"/>
          <w:szCs w:val="24"/>
        </w:rPr>
        <w:t xml:space="preserve">Protecting, conserving and enhancing natural capital </w:t>
      </w:r>
    </w:p>
    <w:p>
      <w:pPr>
        <w:rPr>
          <w:rFonts w:cs="Times New Roman"/>
          <w:noProof/>
        </w:rPr>
      </w:pPr>
      <w:r>
        <w:rPr>
          <w:rFonts w:cs="Times New Roman"/>
          <w:noProof/>
        </w:rPr>
        <w:t>Europe’s unique and rich nature has intrinsic value and is a source of precious resources and benefits to people and the economy. The EU has developed a comprehensive system of rules covering nature, biodiversity, land and marine protection, which are key to achieve the headline target of the Biodiversity Strategy to 2020</w:t>
      </w:r>
      <w:r>
        <w:rPr>
          <w:rStyle w:val="FootnoteReference"/>
          <w:rFonts w:cs="Times New Roman"/>
          <w:noProof/>
        </w:rPr>
        <w:footnoteReference w:id="36"/>
      </w:r>
      <w:r>
        <w:rPr>
          <w:rFonts w:cs="Times New Roman"/>
          <w:noProof/>
        </w:rPr>
        <w:t xml:space="preserve"> of halting the loss of biodiversity and ecosystem services and restoring them as far as possible. </w:t>
      </w:r>
    </w:p>
    <w:p>
      <w:pPr>
        <w:rPr>
          <w:rFonts w:cs="Times New Roman"/>
          <w:noProof/>
        </w:rPr>
      </w:pPr>
      <w:r>
        <w:rPr>
          <w:rFonts w:cs="Times New Roman"/>
          <w:noProof/>
        </w:rPr>
        <w:t>Attaining favourable conservation status of protected species and habitats requires full implementation of the Habitats and Birds Directives</w:t>
      </w:r>
      <w:r>
        <w:rPr>
          <w:rStyle w:val="FootnoteReference"/>
          <w:rFonts w:cs="Times New Roman"/>
          <w:noProof/>
        </w:rPr>
        <w:footnoteReference w:id="37"/>
      </w:r>
      <w:r>
        <w:rPr>
          <w:rFonts w:cs="Times New Roman"/>
          <w:noProof/>
        </w:rPr>
        <w:t>. The Action Plan for nature, people and the economy</w:t>
      </w:r>
      <w:r>
        <w:rPr>
          <w:rStyle w:val="FootnoteReference"/>
          <w:rFonts w:cs="Times New Roman"/>
          <w:noProof/>
        </w:rPr>
        <w:footnoteReference w:id="38"/>
      </w:r>
      <w:r>
        <w:rPr>
          <w:rFonts w:eastAsiaTheme="minorEastAsia" w:cs="Times New Roman"/>
          <w:noProof/>
        </w:rPr>
        <w:t xml:space="preserve"> aims to rapidly improve practical implementation of the abovementioned Nature Directives and accelerate the progress towards the EU 2020 goal of halting and reversing the loss of biodiversity and ecosystem services</w:t>
      </w:r>
      <w:r>
        <w:rPr>
          <w:rStyle w:val="FootnoteReference"/>
          <w:rFonts w:eastAsiaTheme="minorEastAsia" w:cs="Times New Roman"/>
          <w:noProof/>
        </w:rPr>
        <w:footnoteReference w:id="39"/>
      </w:r>
      <w:r>
        <w:rPr>
          <w:rFonts w:eastAsiaTheme="minorEastAsia" w:cs="Times New Roman"/>
          <w:noProof/>
        </w:rPr>
        <w:t xml:space="preserve">. Every six years, Member States report on progress made in this respect and, therefore, new information is not available for this cycle of the </w:t>
      </w:r>
      <w:r>
        <w:rPr>
          <w:rFonts w:cs="Times New Roman"/>
          <w:noProof/>
        </w:rPr>
        <w:t>Environmental Implementation Review</w:t>
      </w:r>
      <w:r>
        <w:rPr>
          <w:rFonts w:eastAsiaTheme="minorEastAsia" w:cs="Times New Roman"/>
          <w:noProof/>
        </w:rPr>
        <w:t xml:space="preserve">. Reporting due later in 2019 will be reflected in the Commission’s State of Nature Report in 2020. </w:t>
      </w:r>
    </w:p>
    <w:p>
      <w:pPr>
        <w:rPr>
          <w:rFonts w:cs="Times New Roman"/>
          <w:noProof/>
        </w:rPr>
      </w:pPr>
      <w:r>
        <w:rPr>
          <w:rFonts w:cs="Times New Roman"/>
          <w:noProof/>
        </w:rPr>
        <w:t xml:space="preserve">Overall, while some important gaps remain, the Natura 2000 network has continued to expand in marine areas and the EU has already achieved the 2020 Aichi target of 10% of coastal and marine areas covered by protected areas. Progress has also been made on the adoption of the necessary conservation measures, such as sites' management plans, although they still cover only 70% of Natura 2000 sites. Major efforts are still necessary to ensure the implementation – including financing- of such measures on the ground and the achievement of their conservation objectives. This also applies to measures in some of the Outermost Regions and the Overseas Countries and Territories. </w:t>
      </w:r>
    </w:p>
    <w:p>
      <w:pPr>
        <w:rPr>
          <w:rFonts w:cs="Times New Roman"/>
          <w:noProof/>
        </w:rPr>
      </w:pPr>
      <w:r>
        <w:rPr>
          <w:rFonts w:cs="Times New Roman"/>
          <w:noProof/>
        </w:rPr>
        <w:br/>
      </w:r>
      <w:r>
        <w:rPr>
          <w:rFonts w:cs="Times New Roman"/>
          <w:noProof/>
        </w:rPr>
        <w:br/>
        <w:t xml:space="preserve">The introduction and spread of invasive alien species poses a growing threat to Europe’s biodiversity. The invasive alien species Regulation provides a set of measures to be taken across the EU in relation to species included on the </w:t>
      </w:r>
      <w:hyperlink r:id="rId20" w:tgtFrame="_blank" w:history="1">
        <w:r>
          <w:rPr>
            <w:rFonts w:cs="Times New Roman"/>
            <w:noProof/>
          </w:rPr>
          <w:t>list of Union concern</w:t>
        </w:r>
      </w:hyperlink>
      <w:r>
        <w:rPr>
          <w:rStyle w:val="FootnoteReference"/>
          <w:rFonts w:cs="Times New Roman"/>
          <w:noProof/>
        </w:rPr>
        <w:footnoteReference w:id="40"/>
      </w:r>
      <w:r>
        <w:rPr>
          <w:rFonts w:cs="Times New Roman"/>
          <w:noProof/>
        </w:rPr>
        <w:t xml:space="preserve">. </w:t>
      </w:r>
    </w:p>
    <w:p>
      <w:pPr>
        <w:rPr>
          <w:rFonts w:cs="Times New Roman"/>
          <w:noProof/>
        </w:rPr>
      </w:pPr>
      <w:r>
        <w:rPr>
          <w:rFonts w:cs="Times New Roman"/>
          <w:noProof/>
        </w:rPr>
        <w:t xml:space="preserve">The available information indicates that marine and land ecosystems as well as soil continue to be affected by several pressures, ranging from inappropriate agricultural practices, land abandonment, climate change, infrastructure development, urban sprawl, pollution of air, soil and water, to increasing pressures from invasive alien species. Addressing such a wide range of pressures requires, among others, the effective integration of biodiversity objectives into other policies, especially those related to funding, and promoting dialogue between actors. </w:t>
      </w:r>
    </w:p>
    <w:p>
      <w:pPr>
        <w:spacing w:after="200" w:line="276" w:lineRule="auto"/>
        <w:jc w:val="left"/>
        <w:rPr>
          <w:rFonts w:cs="Times New Roman"/>
          <w:i/>
          <w:iCs/>
          <w:noProof/>
        </w:rPr>
      </w:pPr>
      <w:r>
        <w:rPr>
          <w:rFonts w:cs="Times New Roman"/>
          <w:i/>
          <w:iCs/>
          <w:noProof/>
        </w:rPr>
        <w:t>Policy findings:</w:t>
      </w:r>
    </w:p>
    <w:p>
      <w:pPr>
        <w:numPr>
          <w:ilvl w:val="0"/>
          <w:numId w:val="3"/>
        </w:numPr>
        <w:spacing w:line="240" w:lineRule="auto"/>
        <w:ind w:left="357" w:hanging="357"/>
        <w:rPr>
          <w:rFonts w:cs="Times New Roman"/>
          <w:i/>
          <w:iCs/>
          <w:noProof/>
        </w:rPr>
      </w:pPr>
      <w:r>
        <w:rPr>
          <w:rFonts w:cs="Times New Roman"/>
          <w:i/>
          <w:iCs/>
          <w:noProof/>
        </w:rPr>
        <w:t xml:space="preserve">Significant gaps in implementation, enforcement, financing and policy integration are affecting efforts to protect European ecosystems. Biodiversity loss continues in the EU, even if some progress has been achieved at local level. </w:t>
      </w:r>
    </w:p>
    <w:p>
      <w:pPr>
        <w:numPr>
          <w:ilvl w:val="0"/>
          <w:numId w:val="3"/>
        </w:numPr>
        <w:spacing w:line="240" w:lineRule="auto"/>
        <w:ind w:left="357" w:hanging="357"/>
        <w:rPr>
          <w:rFonts w:cs="Times New Roman"/>
          <w:i/>
          <w:iCs/>
          <w:noProof/>
        </w:rPr>
      </w:pPr>
      <w:r>
        <w:rPr>
          <w:rFonts w:cs="Times New Roman"/>
          <w:i/>
          <w:iCs/>
          <w:noProof/>
        </w:rPr>
        <w:t>Despite some progress since 2017 with regard to the completion and management of Natura 2000, most of the Member States</w:t>
      </w:r>
      <w:r>
        <w:rPr>
          <w:rFonts w:cs="Times New Roman"/>
          <w:i/>
          <w:iCs/>
          <w:noProof/>
          <w:vertAlign w:val="superscript"/>
        </w:rPr>
        <w:footnoteReference w:id="41"/>
      </w:r>
      <w:r>
        <w:rPr>
          <w:rFonts w:cs="Times New Roman"/>
          <w:i/>
          <w:iCs/>
          <w:noProof/>
        </w:rPr>
        <w:t xml:space="preserve"> need to speed up efforts for the completion of their networks, especially in the marine environment, and complete the process of designation of special areas of conservation while developing and implementing more effective conservation measures. Some Member States</w:t>
      </w:r>
      <w:r>
        <w:rPr>
          <w:rFonts w:cs="Times New Roman"/>
          <w:noProof/>
          <w:vertAlign w:val="superscript"/>
        </w:rPr>
        <w:footnoteReference w:id="42"/>
      </w:r>
      <w:r>
        <w:rPr>
          <w:rFonts w:cs="Times New Roman"/>
          <w:i/>
          <w:iCs/>
          <w:noProof/>
        </w:rPr>
        <w:t xml:space="preserve"> should also develop and promote smarter and more streamlined implementation approaches to ensure compliance. Better capacity in national administrations and adequate funding are needed to prevent deterioration and ensure good management of Natura 2000 sites</w:t>
      </w:r>
      <w:r>
        <w:rPr>
          <w:rStyle w:val="FootnoteReference"/>
          <w:rFonts w:cs="Times New Roman"/>
          <w:i/>
          <w:iCs/>
          <w:noProof/>
        </w:rPr>
        <w:footnoteReference w:id="43"/>
      </w:r>
      <w:r>
        <w:rPr>
          <w:rFonts w:cs="Times New Roman"/>
          <w:i/>
          <w:iCs/>
          <w:noProof/>
        </w:rPr>
        <w:t>.</w:t>
      </w:r>
    </w:p>
    <w:p>
      <w:pPr>
        <w:numPr>
          <w:ilvl w:val="0"/>
          <w:numId w:val="3"/>
        </w:numPr>
        <w:spacing w:line="240" w:lineRule="auto"/>
        <w:ind w:left="357" w:hanging="357"/>
        <w:rPr>
          <w:rFonts w:cs="Times New Roman"/>
          <w:i/>
          <w:iCs/>
          <w:noProof/>
        </w:rPr>
      </w:pPr>
      <w:r>
        <w:rPr>
          <w:rFonts w:cs="Times New Roman"/>
          <w:i/>
          <w:iCs/>
          <w:noProof/>
        </w:rPr>
        <w:t>The mapping of ecosystems and their services has generally improved since 2017, but some Member States</w:t>
      </w:r>
      <w:r>
        <w:rPr>
          <w:rStyle w:val="FootnoteReference"/>
          <w:rFonts w:cs="Times New Roman"/>
          <w:i/>
          <w:iCs/>
          <w:noProof/>
        </w:rPr>
        <w:footnoteReference w:id="44"/>
      </w:r>
      <w:r>
        <w:rPr>
          <w:rFonts w:cs="Times New Roman"/>
          <w:i/>
          <w:iCs/>
          <w:noProof/>
        </w:rPr>
        <w:t xml:space="preserve"> are still lagging behind. </w:t>
      </w:r>
    </w:p>
    <w:p>
      <w:pPr>
        <w:numPr>
          <w:ilvl w:val="0"/>
          <w:numId w:val="3"/>
        </w:numPr>
        <w:spacing w:line="240" w:lineRule="auto"/>
        <w:ind w:left="357" w:hanging="357"/>
        <w:rPr>
          <w:rFonts w:eastAsia="Times New Roman,Calibri" w:cs="Times New Roman"/>
          <w:i/>
          <w:iCs/>
          <w:noProof/>
        </w:rPr>
      </w:pPr>
      <w:r>
        <w:rPr>
          <w:rFonts w:cs="Times New Roman"/>
          <w:i/>
          <w:iCs/>
          <w:noProof/>
        </w:rPr>
        <w:t>Some Member States</w:t>
      </w:r>
      <w:r>
        <w:rPr>
          <w:rStyle w:val="FootnoteReference"/>
          <w:rFonts w:cs="Times New Roman"/>
          <w:i/>
          <w:iCs/>
          <w:noProof/>
        </w:rPr>
        <w:footnoteReference w:id="45"/>
      </w:r>
      <w:r>
        <w:rPr>
          <w:rFonts w:cs="Times New Roman"/>
          <w:i/>
          <w:iCs/>
          <w:noProof/>
        </w:rPr>
        <w:t xml:space="preserve"> should improve their protection of forest and grassland habitats through incentives for foresters and farmers, following the EU Forest Strategy of 2013</w:t>
      </w:r>
      <w:r>
        <w:rPr>
          <w:rStyle w:val="FootnoteReference"/>
          <w:rFonts w:cs="Times New Roman"/>
          <w:i/>
          <w:iCs/>
          <w:noProof/>
        </w:rPr>
        <w:footnoteReference w:id="46"/>
      </w:r>
      <w:r>
        <w:rPr>
          <w:rFonts w:cs="Times New Roman"/>
          <w:i/>
          <w:iCs/>
          <w:noProof/>
        </w:rPr>
        <w:t>. Sustainable forest management and efficient use of biomass are key for a sustainable use of natural resources.</w:t>
      </w:r>
    </w:p>
    <w:p>
      <w:pPr>
        <w:numPr>
          <w:ilvl w:val="0"/>
          <w:numId w:val="3"/>
        </w:numPr>
        <w:spacing w:line="240" w:lineRule="auto"/>
        <w:ind w:left="357" w:hanging="357"/>
        <w:rPr>
          <w:rFonts w:eastAsia="Times New Roman,Calibri" w:cs="Times New Roman"/>
          <w:i/>
          <w:iCs/>
          <w:noProof/>
        </w:rPr>
      </w:pPr>
      <w:r>
        <w:rPr>
          <w:rFonts w:eastAsia="Times New Roman,Calibri" w:cs="Times New Roman"/>
          <w:i/>
          <w:iCs/>
          <w:noProof/>
        </w:rPr>
        <w:t>Some Member States</w:t>
      </w:r>
      <w:r>
        <w:rPr>
          <w:rFonts w:eastAsia="Times New Roman,Calibri" w:cs="Times New Roman"/>
          <w:i/>
          <w:iCs/>
          <w:noProof/>
          <w:vertAlign w:val="superscript"/>
        </w:rPr>
        <w:footnoteReference w:id="47"/>
      </w:r>
      <w:r>
        <w:rPr>
          <w:rFonts w:eastAsia="Times New Roman,Calibri" w:cs="Times New Roman"/>
          <w:i/>
          <w:iCs/>
          <w:noProof/>
        </w:rPr>
        <w:t xml:space="preserve"> have not adopted national legislation to comply with the invasive alien species Regulation and/or have failed to notify on time the eradication measures to the Commission</w:t>
      </w:r>
      <w:r>
        <w:rPr>
          <w:rFonts w:eastAsia="Times New Roman,Calibri" w:cs="Times New Roman"/>
          <w:i/>
          <w:iCs/>
          <w:noProof/>
          <w:vertAlign w:val="superscript"/>
        </w:rPr>
        <w:footnoteReference w:id="48"/>
      </w:r>
      <w:r>
        <w:rPr>
          <w:rFonts w:eastAsia="Times New Roman,Calibri" w:cs="Times New Roman"/>
          <w:i/>
          <w:iCs/>
          <w:noProof/>
        </w:rPr>
        <w:t xml:space="preserve">. </w:t>
      </w:r>
    </w:p>
    <w:p>
      <w:pPr>
        <w:numPr>
          <w:ilvl w:val="0"/>
          <w:numId w:val="3"/>
        </w:numPr>
        <w:spacing w:line="240" w:lineRule="auto"/>
        <w:rPr>
          <w:rFonts w:eastAsia="Times New Roman,Calibri" w:cs="Times New Roman"/>
          <w:i/>
          <w:iCs/>
          <w:noProof/>
        </w:rPr>
      </w:pPr>
      <w:r>
        <w:rPr>
          <w:rFonts w:cs="Times New Roman"/>
          <w:i/>
          <w:iCs/>
          <w:noProof/>
        </w:rPr>
        <w:t>Insufficient data, monitoring and reporting is affecting the evaluation of protective measures for marine areas. Some countries</w:t>
      </w:r>
      <w:r>
        <w:rPr>
          <w:rFonts w:eastAsia="Times New Roman,Calibri" w:cs="Times New Roman"/>
          <w:i/>
          <w:iCs/>
          <w:noProof/>
          <w:vertAlign w:val="superscript"/>
        </w:rPr>
        <w:footnoteReference w:id="49"/>
      </w:r>
      <w:r>
        <w:rPr>
          <w:rFonts w:cs="Times New Roman"/>
          <w:i/>
          <w:iCs/>
          <w:noProof/>
        </w:rPr>
        <w:t xml:space="preserve"> have failed to report on time</w:t>
      </w:r>
      <w:r>
        <w:rPr>
          <w:rStyle w:val="FootnoteReference"/>
          <w:rFonts w:cs="Times New Roman"/>
          <w:i/>
          <w:iCs/>
          <w:noProof/>
        </w:rPr>
        <w:footnoteReference w:id="50"/>
      </w:r>
      <w:r>
        <w:rPr>
          <w:rFonts w:cs="Times New Roman"/>
          <w:i/>
          <w:iCs/>
          <w:noProof/>
        </w:rPr>
        <w:t>, while many others</w:t>
      </w:r>
      <w:r>
        <w:rPr>
          <w:rFonts w:eastAsia="Times New Roman,Calibri" w:cs="Times New Roman"/>
          <w:i/>
          <w:iCs/>
          <w:noProof/>
          <w:vertAlign w:val="superscript"/>
        </w:rPr>
        <w:footnoteReference w:id="51"/>
      </w:r>
      <w:r>
        <w:rPr>
          <w:rFonts w:cs="Times New Roman"/>
          <w:i/>
          <w:iCs/>
          <w:noProof/>
        </w:rPr>
        <w:t xml:space="preserve"> need to improve their cooperation and monitoring programmes.</w:t>
      </w:r>
    </w:p>
    <w:p>
      <w:pPr>
        <w:spacing w:line="240" w:lineRule="auto"/>
        <w:ind w:left="360"/>
        <w:rPr>
          <w:rFonts w:cs="Times New Roman"/>
          <w:i/>
          <w:iCs/>
          <w:noProof/>
        </w:rPr>
      </w:pPr>
    </w:p>
    <w:p>
      <w:pPr>
        <w:spacing w:line="240" w:lineRule="auto"/>
        <w:ind w:left="360"/>
        <w:rPr>
          <w:rFonts w:cs="Times New Roman"/>
          <w:i/>
          <w:iCs/>
          <w:noProof/>
        </w:rPr>
      </w:pPr>
    </w:p>
    <w:p>
      <w:pPr>
        <w:spacing w:line="240" w:lineRule="auto"/>
        <w:ind w:left="360"/>
        <w:rPr>
          <w:rFonts w:cs="Times New Roman"/>
          <w:i/>
          <w:iCs/>
          <w:noProof/>
        </w:rPr>
      </w:pPr>
    </w:p>
    <w:p>
      <w:pPr>
        <w:spacing w:line="240" w:lineRule="auto"/>
        <w:ind w:left="360"/>
        <w:rPr>
          <w:rFonts w:eastAsia="Times New Roman,Calibri" w:cs="Times New Roman"/>
          <w:i/>
          <w:iCs/>
          <w:noProof/>
        </w:rPr>
      </w:pPr>
    </w:p>
    <w:tbl>
      <w:tblPr>
        <w:tblStyle w:val="TableGrid"/>
        <w:tblpPr w:leftFromText="180" w:rightFromText="180" w:vertAnchor="text" w:horzAnchor="margin" w:tblpY="242"/>
        <w:tblW w:w="0" w:type="auto"/>
        <w:shd w:val="clear" w:color="auto" w:fill="D6E3BC" w:themeFill="accent3" w:themeFillTint="66"/>
        <w:tblLook w:val="04A0" w:firstRow="1" w:lastRow="0" w:firstColumn="1" w:lastColumn="0" w:noHBand="0" w:noVBand="1"/>
      </w:tblPr>
      <w:tblGrid>
        <w:gridCol w:w="9242"/>
      </w:tblGrid>
      <w:tr>
        <w:tc>
          <w:tcPr>
            <w:tcW w:w="9242" w:type="dxa"/>
            <w:shd w:val="clear" w:color="auto" w:fill="EAF1DD" w:themeFill="accent3" w:themeFillTint="33"/>
          </w:tcPr>
          <w:p>
            <w:pPr>
              <w:spacing w:after="200" w:line="240" w:lineRule="auto"/>
              <w:jc w:val="left"/>
              <w:rPr>
                <w:rFonts w:cs="Times New Roman"/>
                <w:b/>
                <w:bCs/>
                <w:noProof/>
              </w:rPr>
            </w:pPr>
            <w:r>
              <w:rPr>
                <w:rFonts w:cs="Times New Roman"/>
                <w:b/>
                <w:bCs/>
                <w:noProof/>
              </w:rPr>
              <w:t>Successful practices:</w:t>
            </w:r>
          </w:p>
          <w:p>
            <w:pPr>
              <w:spacing w:after="200" w:line="240" w:lineRule="auto"/>
              <w:rPr>
                <w:rFonts w:cs="Times New Roman"/>
                <w:noProof/>
              </w:rPr>
            </w:pPr>
            <w:r>
              <w:rPr>
                <w:rFonts w:cs="Times New Roman"/>
                <w:noProof/>
              </w:rPr>
              <w:t xml:space="preserve">In </w:t>
            </w:r>
            <w:r>
              <w:rPr>
                <w:rFonts w:cs="Times New Roman"/>
                <w:b/>
                <w:bCs/>
                <w:noProof/>
              </w:rPr>
              <w:t>Romania</w:t>
            </w:r>
            <w:r>
              <w:rPr>
                <w:rFonts w:cs="Times New Roman"/>
                <w:noProof/>
              </w:rPr>
              <w:t>, the LIFE project ‘Connect Carpathians’</w:t>
            </w:r>
            <w:r>
              <w:rPr>
                <w:rStyle w:val="FootnoteReference"/>
                <w:rFonts w:cs="Times New Roman"/>
                <w:noProof/>
              </w:rPr>
              <w:footnoteReference w:id="52"/>
            </w:r>
            <w:r>
              <w:rPr>
                <w:rFonts w:cs="Times New Roman"/>
                <w:noProof/>
              </w:rPr>
              <w:t xml:space="preserve"> aims to enhance landscape connectivity within ecological corridors of Natura 2000 sites in western Romania. These sites are areas where flagship species such as bears and wolves can move without risk of being hunted or accidentally killed. The project is complemented with several activities to improve administrative capacity, involve local stakeholders and secure land to develop linkage corridors. </w:t>
            </w:r>
          </w:p>
          <w:p>
            <w:pPr>
              <w:spacing w:after="200" w:line="240" w:lineRule="auto"/>
              <w:rPr>
                <w:rFonts w:cs="Times New Roman"/>
                <w:noProof/>
              </w:rPr>
            </w:pPr>
            <w:r>
              <w:rPr>
                <w:rFonts w:cs="Times New Roman"/>
                <w:b/>
                <w:bCs/>
                <w:noProof/>
              </w:rPr>
              <w:t>Cyprus</w:t>
            </w:r>
            <w:r>
              <w:rPr>
                <w:rFonts w:cs="Times New Roman"/>
                <w:noProof/>
              </w:rPr>
              <w:t xml:space="preserve"> is one of the countries with advanced implementation of the EU Timber Regulation. Despite its small size, the country performed more checks on domestic and foreign timber operators than any other Member State. 100 % of national operators received training on their legal obligations and the fines applicable to infringements are among the highest in the EU.</w:t>
            </w:r>
          </w:p>
        </w:tc>
      </w:tr>
    </w:tbl>
    <w:p>
      <w:pPr>
        <w:pStyle w:val="ListParagraph"/>
        <w:numPr>
          <w:ilvl w:val="1"/>
          <w:numId w:val="5"/>
        </w:numPr>
        <w:spacing w:before="240"/>
        <w:rPr>
          <w:rFonts w:eastAsia="Calibri" w:cs="Times New Roman"/>
          <w:b/>
          <w:noProof/>
          <w:sz w:val="24"/>
          <w:szCs w:val="24"/>
        </w:rPr>
      </w:pPr>
      <w:r>
        <w:rPr>
          <w:rFonts w:cs="Times New Roman"/>
          <w:b/>
          <w:noProof/>
          <w:sz w:val="24"/>
          <w:szCs w:val="24"/>
        </w:rPr>
        <w:t xml:space="preserve"> Ensuring citizens’ health and quality of life</w:t>
      </w:r>
    </w:p>
    <w:p>
      <w:pPr>
        <w:spacing w:line="240" w:lineRule="auto"/>
        <w:rPr>
          <w:rFonts w:eastAsia="Calibri" w:cs="Times New Roman"/>
          <w:b/>
          <w:i/>
          <w:noProof/>
        </w:rPr>
      </w:pPr>
      <w:r>
        <w:rPr>
          <w:rFonts w:eastAsia="Calibri" w:cs="Times New Roman"/>
          <w:b/>
          <w:i/>
          <w:noProof/>
        </w:rPr>
        <w:t>Air quality and noise</w:t>
      </w:r>
    </w:p>
    <w:p>
      <w:pPr>
        <w:spacing w:line="240" w:lineRule="auto"/>
        <w:rPr>
          <w:rFonts w:cs="Times New Roman"/>
          <w:noProof/>
        </w:rPr>
      </w:pPr>
      <w:r>
        <w:rPr>
          <w:rFonts w:cs="Times New Roman"/>
          <w:noProof/>
        </w:rPr>
        <w:t>Air quality in Europe has improved over the last decades, thanks to joint efforts by the EU and national, regional and local authorities</w:t>
      </w:r>
      <w:r>
        <w:rPr>
          <w:rFonts w:cs="Times New Roman"/>
          <w:noProof/>
          <w:vertAlign w:val="superscript"/>
        </w:rPr>
        <w:footnoteReference w:id="53"/>
      </w:r>
      <w:r>
        <w:rPr>
          <w:rFonts w:cs="Times New Roman"/>
          <w:noProof/>
        </w:rPr>
        <w:t xml:space="preserve">. Since 2000, the EU's Gross Domestic Product grew by 32 % while emissions of the main air pollutants decreased between 10 % and 70 %, depending on the pollutant. Ambient concentrations for most of the air pollutants have also decreased in the last years. However, in most Member States, the quality of life of citizens remains hampered, as the </w:t>
      </w:r>
      <w:r>
        <w:rPr>
          <w:rStyle w:val="st"/>
          <w:rFonts w:cs="Times New Roman"/>
          <w:noProof/>
        </w:rPr>
        <w:t xml:space="preserve">concentration of certain </w:t>
      </w:r>
      <w:r>
        <w:rPr>
          <w:rStyle w:val="Emphasis"/>
          <w:rFonts w:cs="Times New Roman"/>
          <w:i w:val="0"/>
          <w:iCs w:val="0"/>
          <w:noProof/>
        </w:rPr>
        <w:t>air</w:t>
      </w:r>
      <w:r>
        <w:rPr>
          <w:rStyle w:val="st"/>
          <w:rFonts w:cs="Times New Roman"/>
          <w:noProof/>
        </w:rPr>
        <w:t xml:space="preserve"> pollutants are above </w:t>
      </w:r>
      <w:r>
        <w:rPr>
          <w:rStyle w:val="Emphasis"/>
          <w:rFonts w:cs="Times New Roman"/>
          <w:i w:val="0"/>
          <w:iCs w:val="0"/>
          <w:noProof/>
        </w:rPr>
        <w:t>EU</w:t>
      </w:r>
      <w:r>
        <w:rPr>
          <w:rStyle w:val="st"/>
          <w:rFonts w:cs="Times New Roman"/>
          <w:noProof/>
        </w:rPr>
        <w:t xml:space="preserve"> air quality standards</w:t>
      </w:r>
      <w:r>
        <w:rPr>
          <w:rFonts w:cs="Times New Roman"/>
          <w:noProof/>
        </w:rPr>
        <w:t xml:space="preserve">. The situation is especially severe in urban areas, where a majority of Europeans live. </w:t>
      </w:r>
    </w:p>
    <w:p>
      <w:pPr>
        <w:spacing w:line="240" w:lineRule="auto"/>
        <w:rPr>
          <w:rFonts w:cs="Times New Roman"/>
          <w:noProof/>
        </w:rPr>
      </w:pPr>
      <w:r>
        <w:rPr>
          <w:rFonts w:cs="Times New Roman"/>
          <w:noProof/>
        </w:rPr>
        <w:t xml:space="preserve">In 2018, the Commission came forward with the Communication </w:t>
      </w:r>
      <w:r>
        <w:rPr>
          <w:rFonts w:cs="Times New Roman"/>
          <w:i/>
          <w:iCs/>
          <w:noProof/>
        </w:rPr>
        <w:t>'A Europe that protects: Clean air for all'</w:t>
      </w:r>
      <w:r>
        <w:rPr>
          <w:rFonts w:cs="Times New Roman"/>
          <w:noProof/>
        </w:rPr>
        <w:t>, which outlined measures available to help Member States fight air pollution and set into motion more high level national Clean Air Dialogues</w:t>
      </w:r>
      <w:r>
        <w:rPr>
          <w:rStyle w:val="FootnoteReference"/>
          <w:rFonts w:cs="Times New Roman"/>
          <w:noProof/>
        </w:rPr>
        <w:footnoteReference w:id="54"/>
      </w:r>
      <w:r>
        <w:rPr>
          <w:rFonts w:cs="Times New Roman"/>
          <w:noProof/>
        </w:rPr>
        <w:t>. A fitness check of the two EU Ambient Air Quality Directives is ongoing, evaluating their relevance, effectiveness, efficiency, coherence and added value</w:t>
      </w:r>
      <w:r>
        <w:rPr>
          <w:rStyle w:val="FootnoteReference"/>
          <w:rFonts w:cs="Times New Roman"/>
          <w:noProof/>
        </w:rPr>
        <w:footnoteReference w:id="55"/>
      </w:r>
      <w:r>
        <w:rPr>
          <w:rFonts w:cs="Times New Roman"/>
          <w:noProof/>
        </w:rPr>
        <w:t>. Member States have started compiling their national air pollution control programmes, due in 2019. In addition, Research and Innovation initiatives have been launched to help national and local authorities in understanding and fighting air pollution</w:t>
      </w:r>
      <w:r>
        <w:rPr>
          <w:rStyle w:val="FootnoteReference"/>
          <w:rFonts w:cs="Times New Roman"/>
          <w:noProof/>
        </w:rPr>
        <w:footnoteReference w:id="56"/>
      </w:r>
      <w:r>
        <w:rPr>
          <w:rFonts w:cs="Times New Roman"/>
          <w:noProof/>
        </w:rPr>
        <w:t>.</w:t>
      </w:r>
    </w:p>
    <w:p>
      <w:pPr>
        <w:spacing w:line="240" w:lineRule="auto"/>
        <w:rPr>
          <w:rFonts w:cs="Times New Roman"/>
          <w:noProof/>
        </w:rPr>
      </w:pPr>
      <w:r>
        <w:rPr>
          <w:rFonts w:cs="Times New Roman"/>
          <w:noProof/>
        </w:rPr>
        <w:t>As part of the effort to tackle noise pollution, the EU has laid down a common approach to prevent or reduce the harmful effects of exposure to environmental noise. This approach is based on using common methods to map noise, on providing information to the public and on adopting and implementing tailor-made action plans at local level.</w:t>
      </w:r>
    </w:p>
    <w:p>
      <w:pPr>
        <w:spacing w:after="200" w:line="276" w:lineRule="auto"/>
        <w:jc w:val="left"/>
        <w:rPr>
          <w:rFonts w:cs="Times New Roman"/>
          <w:i/>
          <w:iCs/>
          <w:noProof/>
        </w:rPr>
      </w:pPr>
      <w:r>
        <w:rPr>
          <w:rFonts w:cs="Times New Roman"/>
          <w:i/>
          <w:iCs/>
          <w:noProof/>
        </w:rPr>
        <w:t>Policy findings:</w:t>
      </w:r>
    </w:p>
    <w:p>
      <w:pPr>
        <w:pStyle w:val="ListParagraph"/>
        <w:numPr>
          <w:ilvl w:val="0"/>
          <w:numId w:val="3"/>
        </w:numPr>
        <w:rPr>
          <w:rFonts w:cs="Times New Roman"/>
          <w:i/>
          <w:iCs/>
          <w:noProof/>
        </w:rPr>
      </w:pPr>
      <w:r>
        <w:rPr>
          <w:rFonts w:cs="Times New Roman"/>
          <w:i/>
          <w:iCs/>
          <w:noProof/>
        </w:rPr>
        <w:t>There is a risk that air pollution is being underestimated in some instances because it may not always be monitored in the right places</w:t>
      </w:r>
      <w:r>
        <w:rPr>
          <w:rStyle w:val="FootnoteReference"/>
          <w:rFonts w:cs="Times New Roman"/>
          <w:i/>
          <w:iCs/>
          <w:noProof/>
        </w:rPr>
        <w:footnoteReference w:id="57"/>
      </w:r>
      <w:r>
        <w:rPr>
          <w:rFonts w:cs="Times New Roman"/>
          <w:i/>
          <w:iCs/>
          <w:noProof/>
        </w:rPr>
        <w:t>. Sampling points shall be located both “where the highest concentrations occur” and in areas “representative of the general population’s exposure”, to measure air quality also near major industries or main urban traffic routes.</w:t>
      </w:r>
    </w:p>
    <w:p>
      <w:pPr>
        <w:numPr>
          <w:ilvl w:val="0"/>
          <w:numId w:val="3"/>
        </w:numPr>
        <w:spacing w:line="240" w:lineRule="auto"/>
        <w:ind w:left="357" w:hanging="357"/>
        <w:rPr>
          <w:rFonts w:cs="Times New Roman"/>
          <w:i/>
          <w:iCs/>
          <w:noProof/>
        </w:rPr>
      </w:pPr>
      <w:r>
        <w:rPr>
          <w:rFonts w:cs="Times New Roman"/>
          <w:i/>
          <w:iCs/>
          <w:noProof/>
        </w:rPr>
        <w:t>Although the situation has improved in some of these countries, eighteen Member States</w:t>
      </w:r>
      <w:r>
        <w:rPr>
          <w:rStyle w:val="FootnoteReference"/>
          <w:rFonts w:cs="Times New Roman"/>
          <w:i/>
          <w:iCs/>
          <w:noProof/>
        </w:rPr>
        <w:footnoteReference w:id="58"/>
      </w:r>
      <w:r>
        <w:rPr>
          <w:rFonts w:cs="Times New Roman"/>
          <w:i/>
          <w:iCs/>
          <w:noProof/>
        </w:rPr>
        <w:t xml:space="preserve"> still need to accelerate reductions in nitrogen oxide (NO</w:t>
      </w:r>
      <w:r>
        <w:rPr>
          <w:rFonts w:cs="Times New Roman"/>
          <w:i/>
          <w:iCs/>
          <w:noProof/>
          <w:vertAlign w:val="subscript"/>
        </w:rPr>
        <w:t>x</w:t>
      </w:r>
      <w:r>
        <w:rPr>
          <w:rFonts w:cs="Times New Roman"/>
          <w:i/>
          <w:iCs/>
          <w:noProof/>
        </w:rPr>
        <w:t>) emissions and nitrogen dioxide (NO</w:t>
      </w:r>
      <w:r>
        <w:rPr>
          <w:rFonts w:cs="Times New Roman"/>
          <w:i/>
          <w:iCs/>
          <w:noProof/>
          <w:vertAlign w:val="subscript"/>
        </w:rPr>
        <w:t>2</w:t>
      </w:r>
      <w:r>
        <w:rPr>
          <w:rFonts w:cs="Times New Roman"/>
          <w:i/>
          <w:iCs/>
          <w:noProof/>
        </w:rPr>
        <w:t>) concentrations by further reducing transport emissions, particularly in urban areas. This may also require proportionate and targeted restrictions on vehicle access to urban areas and/or fiscal incentives. Where exceedances persist, the Commission has initiated infringement cases, including referring several Member States to the Court of Justice of the European Union</w:t>
      </w:r>
      <w:r>
        <w:rPr>
          <w:rFonts w:cs="Times New Roman"/>
          <w:i/>
          <w:iCs/>
          <w:noProof/>
          <w:color w:val="70AD47"/>
        </w:rPr>
        <w:t xml:space="preserve">. </w:t>
      </w:r>
    </w:p>
    <w:p>
      <w:pPr>
        <w:numPr>
          <w:ilvl w:val="0"/>
          <w:numId w:val="3"/>
        </w:numPr>
        <w:spacing w:line="240" w:lineRule="auto"/>
        <w:ind w:left="357" w:hanging="357"/>
        <w:rPr>
          <w:rFonts w:cs="Times New Roman"/>
          <w:i/>
          <w:iCs/>
          <w:noProof/>
        </w:rPr>
      </w:pPr>
      <w:r>
        <w:rPr>
          <w:rFonts w:cs="Times New Roman"/>
          <w:i/>
          <w:iCs/>
          <w:noProof/>
        </w:rPr>
        <w:t>Acceleration of reductions in particulate matter (PM</w:t>
      </w:r>
      <w:r>
        <w:rPr>
          <w:rFonts w:cs="Times New Roman"/>
          <w:i/>
          <w:iCs/>
          <w:noProof/>
          <w:vertAlign w:val="subscript"/>
        </w:rPr>
        <w:t>2.5</w:t>
      </w:r>
      <w:r>
        <w:rPr>
          <w:rFonts w:cs="Times New Roman"/>
          <w:i/>
          <w:iCs/>
          <w:noProof/>
        </w:rPr>
        <w:t xml:space="preserve"> and PM</w:t>
      </w:r>
      <w:r>
        <w:rPr>
          <w:rFonts w:cs="Times New Roman"/>
          <w:i/>
          <w:iCs/>
          <w:noProof/>
          <w:vertAlign w:val="subscript"/>
        </w:rPr>
        <w:t>10</w:t>
      </w:r>
      <w:r>
        <w:rPr>
          <w:rFonts w:cs="Times New Roman"/>
          <w:i/>
          <w:iCs/>
          <w:noProof/>
        </w:rPr>
        <w:t>) is needed in fifteen EU Member States</w:t>
      </w:r>
      <w:r>
        <w:rPr>
          <w:rStyle w:val="FootnoteReference"/>
          <w:rFonts w:cs="Times New Roman"/>
          <w:i/>
          <w:iCs/>
          <w:noProof/>
        </w:rPr>
        <w:footnoteReference w:id="59"/>
      </w:r>
      <w:r>
        <w:rPr>
          <w:rFonts w:cs="Times New Roman"/>
          <w:i/>
          <w:iCs/>
          <w:noProof/>
        </w:rPr>
        <w:t>, inter alia by promoting cleaner energy production and efficient and clean district heating. In this regard, there are several infringement cases pending. Some of the Member States concerned have been referred to the Court of Justice of the EU over persistently high levels of particulate matter (PM</w:t>
      </w:r>
      <w:r>
        <w:rPr>
          <w:rFonts w:cs="Times New Roman"/>
          <w:i/>
          <w:iCs/>
          <w:noProof/>
          <w:vertAlign w:val="subscript"/>
        </w:rPr>
        <w:t>10</w:t>
      </w:r>
      <w:r>
        <w:rPr>
          <w:rFonts w:cs="Times New Roman"/>
          <w:i/>
          <w:iCs/>
          <w:noProof/>
        </w:rPr>
        <w:t xml:space="preserve">) and the Court has already ruled in two of these cases. </w:t>
      </w:r>
    </w:p>
    <w:p>
      <w:pPr>
        <w:numPr>
          <w:ilvl w:val="0"/>
          <w:numId w:val="3"/>
        </w:numPr>
        <w:spacing w:line="240" w:lineRule="auto"/>
        <w:ind w:left="357" w:hanging="357"/>
        <w:rPr>
          <w:rFonts w:cs="Times New Roman"/>
          <w:i/>
          <w:iCs/>
          <w:noProof/>
        </w:rPr>
      </w:pPr>
      <w:r>
        <w:rPr>
          <w:rFonts w:cs="Times New Roman"/>
          <w:i/>
          <w:iCs/>
          <w:noProof/>
        </w:rPr>
        <w:t>Reducing emissions of ammonia (NH</w:t>
      </w:r>
      <w:r>
        <w:rPr>
          <w:rFonts w:cs="Times New Roman"/>
          <w:i/>
          <w:iCs/>
          <w:noProof/>
          <w:vertAlign w:val="subscript"/>
        </w:rPr>
        <w:t>3</w:t>
      </w:r>
      <w:r>
        <w:rPr>
          <w:rFonts w:cs="Times New Roman"/>
          <w:i/>
          <w:iCs/>
          <w:noProof/>
        </w:rPr>
        <w:t>) in six Member States</w:t>
      </w:r>
      <w:r>
        <w:rPr>
          <w:rStyle w:val="FootnoteReference"/>
          <w:rFonts w:cs="Times New Roman"/>
          <w:i/>
          <w:iCs/>
          <w:noProof/>
        </w:rPr>
        <w:footnoteReference w:id="60"/>
      </w:r>
      <w:r>
        <w:rPr>
          <w:rFonts w:cs="Times New Roman"/>
          <w:i/>
          <w:iCs/>
          <w:noProof/>
        </w:rPr>
        <w:t xml:space="preserve"> requires a reduction of emissions from agriculture. This can be achieved by introducing low emission agricultural techniques, including for livestock, manure and fertiliser management. </w:t>
      </w:r>
    </w:p>
    <w:p>
      <w:pPr>
        <w:numPr>
          <w:ilvl w:val="0"/>
          <w:numId w:val="3"/>
        </w:numPr>
        <w:spacing w:line="240" w:lineRule="auto"/>
        <w:rPr>
          <w:rFonts w:cs="Times New Roman"/>
          <w:i/>
          <w:iCs/>
          <w:noProof/>
        </w:rPr>
      </w:pPr>
      <w:r>
        <w:rPr>
          <w:rFonts w:cs="Times New Roman"/>
          <w:i/>
          <w:iCs/>
          <w:noProof/>
        </w:rPr>
        <w:t>Action plans for noise managements are still missing in thirteen Member States</w:t>
      </w:r>
      <w:r>
        <w:rPr>
          <w:rStyle w:val="FootnoteReference"/>
          <w:rFonts w:cs="Times New Roman"/>
          <w:i/>
          <w:iCs/>
          <w:noProof/>
        </w:rPr>
        <w:footnoteReference w:id="61"/>
      </w:r>
      <w:r>
        <w:rPr>
          <w:rFonts w:cs="Times New Roman"/>
          <w:i/>
          <w:iCs/>
          <w:noProof/>
        </w:rPr>
        <w:t xml:space="preserve"> and seven countries</w:t>
      </w:r>
      <w:r>
        <w:rPr>
          <w:rStyle w:val="FootnoteReference"/>
          <w:rFonts w:cs="Times New Roman"/>
          <w:i/>
          <w:iCs/>
          <w:noProof/>
        </w:rPr>
        <w:footnoteReference w:id="62"/>
      </w:r>
      <w:r>
        <w:rPr>
          <w:rFonts w:cs="Times New Roman"/>
          <w:i/>
          <w:iCs/>
          <w:noProof/>
        </w:rPr>
        <w:t xml:space="preserve"> still need to adopt required noise maps.</w:t>
      </w:r>
    </w:p>
    <w:tbl>
      <w:tblPr>
        <w:tblStyle w:val="TableGrid"/>
        <w:tblpPr w:leftFromText="180" w:rightFromText="180" w:vertAnchor="text" w:horzAnchor="margin" w:tblpY="222"/>
        <w:tblW w:w="0" w:type="auto"/>
        <w:shd w:val="clear" w:color="auto" w:fill="EAF1DD" w:themeFill="accent3" w:themeFillTint="33"/>
        <w:tblLook w:val="04A0" w:firstRow="1" w:lastRow="0" w:firstColumn="1" w:lastColumn="0" w:noHBand="0" w:noVBand="1"/>
      </w:tblPr>
      <w:tblGrid>
        <w:gridCol w:w="9242"/>
      </w:tblGrid>
      <w:tr>
        <w:tc>
          <w:tcPr>
            <w:tcW w:w="9242" w:type="dxa"/>
            <w:shd w:val="clear" w:color="auto" w:fill="EAF1DD" w:themeFill="accent3" w:themeFillTint="33"/>
          </w:tcPr>
          <w:p>
            <w:pPr>
              <w:spacing w:after="200" w:line="240" w:lineRule="auto"/>
              <w:jc w:val="left"/>
              <w:rPr>
                <w:rFonts w:cs="Times New Roman"/>
                <w:b/>
                <w:bCs/>
                <w:noProof/>
              </w:rPr>
            </w:pPr>
            <w:r>
              <w:rPr>
                <w:rFonts w:cs="Times New Roman"/>
                <w:b/>
                <w:bCs/>
                <w:noProof/>
              </w:rPr>
              <w:t>Successful practices:</w:t>
            </w:r>
          </w:p>
          <w:p>
            <w:pPr>
              <w:spacing w:after="200" w:line="240" w:lineRule="auto"/>
              <w:rPr>
                <w:rFonts w:cs="Times New Roman"/>
                <w:noProof/>
              </w:rPr>
            </w:pPr>
            <w:r>
              <w:rPr>
                <w:rFonts w:cs="Times New Roman"/>
                <w:noProof/>
              </w:rPr>
              <w:t xml:space="preserve">Since 2017, Member States and the Commission have engaged in a round of dialogues focused on air quality. By the end of 2018, six “Clean Air Dialogues” had been organised to address specific challenges in </w:t>
            </w:r>
            <w:r>
              <w:rPr>
                <w:rFonts w:cs="Times New Roman"/>
                <w:b/>
                <w:bCs/>
                <w:noProof/>
              </w:rPr>
              <w:t>the Czech Republic, Hungary, Ireland, Luxembourg, Slovakia and Spain</w:t>
            </w:r>
            <w:r>
              <w:rPr>
                <w:rFonts w:cs="Times New Roman"/>
                <w:noProof/>
              </w:rPr>
              <w:t>. These efforts have been complemented by the organisation of thematic workshops with the support of the European Commission’s TAIEX-EIR Peer2Peer mechanism.</w:t>
            </w:r>
          </w:p>
          <w:p>
            <w:pPr>
              <w:spacing w:after="200" w:line="240" w:lineRule="auto"/>
              <w:rPr>
                <w:rFonts w:cs="Times New Roman"/>
                <w:b/>
                <w:bCs/>
                <w:noProof/>
              </w:rPr>
            </w:pPr>
            <w:r>
              <w:rPr>
                <w:rFonts w:eastAsia="Calibri,Times New Roman" w:cs="Times New Roman"/>
                <w:noProof/>
              </w:rPr>
              <w:t xml:space="preserve">In </w:t>
            </w:r>
            <w:r>
              <w:rPr>
                <w:rFonts w:eastAsia="Calibri,Times New Roman" w:cs="Times New Roman"/>
                <w:b/>
                <w:bCs/>
                <w:noProof/>
              </w:rPr>
              <w:t>Poland</w:t>
            </w:r>
            <w:r>
              <w:rPr>
                <w:rFonts w:eastAsia="Calibri,Times New Roman" w:cs="Times New Roman"/>
                <w:noProof/>
              </w:rPr>
              <w:t>, the LIFE project ‘</w:t>
            </w:r>
            <w:r>
              <w:rPr>
                <w:rFonts w:cs="Times New Roman"/>
                <w:noProof/>
              </w:rPr>
              <w:t>Małopolska Region’</w:t>
            </w:r>
            <w:r>
              <w:rPr>
                <w:rStyle w:val="FootnoteReference"/>
                <w:rFonts w:cs="Times New Roman"/>
                <w:noProof/>
              </w:rPr>
              <w:footnoteReference w:id="63"/>
            </w:r>
            <w:r>
              <w:rPr>
                <w:rFonts w:cs="Times New Roman"/>
                <w:noProof/>
              </w:rPr>
              <w:t xml:space="preserve"> provides support and advisory services to implement measures tackling severe air pollution in the region.</w:t>
            </w:r>
          </w:p>
        </w:tc>
      </w:tr>
    </w:tbl>
    <w:p>
      <w:pPr>
        <w:spacing w:before="240"/>
        <w:rPr>
          <w:rFonts w:eastAsia="Calibri" w:cs="Times New Roman"/>
          <w:b/>
          <w:i/>
          <w:noProof/>
        </w:rPr>
      </w:pPr>
      <w:r>
        <w:rPr>
          <w:rFonts w:eastAsia="Calibri" w:cs="Times New Roman"/>
          <w:b/>
          <w:i/>
          <w:noProof/>
        </w:rPr>
        <w:t>Industrial emissions</w:t>
      </w:r>
    </w:p>
    <w:p>
      <w:pPr>
        <w:spacing w:line="240" w:lineRule="auto"/>
        <w:rPr>
          <w:rFonts w:cs="Times New Roman"/>
          <w:noProof/>
        </w:rPr>
      </w:pPr>
      <w:r>
        <w:rPr>
          <w:rFonts w:cs="Times New Roman"/>
          <w:noProof/>
        </w:rPr>
        <w:t>Industry accounts for 24 % of the EU’s Gross Domestic Product and employs 50 million people, making a significant contribution to the economic welfare and development of our continent</w:t>
      </w:r>
      <w:r>
        <w:rPr>
          <w:rStyle w:val="FootnoteReference"/>
          <w:rFonts w:cs="Times New Roman"/>
          <w:noProof/>
        </w:rPr>
        <w:footnoteReference w:id="64"/>
      </w:r>
      <w:r>
        <w:rPr>
          <w:rFonts w:cs="Times New Roman"/>
          <w:noProof/>
        </w:rPr>
        <w:t>. Nevertheless, pollution from industrial activities can negatively affect people and the environment. A clean industrial sector is therefore essential. Through a comprehensive approach – spearheaded by the Industrial Emissions Directive</w:t>
      </w:r>
      <w:r>
        <w:rPr>
          <w:rStyle w:val="FootnoteReference"/>
          <w:rFonts w:cs="Times New Roman"/>
          <w:noProof/>
        </w:rPr>
        <w:footnoteReference w:id="65"/>
      </w:r>
      <w:r>
        <w:rPr>
          <w:rFonts w:cs="Times New Roman"/>
          <w:noProof/>
        </w:rPr>
        <w:t xml:space="preserve"> – the EU aims to ensure a high level of protection for human health and the environment, while enhancing innovation and competitiveness.</w:t>
      </w:r>
    </w:p>
    <w:p>
      <w:pPr>
        <w:spacing w:line="240" w:lineRule="auto"/>
        <w:rPr>
          <w:rFonts w:cs="Times New Roman"/>
          <w:noProof/>
        </w:rPr>
      </w:pPr>
      <w:r>
        <w:rPr>
          <w:rFonts w:cs="Times New Roman"/>
          <w:noProof/>
        </w:rPr>
        <w:t>Currently, industry emits 40 % of the total pollutants to air and 20 % of the total pollutants to water</w:t>
      </w:r>
      <w:r>
        <w:rPr>
          <w:rStyle w:val="FootnoteReference"/>
          <w:rFonts w:cs="Times New Roman"/>
          <w:noProof/>
        </w:rPr>
        <w:footnoteReference w:id="66"/>
      </w:r>
      <w:r>
        <w:rPr>
          <w:rFonts w:cs="Times New Roman"/>
          <w:noProof/>
        </w:rPr>
        <w:t xml:space="preserve">. The Industrial Emissions Directive tackles these emissions by monitoring the environmental impact of the 50 thousand largest industrial installations and setting emission limits for more than 80 air and water pollutants. Industry’s environmental impact is also lowered by performance standards. The Directive sets out the main principles for the permitting and control of installations based on an integrated approach and the application of best available techniques to achieve a high level of environmental protection, taking into account costs and benefits. Many breakthrough technologies able to achieve significant reductions in greenhouse gases and pollutants, often combined with technologies for circular industry, are already being deployed. </w:t>
      </w:r>
    </w:p>
    <w:p>
      <w:pPr>
        <w:spacing w:after="200" w:line="276" w:lineRule="auto"/>
        <w:jc w:val="left"/>
        <w:rPr>
          <w:rFonts w:cs="Times New Roman"/>
          <w:i/>
          <w:iCs/>
          <w:noProof/>
        </w:rPr>
      </w:pPr>
      <w:r>
        <w:rPr>
          <w:rFonts w:cs="Times New Roman"/>
          <w:i/>
          <w:iCs/>
          <w:noProof/>
        </w:rPr>
        <w:t>Policy findings:</w:t>
      </w:r>
    </w:p>
    <w:p>
      <w:pPr>
        <w:pStyle w:val="ListParagraph"/>
        <w:numPr>
          <w:ilvl w:val="0"/>
          <w:numId w:val="3"/>
        </w:numPr>
        <w:spacing w:line="240" w:lineRule="auto"/>
        <w:contextualSpacing w:val="0"/>
        <w:rPr>
          <w:rFonts w:cs="Times New Roman"/>
          <w:noProof/>
        </w:rPr>
      </w:pPr>
      <w:r>
        <w:rPr>
          <w:rFonts w:cs="Times New Roman"/>
          <w:i/>
          <w:iCs/>
          <w:noProof/>
        </w:rPr>
        <w:t>All EU Member States need to review granted permits as regards their compliance with newly adopted best available techniques</w:t>
      </w:r>
      <w:r>
        <w:rPr>
          <w:rFonts w:cs="Times New Roman"/>
          <w:noProof/>
        </w:rPr>
        <w:t xml:space="preserve"> </w:t>
      </w:r>
      <w:r>
        <w:rPr>
          <w:rFonts w:cs="Times New Roman"/>
          <w:i/>
          <w:iCs/>
          <w:noProof/>
        </w:rPr>
        <w:t>conclusions as well as strengthen control and enforcement on the ground.</w:t>
      </w:r>
    </w:p>
    <w:p>
      <w:pPr>
        <w:pStyle w:val="ListParagraph"/>
        <w:numPr>
          <w:ilvl w:val="0"/>
          <w:numId w:val="3"/>
        </w:numPr>
        <w:spacing w:line="240" w:lineRule="auto"/>
        <w:contextualSpacing w:val="0"/>
        <w:rPr>
          <w:rFonts w:cs="Times New Roman"/>
          <w:noProof/>
        </w:rPr>
      </w:pPr>
      <w:r>
        <w:rPr>
          <w:rFonts w:cs="Times New Roman"/>
          <w:i/>
          <w:iCs/>
          <w:noProof/>
        </w:rPr>
        <w:t>Air and/or water pollution related to emissions from installations in the power sector are the main pollution source for eleven EU Member States</w:t>
      </w:r>
      <w:r>
        <w:rPr>
          <w:rStyle w:val="FootnoteReference"/>
          <w:rFonts w:cs="Times New Roman"/>
          <w:i/>
          <w:iCs/>
          <w:noProof/>
        </w:rPr>
        <w:footnoteReference w:id="67"/>
      </w:r>
      <w:r>
        <w:rPr>
          <w:rFonts w:cs="Times New Roman"/>
          <w:i/>
          <w:iCs/>
          <w:noProof/>
        </w:rPr>
        <w:t>. For seven countries</w:t>
      </w:r>
      <w:r>
        <w:rPr>
          <w:rStyle w:val="FootnoteReference"/>
          <w:rFonts w:cs="Times New Roman"/>
          <w:i/>
          <w:iCs/>
          <w:noProof/>
        </w:rPr>
        <w:footnoteReference w:id="68"/>
      </w:r>
      <w:r>
        <w:rPr>
          <w:rFonts w:cs="Times New Roman"/>
          <w:i/>
          <w:iCs/>
          <w:noProof/>
        </w:rPr>
        <w:t>, emissions from the sector of intensive rearing of poultry and pigs represent the largest share of emissions. Furthermore, the current situation in two Member States</w:t>
      </w:r>
      <w:r>
        <w:rPr>
          <w:rStyle w:val="FootnoteReference"/>
          <w:rFonts w:cs="Times New Roman"/>
          <w:i/>
          <w:iCs/>
          <w:noProof/>
        </w:rPr>
        <w:footnoteReference w:id="69"/>
      </w:r>
      <w:r>
        <w:rPr>
          <w:rFonts w:cs="Times New Roman"/>
          <w:i/>
          <w:iCs/>
          <w:noProof/>
        </w:rPr>
        <w:t xml:space="preserve"> regarding air pollutant emissions from iron and steel plants gives serious cause for concern. Emissions from waste treatment activities remain a concern in three Member States</w:t>
      </w:r>
      <w:r>
        <w:rPr>
          <w:rStyle w:val="FootnoteReference"/>
          <w:rFonts w:cs="Times New Roman"/>
          <w:i/>
          <w:iCs/>
          <w:noProof/>
        </w:rPr>
        <w:footnoteReference w:id="70"/>
      </w:r>
      <w:r>
        <w:rPr>
          <w:rFonts w:cs="Times New Roman"/>
          <w:i/>
          <w:iCs/>
          <w:noProof/>
        </w:rPr>
        <w:t>.</w:t>
      </w:r>
    </w:p>
    <w:p>
      <w:pPr>
        <w:spacing w:before="240"/>
        <w:rPr>
          <w:rFonts w:eastAsia="Calibri" w:cs="Times New Roman"/>
          <w:b/>
          <w:i/>
          <w:noProof/>
        </w:rPr>
      </w:pPr>
      <w:r>
        <w:rPr>
          <w:rFonts w:eastAsia="Calibri" w:cs="Times New Roman"/>
          <w:b/>
          <w:i/>
          <w:noProof/>
        </w:rPr>
        <w:t>Water quality, floods and water management</w:t>
      </w:r>
    </w:p>
    <w:p>
      <w:pPr>
        <w:widowControl w:val="0"/>
        <w:autoSpaceDE w:val="0"/>
        <w:spacing w:line="240" w:lineRule="auto"/>
        <w:rPr>
          <w:rFonts w:cs="Times New Roman"/>
          <w:noProof/>
        </w:rPr>
      </w:pPr>
      <w:r>
        <w:rPr>
          <w:rFonts w:cs="Times New Roman"/>
          <w:noProof/>
        </w:rPr>
        <w:t>The protection of water resources, fresh and seawater ecosystems, and drinking and bathing water is an important component of environmental protection in Europe. The existing body of EU water law</w:t>
      </w:r>
      <w:r>
        <w:rPr>
          <w:rFonts w:cs="Times New Roman"/>
          <w:noProof/>
          <w:vertAlign w:val="superscript"/>
        </w:rPr>
        <w:footnoteReference w:id="71"/>
      </w:r>
      <w:r>
        <w:rPr>
          <w:rFonts w:cs="Times New Roman"/>
          <w:noProof/>
        </w:rPr>
        <w:t xml:space="preserve"> has put in place a framework for the management of freshwater and marine waters as well as addressing specific pollution sources. The Common Fisheries Policy aims to limit the impact of fisheries to levels appropriate to sustainably harvest the productive potential of stocks while limiting ecosystem impacts. </w:t>
      </w:r>
    </w:p>
    <w:p>
      <w:pPr>
        <w:widowControl w:val="0"/>
        <w:autoSpaceDE w:val="0"/>
        <w:spacing w:line="240" w:lineRule="auto"/>
        <w:rPr>
          <w:rFonts w:cs="Times New Roman"/>
          <w:noProof/>
        </w:rPr>
      </w:pPr>
      <w:r>
        <w:rPr>
          <w:rFonts w:cs="Times New Roman"/>
          <w:noProof/>
        </w:rPr>
        <w:t>Europe’s waters are being increasingly affected by climate change. Compliance with EU water law is already helping to manage the effects of a changing climate, by anticipating more droughts and floods. EU water policy holds considerable potential to mitigate climate change, provided effective action is taken now. In addition, EU water policy has helped develop a dynamic world-leading water sector that includes 9 000 small and medium enterprises and provides almost half a million full-time jobs</w:t>
      </w:r>
      <w:r>
        <w:rPr>
          <w:rFonts w:cs="Times New Roman"/>
          <w:noProof/>
          <w:vertAlign w:val="superscript"/>
        </w:rPr>
        <w:footnoteReference w:id="72"/>
      </w:r>
      <w:r>
        <w:rPr>
          <w:rFonts w:cs="Times New Roman"/>
          <w:noProof/>
        </w:rPr>
        <w:t xml:space="preserve">. </w:t>
      </w:r>
    </w:p>
    <w:p>
      <w:pPr>
        <w:spacing w:line="240" w:lineRule="auto"/>
        <w:rPr>
          <w:rFonts w:cs="Times New Roman"/>
          <w:noProof/>
        </w:rPr>
      </w:pPr>
      <w:r>
        <w:rPr>
          <w:rFonts w:cs="Times New Roman"/>
          <w:noProof/>
        </w:rPr>
        <w:t>The Commission’s assessment of Member States’ second river basin management plans under the Water Framework Directive concluded that knowledge and reporting on the Water Framework Directive have significantly improved. The Commission’s assessment of Member States’ first flood risk management plans under the Floods Directive concluded that important steps have been taken, even if the practical degree of elaboration varies. The Commission has taken into account the results of the 2018 EU Water Conference in Vienna</w:t>
      </w:r>
      <w:r>
        <w:rPr>
          <w:rStyle w:val="FootnoteReference"/>
          <w:rFonts w:cs="Times New Roman"/>
          <w:noProof/>
        </w:rPr>
        <w:footnoteReference w:id="73"/>
      </w:r>
      <w:r>
        <w:rPr>
          <w:rFonts w:cs="Times New Roman"/>
          <w:noProof/>
        </w:rPr>
        <w:t xml:space="preserve">, which allowed a range of stakeholders and Member States to provide input regarding the implementation of EU water legislation, showing a mixed picture. </w:t>
      </w:r>
    </w:p>
    <w:p>
      <w:pPr>
        <w:spacing w:line="240" w:lineRule="auto"/>
        <w:rPr>
          <w:rFonts w:cs="Times New Roman"/>
          <w:i/>
          <w:iCs/>
          <w:noProof/>
        </w:rPr>
      </w:pPr>
      <w:r>
        <w:rPr>
          <w:rFonts w:cs="Times New Roman"/>
          <w:i/>
          <w:iCs/>
          <w:noProof/>
        </w:rPr>
        <w:t>Policy findings:</w:t>
      </w:r>
    </w:p>
    <w:p>
      <w:pPr>
        <w:pStyle w:val="ListParagraph"/>
        <w:numPr>
          <w:ilvl w:val="0"/>
          <w:numId w:val="3"/>
        </w:numPr>
        <w:spacing w:line="240" w:lineRule="auto"/>
        <w:contextualSpacing w:val="0"/>
        <w:rPr>
          <w:rFonts w:cs="Times New Roman"/>
          <w:i/>
          <w:iCs/>
          <w:noProof/>
        </w:rPr>
      </w:pPr>
      <w:r>
        <w:rPr>
          <w:rFonts w:cs="Times New Roman"/>
          <w:i/>
          <w:iCs/>
          <w:noProof/>
        </w:rPr>
        <w:t>Based</w:t>
      </w:r>
      <w:r>
        <w:rPr>
          <w:rFonts w:cs="Times New Roman"/>
          <w:noProof/>
        </w:rPr>
        <w:t xml:space="preserve"> </w:t>
      </w:r>
      <w:r>
        <w:rPr>
          <w:rFonts w:cs="Times New Roman"/>
          <w:i/>
          <w:iCs/>
          <w:noProof/>
        </w:rPr>
        <w:t>on the Member States’ second generation of river basin management plans</w:t>
      </w:r>
      <w:r>
        <w:rPr>
          <w:rFonts w:cs="Times New Roman"/>
          <w:i/>
          <w:iCs/>
          <w:noProof/>
          <w:vertAlign w:val="superscript"/>
        </w:rPr>
        <w:footnoteReference w:id="74"/>
      </w:r>
      <w:r>
        <w:rPr>
          <w:rFonts w:cs="Times New Roman"/>
          <w:i/>
          <w:iCs/>
          <w:noProof/>
        </w:rPr>
        <w:t>, the Commission has assessed compliance with the Water Framework Directive objectives and concluded that it is gradually increasing. However, the path towards full compliance with the Water Framework Directive’s objectives by 2027, after which exemption possibilities are limited, seems very challenging at this stage.</w:t>
      </w:r>
    </w:p>
    <w:p>
      <w:pPr>
        <w:pStyle w:val="ListParagraph"/>
        <w:numPr>
          <w:ilvl w:val="0"/>
          <w:numId w:val="3"/>
        </w:numPr>
        <w:spacing w:line="240" w:lineRule="auto"/>
        <w:contextualSpacing w:val="0"/>
        <w:rPr>
          <w:rFonts w:cs="Times New Roman"/>
          <w:i/>
          <w:iCs/>
          <w:noProof/>
        </w:rPr>
      </w:pPr>
      <w:r>
        <w:rPr>
          <w:rFonts w:cs="Times New Roman"/>
          <w:i/>
          <w:iCs/>
          <w:noProof/>
        </w:rPr>
        <w:t xml:space="preserve">Much remains to be done to fully achieve the objectives of the Water Framework Directive and other related Directives. Increased investments are essential to meet these objectives. Member States will benefit from a greater involvement of all relevant market and civil society actors to secure a better enforcement of the polluter pays principle. EU funds will continue to support these implementation efforts. </w:t>
      </w:r>
    </w:p>
    <w:p>
      <w:pPr>
        <w:pStyle w:val="ListParagraph"/>
        <w:numPr>
          <w:ilvl w:val="0"/>
          <w:numId w:val="3"/>
        </w:numPr>
        <w:spacing w:line="240" w:lineRule="auto"/>
        <w:contextualSpacing w:val="0"/>
        <w:rPr>
          <w:rFonts w:cs="Times New Roman"/>
          <w:i/>
          <w:iCs/>
          <w:noProof/>
        </w:rPr>
      </w:pPr>
      <w:r>
        <w:rPr>
          <w:rFonts w:cs="Times New Roman"/>
          <w:i/>
          <w:iCs/>
          <w:noProof/>
        </w:rPr>
        <w:t xml:space="preserve">Although a number of Member States have taken good policy measures, including investments, improvements in water quality will still take some time for many river basins. </w:t>
      </w:r>
    </w:p>
    <w:p>
      <w:pPr>
        <w:pStyle w:val="ListParagraph"/>
        <w:numPr>
          <w:ilvl w:val="0"/>
          <w:numId w:val="3"/>
        </w:numPr>
        <w:spacing w:line="240" w:lineRule="auto"/>
        <w:contextualSpacing w:val="0"/>
        <w:rPr>
          <w:rFonts w:cs="Times New Roman"/>
          <w:i/>
          <w:iCs/>
          <w:noProof/>
        </w:rPr>
      </w:pPr>
      <w:r>
        <w:rPr>
          <w:rFonts w:cs="Times New Roman"/>
          <w:i/>
          <w:iCs/>
          <w:noProof/>
        </w:rPr>
        <w:t xml:space="preserve">While a large majority of groundwater bodies have achieved good status, less than half of surface water bodies are in good status. Nevertheless, trends in several underlying individual quality elements and substances are more positive. </w:t>
      </w:r>
    </w:p>
    <w:p>
      <w:pPr>
        <w:pStyle w:val="ListParagraph"/>
        <w:numPr>
          <w:ilvl w:val="0"/>
          <w:numId w:val="3"/>
        </w:numPr>
        <w:spacing w:line="240" w:lineRule="auto"/>
        <w:contextualSpacing w:val="0"/>
        <w:rPr>
          <w:rFonts w:cs="Times New Roman"/>
          <w:i/>
          <w:iCs/>
          <w:noProof/>
        </w:rPr>
      </w:pPr>
      <w:r>
        <w:rPr>
          <w:rFonts w:cs="Times New Roman"/>
          <w:i/>
          <w:iCs/>
          <w:noProof/>
        </w:rPr>
        <w:t>Pursuing the Flood Directive’s objective of reducing the potential adverse consequences from significant flooding will require sustained efforts from Member States in the following cycles.</w:t>
      </w:r>
    </w:p>
    <w:p>
      <w:pPr>
        <w:pStyle w:val="ListParagraph"/>
        <w:numPr>
          <w:ilvl w:val="0"/>
          <w:numId w:val="3"/>
        </w:numPr>
        <w:spacing w:line="240" w:lineRule="auto"/>
        <w:contextualSpacing w:val="0"/>
        <w:rPr>
          <w:rFonts w:cs="Times New Roman"/>
          <w:i/>
          <w:iCs/>
          <w:noProof/>
        </w:rPr>
      </w:pPr>
      <w:r>
        <w:rPr>
          <w:rFonts w:cs="Times New Roman"/>
          <w:i/>
          <w:iCs/>
          <w:noProof/>
        </w:rPr>
        <w:t>Urban wastewater is still not treated as it should be in many Member States</w:t>
      </w:r>
      <w:r>
        <w:rPr>
          <w:rFonts w:cs="Times New Roman"/>
          <w:i/>
          <w:iCs/>
          <w:noProof/>
          <w:vertAlign w:val="superscript"/>
        </w:rPr>
        <w:footnoteReference w:id="75"/>
      </w:r>
      <w:r>
        <w:rPr>
          <w:rFonts w:cs="Times New Roman"/>
          <w:i/>
          <w:iCs/>
          <w:noProof/>
        </w:rPr>
        <w:t>, which is why most of them are still facing infringement procedures and a few have been subjected to financial penalties. Progress depends on Member States prioritising the investments for urban wastewater treatment plants, including through efficient use of the Cohesion Policy funding where available, and European Investment Bank loans.</w:t>
      </w:r>
    </w:p>
    <w:p>
      <w:pPr>
        <w:pStyle w:val="ListParagraph"/>
        <w:numPr>
          <w:ilvl w:val="0"/>
          <w:numId w:val="3"/>
        </w:numPr>
        <w:spacing w:line="240" w:lineRule="auto"/>
        <w:contextualSpacing w:val="0"/>
        <w:rPr>
          <w:rFonts w:cs="Times New Roman"/>
          <w:i/>
          <w:iCs/>
          <w:noProof/>
        </w:rPr>
      </w:pPr>
      <w:r>
        <w:rPr>
          <w:rFonts w:cs="Times New Roman"/>
          <w:i/>
          <w:iCs/>
          <w:noProof/>
        </w:rPr>
        <w:t>Water pollution from nitrates caused by intensive agricultural practices has decreased in Europe in the last two decades. However, despite this positive overall trend, nitrates pollution and eutrophication continue to cause problems in many Member States</w:t>
      </w:r>
      <w:r>
        <w:rPr>
          <w:rStyle w:val="FootnoteReference"/>
          <w:rFonts w:cs="Times New Roman"/>
          <w:i/>
          <w:iCs/>
          <w:noProof/>
        </w:rPr>
        <w:footnoteReference w:id="76"/>
      </w:r>
      <w:r>
        <w:rPr>
          <w:rFonts w:cs="Times New Roman"/>
          <w:i/>
          <w:iCs/>
          <w:noProof/>
        </w:rPr>
        <w:t>, as agricultural pressures on water quality are still increasing in some areas. Member States should step up their efforts to address diffuse pollution from nitrates and phosphates</w:t>
      </w:r>
      <w:r>
        <w:rPr>
          <w:rFonts w:eastAsia="Arial" w:cs="Times New Roman"/>
          <w:noProof/>
          <w:color w:val="404040"/>
          <w:sz w:val="23"/>
          <w:szCs w:val="23"/>
          <w:lang w:val="en"/>
        </w:rPr>
        <w:t xml:space="preserve">. </w:t>
      </w:r>
    </w:p>
    <w:tbl>
      <w:tblPr>
        <w:tblStyle w:val="TableGrid"/>
        <w:tblW w:w="0" w:type="auto"/>
        <w:shd w:val="clear" w:color="auto" w:fill="EAF1DD" w:themeFill="accent3" w:themeFillTint="33"/>
        <w:tblLook w:val="04A0" w:firstRow="1" w:lastRow="0" w:firstColumn="1" w:lastColumn="0" w:noHBand="0" w:noVBand="1"/>
      </w:tblPr>
      <w:tblGrid>
        <w:gridCol w:w="9196"/>
      </w:tblGrid>
      <w:tr>
        <w:tc>
          <w:tcPr>
            <w:tcW w:w="9196" w:type="dxa"/>
            <w:shd w:val="clear" w:color="auto" w:fill="EAF1DD" w:themeFill="accent3" w:themeFillTint="33"/>
          </w:tcPr>
          <w:p>
            <w:pPr>
              <w:spacing w:line="240" w:lineRule="auto"/>
              <w:rPr>
                <w:rFonts w:cs="Times New Roman"/>
                <w:b/>
                <w:noProof/>
              </w:rPr>
            </w:pPr>
            <w:r>
              <w:rPr>
                <w:rFonts w:cs="Times New Roman"/>
                <w:b/>
                <w:noProof/>
              </w:rPr>
              <w:t>Successful practices:</w:t>
            </w:r>
          </w:p>
          <w:p>
            <w:pPr>
              <w:widowControl w:val="0"/>
              <w:rPr>
                <w:rFonts w:eastAsiaTheme="minorEastAsia" w:cs="Times New Roman"/>
                <w:noProof/>
                <w:lang w:eastAsia="ar-SA"/>
              </w:rPr>
            </w:pPr>
            <w:r>
              <w:rPr>
                <w:rFonts w:eastAsiaTheme="minorEastAsia" w:cs="Times New Roman"/>
                <w:noProof/>
                <w:color w:val="000000" w:themeColor="text1"/>
              </w:rPr>
              <w:t xml:space="preserve">Green infrastructure is being financed within the </w:t>
            </w:r>
            <w:r>
              <w:rPr>
                <w:rFonts w:cs="Times New Roman"/>
                <w:noProof/>
              </w:rPr>
              <w:t xml:space="preserve">SIGMA II plan for the </w:t>
            </w:r>
            <w:r>
              <w:rPr>
                <w:rFonts w:eastAsiaTheme="minorEastAsia" w:cs="Times New Roman"/>
                <w:noProof/>
                <w:lang w:eastAsia="ar-SA"/>
              </w:rPr>
              <w:t xml:space="preserve">Scheldt estuary in </w:t>
            </w:r>
            <w:r>
              <w:rPr>
                <w:rFonts w:eastAsiaTheme="minorEastAsia" w:cs="Times New Roman"/>
                <w:b/>
                <w:bCs/>
                <w:noProof/>
                <w:lang w:eastAsia="ar-SA"/>
              </w:rPr>
              <w:t>Belgium</w:t>
            </w:r>
            <w:r>
              <w:rPr>
                <w:rFonts w:eastAsiaTheme="minorEastAsia" w:cs="Times New Roman"/>
                <w:noProof/>
                <w:lang w:eastAsia="ar-SA"/>
              </w:rPr>
              <w:t>.</w:t>
            </w:r>
          </w:p>
          <w:p>
            <w:pPr>
              <w:widowControl w:val="0"/>
              <w:rPr>
                <w:rFonts w:eastAsiaTheme="minorEastAsia" w:cs="Times New Roman"/>
                <w:noProof/>
                <w:color w:val="000000" w:themeColor="text1"/>
              </w:rPr>
            </w:pPr>
            <w:r>
              <w:rPr>
                <w:rFonts w:eastAsiaTheme="minorEastAsia" w:cs="Times New Roman"/>
                <w:b/>
                <w:bCs/>
                <w:noProof/>
                <w:color w:val="000000" w:themeColor="text1"/>
              </w:rPr>
              <w:t>Luxembourg</w:t>
            </w:r>
            <w:r>
              <w:rPr>
                <w:rFonts w:eastAsiaTheme="minorEastAsia" w:cs="Times New Roman"/>
                <w:noProof/>
                <w:color w:val="000000" w:themeColor="text1"/>
              </w:rPr>
              <w:t xml:space="preserve"> and </w:t>
            </w:r>
            <w:r>
              <w:rPr>
                <w:rFonts w:eastAsiaTheme="minorEastAsia" w:cs="Times New Roman"/>
                <w:b/>
                <w:bCs/>
                <w:noProof/>
                <w:color w:val="000000" w:themeColor="text1"/>
              </w:rPr>
              <w:t>Portugal</w:t>
            </w:r>
            <w:r>
              <w:rPr>
                <w:rFonts w:eastAsiaTheme="minorEastAsia" w:cs="Times New Roman"/>
                <w:noProof/>
                <w:color w:val="000000" w:themeColor="text1"/>
              </w:rPr>
              <w:t xml:space="preserve"> have recently achieved </w:t>
            </w:r>
            <w:r>
              <w:rPr>
                <w:rFonts w:cs="Times New Roman"/>
                <w:noProof/>
              </w:rPr>
              <w:t xml:space="preserve">satisfactory levels of compliance with the requirements of the </w:t>
            </w:r>
            <w:r>
              <w:rPr>
                <w:rFonts w:cs="Times New Roman"/>
                <w:noProof/>
                <w:lang w:eastAsia="ar-SA"/>
              </w:rPr>
              <w:t>Urban Waste Water Treatment Directive despite difficulties in the past. They are good examples of how decisive public</w:t>
            </w:r>
            <w:r>
              <w:rPr>
                <w:rFonts w:cs="Times New Roman"/>
                <w:noProof/>
              </w:rPr>
              <w:t xml:space="preserve"> </w:t>
            </w:r>
            <w:r>
              <w:rPr>
                <w:rFonts w:cs="Times New Roman"/>
                <w:noProof/>
                <w:lang w:eastAsia="ar-SA"/>
              </w:rPr>
              <w:t xml:space="preserve">investments addressing compliance issues can reduce environmental risks and protect citizens in their daily lives. </w:t>
            </w:r>
          </w:p>
        </w:tc>
      </w:tr>
    </w:tbl>
    <w:p>
      <w:pPr>
        <w:spacing w:before="240" w:after="200" w:line="276" w:lineRule="auto"/>
        <w:rPr>
          <w:rFonts w:cs="Times New Roman"/>
          <w:b/>
          <w:bCs/>
          <w:i/>
          <w:iCs/>
          <w:noProof/>
        </w:rPr>
      </w:pPr>
      <w:r>
        <w:rPr>
          <w:rFonts w:cs="Times New Roman"/>
          <w:b/>
          <w:bCs/>
          <w:i/>
          <w:iCs/>
          <w:noProof/>
        </w:rPr>
        <w:t>Chemicals</w:t>
      </w:r>
    </w:p>
    <w:p>
      <w:pPr>
        <w:widowControl w:val="0"/>
        <w:suppressAutoHyphens/>
        <w:spacing w:line="240" w:lineRule="auto"/>
        <w:rPr>
          <w:rFonts w:cs="Times New Roman"/>
          <w:noProof/>
        </w:rPr>
      </w:pPr>
      <w:r>
        <w:rPr>
          <w:rFonts w:cs="Times New Roman"/>
          <w:noProof/>
        </w:rPr>
        <w:t>The environmentally sound management and safe use of chemicals in the Single Market is the primary focus of EU chemicals legislation. The regulations on Registration, Evaluation, Authorisation and Restriction of Chemicals (REACH)</w:t>
      </w:r>
      <w:r>
        <w:rPr>
          <w:rStyle w:val="FootnoteReference"/>
          <w:rFonts w:cs="Times New Roman"/>
          <w:noProof/>
        </w:rPr>
        <w:footnoteReference w:id="77"/>
      </w:r>
      <w:r>
        <w:rPr>
          <w:rFonts w:cs="Times New Roman"/>
          <w:noProof/>
        </w:rPr>
        <w:t xml:space="preserve"> and on Classification, Labelling and Packaging of substances and mixtures (CLP)</w:t>
      </w:r>
      <w:r>
        <w:rPr>
          <w:rStyle w:val="FootnoteReference"/>
          <w:rFonts w:cs="Times New Roman"/>
          <w:noProof/>
        </w:rPr>
        <w:footnoteReference w:id="78"/>
      </w:r>
      <w:r>
        <w:rPr>
          <w:rFonts w:cs="Times New Roman"/>
          <w:noProof/>
        </w:rPr>
        <w:t xml:space="preserve"> are the spearhead of this legislation. However, specific groups of products, such as biocides, pesticides, pharmaceuticals or cosmetics</w:t>
      </w:r>
      <w:r>
        <w:rPr>
          <w:rStyle w:val="FootnoteReference"/>
          <w:rFonts w:cs="Times New Roman"/>
          <w:noProof/>
        </w:rPr>
        <w:footnoteReference w:id="79"/>
      </w:r>
      <w:r>
        <w:rPr>
          <w:rFonts w:cs="Times New Roman"/>
          <w:noProof/>
        </w:rPr>
        <w:t xml:space="preserve">, are covered by their own legislation. </w:t>
      </w:r>
    </w:p>
    <w:p>
      <w:pPr>
        <w:widowControl w:val="0"/>
        <w:suppressAutoHyphens/>
        <w:spacing w:line="240" w:lineRule="auto"/>
        <w:rPr>
          <w:rFonts w:cs="Times New Roman"/>
          <w:noProof/>
        </w:rPr>
      </w:pPr>
      <w:r>
        <w:rPr>
          <w:rFonts w:cs="Times New Roman"/>
          <w:noProof/>
        </w:rPr>
        <w:t>The directly applicable legislation ensures the free circulation of substances in the internal market while increasing competitiveness and encouraging innovation. June 2018 marked the deadline for registration of the last batch of existing substances under REACH, i.e. those manufactured or imported at one tonne or more. This means that REACH only became fully operational in 2018 with the first implementation report expected in 2021 providing a full picture of implementation in the Member States.</w:t>
      </w:r>
    </w:p>
    <w:p>
      <w:pPr>
        <w:widowControl w:val="0"/>
        <w:suppressAutoHyphens/>
        <w:spacing w:line="240" w:lineRule="auto"/>
        <w:rPr>
          <w:rFonts w:cs="Times New Roman"/>
          <w:noProof/>
        </w:rPr>
      </w:pPr>
      <w:r>
        <w:rPr>
          <w:rFonts w:cs="Times New Roman"/>
          <w:noProof/>
        </w:rPr>
        <w:t>Targeted compliance checks are regularly carried out by the European Chemicals Agency (ECHA) to bring registration dossiers into compliance with information requirements. However, shortcomings in this process have been identified in the Commission Communication ‘Report on the operation of REACH’</w:t>
      </w:r>
      <w:r>
        <w:rPr>
          <w:rFonts w:cs="Times New Roman"/>
          <w:noProof/>
          <w:vertAlign w:val="superscript"/>
        </w:rPr>
        <w:footnoteReference w:id="80"/>
      </w:r>
      <w:r>
        <w:rPr>
          <w:rFonts w:cs="Times New Roman"/>
          <w:noProof/>
        </w:rPr>
        <w:t>, and ECHA has been required to significantly increase the efficiency of the evaluation procedures by 2019 through different actions.</w:t>
      </w:r>
    </w:p>
    <w:p>
      <w:pPr>
        <w:widowControl w:val="0"/>
        <w:suppressAutoHyphens/>
        <w:spacing w:line="240" w:lineRule="auto"/>
        <w:rPr>
          <w:rFonts w:cs="Times New Roman"/>
          <w:noProof/>
        </w:rPr>
      </w:pPr>
      <w:r>
        <w:rPr>
          <w:rFonts w:cs="Times New Roman"/>
          <w:noProof/>
        </w:rPr>
        <w:t>While data on the properties of the substances is available at EU level, the above-mentioned Communication has also concluded that “the enforcement of the obligations on all actors, including registrants, downstream users and in particular importers” has to be strengthened. To coordinate and evaluate harmonised enforcement projects and joint inspections, Member States cooperate in the Forum for Exchange of Information on Enforcement established under REACH. An important future task will be better integration of customs border controls to prevent banned substances from entering the internal market on their own or in manufactured articles.</w:t>
      </w:r>
    </w:p>
    <w:p>
      <w:pPr>
        <w:widowControl w:val="0"/>
        <w:suppressAutoHyphens/>
        <w:spacing w:line="240" w:lineRule="auto"/>
        <w:rPr>
          <w:rFonts w:cs="Times New Roman"/>
          <w:noProof/>
        </w:rPr>
      </w:pPr>
      <w:r>
        <w:rPr>
          <w:rFonts w:cs="Times New Roman"/>
          <w:noProof/>
        </w:rPr>
        <w:t xml:space="preserve">The upcoming Environmental Implementation Review cycles will seek to include more information on compliance at Member State level, dealing with issues such as the number and quality of custom checks by national authorities and the capacity of national inspectorates. </w:t>
      </w:r>
    </w:p>
    <w:tbl>
      <w:tblPr>
        <w:tblStyle w:val="TableGrid"/>
        <w:tblW w:w="0" w:type="auto"/>
        <w:shd w:val="clear" w:color="auto" w:fill="EAF1DD" w:themeFill="accent3" w:themeFillTint="33"/>
        <w:tblLook w:val="04A0" w:firstRow="1" w:lastRow="0" w:firstColumn="1" w:lastColumn="0" w:noHBand="0" w:noVBand="1"/>
      </w:tblPr>
      <w:tblGrid>
        <w:gridCol w:w="9242"/>
      </w:tblGrid>
      <w:tr>
        <w:tc>
          <w:tcPr>
            <w:tcW w:w="9242" w:type="dxa"/>
            <w:shd w:val="clear" w:color="auto" w:fill="EAF1DD" w:themeFill="accent3" w:themeFillTint="33"/>
          </w:tcPr>
          <w:p>
            <w:pPr>
              <w:spacing w:line="240" w:lineRule="auto"/>
              <w:rPr>
                <w:rFonts w:cs="Times New Roman"/>
                <w:b/>
                <w:bCs/>
                <w:noProof/>
              </w:rPr>
            </w:pPr>
            <w:r>
              <w:rPr>
                <w:rFonts w:cs="Times New Roman"/>
                <w:b/>
                <w:bCs/>
                <w:noProof/>
              </w:rPr>
              <w:t>Successful practices:</w:t>
            </w:r>
          </w:p>
          <w:p>
            <w:pPr>
              <w:spacing w:line="240" w:lineRule="auto"/>
              <w:rPr>
                <w:rFonts w:cs="Times New Roman"/>
                <w:noProof/>
              </w:rPr>
            </w:pPr>
            <w:r>
              <w:rPr>
                <w:rFonts w:cs="Times New Roman"/>
                <w:b/>
                <w:bCs/>
                <w:noProof/>
              </w:rPr>
              <w:t>Italy</w:t>
            </w:r>
            <w:r>
              <w:rPr>
                <w:rFonts w:cs="Times New Roman"/>
                <w:noProof/>
              </w:rPr>
              <w:t xml:space="preserve"> is using the Commission’s enterprise Europe network to improve awareness of companies of their REACH roles and obligations, a particular challenge considering the high number of micro and small and medium enterprises in the chemical sector in this country. </w:t>
            </w:r>
          </w:p>
          <w:p>
            <w:pPr>
              <w:widowControl w:val="0"/>
              <w:suppressAutoHyphens/>
              <w:spacing w:line="240" w:lineRule="auto"/>
              <w:rPr>
                <w:rFonts w:cs="Times New Roman"/>
                <w:noProof/>
              </w:rPr>
            </w:pPr>
            <w:r>
              <w:rPr>
                <w:rFonts w:cs="Times New Roman"/>
                <w:noProof/>
              </w:rPr>
              <w:t xml:space="preserve">The </w:t>
            </w:r>
            <w:r>
              <w:rPr>
                <w:rFonts w:cs="Times New Roman"/>
                <w:b/>
                <w:bCs/>
                <w:noProof/>
              </w:rPr>
              <w:t xml:space="preserve">Dutch </w:t>
            </w:r>
            <w:r>
              <w:rPr>
                <w:rFonts w:cs="Times New Roman"/>
                <w:noProof/>
              </w:rPr>
              <w:t>government is preparing a ‘</w:t>
            </w:r>
            <w:r>
              <w:rPr>
                <w:rFonts w:eastAsiaTheme="minorEastAsia" w:cs="Times New Roman"/>
                <w:noProof/>
                <w:lang w:eastAsia="ar-SA"/>
              </w:rPr>
              <w:t>National safe chemicals innovation agenda’ (SCIA), an initiative designed to promote safe materials and products that can replace hazardous chemicals. This research agenda aims to serve as guidance for R&amp;D policies at EU and Member State level</w:t>
            </w:r>
            <w:r>
              <w:rPr>
                <w:rStyle w:val="FootnoteReference"/>
                <w:rFonts w:eastAsiaTheme="minorEastAsia" w:cs="Times New Roman"/>
                <w:noProof/>
                <w:lang w:eastAsia="ar-SA"/>
              </w:rPr>
              <w:footnoteReference w:id="81"/>
            </w:r>
            <w:r>
              <w:rPr>
                <w:rFonts w:eastAsiaTheme="minorEastAsia" w:cs="Times New Roman"/>
                <w:noProof/>
                <w:lang w:eastAsia="ar-SA"/>
              </w:rPr>
              <w:t>.</w:t>
            </w:r>
          </w:p>
        </w:tc>
      </w:tr>
    </w:tbl>
    <w:p>
      <w:pPr>
        <w:spacing w:line="240" w:lineRule="auto"/>
        <w:rPr>
          <w:rFonts w:cs="Times New Roman"/>
          <w:noProof/>
        </w:rPr>
      </w:pPr>
    </w:p>
    <w:p>
      <w:pPr>
        <w:pStyle w:val="ListParagraph"/>
        <w:numPr>
          <w:ilvl w:val="1"/>
          <w:numId w:val="5"/>
        </w:numPr>
        <w:rPr>
          <w:rFonts w:cs="Times New Roman"/>
          <w:b/>
          <w:bCs/>
          <w:noProof/>
          <w:sz w:val="24"/>
          <w:szCs w:val="24"/>
        </w:rPr>
      </w:pPr>
      <w:r>
        <w:rPr>
          <w:rFonts w:cs="Times New Roman"/>
          <w:b/>
          <w:bCs/>
          <w:noProof/>
          <w:sz w:val="24"/>
          <w:szCs w:val="24"/>
        </w:rPr>
        <w:t xml:space="preserve"> Green taxation, green public procurement and environmental funding</w:t>
      </w:r>
    </w:p>
    <w:p>
      <w:pPr>
        <w:rPr>
          <w:rFonts w:cs="Times New Roman"/>
          <w:noProof/>
        </w:rPr>
      </w:pPr>
      <w:r>
        <w:rPr>
          <w:rFonts w:cs="Times New Roman"/>
          <w:b/>
          <w:noProof/>
          <w:sz w:val="24"/>
        </w:rPr>
        <w:drawing>
          <wp:anchor distT="0" distB="0" distL="114300" distR="114300" simplePos="0" relativeHeight="251658240" behindDoc="1" locked="0" layoutInCell="1" allowOverlap="1">
            <wp:simplePos x="0" y="0"/>
            <wp:positionH relativeFrom="column">
              <wp:posOffset>3543300</wp:posOffset>
            </wp:positionH>
            <wp:positionV relativeFrom="paragraph">
              <wp:posOffset>55880</wp:posOffset>
            </wp:positionV>
            <wp:extent cx="2293620" cy="3438525"/>
            <wp:effectExtent l="0" t="0" r="0" b="0"/>
            <wp:wrapTight wrapText="bothSides">
              <wp:wrapPolygon edited="0">
                <wp:start x="1076" y="120"/>
                <wp:lineTo x="538" y="4188"/>
                <wp:lineTo x="0" y="11368"/>
                <wp:lineTo x="0" y="11847"/>
                <wp:lineTo x="538" y="20343"/>
                <wp:lineTo x="1794" y="20702"/>
                <wp:lineTo x="4306" y="20942"/>
                <wp:lineTo x="17940" y="20942"/>
                <wp:lineTo x="19914" y="20702"/>
                <wp:lineTo x="20452" y="20343"/>
                <wp:lineTo x="19914" y="17591"/>
                <wp:lineTo x="20990" y="14240"/>
                <wp:lineTo x="20990" y="13762"/>
                <wp:lineTo x="19914" y="11847"/>
                <wp:lineTo x="19914" y="4188"/>
                <wp:lineTo x="19555" y="120"/>
                <wp:lineTo x="1076" y="12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93620" cy="3438525"/>
                    </a:xfrm>
                    <a:prstGeom prst="rect">
                      <a:avLst/>
                    </a:prstGeom>
                    <a:noFill/>
                  </pic:spPr>
                </pic:pic>
              </a:graphicData>
            </a:graphic>
            <wp14:sizeRelH relativeFrom="margin">
              <wp14:pctWidth>0</wp14:pctWidth>
            </wp14:sizeRelH>
            <wp14:sizeRelV relativeFrom="margin">
              <wp14:pctHeight>0</wp14:pctHeight>
            </wp14:sizeRelV>
          </wp:anchor>
        </w:drawing>
      </w:r>
      <w:r>
        <w:rPr>
          <w:rFonts w:cs="Times New Roman"/>
          <w:noProof/>
        </w:rPr>
        <w:t xml:space="preserve">Financial incentives and economic instruments offer an effective and efficient way of achieving environmental policy objectives. The country reports provide an analysis of environmental taxation, the phasing out of environmentally harmful subsidies and green public procurement. The Commission discusses the use of such economic instruments in the broader context of the European Semester and therefore no specific new priority actions are included here. </w:t>
      </w:r>
    </w:p>
    <w:p>
      <w:pPr>
        <w:rPr>
          <w:rFonts w:cs="Times New Roman"/>
          <w:noProof/>
        </w:rPr>
      </w:pPr>
      <w:r>
        <w:rPr>
          <w:rFonts w:cs="Times New Roman"/>
          <w:noProof/>
        </w:rPr>
        <w:t>Dedicated funding is often necessary to achieve environmental goals. Such funding can come from EU and national public funds as well as from loans from the EIB and national banks, and can complement the necessary private investments. The analysis in the country reports attempts to reflect the various sources of public investment and put them into perspective, for instance as a percentage of the GDP</w:t>
      </w:r>
      <w:r>
        <w:rPr>
          <w:rFonts w:cs="Times New Roman"/>
          <w:noProof/>
          <w:vertAlign w:val="superscript"/>
        </w:rPr>
        <w:footnoteReference w:id="82"/>
      </w:r>
      <w:r>
        <w:rPr>
          <w:rFonts w:cs="Times New Roman"/>
          <w:noProof/>
        </w:rPr>
        <w:t>.</w:t>
      </w:r>
    </w:p>
    <w:p>
      <w:pPr>
        <w:spacing w:after="200" w:line="276" w:lineRule="auto"/>
        <w:jc w:val="left"/>
        <w:rPr>
          <w:rFonts w:cs="Times New Roman"/>
          <w:i/>
          <w:iCs/>
          <w:noProof/>
        </w:rPr>
      </w:pPr>
      <w:r>
        <w:rPr>
          <w:rFonts w:cs="Times New Roman"/>
          <w:i/>
          <w:iCs/>
          <w:noProof/>
        </w:rPr>
        <w:t>Policy findings:</w:t>
      </w:r>
    </w:p>
    <w:p>
      <w:pPr>
        <w:pStyle w:val="ListParagraph"/>
        <w:numPr>
          <w:ilvl w:val="0"/>
          <w:numId w:val="3"/>
        </w:numPr>
        <w:spacing w:line="240" w:lineRule="auto"/>
        <w:contextualSpacing w:val="0"/>
        <w:rPr>
          <w:rFonts w:cs="Times New Roman"/>
          <w:i/>
          <w:iCs/>
          <w:noProof/>
        </w:rPr>
      </w:pPr>
      <w:r>
        <w:rPr>
          <w:rFonts w:cs="Times New Roman"/>
          <w:i/>
          <w:iCs/>
          <w:noProof/>
        </w:rPr>
        <w:t>The ratio of environmental taxes to GDP varies from around 1.7 % to 4 %. Several Member States have introduced environmentally related taxes in 2017, including increasing the cost of diesel fuel</w:t>
      </w:r>
      <w:r>
        <w:rPr>
          <w:rFonts w:cs="Times New Roman"/>
          <w:i/>
          <w:iCs/>
          <w:noProof/>
          <w:vertAlign w:val="superscript"/>
        </w:rPr>
        <w:footnoteReference w:id="83"/>
      </w:r>
      <w:r>
        <w:rPr>
          <w:rFonts w:cs="Times New Roman"/>
          <w:i/>
          <w:iCs/>
          <w:noProof/>
        </w:rPr>
        <w:t>, or lowering environmentally harmful subsidies. However, tax advantages for the private use of company cars persist in several Member States impeding progress in dealing with traffic congestion and air pollution</w:t>
      </w:r>
      <w:r>
        <w:rPr>
          <w:rFonts w:cs="Times New Roman"/>
          <w:i/>
          <w:iCs/>
          <w:noProof/>
          <w:vertAlign w:val="superscript"/>
        </w:rPr>
        <w:footnoteReference w:id="84"/>
      </w:r>
      <w:r>
        <w:rPr>
          <w:rFonts w:cs="Times New Roman"/>
          <w:i/>
          <w:iCs/>
          <w:noProof/>
        </w:rPr>
        <w:t>.</w:t>
      </w:r>
    </w:p>
    <w:p>
      <w:pPr>
        <w:pStyle w:val="ListParagraph"/>
        <w:numPr>
          <w:ilvl w:val="0"/>
          <w:numId w:val="3"/>
        </w:numPr>
        <w:spacing w:line="240" w:lineRule="auto"/>
        <w:contextualSpacing w:val="0"/>
        <w:rPr>
          <w:rFonts w:cs="Times New Roman"/>
          <w:i/>
          <w:iCs/>
          <w:noProof/>
        </w:rPr>
      </w:pPr>
      <w:r>
        <w:rPr>
          <w:rFonts w:cs="Times New Roman"/>
          <w:i/>
          <w:iCs/>
          <w:noProof/>
        </w:rPr>
        <w:t>Within the European Structural and Investment Funds (ESIF), ‘environmental protection and resource efficiency’ constitutes the highest allocation in the 2014-20 period in 12 Member States</w:t>
      </w:r>
      <w:r>
        <w:rPr>
          <w:rStyle w:val="FootnoteReference"/>
          <w:rFonts w:cs="Times New Roman"/>
          <w:i/>
          <w:iCs/>
          <w:noProof/>
        </w:rPr>
        <w:footnoteReference w:id="85"/>
      </w:r>
      <w:r>
        <w:rPr>
          <w:rFonts w:cs="Times New Roman"/>
          <w:i/>
          <w:iCs/>
          <w:noProof/>
        </w:rPr>
        <w:t>. In addition, the EU allocations for environment were higher than the national government public expenditure on environment in the period 2014-2018 for 11 Member States</w:t>
      </w:r>
      <w:r>
        <w:rPr>
          <w:rStyle w:val="FootnoteReference"/>
          <w:rFonts w:cs="Times New Roman"/>
          <w:i/>
          <w:iCs/>
          <w:noProof/>
        </w:rPr>
        <w:footnoteReference w:id="86"/>
      </w:r>
      <w:r>
        <w:rPr>
          <w:rFonts w:cs="Times New Roman"/>
          <w:i/>
          <w:iCs/>
          <w:noProof/>
        </w:rPr>
        <w:t xml:space="preserve">. </w:t>
      </w:r>
    </w:p>
    <w:tbl>
      <w:tblPr>
        <w:tblStyle w:val="TableGrid"/>
        <w:tblpPr w:leftFromText="180" w:rightFromText="180" w:vertAnchor="text" w:horzAnchor="margin" w:tblpY="1470"/>
        <w:tblW w:w="0" w:type="auto"/>
        <w:shd w:val="clear" w:color="auto" w:fill="EAF1DD" w:themeFill="accent3" w:themeFillTint="33"/>
        <w:tblLook w:val="04A0" w:firstRow="1" w:lastRow="0" w:firstColumn="1" w:lastColumn="0" w:noHBand="0" w:noVBand="1"/>
      </w:tblPr>
      <w:tblGrid>
        <w:gridCol w:w="9242"/>
      </w:tblGrid>
      <w:tr>
        <w:tc>
          <w:tcPr>
            <w:tcW w:w="9242" w:type="dxa"/>
            <w:shd w:val="clear" w:color="auto" w:fill="EAF1DD" w:themeFill="accent3" w:themeFillTint="33"/>
          </w:tcPr>
          <w:p>
            <w:pPr>
              <w:spacing w:line="240" w:lineRule="auto"/>
              <w:rPr>
                <w:rFonts w:cs="Times New Roman"/>
                <w:b/>
                <w:bCs/>
                <w:noProof/>
              </w:rPr>
            </w:pPr>
            <w:r>
              <w:rPr>
                <w:rFonts w:cs="Times New Roman"/>
                <w:b/>
                <w:bCs/>
                <w:noProof/>
              </w:rPr>
              <w:t>Successful practices:</w:t>
            </w:r>
          </w:p>
          <w:p>
            <w:pPr>
              <w:rPr>
                <w:rFonts w:cs="Times New Roman"/>
                <w:noProof/>
              </w:rPr>
            </w:pPr>
            <w:r>
              <w:rPr>
                <w:rFonts w:cs="Times New Roman"/>
                <w:noProof/>
              </w:rPr>
              <w:t xml:space="preserve">The landfill tax in the </w:t>
            </w:r>
            <w:r>
              <w:rPr>
                <w:rFonts w:cs="Times New Roman"/>
                <w:b/>
                <w:bCs/>
                <w:noProof/>
              </w:rPr>
              <w:t>United Kingdom</w:t>
            </w:r>
            <w:r>
              <w:rPr>
                <w:rFonts w:cs="Times New Roman"/>
                <w:noProof/>
              </w:rPr>
              <w:t xml:space="preserve"> has begun to produce clear impacts on reducing landfilling. The increasing landfill tax – currently one of the highest in Europe - has effectively reduced the disposal of waste, thus maximising the recycling of dry materials and food waste.</w:t>
            </w:r>
          </w:p>
          <w:p>
            <w:pPr>
              <w:rPr>
                <w:rFonts w:cs="Times New Roman"/>
                <w:noProof/>
              </w:rPr>
            </w:pPr>
            <w:r>
              <w:rPr>
                <w:rFonts w:cs="Times New Roman"/>
                <w:b/>
                <w:bCs/>
                <w:noProof/>
              </w:rPr>
              <w:t>Austria</w:t>
            </w:r>
            <w:r>
              <w:rPr>
                <w:rFonts w:cs="Times New Roman"/>
                <w:noProof/>
              </w:rPr>
              <w:t xml:space="preserve"> has established a platform and help-desk to facilitate the exchange of experiences between green public procurement officers on different governmental levels. </w:t>
            </w:r>
          </w:p>
          <w:p>
            <w:pPr>
              <w:spacing w:line="240" w:lineRule="auto"/>
              <w:rPr>
                <w:rFonts w:cs="Times New Roman"/>
                <w:noProof/>
              </w:rPr>
            </w:pPr>
            <w:r>
              <w:rPr>
                <w:rFonts w:cs="Times New Roman"/>
                <w:b/>
                <w:bCs/>
                <w:noProof/>
              </w:rPr>
              <w:t>Poland</w:t>
            </w:r>
            <w:r>
              <w:rPr>
                <w:rFonts w:cs="Times New Roman"/>
                <w:noProof/>
              </w:rPr>
              <w:t xml:space="preserve"> has a wastewater fee, the revenue of which is used for environmental protection investments. </w:t>
            </w:r>
            <w:r>
              <w:rPr>
                <w:rFonts w:cs="Times New Roman"/>
                <w:b/>
                <w:bCs/>
                <w:noProof/>
              </w:rPr>
              <w:t>Sweden</w:t>
            </w:r>
            <w:r>
              <w:rPr>
                <w:rFonts w:cs="Times New Roman"/>
                <w:noProof/>
              </w:rPr>
              <w:t xml:space="preserve"> has NO</w:t>
            </w:r>
            <w:r>
              <w:rPr>
                <w:rFonts w:cs="Times New Roman"/>
                <w:noProof/>
                <w:vertAlign w:val="subscript"/>
              </w:rPr>
              <w:t>x</w:t>
            </w:r>
            <w:r>
              <w:rPr>
                <w:rFonts w:cs="Times New Roman"/>
                <w:noProof/>
              </w:rPr>
              <w:t xml:space="preserve"> and SO</w:t>
            </w:r>
            <w:r>
              <w:rPr>
                <w:rFonts w:cs="Times New Roman"/>
                <w:noProof/>
                <w:vertAlign w:val="subscript"/>
              </w:rPr>
              <w:t>2</w:t>
            </w:r>
            <w:r>
              <w:rPr>
                <w:rFonts w:cs="Times New Roman"/>
                <w:noProof/>
              </w:rPr>
              <w:t xml:space="preserve"> taxes in place, which has led to the reduction of these air pollutants; and in 2018 taxes on chemicals, air travel as well as a system of indexation of environmental taxes were introduced. </w:t>
            </w:r>
            <w:r>
              <w:rPr>
                <w:rFonts w:cs="Times New Roman"/>
                <w:b/>
                <w:bCs/>
                <w:noProof/>
              </w:rPr>
              <w:t>Croatia</w:t>
            </w:r>
            <w:r>
              <w:rPr>
                <w:rFonts w:cs="Times New Roman"/>
                <w:noProof/>
              </w:rPr>
              <w:t xml:space="preserve"> has a Forest Public Benefit Function Fee, which requires companies to contribute financially to forest management. Baden-Wurttemberg (</w:t>
            </w:r>
            <w:r>
              <w:rPr>
                <w:rFonts w:cs="Times New Roman"/>
                <w:b/>
                <w:bCs/>
                <w:noProof/>
              </w:rPr>
              <w:t>Germany</w:t>
            </w:r>
            <w:r>
              <w:rPr>
                <w:rFonts w:cs="Times New Roman"/>
                <w:noProof/>
              </w:rPr>
              <w:t>) remunerates farmers for having wildflower species in their grassland</w:t>
            </w:r>
          </w:p>
        </w:tc>
      </w:tr>
    </w:tbl>
    <w:p>
      <w:pPr>
        <w:pStyle w:val="ListParagraph"/>
        <w:numPr>
          <w:ilvl w:val="0"/>
          <w:numId w:val="3"/>
        </w:numPr>
        <w:spacing w:line="240" w:lineRule="auto"/>
        <w:contextualSpacing w:val="0"/>
        <w:rPr>
          <w:rFonts w:cs="Times New Roman"/>
          <w:i/>
          <w:iCs/>
          <w:noProof/>
        </w:rPr>
      </w:pPr>
      <w:r>
        <w:rPr>
          <w:rFonts w:cs="Times New Roman"/>
          <w:i/>
          <w:iCs/>
          <w:noProof/>
        </w:rPr>
        <w:t>In several Member States, the main challenge for environmental financing is to ensure that it remains at an adequate level</w:t>
      </w:r>
      <w:r>
        <w:rPr>
          <w:rFonts w:cs="Times New Roman"/>
          <w:noProof/>
          <w:vertAlign w:val="superscript"/>
        </w:rPr>
        <w:footnoteReference w:id="87"/>
      </w:r>
      <w:r>
        <w:rPr>
          <w:rFonts w:cs="Times New Roman"/>
          <w:i/>
          <w:iCs/>
          <w:noProof/>
        </w:rPr>
        <w:t>. In some Member States, there is an issue with the effective use of EU funds</w:t>
      </w:r>
      <w:r>
        <w:rPr>
          <w:rFonts w:cs="Times New Roman"/>
          <w:noProof/>
          <w:vertAlign w:val="superscript"/>
        </w:rPr>
        <w:footnoteReference w:id="88"/>
      </w:r>
      <w:r>
        <w:rPr>
          <w:rFonts w:cs="Times New Roman"/>
          <w:i/>
          <w:iCs/>
          <w:noProof/>
        </w:rPr>
        <w:t>, sometimes caused by insufficient capacity of the administrations. Redirecting the funds to non-environment projects may avoid losing money, but this may trigger delays regarding environmental implementation.</w:t>
      </w:r>
    </w:p>
    <w:p>
      <w:pPr>
        <w:spacing w:before="240"/>
        <w:rPr>
          <w:rFonts w:cs="Times New Roman"/>
          <w:b/>
          <w:bCs/>
          <w:noProof/>
          <w:sz w:val="24"/>
          <w:szCs w:val="24"/>
        </w:rPr>
      </w:pPr>
      <w:r>
        <w:rPr>
          <w:rFonts w:cs="Times New Roman"/>
          <w:b/>
          <w:bCs/>
          <w:noProof/>
          <w:sz w:val="24"/>
          <w:szCs w:val="24"/>
        </w:rPr>
        <w:t xml:space="preserve">2.6. </w:t>
      </w:r>
      <w:r>
        <w:rPr>
          <w:rFonts w:cs="Times New Roman"/>
          <w:b/>
          <w:noProof/>
          <w:sz w:val="24"/>
        </w:rPr>
        <w:tab/>
      </w:r>
      <w:r>
        <w:rPr>
          <w:rFonts w:cs="Times New Roman"/>
          <w:b/>
          <w:bCs/>
          <w:noProof/>
          <w:sz w:val="24"/>
          <w:szCs w:val="24"/>
        </w:rPr>
        <w:t>Supporting multilateral action</w:t>
      </w:r>
    </w:p>
    <w:p>
      <w:pPr>
        <w:rPr>
          <w:rFonts w:cs="Times New Roman"/>
          <w:noProof/>
        </w:rPr>
      </w:pPr>
      <w:r>
        <w:rPr>
          <w:rFonts w:cs="Times New Roman"/>
          <w:noProof/>
        </w:rPr>
        <w:t xml:space="preserve">The EU is committed to strengthening environmental laws and its implementation globally, inter alia by supporting the Global Pact for the Environment process, which was endorsed by the United Nations (UN) General Assembly in May 2018. The Paris agreement on climate change is also of crucial importance, and both the Commission and the Member States work actively on its full implementation. In addition, as part of its international obligations and in light of the global nature of environmental challenges and opportunities, the EU is committed to supporting environmental protection in partner countries through its international cooperation and development mechanisms. </w:t>
      </w:r>
    </w:p>
    <w:p>
      <w:pPr>
        <w:rPr>
          <w:rFonts w:cs="Times New Roman"/>
          <w:noProof/>
        </w:rPr>
      </w:pPr>
      <w:r>
        <w:rPr>
          <w:rFonts w:cs="Times New Roman"/>
          <w:noProof/>
        </w:rPr>
        <w:t xml:space="preserve">The Environmental Implementation Review is one of the tools to ensure that Member States give a good example by respecting European environmental policies, laws and international agreements, and therefore continues to monitor the ratification status and implementation of international agreements. </w:t>
      </w:r>
    </w:p>
    <w:p>
      <w:pPr>
        <w:rPr>
          <w:rFonts w:cs="Times New Roman"/>
          <w:noProof/>
        </w:rPr>
      </w:pPr>
      <w:r>
        <w:rPr>
          <w:rFonts w:cs="Times New Roman"/>
          <w:noProof/>
        </w:rPr>
        <w:t>The new country reports also look into the administrative frameworks for dealing with international trade in tropical timber, access to genetic resources and international wildlife trade. The EU Timber Regulation is an example of concrete support by the European Commission; in 2018, two multi-country workshops were organised on how to improve its implementation, under the TAIEX-EIR Peer to Peer tool, with the participation of twelve Member States.</w:t>
      </w:r>
    </w:p>
    <w:p>
      <w:pPr>
        <w:rPr>
          <w:rFonts w:cs="Times New Roman"/>
          <w:noProof/>
        </w:rPr>
      </w:pPr>
      <w:r>
        <w:rPr>
          <w:rFonts w:cs="Times New Roman"/>
          <w:noProof/>
        </w:rPr>
        <w:t>Good environmental implementation within the EU is essential to achieve full implementation of the Sustainable Development Goals (SDGs), agreed in 2015. This concerns in particular the goals on protecting water ecosystems from pollution and using water sustainably (SDG6), sustainable consumption and production (SDG12), climate action (SDG13), protecting marine ecosystems (SDG14), and tackling the pressures on Europe’s natural capital (SDG15). To tackle environmental implementation gaps, it is key to have effective institutions and governance (SDG16), and to improve policy coherence and stimulate collaboration in multi-stakeholder partnerships (SDG17). The sustainable development goals also stimulate environmental integration because they link environmental, social and economic policies into a coherent framework.</w:t>
      </w:r>
    </w:p>
    <w:p>
      <w:pPr>
        <w:rPr>
          <w:rFonts w:cs="Times New Roman"/>
          <w:i/>
          <w:iCs/>
          <w:noProof/>
        </w:rPr>
      </w:pPr>
      <w:r>
        <w:rPr>
          <w:rFonts w:cs="Times New Roman"/>
          <w:i/>
          <w:iCs/>
          <w:noProof/>
        </w:rPr>
        <w:t>Policy findings:</w:t>
      </w:r>
    </w:p>
    <w:p>
      <w:pPr>
        <w:pStyle w:val="ListParagraph"/>
        <w:numPr>
          <w:ilvl w:val="0"/>
          <w:numId w:val="3"/>
        </w:numPr>
        <w:spacing w:line="240" w:lineRule="auto"/>
        <w:contextualSpacing w:val="0"/>
        <w:rPr>
          <w:rFonts w:cs="Times New Roman"/>
          <w:i/>
          <w:iCs/>
          <w:noProof/>
        </w:rPr>
      </w:pPr>
      <w:r>
        <w:rPr>
          <w:rFonts w:cs="Times New Roman"/>
          <w:i/>
          <w:iCs/>
          <w:noProof/>
        </w:rPr>
        <w:t>Many Member States still need to sign and ratify one or more multilateral environmental agreements</w:t>
      </w:r>
      <w:r>
        <w:rPr>
          <w:noProof/>
          <w:vertAlign w:val="superscript"/>
        </w:rPr>
        <w:footnoteReference w:id="89"/>
      </w:r>
      <w:r>
        <w:rPr>
          <w:rFonts w:cs="Times New Roman"/>
          <w:i/>
          <w:iCs/>
          <w:noProof/>
        </w:rPr>
        <w:t>.</w:t>
      </w:r>
    </w:p>
    <w:p>
      <w:pPr>
        <w:pStyle w:val="ListParagraph"/>
        <w:numPr>
          <w:ilvl w:val="0"/>
          <w:numId w:val="3"/>
        </w:numPr>
        <w:spacing w:line="240" w:lineRule="auto"/>
        <w:contextualSpacing w:val="0"/>
        <w:rPr>
          <w:rFonts w:cs="Times New Roman"/>
          <w:i/>
          <w:iCs/>
          <w:noProof/>
        </w:rPr>
      </w:pPr>
      <w:r>
        <w:rPr>
          <w:rFonts w:cs="Times New Roman"/>
          <w:i/>
          <w:iCs/>
          <w:noProof/>
        </w:rPr>
        <w:t xml:space="preserve">Some Member States should improve their implementation of the EU rules on the use of genetic resources, and several countries are not yet fully implementing the rules on tropical timber. </w:t>
      </w:r>
    </w:p>
    <w:tbl>
      <w:tblPr>
        <w:tblStyle w:val="TableGrid"/>
        <w:tblpPr w:leftFromText="180" w:rightFromText="180" w:vertAnchor="text" w:horzAnchor="margin" w:tblpY="67"/>
        <w:tblOverlap w:val="never"/>
        <w:tblW w:w="9242" w:type="dxa"/>
        <w:shd w:val="clear" w:color="auto" w:fill="EAF1DD" w:themeFill="accent3" w:themeFillTint="33"/>
        <w:tblLook w:val="04A0" w:firstRow="1" w:lastRow="0" w:firstColumn="1" w:lastColumn="0" w:noHBand="0" w:noVBand="1"/>
      </w:tblPr>
      <w:tblGrid>
        <w:gridCol w:w="9242"/>
      </w:tblGrid>
      <w:tr>
        <w:trPr>
          <w:trHeight w:val="1550"/>
        </w:trPr>
        <w:tc>
          <w:tcPr>
            <w:tcW w:w="9242" w:type="dxa"/>
            <w:shd w:val="clear" w:color="auto" w:fill="EAF1DD" w:themeFill="accent3" w:themeFillTint="33"/>
          </w:tcPr>
          <w:p>
            <w:pPr>
              <w:spacing w:after="200" w:line="240" w:lineRule="auto"/>
              <w:jc w:val="left"/>
              <w:rPr>
                <w:rFonts w:cs="Times New Roman"/>
                <w:b/>
                <w:bCs/>
                <w:noProof/>
              </w:rPr>
            </w:pPr>
            <w:r>
              <w:rPr>
                <w:rFonts w:cs="Times New Roman"/>
                <w:b/>
                <w:bCs/>
                <w:noProof/>
              </w:rPr>
              <w:t>Successful practices:</w:t>
            </w:r>
          </w:p>
          <w:p>
            <w:pPr>
              <w:pStyle w:val="CommentText"/>
              <w:rPr>
                <w:rFonts w:cs="Times New Roman"/>
                <w:noProof/>
              </w:rPr>
            </w:pPr>
            <w:r>
              <w:rPr>
                <w:rFonts w:cs="Times New Roman"/>
                <w:noProof/>
                <w:sz w:val="22"/>
                <w:szCs w:val="22"/>
              </w:rPr>
              <w:t xml:space="preserve">Horizontal coordination of actions to achieve the SDGs is gaining momentum in Europe. </w:t>
            </w:r>
            <w:r>
              <w:rPr>
                <w:rFonts w:cs="Times New Roman"/>
                <w:b/>
                <w:bCs/>
                <w:noProof/>
                <w:sz w:val="22"/>
                <w:szCs w:val="22"/>
              </w:rPr>
              <w:t>Spain</w:t>
            </w:r>
            <w:r>
              <w:rPr>
                <w:rFonts w:cs="Times New Roman"/>
                <w:noProof/>
                <w:sz w:val="22"/>
                <w:szCs w:val="22"/>
              </w:rPr>
              <w:t xml:space="preserve"> appointed a High Commissioner for the 2030 Agenda, who reports directly to the President of the Government. </w:t>
            </w:r>
            <w:r>
              <w:rPr>
                <w:rFonts w:cs="Times New Roman"/>
                <w:b/>
                <w:bCs/>
                <w:noProof/>
                <w:sz w:val="22"/>
                <w:szCs w:val="22"/>
              </w:rPr>
              <w:t>France</w:t>
            </w:r>
            <w:r>
              <w:rPr>
                <w:rFonts w:cs="Times New Roman"/>
                <w:noProof/>
                <w:sz w:val="22"/>
                <w:szCs w:val="22"/>
              </w:rPr>
              <w:t xml:space="preserve"> has appointed an Inter-ministerial Delegate for Sustainable Development under the authority of the Prime Minister.</w:t>
            </w:r>
          </w:p>
        </w:tc>
      </w:tr>
    </w:tbl>
    <w:p>
      <w:pPr>
        <w:pStyle w:val="ListParagraph"/>
        <w:numPr>
          <w:ilvl w:val="0"/>
          <w:numId w:val="5"/>
        </w:numPr>
        <w:spacing w:before="240"/>
        <w:rPr>
          <w:rFonts w:cs="Times New Roman"/>
          <w:b/>
          <w:bCs/>
          <w:noProof/>
          <w:sz w:val="28"/>
          <w:szCs w:val="28"/>
        </w:rPr>
      </w:pPr>
      <w:r>
        <w:rPr>
          <w:rFonts w:cs="Times New Roman"/>
          <w:b/>
          <w:bCs/>
          <w:noProof/>
          <w:sz w:val="28"/>
          <w:szCs w:val="28"/>
        </w:rPr>
        <w:t>Strengthening environmental governance</w:t>
      </w:r>
    </w:p>
    <w:p>
      <w:pPr>
        <w:pStyle w:val="ListParagraph"/>
        <w:ind w:left="360"/>
        <w:rPr>
          <w:rFonts w:cs="Times New Roman"/>
          <w:b/>
          <w:noProof/>
          <w:sz w:val="24"/>
        </w:rPr>
      </w:pPr>
    </w:p>
    <w:p>
      <w:pPr>
        <w:pStyle w:val="ListParagraph"/>
        <w:numPr>
          <w:ilvl w:val="1"/>
          <w:numId w:val="18"/>
        </w:numPr>
        <w:rPr>
          <w:rFonts w:cs="Times New Roman"/>
          <w:b/>
          <w:bCs/>
          <w:noProof/>
          <w:sz w:val="24"/>
          <w:szCs w:val="24"/>
        </w:rPr>
      </w:pPr>
      <w:r>
        <w:rPr>
          <w:rFonts w:cs="Times New Roman"/>
          <w:b/>
          <w:bCs/>
          <w:noProof/>
          <w:sz w:val="24"/>
          <w:szCs w:val="24"/>
        </w:rPr>
        <w:t xml:space="preserve"> Environmental governance</w:t>
      </w:r>
    </w:p>
    <w:p>
      <w:pPr>
        <w:rPr>
          <w:rFonts w:cs="Times New Roman"/>
          <w:noProof/>
        </w:rPr>
      </w:pPr>
      <w:r>
        <w:rPr>
          <w:rFonts w:cs="Times New Roman"/>
          <w:noProof/>
        </w:rPr>
        <w:t>The quality of Member States’ public administration has a significant impact on the results of EU policies. According to a 2018 study</w:t>
      </w:r>
      <w:r>
        <w:rPr>
          <w:rStyle w:val="FootnoteReference"/>
          <w:rFonts w:cs="Times New Roman"/>
          <w:noProof/>
        </w:rPr>
        <w:footnoteReference w:id="90"/>
      </w:r>
      <w:r>
        <w:rPr>
          <w:rFonts w:cs="Times New Roman"/>
          <w:noProof/>
        </w:rPr>
        <w:t xml:space="preserve">, the quality of a country's public services correlates with the level of trust in public administration, the ease of doing business, and societal well-being. </w:t>
      </w:r>
    </w:p>
    <w:p>
      <w:pPr>
        <w:rPr>
          <w:rFonts w:cs="Times New Roman"/>
          <w:noProof/>
        </w:rPr>
      </w:pPr>
      <w:r>
        <w:rPr>
          <w:rFonts w:cs="Times New Roman"/>
          <w:noProof/>
        </w:rPr>
        <w:t>The 2017 Environmental Implementation Review identified a number of common root causes of implementation gaps related to governance</w:t>
      </w:r>
      <w:r>
        <w:rPr>
          <w:rStyle w:val="FootnoteReference"/>
          <w:rFonts w:cs="Times New Roman"/>
          <w:noProof/>
        </w:rPr>
        <w:footnoteReference w:id="91"/>
      </w:r>
      <w:r>
        <w:rPr>
          <w:rFonts w:cs="Times New Roman"/>
          <w:noProof/>
        </w:rPr>
        <w:t>, but a more systematic analysis was needed. An assessment of the environmental governance performance of the Member States has been launched as a first step towards mutual learning and finding tailor-made solutions</w:t>
      </w:r>
      <w:r>
        <w:rPr>
          <w:rStyle w:val="FootnoteReference"/>
          <w:rFonts w:cs="Times New Roman"/>
          <w:noProof/>
        </w:rPr>
        <w:footnoteReference w:id="92"/>
      </w:r>
      <w:r>
        <w:rPr>
          <w:rFonts w:cs="Times New Roman"/>
          <w:noProof/>
        </w:rPr>
        <w:t>. The Commission will discuss, within the Environmental Compliance and Governance Forum</w:t>
      </w:r>
      <w:r>
        <w:rPr>
          <w:rStyle w:val="FootnoteReference"/>
          <w:rFonts w:cs="Times New Roman"/>
          <w:noProof/>
        </w:rPr>
        <w:footnoteReference w:id="93"/>
      </w:r>
      <w:r>
        <w:rPr>
          <w:rFonts w:cs="Times New Roman"/>
          <w:noProof/>
        </w:rPr>
        <w:t xml:space="preserve"> and in the Environmental Implementation Review expert group</w:t>
      </w:r>
      <w:r>
        <w:rPr>
          <w:rStyle w:val="FootnoteReference"/>
          <w:rFonts w:cs="Times New Roman"/>
          <w:noProof/>
        </w:rPr>
        <w:footnoteReference w:id="94"/>
      </w:r>
      <w:r>
        <w:rPr>
          <w:rFonts w:cs="Times New Roman"/>
          <w:noProof/>
        </w:rPr>
        <w:t>, how the results and data collected within the project can be used and updated to underpin future Environmental Implementation Review cycles.</w:t>
      </w:r>
    </w:p>
    <w:p>
      <w:pPr>
        <w:rPr>
          <w:rFonts w:cs="Times New Roman"/>
          <w:noProof/>
        </w:rPr>
      </w:pPr>
      <w:r>
        <w:rPr>
          <w:rFonts w:cs="Times New Roman"/>
          <w:noProof/>
        </w:rPr>
        <w:t>In terms of progress since 2017, the important standards for transparency, public participation and access to justice set by the Aarhus Convention</w:t>
      </w:r>
      <w:r>
        <w:rPr>
          <w:rStyle w:val="FootnoteReference"/>
          <w:rFonts w:cs="Times New Roman"/>
          <w:noProof/>
        </w:rPr>
        <w:footnoteReference w:id="95"/>
      </w:r>
      <w:r>
        <w:rPr>
          <w:rFonts w:cs="Times New Roman"/>
          <w:noProof/>
        </w:rPr>
        <w:t xml:space="preserve"> have not yet been fully realised across the EU. Further efforts in these areas would benefit citizens, businesses and administrations. The right of concerned stakeholders to bring legal challenges before national courts, often based on the judgments of the Court of Justice of the European Union, is increasingly recognised. To facilitate judicial action by natural and legal persons, an interpretative communication on access to justice in environmental matters was adopted in 2017</w:t>
      </w:r>
      <w:r>
        <w:rPr>
          <w:rStyle w:val="FootnoteReference"/>
          <w:rFonts w:cs="Times New Roman"/>
          <w:noProof/>
        </w:rPr>
        <w:footnoteReference w:id="96"/>
      </w:r>
      <w:r>
        <w:rPr>
          <w:rFonts w:cs="Times New Roman"/>
          <w:noProof/>
        </w:rPr>
        <w:t xml:space="preserve">. </w:t>
      </w:r>
    </w:p>
    <w:p>
      <w:pPr>
        <w:rPr>
          <w:rFonts w:cs="Times New Roman"/>
          <w:noProof/>
        </w:rPr>
      </w:pPr>
      <w:r>
        <w:rPr>
          <w:rFonts w:cs="Times New Roman"/>
          <w:noProof/>
        </w:rPr>
        <w:t>In addition, the Action Plan on Compliance Assurance</w:t>
      </w:r>
      <w:r>
        <w:rPr>
          <w:rStyle w:val="FootnoteReference"/>
          <w:rFonts w:cs="Times New Roman"/>
          <w:noProof/>
        </w:rPr>
        <w:footnoteReference w:id="97"/>
      </w:r>
      <w:r>
        <w:rPr>
          <w:rFonts w:cs="Times New Roman"/>
          <w:noProof/>
        </w:rPr>
        <w:t xml:space="preserve"> adopted at the beginning of 2018 is set to deliver good practices and guidance on how to handle complaints, combat environmental crime and ensure compliance in rural areas, as well as a wider framework for assessing how Member States achieve environmental compliance. </w:t>
      </w:r>
    </w:p>
    <w:p>
      <w:pPr>
        <w:rPr>
          <w:rFonts w:cs="Times New Roman"/>
          <w:noProof/>
        </w:rPr>
      </w:pPr>
      <w:r>
        <w:rPr>
          <w:rFonts w:cs="Times New Roman"/>
          <w:noProof/>
        </w:rPr>
        <w:t>The Regulation on the governance of the energy union and climate action entered into force in December 2018, and will significantly strengthen the integration between energy, climate and environment policies, notably with the obligation for Member States to prepare National energy and climate plans</w:t>
      </w:r>
      <w:r>
        <w:rPr>
          <w:rStyle w:val="FootnoteReference"/>
          <w:rFonts w:cs="Times New Roman"/>
          <w:noProof/>
        </w:rPr>
        <w:footnoteReference w:id="98"/>
      </w:r>
      <w:r>
        <w:rPr>
          <w:rFonts w:cs="Times New Roman"/>
          <w:noProof/>
        </w:rPr>
        <w:t>.</w:t>
      </w:r>
    </w:p>
    <w:p>
      <w:pPr>
        <w:rPr>
          <w:rFonts w:cs="Times New Roman"/>
          <w:noProof/>
        </w:rPr>
      </w:pPr>
      <w:r>
        <w:rPr>
          <w:rFonts w:cs="Times New Roman"/>
          <w:noProof/>
        </w:rPr>
        <w:t>The need to address environmental crime, and especially wildlife and waste trafficking, has been recognised as a priority as part of the EU policy against organised crime for the period 2018-2021</w:t>
      </w:r>
      <w:r>
        <w:rPr>
          <w:rStyle w:val="FootnoteReference"/>
          <w:rFonts w:cs="Times New Roman"/>
          <w:noProof/>
        </w:rPr>
        <w:footnoteReference w:id="99"/>
      </w:r>
      <w:r>
        <w:rPr>
          <w:rFonts w:cs="Times New Roman"/>
          <w:noProof/>
        </w:rPr>
        <w:t xml:space="preserve">. As a result, many concrete actions, led by enforcement agencies in the Member States, with support from Europol and EU funding, have been carried out throughout the EU against various types of environmental offences. </w:t>
      </w:r>
    </w:p>
    <w:p>
      <w:pPr>
        <w:rPr>
          <w:rFonts w:cs="Times New Roman"/>
          <w:noProof/>
        </w:rPr>
      </w:pPr>
      <w:r>
        <w:rPr>
          <w:rFonts w:cs="Times New Roman"/>
          <w:noProof/>
        </w:rPr>
        <w:t>Not least, the networks of professionals (e.g. IMPEL</w:t>
      </w:r>
      <w:r>
        <w:rPr>
          <w:rStyle w:val="FootnoteReference"/>
          <w:rFonts w:cs="Times New Roman"/>
          <w:noProof/>
        </w:rPr>
        <w:footnoteReference w:id="100"/>
      </w:r>
      <w:r>
        <w:rPr>
          <w:rFonts w:cs="Times New Roman"/>
          <w:noProof/>
        </w:rPr>
        <w:t>) are playing a crucial role and the Commission intends to further strengthen their role. Digitalisation and e-Government services can also help to develop a more effective and better integrated enforcement administration. Several EU initiatives</w:t>
      </w:r>
      <w:r>
        <w:rPr>
          <w:rStyle w:val="FootnoteReference"/>
          <w:rFonts w:cs="Times New Roman"/>
          <w:noProof/>
        </w:rPr>
        <w:footnoteReference w:id="101"/>
      </w:r>
      <w:r>
        <w:rPr>
          <w:rFonts w:cs="Times New Roman"/>
          <w:noProof/>
        </w:rPr>
        <w:t xml:space="preserve"> support Member States to this end. </w:t>
      </w:r>
    </w:p>
    <w:p>
      <w:pPr>
        <w:spacing w:after="200" w:line="240" w:lineRule="auto"/>
        <w:jc w:val="left"/>
        <w:rPr>
          <w:rFonts w:cs="Times New Roman"/>
          <w:i/>
          <w:iCs/>
          <w:noProof/>
        </w:rPr>
      </w:pPr>
      <w:r>
        <w:rPr>
          <w:rFonts w:cs="Times New Roman"/>
          <w:i/>
          <w:iCs/>
          <w:noProof/>
        </w:rPr>
        <w:t>Policy findings:</w:t>
      </w:r>
    </w:p>
    <w:p>
      <w:pPr>
        <w:pStyle w:val="ListParagraph"/>
        <w:numPr>
          <w:ilvl w:val="0"/>
          <w:numId w:val="3"/>
        </w:numPr>
        <w:spacing w:line="240" w:lineRule="auto"/>
        <w:contextualSpacing w:val="0"/>
        <w:rPr>
          <w:rFonts w:cs="Times New Roman"/>
          <w:noProof/>
        </w:rPr>
      </w:pPr>
      <w:r>
        <w:rPr>
          <w:rFonts w:cs="Times New Roman"/>
          <w:i/>
          <w:iCs/>
          <w:noProof/>
        </w:rPr>
        <w:t xml:space="preserve">A stronger environmental governance in the Member States improves the implementation of environmental policy. Member States can further improve their overall environmental governance. </w:t>
      </w:r>
    </w:p>
    <w:p>
      <w:pPr>
        <w:pStyle w:val="ListParagraph"/>
        <w:numPr>
          <w:ilvl w:val="0"/>
          <w:numId w:val="3"/>
        </w:numPr>
        <w:spacing w:line="240" w:lineRule="auto"/>
        <w:contextualSpacing w:val="0"/>
        <w:rPr>
          <w:rFonts w:cs="Times New Roman"/>
          <w:i/>
          <w:iCs/>
          <w:noProof/>
        </w:rPr>
      </w:pPr>
      <w:r>
        <w:rPr>
          <w:rFonts w:cs="Times New Roman"/>
          <w:i/>
          <w:iCs/>
          <w:noProof/>
        </w:rPr>
        <w:t>Increased transparency clearly benefits implementation. It improves knowledge, responsibility, public involvement and support. Member States should make better use of digital opportunities to improve transparency by better informing the public on the actual state of the environment at local/regional level, stimulating behavioural change.</w:t>
      </w:r>
    </w:p>
    <w:p>
      <w:pPr>
        <w:pStyle w:val="ListParagraph"/>
        <w:numPr>
          <w:ilvl w:val="0"/>
          <w:numId w:val="3"/>
        </w:numPr>
        <w:spacing w:line="240" w:lineRule="auto"/>
        <w:contextualSpacing w:val="0"/>
        <w:rPr>
          <w:rFonts w:cs="Times New Roman"/>
          <w:i/>
          <w:iCs/>
          <w:noProof/>
        </w:rPr>
      </w:pPr>
      <w:r>
        <w:rPr>
          <w:rFonts w:cs="Times New Roman"/>
          <w:i/>
          <w:iCs/>
          <w:noProof/>
        </w:rPr>
        <w:t>Despite general progress, Member States still need to improve access to environmental information, particularly to spatial data and services, so they can be easily and freely re-used (in line with the INSPIRE</w:t>
      </w:r>
      <w:r>
        <w:rPr>
          <w:rStyle w:val="FootnoteReference"/>
          <w:rFonts w:cs="Times New Roman"/>
          <w:i/>
          <w:iCs/>
          <w:noProof/>
        </w:rPr>
        <w:footnoteReference w:id="102"/>
      </w:r>
      <w:r>
        <w:rPr>
          <w:rFonts w:cs="Times New Roman"/>
          <w:i/>
          <w:iCs/>
          <w:noProof/>
        </w:rPr>
        <w:t>, Access to Environmental Information and the Public Sector Information Directives)</w:t>
      </w:r>
      <w:r>
        <w:rPr>
          <w:rStyle w:val="FootnoteReference"/>
          <w:rFonts w:cs="Times New Roman"/>
          <w:i/>
          <w:iCs/>
          <w:noProof/>
        </w:rPr>
        <w:footnoteReference w:id="103"/>
      </w:r>
      <w:r>
        <w:rPr>
          <w:rFonts w:cs="Times New Roman"/>
          <w:i/>
          <w:iCs/>
          <w:noProof/>
        </w:rPr>
        <w:t>.</w:t>
      </w:r>
    </w:p>
    <w:p>
      <w:pPr>
        <w:pStyle w:val="ListParagraph"/>
        <w:numPr>
          <w:ilvl w:val="0"/>
          <w:numId w:val="3"/>
        </w:numPr>
        <w:spacing w:line="240" w:lineRule="auto"/>
        <w:contextualSpacing w:val="0"/>
        <w:rPr>
          <w:rFonts w:cs="Times New Roman"/>
          <w:noProof/>
        </w:rPr>
      </w:pPr>
      <w:r>
        <w:rPr>
          <w:rFonts w:eastAsia="Times New Roman (Cuerpo en alfa" w:cs="Times New Roman"/>
          <w:i/>
          <w:iCs/>
          <w:noProof/>
        </w:rPr>
        <w:t>Several Member States</w:t>
      </w:r>
      <w:r>
        <w:rPr>
          <w:rStyle w:val="FootnoteReference"/>
          <w:rFonts w:eastAsia="Times New Roman (Cuerpo en alfa" w:cs="Times New Roman"/>
          <w:i/>
          <w:iCs/>
          <w:noProof/>
        </w:rPr>
        <w:footnoteReference w:id="104"/>
      </w:r>
      <w:r>
        <w:rPr>
          <w:rFonts w:eastAsia="Times New Roman (Cuerpo en alfa" w:cs="Times New Roman"/>
          <w:i/>
          <w:iCs/>
          <w:noProof/>
        </w:rPr>
        <w:t xml:space="preserve"> should ensure that there is legal standing for environmental NGOs to bring legal challenges on environmental issues and that environmental claimants stop facing hurdles, such as prohibitely high </w:t>
      </w:r>
      <w:r>
        <w:rPr>
          <w:rFonts w:cs="Times New Roman"/>
          <w:i/>
          <w:iCs/>
          <w:noProof/>
        </w:rPr>
        <w:t xml:space="preserve">costs. </w:t>
      </w:r>
    </w:p>
    <w:p>
      <w:pPr>
        <w:pStyle w:val="ListParagraph"/>
        <w:numPr>
          <w:ilvl w:val="0"/>
          <w:numId w:val="3"/>
        </w:numPr>
        <w:spacing w:line="240" w:lineRule="auto"/>
        <w:contextualSpacing w:val="0"/>
        <w:rPr>
          <w:rFonts w:cs="Times New Roman"/>
          <w:noProof/>
        </w:rPr>
      </w:pPr>
      <w:r>
        <w:rPr>
          <w:rFonts w:cs="Times New Roman"/>
          <w:i/>
          <w:iCs/>
          <w:noProof/>
        </w:rPr>
        <w:t>Twenty-six Member States</w:t>
      </w:r>
      <w:r>
        <w:rPr>
          <w:rStyle w:val="FootnoteReference"/>
          <w:rFonts w:cs="Times New Roman"/>
          <w:i/>
          <w:iCs/>
          <w:noProof/>
        </w:rPr>
        <w:footnoteReference w:id="105"/>
      </w:r>
      <w:r>
        <w:rPr>
          <w:rFonts w:cs="Times New Roman"/>
          <w:i/>
          <w:iCs/>
          <w:noProof/>
        </w:rPr>
        <w:t xml:space="preserve"> should improve the application of the Environmental Liability Directive in one or more of the following areas: financial security, guidance, and collection and publication of information on environmental damage.</w:t>
      </w:r>
    </w:p>
    <w:p>
      <w:pPr>
        <w:spacing w:line="240" w:lineRule="auto"/>
        <w:rPr>
          <w:rFonts w:cs="Times New Roman"/>
          <w:noProof/>
        </w:rPr>
      </w:pPr>
    </w:p>
    <w:p>
      <w:pPr>
        <w:spacing w:before="240"/>
        <w:rPr>
          <w:rFonts w:cs="Times New Roman"/>
          <w:b/>
          <w:noProof/>
          <w:sz w:val="24"/>
        </w:rPr>
      </w:pPr>
      <w:r>
        <w:rPr>
          <w:rFonts w:cs="Times New Roman"/>
          <w:b/>
          <w:noProof/>
          <w:sz w:val="24"/>
        </w:rPr>
        <w:t xml:space="preserve">3.2. </w:t>
      </w:r>
      <w:r>
        <w:rPr>
          <w:rFonts w:cs="Times New Roman"/>
          <w:b/>
          <w:noProof/>
          <w:sz w:val="24"/>
        </w:rPr>
        <w:tab/>
        <w:t>Environmental integration</w:t>
      </w:r>
    </w:p>
    <w:p>
      <w:pPr>
        <w:rPr>
          <w:rFonts w:eastAsia="Times New Roman" w:cs="Times New Roman"/>
          <w:noProof/>
        </w:rPr>
      </w:pPr>
      <w:r>
        <w:rPr>
          <w:rFonts w:cs="Times New Roman"/>
          <w:noProof/>
        </w:rPr>
        <w:t>The achievement of environment and climate objectives does not solely depend on the implementation of environmental laws, but also requires that environmental considerations are integrated into other policies as underlined repeatedly in the Commission’s environmental action programmes</w:t>
      </w:r>
      <w:r>
        <w:rPr>
          <w:rStyle w:val="FootnoteReference"/>
          <w:rFonts w:cs="Times New Roman"/>
          <w:noProof/>
        </w:rPr>
        <w:footnoteReference w:id="106"/>
      </w:r>
      <w:r>
        <w:rPr>
          <w:rFonts w:cs="Times New Roman"/>
          <w:noProof/>
        </w:rPr>
        <w:t xml:space="preserve">. This can be illustrated with the example of the Common Agriculture Policy (CAP): given that agricultural land covers approximately half of the Union’s surface. The Common Agriculture Policy can significantly contribute to environmental and climate objectives, such as halting the loss of biodiversity, reducing land and soil degradation, ensuring water quality, reducing ammonia </w:t>
      </w:r>
      <w:r>
        <w:rPr>
          <w:rFonts w:eastAsia="Times New Roman" w:cs="Times New Roman"/>
          <w:noProof/>
        </w:rPr>
        <w:t>emissions, and managing and reducing greenhouse gas emissions. Recent reforms of the Common Agriculture Policy have brought promising changes to the policy framework in terms of improved coherence with environment and climate objectives. The legal proposals for the Common Agriculture Policy post-2020 will further strengthen this coherence. The updated bio-economy strategy</w:t>
      </w:r>
      <w:r>
        <w:rPr>
          <w:rStyle w:val="FootnoteReference"/>
          <w:rFonts w:eastAsia="Times New Roman" w:cs="Times New Roman"/>
          <w:noProof/>
        </w:rPr>
        <w:footnoteReference w:id="107"/>
      </w:r>
      <w:r>
        <w:rPr>
          <w:rFonts w:eastAsia="Times New Roman" w:cs="Times New Roman"/>
          <w:noProof/>
        </w:rPr>
        <w:t xml:space="preserve"> is also an attempt to integrate environmental, social and economic objectives in a cross-policy and coherent manner.</w:t>
      </w:r>
    </w:p>
    <w:p>
      <w:pPr>
        <w:rPr>
          <w:rFonts w:eastAsia="Times New Roman" w:cs="Times New Roman"/>
          <w:noProof/>
        </w:rPr>
      </w:pPr>
      <w:r>
        <w:rPr>
          <w:rFonts w:eastAsia="Times New Roman" w:cs="Times New Roman"/>
          <w:noProof/>
        </w:rPr>
        <w:t xml:space="preserve">Policy and laws made by different authorities in different sectors should be coherent and based on a joint logic, scientific evidence and the good use of available technologies. This is also underlined in Article 11 of the Treaty on the Functioning of the EU. Environmental integration requires effective cooperation between authorities while, in reality, different ministries and subnational authorities still tend to work in isolated ‘silos’. Insufficient policy and institutional coherence is one of the main causes of implementation gaps with regard to achieving the objectives of EU environmental policy and law. </w:t>
      </w:r>
    </w:p>
    <w:p>
      <w:pPr>
        <w:rPr>
          <w:rFonts w:eastAsia="Times New Roman" w:cs="Times New Roman"/>
          <w:noProof/>
        </w:rPr>
      </w:pPr>
      <w:r>
        <w:rPr>
          <w:rFonts w:eastAsia="Times New Roman" w:cs="Times New Roman"/>
          <w:noProof/>
        </w:rPr>
        <w:t>Fostering policy and institutional coherence is a permanent challenge. The country reports show that environmental pressures are closely related to economic sectors (agriculture, transport, industry, food or energy, among others) in many Member States. An example is how the circular economy depends on product innovation, effective waste management and stimulation by sustainable public procurement. At EU level, an analysis of the relations at the nexus between agriculture and water showed that a more integrated approach is possible</w:t>
      </w:r>
      <w:r>
        <w:rPr>
          <w:rStyle w:val="FootnoteReference"/>
          <w:rFonts w:eastAsia="Times New Roman" w:cs="Times New Roman"/>
          <w:noProof/>
        </w:rPr>
        <w:footnoteReference w:id="108"/>
      </w:r>
      <w:r>
        <w:rPr>
          <w:rFonts w:eastAsia="Times New Roman" w:cs="Times New Roman"/>
          <w:noProof/>
        </w:rPr>
        <w:t xml:space="preserve">. In many cases, a collaborative approach with respect to different interests could be a better way forward, rather than adopting new legislation. </w:t>
      </w:r>
    </w:p>
    <w:p>
      <w:pPr>
        <w:rPr>
          <w:rFonts w:eastAsia="Times New Roman" w:cs="Times New Roman"/>
          <w:noProof/>
        </w:rPr>
      </w:pPr>
      <w:r>
        <w:rPr>
          <w:rFonts w:eastAsia="Times New Roman" w:cs="Times New Roman"/>
          <w:noProof/>
        </w:rPr>
        <w:drawing>
          <wp:anchor distT="0" distB="0" distL="114300" distR="114300" simplePos="0" relativeHeight="251661312" behindDoc="1" locked="0" layoutInCell="1" allowOverlap="1">
            <wp:simplePos x="0" y="0"/>
            <wp:positionH relativeFrom="column">
              <wp:posOffset>2647950</wp:posOffset>
            </wp:positionH>
            <wp:positionV relativeFrom="paragraph">
              <wp:posOffset>320040</wp:posOffset>
            </wp:positionV>
            <wp:extent cx="3082290" cy="1922145"/>
            <wp:effectExtent l="0" t="0" r="3810" b="1905"/>
            <wp:wrapTight wrapText="bothSides">
              <wp:wrapPolygon edited="0">
                <wp:start x="0" y="0"/>
                <wp:lineTo x="0" y="21407"/>
                <wp:lineTo x="21493" y="21407"/>
                <wp:lineTo x="21493"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82290" cy="1922145"/>
                    </a:xfrm>
                    <a:prstGeom prst="rect">
                      <a:avLst/>
                    </a:prstGeom>
                    <a:noFill/>
                  </pic:spPr>
                </pic:pic>
              </a:graphicData>
            </a:graphic>
            <wp14:sizeRelH relativeFrom="margin">
              <wp14:pctWidth>0</wp14:pctWidth>
            </wp14:sizeRelH>
            <wp14:sizeRelV relativeFrom="margin">
              <wp14:pctHeight>0</wp14:pctHeight>
            </wp14:sizeRelV>
          </wp:anchor>
        </w:drawing>
      </w:r>
      <w:r>
        <w:rPr>
          <w:rFonts w:eastAsia="Times New Roman" w:cs="Times New Roman"/>
          <w:noProof/>
        </w:rPr>
        <w:t xml:space="preserve">In addition, cross-sectoral meetings at political level (e.g. joint meetings of Council formations) and joint project expert teams provide the means to identify, analyse and solve occurrences of weak environmental integration.  </w:t>
      </w:r>
    </w:p>
    <w:p>
      <w:pPr>
        <w:rPr>
          <w:rFonts w:cs="Times New Roman"/>
          <w:noProof/>
        </w:rPr>
      </w:pPr>
      <w:r>
        <w:rPr>
          <w:rFonts w:eastAsia="Times New Roman" w:cs="Times New Roman"/>
          <w:noProof/>
        </w:rPr>
        <w:t>Peer to peer learning proved to be an important instrument in improving environmental implementation. The TAIEX-EIR P2P tool, introduced during the first Environmental Implementation Review cycle,</w:t>
      </w:r>
      <w:r>
        <w:rPr>
          <w:rFonts w:eastAsia="Times New Roman" w:cs="Times New Roman"/>
          <w:b/>
          <w:bCs/>
          <w:noProof/>
        </w:rPr>
        <w:t xml:space="preserve"> </w:t>
      </w:r>
      <w:r>
        <w:rPr>
          <w:rFonts w:eastAsia="Times New Roman" w:cs="Times New Roman"/>
          <w:noProof/>
        </w:rPr>
        <w:t>has been well received by the environmental authorities.</w:t>
      </w:r>
      <w:r>
        <w:rPr>
          <w:rFonts w:eastAsia="Times New Roman" w:cs="Times New Roman"/>
          <w:b/>
          <w:bCs/>
          <w:noProof/>
        </w:rPr>
        <w:t xml:space="preserve"> </w:t>
      </w:r>
      <w:r>
        <w:rPr>
          <w:rFonts w:eastAsia="Times New Roman" w:cs="Times New Roman"/>
          <w:noProof/>
        </w:rPr>
        <w:t>In 2018, the first operational year of the tool, all Member States were involved in at least one event and more than 50% of the events were multi-country workshops. In the 19 projects executed in 2018, the tool has been used mainly by the environmental authorities, but it may serve better integration by including other relevant authorities</w:t>
      </w:r>
      <w:r>
        <w:rPr>
          <w:rFonts w:cs="Times New Roman"/>
          <w:noProof/>
        </w:rPr>
        <w:t>, as indicated by the policy findings.</w:t>
      </w:r>
    </w:p>
    <w:p>
      <w:pPr>
        <w:rPr>
          <w:rFonts w:cs="Times New Roman"/>
          <w:noProof/>
        </w:rPr>
      </w:pPr>
    </w:p>
    <w:p>
      <w:pPr>
        <w:spacing w:after="200" w:line="240" w:lineRule="auto"/>
        <w:jc w:val="left"/>
        <w:rPr>
          <w:rFonts w:cs="Times New Roman"/>
          <w:i/>
          <w:iCs/>
          <w:noProof/>
        </w:rPr>
      </w:pPr>
      <w:r>
        <w:rPr>
          <w:rFonts w:cs="Times New Roman"/>
          <w:i/>
          <w:iCs/>
          <w:noProof/>
        </w:rPr>
        <w:t>Policy findings:</w:t>
      </w:r>
    </w:p>
    <w:p>
      <w:pPr>
        <w:pStyle w:val="ListParagraph"/>
        <w:numPr>
          <w:ilvl w:val="0"/>
          <w:numId w:val="3"/>
        </w:numPr>
        <w:spacing w:line="240" w:lineRule="auto"/>
        <w:contextualSpacing w:val="0"/>
        <w:rPr>
          <w:rFonts w:cs="Times New Roman"/>
          <w:i/>
          <w:iCs/>
          <w:noProof/>
        </w:rPr>
      </w:pPr>
      <w:r>
        <w:rPr>
          <w:rFonts w:cs="Times New Roman"/>
          <w:i/>
          <w:iCs/>
          <w:noProof/>
        </w:rPr>
        <w:t>All Member States can further improve their overall environmental governance. In several Member States, environmental authorities are severely understaffed and this lack of capacity and resources affects their ability to implement and enforce. Coordination structures across sectoral administrations and at different levels exist in most Member States but their effectiveness varies. Three Member States</w:t>
      </w:r>
      <w:r>
        <w:rPr>
          <w:rStyle w:val="FootnoteReference"/>
          <w:rFonts w:cs="Times New Roman"/>
          <w:i/>
          <w:iCs/>
          <w:noProof/>
        </w:rPr>
        <w:footnoteReference w:id="109"/>
      </w:r>
      <w:r>
        <w:rPr>
          <w:rFonts w:cs="Times New Roman"/>
          <w:i/>
          <w:iCs/>
          <w:noProof/>
        </w:rPr>
        <w:t xml:space="preserve"> are strongly encouraged to address regional and local fragmentation by developing better coordination mechanisms for the environment.</w:t>
      </w:r>
    </w:p>
    <w:p>
      <w:pPr>
        <w:pStyle w:val="ListParagraph"/>
        <w:numPr>
          <w:ilvl w:val="0"/>
          <w:numId w:val="3"/>
        </w:numPr>
        <w:spacing w:line="240" w:lineRule="auto"/>
        <w:contextualSpacing w:val="0"/>
        <w:rPr>
          <w:rFonts w:cs="Times New Roman"/>
          <w:i/>
          <w:iCs/>
          <w:noProof/>
        </w:rPr>
      </w:pPr>
      <w:r>
        <w:rPr>
          <w:rFonts w:cs="Times New Roman"/>
          <w:i/>
          <w:iCs/>
          <w:noProof/>
        </w:rPr>
        <w:t>Two Member States</w:t>
      </w:r>
      <w:r>
        <w:rPr>
          <w:rStyle w:val="FootnoteReference"/>
          <w:rFonts w:cs="Times New Roman"/>
          <w:i/>
          <w:iCs/>
          <w:noProof/>
        </w:rPr>
        <w:footnoteReference w:id="110"/>
      </w:r>
      <w:r>
        <w:rPr>
          <w:rFonts w:cs="Times New Roman"/>
          <w:i/>
          <w:iCs/>
          <w:noProof/>
        </w:rPr>
        <w:t xml:space="preserve"> still need to complete the transposition of the revised Environmental Impact Assessment Directive (EIA) into national law. Environmental assessment procedures need to be streamlined and efficient public participation needs to be ensured throughout the EU.</w:t>
      </w:r>
    </w:p>
    <w:p>
      <w:pPr>
        <w:pStyle w:val="ListParagraph"/>
        <w:numPr>
          <w:ilvl w:val="0"/>
          <w:numId w:val="3"/>
        </w:numPr>
        <w:spacing w:line="240" w:lineRule="auto"/>
        <w:contextualSpacing w:val="0"/>
        <w:rPr>
          <w:rFonts w:cs="Times New Roman"/>
          <w:i/>
          <w:iCs/>
          <w:noProof/>
        </w:rPr>
      </w:pPr>
      <w:r>
        <w:rPr>
          <w:rFonts w:cs="Times New Roman"/>
          <w:i/>
          <w:iCs/>
          <w:noProof/>
        </w:rPr>
        <w:t>Peer to peer exchanges have been mainly used for thematic challenges, but there is scope for also using the tool for exchanges on the root causes of weak implementation in the area of public administration quality and governance mechanisms.</w:t>
      </w:r>
    </w:p>
    <w:tbl>
      <w:tblPr>
        <w:tblStyle w:val="TableGrid"/>
        <w:tblW w:w="0" w:type="auto"/>
        <w:shd w:val="clear" w:color="auto" w:fill="EAF1DD" w:themeFill="accent3" w:themeFillTint="33"/>
        <w:tblLook w:val="04A0" w:firstRow="1" w:lastRow="0" w:firstColumn="1" w:lastColumn="0" w:noHBand="0" w:noVBand="1"/>
      </w:tblPr>
      <w:tblGrid>
        <w:gridCol w:w="9242"/>
      </w:tblGrid>
      <w:tr>
        <w:tc>
          <w:tcPr>
            <w:tcW w:w="9242" w:type="dxa"/>
            <w:shd w:val="clear" w:color="auto" w:fill="EAF1DD" w:themeFill="accent3" w:themeFillTint="33"/>
          </w:tcPr>
          <w:p>
            <w:pPr>
              <w:spacing w:after="200" w:line="240" w:lineRule="auto"/>
              <w:jc w:val="left"/>
              <w:rPr>
                <w:rFonts w:cs="Times New Roman"/>
                <w:b/>
                <w:bCs/>
                <w:noProof/>
              </w:rPr>
            </w:pPr>
            <w:r>
              <w:rPr>
                <w:rFonts w:cs="Times New Roman"/>
                <w:b/>
                <w:bCs/>
                <w:noProof/>
              </w:rPr>
              <w:t>Successful practices:</w:t>
            </w:r>
          </w:p>
          <w:p>
            <w:pPr>
              <w:spacing w:after="200" w:line="240" w:lineRule="auto"/>
              <w:rPr>
                <w:rFonts w:cs="Times New Roman"/>
                <w:noProof/>
              </w:rPr>
            </w:pPr>
            <w:r>
              <w:rPr>
                <w:rFonts w:cs="Times New Roman"/>
                <w:b/>
                <w:bCs/>
                <w:noProof/>
              </w:rPr>
              <w:t xml:space="preserve">Bulgaria </w:t>
            </w:r>
            <w:r>
              <w:rPr>
                <w:rFonts w:cs="Times New Roman"/>
                <w:noProof/>
              </w:rPr>
              <w:t>has taken steps to provide for streamlined environmental assessments by incorporating the appropriate assessment under the Habitats Directive, the integrated pollution prevention and control (IPPC) permitting process and the ‘Seveso’ process for chemical safety into its EIA procedures. Streamlining helps to reduce the administrative burden, enhances coherence and accelerates decision-making, and efforts should turn towards adequate implementation of these provisions.</w:t>
            </w:r>
          </w:p>
        </w:tc>
      </w:tr>
    </w:tbl>
    <w:p>
      <w:pPr>
        <w:pStyle w:val="ListParagraph"/>
        <w:ind w:left="360"/>
        <w:rPr>
          <w:rFonts w:cs="Times New Roman"/>
          <w:b/>
          <w:noProof/>
          <w:sz w:val="28"/>
          <w:szCs w:val="28"/>
        </w:rPr>
      </w:pPr>
    </w:p>
    <w:p>
      <w:pPr>
        <w:pStyle w:val="ListParagraph"/>
        <w:numPr>
          <w:ilvl w:val="0"/>
          <w:numId w:val="18"/>
        </w:numPr>
        <w:rPr>
          <w:rFonts w:cs="Times New Roman"/>
          <w:b/>
          <w:bCs/>
          <w:noProof/>
          <w:sz w:val="28"/>
          <w:szCs w:val="28"/>
        </w:rPr>
      </w:pPr>
      <w:r>
        <w:rPr>
          <w:rFonts w:cs="Times New Roman"/>
          <w:b/>
          <w:bCs/>
          <w:noProof/>
          <w:sz w:val="28"/>
          <w:szCs w:val="28"/>
        </w:rPr>
        <w:t>The way forward</w:t>
      </w:r>
    </w:p>
    <w:p>
      <w:pPr>
        <w:rPr>
          <w:rFonts w:cs="Times New Roman"/>
          <w:noProof/>
        </w:rPr>
      </w:pPr>
      <w:r>
        <w:rPr>
          <w:rFonts w:cs="Times New Roman"/>
          <w:noProof/>
        </w:rPr>
        <w:t xml:space="preserve">The Environmental Implementation Review has identified a few root problems that require special attention in the coming years and has raised the attention of key authorities and citizens to environmental implementation gaps in their countries. </w:t>
      </w:r>
    </w:p>
    <w:p>
      <w:pPr>
        <w:rPr>
          <w:rFonts w:cs="Times New Roman"/>
          <w:noProof/>
        </w:rPr>
      </w:pPr>
      <w:r>
        <w:rPr>
          <w:rFonts w:cs="Times New Roman"/>
          <w:b/>
          <w:bCs/>
          <w:noProof/>
        </w:rPr>
        <w:t xml:space="preserve">Integration of environmental objectives </w:t>
      </w:r>
      <w:r>
        <w:rPr>
          <w:rFonts w:cs="Times New Roman"/>
          <w:noProof/>
        </w:rPr>
        <w:t>with other legitimate policy goals is often weak and this has negative effects on implementation</w:t>
      </w:r>
      <w:r>
        <w:rPr>
          <w:rFonts w:cs="Times New Roman"/>
          <w:b/>
          <w:bCs/>
          <w:noProof/>
        </w:rPr>
        <w:t>.</w:t>
      </w:r>
      <w:r>
        <w:rPr>
          <w:rFonts w:cs="Times New Roman"/>
          <w:noProof/>
        </w:rPr>
        <w:t xml:space="preserve"> Better integration of all these objectives at the stages of policy planning and implementation is essential for the success of each of the relevant policy areas and ultimately for our societies. The perspectives indicated by the latest State of the Environment report</w:t>
      </w:r>
      <w:r>
        <w:rPr>
          <w:rFonts w:cs="Times New Roman"/>
          <w:noProof/>
          <w:vertAlign w:val="superscript"/>
        </w:rPr>
        <w:footnoteReference w:id="111"/>
      </w:r>
      <w:r>
        <w:rPr>
          <w:rFonts w:cs="Times New Roman"/>
          <w:noProof/>
        </w:rPr>
        <w:t xml:space="preserve"> and the Environmental Indicator Report 2018</w:t>
      </w:r>
      <w:r>
        <w:rPr>
          <w:rStyle w:val="FootnoteReference"/>
          <w:rFonts w:cs="Times New Roman"/>
          <w:noProof/>
        </w:rPr>
        <w:footnoteReference w:id="112"/>
      </w:r>
      <w:r>
        <w:rPr>
          <w:rFonts w:cs="Times New Roman"/>
          <w:noProof/>
        </w:rPr>
        <w:t xml:space="preserve"> are rather grim and full implementation of the current EU environmental laws is, indeed, merely a starting point in changing the trends. </w:t>
      </w:r>
    </w:p>
    <w:p>
      <w:pPr>
        <w:rPr>
          <w:rFonts w:cs="Times New Roman"/>
          <w:noProof/>
        </w:rPr>
      </w:pPr>
      <w:r>
        <w:rPr>
          <w:rFonts w:cs="Times New Roman"/>
          <w:noProof/>
        </w:rPr>
        <w:t>The current progress in real implementation is too slow and better environmental integration can be a game-changer. The situation can be improved only if the environmental concerns are taken into consideration in the framing and execution of public policies with a significant environmental footprint, such as energy, transport and agriculture. The 'nexus approach'</w:t>
      </w:r>
      <w:r>
        <w:rPr>
          <w:rFonts w:cs="Times New Roman"/>
          <w:noProof/>
          <w:vertAlign w:val="superscript"/>
        </w:rPr>
        <w:footnoteReference w:id="113"/>
      </w:r>
      <w:r>
        <w:rPr>
          <w:rFonts w:cs="Times New Roman"/>
          <w:noProof/>
        </w:rPr>
        <w:t xml:space="preserve"> could be strengthened as a guiding principle: it is about examining issues systematically and in advance, with a view to identify further integrated solutions for the involved sectors and to underpin environment-related investments at EU, national, regional and local level. </w:t>
      </w:r>
    </w:p>
    <w:p>
      <w:pPr>
        <w:rPr>
          <w:rFonts w:cs="Times New Roman"/>
          <w:noProof/>
        </w:rPr>
      </w:pPr>
      <w:r>
        <w:rPr>
          <w:rFonts w:cs="Times New Roman"/>
          <w:b/>
          <w:bCs/>
          <w:noProof/>
        </w:rPr>
        <w:t xml:space="preserve">The quality of the relevant governance systems </w:t>
      </w:r>
      <w:r>
        <w:rPr>
          <w:rFonts w:cs="Times New Roman"/>
          <w:noProof/>
        </w:rPr>
        <w:t>is a key catalyser for full implementation. The country reports identified that inefficiency and ineffectiveness of public administrations constitute another important root cause for poor implementation. The Commission already addresses the quality of public administration and governance in the context of the European Semester, through the structural and investment funds, the structural reform support programme and with specific guidance instruments</w:t>
      </w:r>
      <w:r>
        <w:rPr>
          <w:rFonts w:cs="Times New Roman"/>
          <w:noProof/>
          <w:vertAlign w:val="superscript"/>
        </w:rPr>
        <w:footnoteReference w:id="114"/>
      </w:r>
      <w:r>
        <w:rPr>
          <w:rFonts w:cs="Times New Roman"/>
          <w:noProof/>
        </w:rPr>
        <w:t>. In particular, it is clear that while the needs differ from one system to another, there cannot be any improvement in this respect without securing the necessary human and financial resources to the relevant administrations.</w:t>
      </w:r>
    </w:p>
    <w:p>
      <w:pPr>
        <w:rPr>
          <w:rFonts w:cs="Times New Roman"/>
          <w:noProof/>
          <w:color w:val="FF0000"/>
        </w:rPr>
      </w:pPr>
      <w:r>
        <w:rPr>
          <w:rFonts w:cs="Times New Roman"/>
          <w:noProof/>
        </w:rPr>
        <w:t xml:space="preserve">Environmental implementation cuts across and depends on the active engagement of a wide spectrum of stakeholders, public and private, from decision makers to citizens, businesses and industries. Such a wide range of interested parties can be activated only if the relevant information is made available to them in an effective way. </w:t>
      </w:r>
      <w:r>
        <w:rPr>
          <w:rFonts w:cs="Times New Roman"/>
          <w:b/>
          <w:bCs/>
          <w:noProof/>
        </w:rPr>
        <w:t xml:space="preserve">Transparency of environmentally relevant information </w:t>
      </w:r>
      <w:r>
        <w:rPr>
          <w:rFonts w:cs="Times New Roman"/>
          <w:noProof/>
        </w:rPr>
        <w:t xml:space="preserve">goes beyond the legal obligations: it is a precondition for effective collaboration in environmental implementation. Without transparency, trust disappears and the mobilisation of stakeholders is not successful. </w:t>
      </w:r>
    </w:p>
    <w:p>
      <w:pPr>
        <w:rPr>
          <w:rFonts w:cs="Times New Roman"/>
          <w:noProof/>
        </w:rPr>
      </w:pPr>
      <w:r>
        <w:rPr>
          <w:rFonts w:cs="Times New Roman"/>
          <w:noProof/>
        </w:rPr>
        <w:t xml:space="preserve">Tackling the implementation gaps requires solid evidence to identify the ’distance to target’, the underlying difficulties and available options and then to monitor the effectiveness of the chosen solutions. Therefore, the </w:t>
      </w:r>
      <w:r>
        <w:rPr>
          <w:rFonts w:eastAsia="Times New Roman,SimSun" w:cs="Times New Roman"/>
          <w:noProof/>
          <w:lang w:eastAsia="ar-SA"/>
        </w:rPr>
        <w:t>Commission calls upon the Member States to be transparent when implementing EU rules and policies, building on the EU’s open data portal</w:t>
      </w:r>
      <w:r>
        <w:rPr>
          <w:rFonts w:eastAsia="Times New Roman,SimSun" w:cs="Times New Roman"/>
          <w:noProof/>
          <w:vertAlign w:val="superscript"/>
          <w:lang w:eastAsia="ar-SA"/>
        </w:rPr>
        <w:footnoteReference w:id="115"/>
      </w:r>
      <w:r>
        <w:rPr>
          <w:rFonts w:eastAsia="Times New Roman,SimSun" w:cs="Times New Roman"/>
          <w:noProof/>
          <w:lang w:eastAsia="ar-SA"/>
        </w:rPr>
        <w:t xml:space="preserve">, and using </w:t>
      </w:r>
      <w:r>
        <w:rPr>
          <w:rFonts w:cs="Times New Roman"/>
          <w:noProof/>
        </w:rPr>
        <w:t xml:space="preserve">modern information technologies for communication, data and information purposes. These will also </w:t>
      </w:r>
      <w:r>
        <w:rPr>
          <w:rFonts w:eastAsia="Times New Roman,SimSun" w:cs="Times New Roman"/>
          <w:noProof/>
          <w:lang w:eastAsia="ar-SA"/>
        </w:rPr>
        <w:t xml:space="preserve">enable the Commission to tailor its support to the realities on the ground. </w:t>
      </w:r>
    </w:p>
    <w:p>
      <w:pPr>
        <w:rPr>
          <w:rFonts w:cs="Times New Roman"/>
          <w:noProof/>
        </w:rPr>
      </w:pPr>
      <w:r>
        <w:rPr>
          <w:rFonts w:cs="Times New Roman"/>
          <w:noProof/>
        </w:rPr>
        <w:t xml:space="preserve">The Commission is committed to supporting the Member States to improve environmental implementation. Expressions of this are the thematic Environmental Implementation Review dialogues and the dedicated Peer 2 Peer tool helping to assess the problems, exchanging good practice and peer learning. Nevertheless, successful country dialogues require </w:t>
      </w:r>
      <w:r>
        <w:rPr>
          <w:rFonts w:cs="Times New Roman"/>
          <w:b/>
          <w:bCs/>
          <w:noProof/>
        </w:rPr>
        <w:t>active engagement of regional and local authorities and of other stakeholders</w:t>
      </w:r>
      <w:r>
        <w:rPr>
          <w:rFonts w:cs="Times New Roman"/>
          <w:noProof/>
        </w:rPr>
        <w:t xml:space="preserve">. There is a </w:t>
      </w:r>
      <w:r>
        <w:rPr>
          <w:rFonts w:eastAsia="Times New Roman" w:cs="Times New Roman"/>
          <w:noProof/>
          <w:color w:val="000000"/>
        </w:rPr>
        <w:t>need for more thematic debates at and between all levels of administration, which should result in operational conclusions followed by action. The debates should take into consideration possible further environmental integration in other policy areas. The Commission has published documents that can serve as a starting point, including the Communication on Clean Air (2018)</w:t>
      </w:r>
      <w:r>
        <w:rPr>
          <w:rFonts w:eastAsia="Times New Roman" w:cs="Times New Roman"/>
          <w:noProof/>
          <w:color w:val="000000"/>
          <w:vertAlign w:val="superscript"/>
        </w:rPr>
        <w:footnoteReference w:id="116"/>
      </w:r>
      <w:r>
        <w:rPr>
          <w:rFonts w:eastAsia="Times New Roman" w:cs="Times New Roman"/>
          <w:noProof/>
          <w:color w:val="000000"/>
        </w:rPr>
        <w:t>, the Working Document on agriculture and water (2017)</w:t>
      </w:r>
      <w:r>
        <w:rPr>
          <w:rFonts w:eastAsia="Times New Roman" w:cs="Times New Roman"/>
          <w:noProof/>
          <w:color w:val="000000"/>
          <w:vertAlign w:val="superscript"/>
        </w:rPr>
        <w:footnoteReference w:id="117"/>
      </w:r>
      <w:r>
        <w:rPr>
          <w:rFonts w:eastAsia="Times New Roman" w:cs="Times New Roman"/>
          <w:noProof/>
          <w:color w:val="000000"/>
        </w:rPr>
        <w:t xml:space="preserve">, the </w:t>
      </w:r>
      <w:r>
        <w:rPr>
          <w:rFonts w:cs="Times New Roman"/>
          <w:noProof/>
        </w:rPr>
        <w:t>Action Plan for nature, people and the economy</w:t>
      </w:r>
      <w:r>
        <w:rPr>
          <w:rFonts w:cs="Times New Roman"/>
          <w:noProof/>
          <w:vertAlign w:val="superscript"/>
        </w:rPr>
        <w:footnoteReference w:id="118"/>
      </w:r>
      <w:r>
        <w:rPr>
          <w:rFonts w:cs="Times New Roman"/>
          <w:noProof/>
        </w:rPr>
        <w:t>,</w:t>
      </w:r>
      <w:r>
        <w:rPr>
          <w:rFonts w:eastAsia="Times New Roman" w:cs="Times New Roman"/>
          <w:noProof/>
          <w:color w:val="000000"/>
        </w:rPr>
        <w:t xml:space="preserve"> and the Early warning reports on the re-use/recycling of waste</w:t>
      </w:r>
      <w:r>
        <w:rPr>
          <w:rFonts w:eastAsia="Times New Roman" w:cs="Times New Roman"/>
          <w:noProof/>
          <w:color w:val="000000"/>
          <w:vertAlign w:val="superscript"/>
        </w:rPr>
        <w:footnoteReference w:id="119"/>
      </w:r>
      <w:r>
        <w:rPr>
          <w:rFonts w:eastAsia="Times New Roman" w:cs="Times New Roman"/>
          <w:noProof/>
          <w:color w:val="000000"/>
        </w:rPr>
        <w:t xml:space="preserve">. </w:t>
      </w:r>
    </w:p>
    <w:p>
      <w:pPr>
        <w:rPr>
          <w:rFonts w:cs="Times New Roman"/>
          <w:noProof/>
        </w:rPr>
      </w:pPr>
      <w:r>
        <w:rPr>
          <w:rFonts w:cs="Times New Roman"/>
          <w:noProof/>
        </w:rPr>
        <w:t xml:space="preserve">The Commission invites Member States to act on the Environmental Implementation Review findings and to use the country reports as a basis for further discussion. Member States are also encouraged to continue working on the implementation of the environmental rules in place to deliver better environmental outcomes to the citizens, to protect their health and to cushion and offset the environmental pressures that are costly for our societies and economies. </w:t>
      </w:r>
    </w:p>
    <w:p>
      <w:pPr>
        <w:rPr>
          <w:rFonts w:cs="Times New Roman"/>
          <w:noProof/>
        </w:rPr>
      </w:pPr>
      <w:r>
        <w:rPr>
          <w:rFonts w:eastAsia="Times New Roman" w:cs="Times New Roman"/>
          <w:noProof/>
          <w:color w:val="000000"/>
        </w:rPr>
        <w:t xml:space="preserve">A good environment is a common asset of people of the EU, both of the present and future generations, and it constitutes a critical foundation for the other social and economic activities. The EU has put in place comprehensive environmental legislation, with the aim of making sure that air is breathable, water is safe to use, our food is healthy to consume, things around us are safe to use, and pollution is kept at bay. These standards are as good as their implementation. </w:t>
      </w:r>
      <w:r>
        <w:rPr>
          <w:rFonts w:cs="Times New Roman"/>
          <w:noProof/>
        </w:rPr>
        <w:t xml:space="preserve">Making implementation happen is in our hands, whether we act in a public or private capacity. </w:t>
      </w:r>
    </w:p>
    <w:p>
      <w:pPr>
        <w:rPr>
          <w:rFonts w:cs="Times New Roman"/>
          <w:noProof/>
        </w:rPr>
      </w:pPr>
    </w:p>
    <w:sectPr>
      <w:headerReference w:type="even" r:id="rId23"/>
      <w:headerReference w:type="default" r:id="rId24"/>
      <w:footerReference w:type="even" r:id="rId25"/>
      <w:footerReference w:type="default" r:id="rId26"/>
      <w:headerReference w:type="first" r:id="rId27"/>
      <w:footerReference w:type="first" r:id="rId2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altName w:val="Times New Roman"/>
    <w:panose1 w:val="00000000000000000000"/>
    <w:charset w:val="00"/>
    <w:family w:val="roman"/>
    <w:notTrueType/>
    <w:pitch w:val="default"/>
  </w:font>
  <w:font w:name="Times New Roman,Calibri">
    <w:altName w:val="Times New Roman"/>
    <w:panose1 w:val="00000000000000000000"/>
    <w:charset w:val="00"/>
    <w:family w:val="roman"/>
    <w:notTrueType/>
    <w:pitch w:val="default"/>
  </w:font>
  <w:font w:name="Calibri,Times New Roman">
    <w:altName w:val="Times New Roman"/>
    <w:panose1 w:val="00000000000000000000"/>
    <w:charset w:val="00"/>
    <w:family w:val="roman"/>
    <w:notTrueType/>
    <w:pitch w:val="default"/>
  </w:font>
  <w:font w:name="Times New Roman (Cuerpo en alfa">
    <w:altName w:val="Times New Roman"/>
    <w:charset w:val="00"/>
    <w:family w:val="roman"/>
    <w:pitch w:val="default"/>
  </w:font>
  <w:font w:name="Times New Roman,SimSun">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367610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lef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COWI and Eunomia, ‘Costs of not implementing EU environmental law’, 2019.</w:t>
      </w:r>
    </w:p>
  </w:footnote>
  <w:footnote w:id="3">
    <w:p>
      <w:pPr>
        <w:pStyle w:val="FootnoteText"/>
        <w:jc w:val="lef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w:t>
      </w:r>
      <w:hyperlink r:id="rId1" w:history="1">
        <w:r>
          <w:rPr>
            <w:rStyle w:val="Hyperlink"/>
            <w:rFonts w:eastAsia="Times New Roman" w:cs="Times New Roman"/>
            <w:sz w:val="16"/>
            <w:szCs w:val="16"/>
          </w:rPr>
          <w:t>COM(2017) 63</w:t>
        </w:r>
      </w:hyperlink>
      <w:r>
        <w:rPr>
          <w:rFonts w:eastAsia="Times New Roman" w:cs="Times New Roman"/>
          <w:sz w:val="16"/>
          <w:szCs w:val="16"/>
        </w:rPr>
        <w:t xml:space="preserve">. </w:t>
      </w:r>
    </w:p>
  </w:footnote>
  <w:footnote w:id="4">
    <w:p>
      <w:pPr>
        <w:pStyle w:val="FootnoteText"/>
        <w:rPr>
          <w:rFonts w:cs="Times New Roman"/>
          <w:sz w:val="16"/>
          <w:szCs w:val="16"/>
        </w:rPr>
      </w:pPr>
      <w:r>
        <w:rPr>
          <w:rStyle w:val="FootnoteReference"/>
          <w:rFonts w:cs="Times New Roman"/>
          <w:sz w:val="16"/>
          <w:szCs w:val="16"/>
        </w:rPr>
        <w:footnoteRef/>
      </w:r>
      <w:r>
        <w:rPr>
          <w:rFonts w:cs="Times New Roman"/>
          <w:sz w:val="16"/>
          <w:szCs w:val="16"/>
        </w:rPr>
        <w:t xml:space="preserve"> </w:t>
      </w:r>
      <w:hyperlink r:id="rId2" w:history="1">
        <w:r>
          <w:rPr>
            <w:rStyle w:val="Hyperlink"/>
            <w:rFonts w:cs="Times New Roman"/>
            <w:sz w:val="16"/>
            <w:szCs w:val="16"/>
          </w:rPr>
          <w:t>TAIEX-EIR Peer to Peer</w:t>
        </w:r>
      </w:hyperlink>
      <w:r>
        <w:rPr>
          <w:rFonts w:cs="Times New Roman"/>
          <w:sz w:val="16"/>
          <w:szCs w:val="16"/>
        </w:rPr>
        <w:t xml:space="preserve"> </w:t>
      </w:r>
    </w:p>
  </w:footnote>
  <w:footnote w:id="5">
    <w:p>
      <w:pPr>
        <w:pStyle w:val="FootnoteText"/>
        <w:rPr>
          <w:sz w:val="16"/>
          <w:szCs w:val="16"/>
          <w:lang w:val="en-US"/>
        </w:rPr>
      </w:pPr>
      <w:r>
        <w:rPr>
          <w:rStyle w:val="FootnoteReference"/>
          <w:sz w:val="16"/>
          <w:szCs w:val="16"/>
        </w:rPr>
        <w:footnoteRef/>
      </w:r>
      <w:r>
        <w:rPr>
          <w:sz w:val="16"/>
          <w:szCs w:val="16"/>
        </w:rPr>
        <w:t xml:space="preserve"> </w:t>
      </w:r>
      <w:hyperlink r:id="rId3" w:history="1">
        <w:r>
          <w:rPr>
            <w:rStyle w:val="Hyperlink"/>
            <w:sz w:val="16"/>
            <w:szCs w:val="16"/>
            <w:lang w:val="en-US"/>
          </w:rPr>
          <w:t>COM(2016) 316</w:t>
        </w:r>
      </w:hyperlink>
      <w:r>
        <w:rPr>
          <w:sz w:val="16"/>
          <w:szCs w:val="16"/>
          <w:lang w:val="en-US"/>
        </w:rPr>
        <w:t>.</w:t>
      </w:r>
    </w:p>
  </w:footnote>
  <w:footnote w:id="6">
    <w:p>
      <w:pPr>
        <w:pStyle w:val="FootnoteText"/>
        <w:rPr>
          <w:sz w:val="16"/>
          <w:szCs w:val="16"/>
        </w:rPr>
      </w:pPr>
      <w:r>
        <w:rPr>
          <w:rStyle w:val="FootnoteReference"/>
          <w:sz w:val="16"/>
          <w:szCs w:val="16"/>
        </w:rPr>
        <w:footnoteRef/>
      </w:r>
      <w:r>
        <w:rPr>
          <w:sz w:val="16"/>
          <w:szCs w:val="16"/>
        </w:rPr>
        <w:t xml:space="preserve"> </w:t>
      </w:r>
      <w:r>
        <w:rPr>
          <w:iCs/>
          <w:sz w:val="16"/>
          <w:szCs w:val="16"/>
        </w:rPr>
        <w:t>The findings as regards specific Member States in this Communication and its accompanying Annex are based on the information available to the Commission before its adoption date and is without prejudice to any legal action that the Commission might take after this date</w:t>
      </w:r>
      <w:r>
        <w:rPr>
          <w:sz w:val="16"/>
          <w:szCs w:val="16"/>
        </w:rPr>
        <w:t>.</w:t>
      </w:r>
    </w:p>
  </w:footnote>
  <w:footnote w:id="7">
    <w:p>
      <w:pPr>
        <w:pStyle w:val="FootnoteText"/>
        <w:ind w:left="170" w:hanging="170"/>
        <w:jc w:val="lef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w:t>
      </w:r>
      <w:hyperlink r:id="rId4" w:history="1">
        <w:r>
          <w:rPr>
            <w:rStyle w:val="Hyperlink"/>
            <w:rFonts w:eastAsia="Times New Roman" w:cs="Times New Roman"/>
            <w:sz w:val="16"/>
            <w:szCs w:val="16"/>
          </w:rPr>
          <w:t>COM(2015) 614</w:t>
        </w:r>
      </w:hyperlink>
      <w:r>
        <w:rPr>
          <w:rFonts w:eastAsia="Times New Roman" w:cs="Times New Roman"/>
          <w:sz w:val="16"/>
          <w:szCs w:val="16"/>
        </w:rPr>
        <w:t>.</w:t>
      </w:r>
    </w:p>
  </w:footnote>
  <w:footnote w:id="8">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w:t>
      </w:r>
      <w:hyperlink r:id="rId5" w:history="1">
        <w:r>
          <w:rPr>
            <w:rStyle w:val="Hyperlink"/>
            <w:rFonts w:eastAsia="Times New Roman" w:cs="Times New Roman"/>
            <w:sz w:val="16"/>
            <w:szCs w:val="16"/>
          </w:rPr>
          <w:t>COM(2018) 028</w:t>
        </w:r>
      </w:hyperlink>
      <w:r>
        <w:rPr>
          <w:rFonts w:eastAsia="Times New Roman" w:cs="Times New Roman"/>
          <w:sz w:val="16"/>
          <w:szCs w:val="16"/>
        </w:rPr>
        <w:t>.</w:t>
      </w:r>
    </w:p>
  </w:footnote>
  <w:footnote w:id="9">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Publications Office of the European Union, </w:t>
      </w:r>
      <w:hyperlink r:id="rId6" w:history="1">
        <w:r>
          <w:rPr>
            <w:rStyle w:val="Hyperlink"/>
            <w:rFonts w:eastAsia="Times New Roman" w:cs="Times New Roman"/>
            <w:sz w:val="16"/>
            <w:szCs w:val="16"/>
          </w:rPr>
          <w:t>Waste Package</w:t>
        </w:r>
      </w:hyperlink>
      <w:r>
        <w:rPr>
          <w:rFonts w:eastAsia="Times New Roman" w:cs="Times New Roman"/>
          <w:sz w:val="16"/>
          <w:szCs w:val="16"/>
        </w:rPr>
        <w:t xml:space="preserve"> (Official Journal of the European Union, L 150, 14 June 2018).</w:t>
      </w:r>
    </w:p>
  </w:footnote>
  <w:footnote w:id="10">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European Commission, </w:t>
      </w:r>
      <w:hyperlink r:id="rId7" w:history="1">
        <w:r>
          <w:rPr>
            <w:rStyle w:val="Hyperlink"/>
            <w:rFonts w:eastAsia="Times New Roman" w:cs="Times New Roman"/>
            <w:sz w:val="16"/>
            <w:szCs w:val="16"/>
          </w:rPr>
          <w:t>Circular Economy Monitoring Framework</w:t>
        </w:r>
      </w:hyperlink>
      <w:r>
        <w:rPr>
          <w:rFonts w:eastAsia="Times New Roman" w:cs="Times New Roman"/>
          <w:sz w:val="16"/>
          <w:szCs w:val="16"/>
        </w:rPr>
        <w:t>.</w:t>
      </w:r>
    </w:p>
  </w:footnote>
  <w:footnote w:id="11">
    <w:p>
      <w:pPr>
        <w:pStyle w:val="FootnoteText"/>
        <w:rPr>
          <w:sz w:val="16"/>
          <w:szCs w:val="16"/>
        </w:rPr>
      </w:pPr>
      <w:r>
        <w:rPr>
          <w:rStyle w:val="FootnoteReference"/>
          <w:sz w:val="16"/>
          <w:szCs w:val="16"/>
        </w:rPr>
        <w:footnoteRef/>
      </w:r>
      <w:r>
        <w:rPr>
          <w:sz w:val="16"/>
          <w:szCs w:val="16"/>
        </w:rPr>
        <w:t xml:space="preserve"> </w:t>
      </w:r>
      <w:r>
        <w:rPr>
          <w:rStyle w:val="Hyperlink"/>
          <w:sz w:val="16"/>
          <w:szCs w:val="16"/>
        </w:rPr>
        <w:t>COM(2018) 673</w:t>
      </w:r>
      <w:r>
        <w:rPr>
          <w:rStyle w:val="Hyperlink"/>
          <w:color w:val="auto"/>
          <w:sz w:val="16"/>
          <w:szCs w:val="16"/>
          <w:u w:val="none"/>
        </w:rPr>
        <w:t>.</w:t>
      </w:r>
      <w:r>
        <w:rPr>
          <w:rStyle w:val="Hyperlink"/>
          <w:sz w:val="16"/>
          <w:szCs w:val="16"/>
        </w:rPr>
        <w:t xml:space="preserve"> </w:t>
      </w:r>
    </w:p>
  </w:footnote>
  <w:footnote w:id="12">
    <w:p>
      <w:pPr>
        <w:pStyle w:val="FootnoteText"/>
        <w:rPr>
          <w:sz w:val="16"/>
          <w:szCs w:val="16"/>
        </w:rPr>
      </w:pPr>
      <w:r>
        <w:rPr>
          <w:rStyle w:val="FootnoteReference"/>
          <w:sz w:val="16"/>
          <w:szCs w:val="16"/>
        </w:rPr>
        <w:footnoteRef/>
      </w:r>
      <w:r>
        <w:rPr>
          <w:sz w:val="16"/>
          <w:szCs w:val="16"/>
        </w:rPr>
        <w:t xml:space="preserve"> </w:t>
      </w:r>
      <w:hyperlink r:id="rId8" w:history="1">
        <w:r>
          <w:rPr>
            <w:rStyle w:val="Hyperlink"/>
            <w:sz w:val="16"/>
            <w:szCs w:val="16"/>
          </w:rPr>
          <w:t>Provisional inter-institutional agreement on 19 December 2018</w:t>
        </w:r>
      </w:hyperlink>
      <w:r>
        <w:rPr>
          <w:sz w:val="16"/>
          <w:szCs w:val="16"/>
        </w:rPr>
        <w:t>.</w:t>
      </w:r>
    </w:p>
  </w:footnote>
  <w:footnote w:id="13">
    <w:p>
      <w:pPr>
        <w:pStyle w:val="NoSpacing"/>
        <w:rPr>
          <w:rStyle w:val="FootnoteReference"/>
          <w:sz w:val="16"/>
          <w:szCs w:val="16"/>
        </w:rPr>
      </w:pPr>
      <w:r>
        <w:rPr>
          <w:rStyle w:val="FootnoteReference"/>
          <w:rFonts w:eastAsia="Times New Roman" w:cs="Times New Roman"/>
          <w:sz w:val="16"/>
          <w:szCs w:val="16"/>
        </w:rPr>
        <w:footnoteRef/>
      </w:r>
      <w:r>
        <w:rPr>
          <w:rStyle w:val="FootnoteReference"/>
          <w:sz w:val="16"/>
          <w:szCs w:val="16"/>
        </w:rPr>
        <w:t xml:space="preserve"> </w:t>
      </w:r>
      <w:r>
        <w:rPr>
          <w:rFonts w:eastAsia="Times New Roman" w:cs="Times New Roman"/>
          <w:sz w:val="16"/>
          <w:szCs w:val="16"/>
        </w:rPr>
        <w:t>Inter alia, eco-design requirements in product regulations which support better reparability, provision of useful information for repairs and provision of spare parts.</w:t>
      </w:r>
    </w:p>
  </w:footnote>
  <w:footnote w:id="14">
    <w:p>
      <w:pPr>
        <w:pStyle w:val="FootnoteText"/>
        <w:rPr>
          <w:sz w:val="16"/>
          <w:szCs w:val="16"/>
        </w:rPr>
      </w:pPr>
      <w:r>
        <w:rPr>
          <w:rStyle w:val="FootnoteReference"/>
          <w:rFonts w:eastAsia="Times New Roman" w:cs="Times New Roman"/>
          <w:sz w:val="16"/>
          <w:szCs w:val="16"/>
        </w:rPr>
        <w:footnoteRef/>
      </w:r>
      <w:r>
        <w:rPr>
          <w:sz w:val="16"/>
          <w:szCs w:val="16"/>
        </w:rPr>
        <w:t> In this context, the Commission held a workshop with the Member States’ consumer protection authorities on planned/premature obsolescence in October 2018.</w:t>
      </w:r>
    </w:p>
  </w:footnote>
  <w:footnote w:id="15">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European Commission, </w:t>
      </w:r>
      <w:hyperlink r:id="rId9" w:history="1">
        <w:r>
          <w:rPr>
            <w:rStyle w:val="Hyperlink"/>
            <w:rFonts w:eastAsia="Times New Roman" w:cs="Times New Roman"/>
            <w:sz w:val="16"/>
            <w:szCs w:val="16"/>
          </w:rPr>
          <w:t>Recycling rate of municipal waste</w:t>
        </w:r>
      </w:hyperlink>
      <w:r>
        <w:rPr>
          <w:rStyle w:val="Hyperlink"/>
          <w:rFonts w:eastAsia="Times New Roman" w:cs="Times New Roman"/>
          <w:sz w:val="16"/>
          <w:szCs w:val="16"/>
        </w:rPr>
        <w:t>.</w:t>
      </w:r>
    </w:p>
  </w:footnote>
  <w:footnote w:id="16">
    <w:p>
      <w:pPr>
        <w:pStyle w:val="FootnoteText"/>
        <w:rPr>
          <w:rFonts w:eastAsia="Times New Roman" w:cs="Times New Roman"/>
          <w:sz w:val="16"/>
          <w:szCs w:val="16"/>
          <w:lang w:val="it-IT"/>
        </w:rPr>
      </w:pPr>
      <w:r>
        <w:rPr>
          <w:rStyle w:val="FootnoteReference"/>
          <w:rFonts w:eastAsia="Times New Roman" w:cs="Times New Roman"/>
          <w:sz w:val="16"/>
          <w:szCs w:val="16"/>
        </w:rPr>
        <w:footnoteRef/>
      </w:r>
      <w:r>
        <w:rPr>
          <w:rFonts w:eastAsia="Times New Roman" w:cs="Times New Roman"/>
          <w:sz w:val="16"/>
          <w:szCs w:val="16"/>
          <w:lang w:val="it-IT"/>
        </w:rPr>
        <w:t xml:space="preserve"> </w:t>
      </w:r>
      <w:hyperlink r:id="rId10" w:history="1">
        <w:r>
          <w:rPr>
            <w:rStyle w:val="Hyperlink"/>
            <w:rFonts w:eastAsia="Times New Roman" w:cs="Times New Roman"/>
            <w:sz w:val="16"/>
            <w:szCs w:val="16"/>
            <w:lang w:val="it-IT"/>
          </w:rPr>
          <w:t>COM(2018) 656</w:t>
        </w:r>
      </w:hyperlink>
      <w:r>
        <w:rPr>
          <w:rFonts w:eastAsia="Times New Roman" w:cs="Times New Roman"/>
          <w:sz w:val="16"/>
          <w:szCs w:val="16"/>
          <w:lang w:val="it-IT"/>
        </w:rPr>
        <w:t xml:space="preserve">. </w:t>
      </w:r>
    </w:p>
  </w:footnote>
  <w:footnote w:id="17">
    <w:p>
      <w:pPr>
        <w:pStyle w:val="FootnoteText"/>
        <w:rPr>
          <w:rFonts w:eastAsia="Times New Roman" w:cs="Times New Roman"/>
          <w:sz w:val="16"/>
          <w:szCs w:val="16"/>
          <w:lang w:val="it-IT"/>
        </w:rPr>
      </w:pPr>
      <w:r>
        <w:rPr>
          <w:rStyle w:val="FootnoteReference"/>
          <w:rFonts w:eastAsia="Times New Roman" w:cs="Times New Roman"/>
          <w:sz w:val="16"/>
          <w:szCs w:val="16"/>
        </w:rPr>
        <w:footnoteRef/>
      </w:r>
      <w:r>
        <w:rPr>
          <w:rFonts w:eastAsia="Times New Roman" w:cs="Times New Roman"/>
          <w:sz w:val="16"/>
          <w:szCs w:val="16"/>
          <w:lang w:val="it-IT"/>
        </w:rPr>
        <w:t xml:space="preserve"> Austria, Bulgaria, Croatia, Cyprus, the Czech Republic, Estonia, Germany, Greece, Hungary, Ireland, Latvia, Malta, Poland, Portugal, Romania, Slovakia and Spain.</w:t>
      </w:r>
    </w:p>
  </w:footnote>
  <w:footnote w:id="18">
    <w:p>
      <w:pPr>
        <w:pStyle w:val="FootnoteText"/>
        <w:rPr>
          <w:rFonts w:eastAsia="Times New Roman" w:cs="Times New Roman"/>
          <w:sz w:val="16"/>
          <w:szCs w:val="16"/>
          <w:lang w:val="it-IT"/>
        </w:rPr>
      </w:pPr>
      <w:r>
        <w:rPr>
          <w:rStyle w:val="FootnoteReference"/>
          <w:rFonts w:eastAsia="Times New Roman" w:cs="Times New Roman"/>
          <w:sz w:val="16"/>
          <w:szCs w:val="16"/>
        </w:rPr>
        <w:footnoteRef/>
      </w:r>
      <w:r>
        <w:rPr>
          <w:rFonts w:eastAsia="Times New Roman" w:cs="Times New Roman"/>
          <w:sz w:val="16"/>
          <w:szCs w:val="16"/>
          <w:lang w:val="it-IT"/>
        </w:rPr>
        <w:t xml:space="preserve"> Austria, Cyprus, Greece, Hungary, Italy, Malta, the Netherlands, Romania and Slovakia.</w:t>
      </w:r>
    </w:p>
  </w:footnote>
  <w:footnote w:id="19">
    <w:p>
      <w:pPr>
        <w:pStyle w:val="FootnoteText"/>
        <w:jc w:val="lef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w:t>
      </w:r>
      <w:r>
        <w:rPr>
          <w:rFonts w:ascii="Times New Roman," w:eastAsia="Times New Roman," w:hAnsi="Times New Roman," w:cs="Times New Roman,"/>
          <w:sz w:val="16"/>
          <w:szCs w:val="16"/>
        </w:rPr>
        <w:t xml:space="preserve">European Commission, </w:t>
      </w:r>
      <w:hyperlink r:id="rId11" w:history="1">
        <w:r>
          <w:rPr>
            <w:rStyle w:val="Hyperlink"/>
            <w:rFonts w:ascii="Times New Roman," w:eastAsia="Times New Roman," w:hAnsi="Times New Roman," w:cs="Times New Roman,"/>
            <w:sz w:val="16"/>
            <w:szCs w:val="16"/>
          </w:rPr>
          <w:t>Municipal waste, by waste operations</w:t>
        </w:r>
      </w:hyperlink>
      <w:r>
        <w:rPr>
          <w:rFonts w:ascii="Times New Roman," w:eastAsia="Times New Roman," w:hAnsi="Times New Roman," w:cs="Times New Roman,"/>
          <w:sz w:val="16"/>
          <w:szCs w:val="16"/>
        </w:rPr>
        <w:t>.</w:t>
      </w:r>
      <w:r>
        <w:rPr>
          <w:rFonts w:eastAsia="Times New Roman" w:cs="Times New Roman"/>
          <w:sz w:val="16"/>
          <w:szCs w:val="16"/>
        </w:rPr>
        <w:t xml:space="preserve"> Austria, Cyprus, Denmark, Germany, Luxembourg, Malta. </w:t>
      </w:r>
    </w:p>
  </w:footnote>
  <w:footnote w:id="20">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Belgium, Bulgaria, Denmark, France, Germany, Luxembourg, Hungary, the Netherlands and Spain. </w:t>
      </w:r>
    </w:p>
  </w:footnote>
  <w:footnote w:id="21">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Austria, Belgium, Germany, the Netherlands and Slovenia.</w:t>
      </w:r>
    </w:p>
  </w:footnote>
  <w:footnote w:id="22">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w:t>
      </w:r>
      <w:r>
        <w:rPr>
          <w:sz w:val="16"/>
          <w:szCs w:val="16"/>
        </w:rPr>
        <w:t>The Commission has presented early warning reports</w:t>
      </w:r>
      <w:r>
        <w:rPr>
          <w:rFonts w:eastAsia="Times New Roman" w:cs="Times New Roman"/>
          <w:sz w:val="16"/>
          <w:szCs w:val="16"/>
        </w:rPr>
        <w:t xml:space="preserve"> for Bulgaria, Croatia, Cyprus, Estonia, Finland, Greece, Hungary, Latvia, Malta, Poland, Portugal, Romania, Slovakia and Spain. See </w:t>
      </w:r>
      <w:hyperlink r:id="rId12" w:history="1">
        <w:r>
          <w:rPr>
            <w:rStyle w:val="Hyperlink"/>
            <w:rFonts w:eastAsia="Times New Roman" w:cs="Times New Roman"/>
            <w:sz w:val="16"/>
            <w:szCs w:val="16"/>
          </w:rPr>
          <w:t>COM(2018) 656</w:t>
        </w:r>
      </w:hyperlink>
      <w:r>
        <w:rPr>
          <w:rFonts w:eastAsia="Times New Roman" w:cs="Times New Roman"/>
          <w:sz w:val="16"/>
          <w:szCs w:val="16"/>
        </w:rPr>
        <w:t>.</w:t>
      </w:r>
    </w:p>
  </w:footnote>
  <w:footnote w:id="23">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French Ministry for an Ecological and Solidary Transition, </w:t>
      </w:r>
      <w:hyperlink r:id="rId13" w:history="1">
        <w:r>
          <w:rPr>
            <w:rStyle w:val="Hyperlink"/>
            <w:rFonts w:eastAsia="Times New Roman" w:cs="Times New Roman"/>
            <w:sz w:val="16"/>
            <w:szCs w:val="16"/>
          </w:rPr>
          <w:t>Roadmap for the Circular Economy</w:t>
        </w:r>
      </w:hyperlink>
      <w:r>
        <w:rPr>
          <w:rFonts w:eastAsia="Times New Roman" w:cs="Times New Roman"/>
          <w:sz w:val="16"/>
          <w:szCs w:val="16"/>
        </w:rPr>
        <w:t xml:space="preserve">, 2018. </w:t>
      </w:r>
    </w:p>
  </w:footnote>
  <w:footnote w:id="24">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Bulgaria, Croatia, Cyprus, the Czech Republic, Estonia, Greece, Finland, France, Hungary, Ireland, Italy, Lithuania, Latvia, Malta, Poland, Portugal, Romania, Slovenia, Slovakia, Spain and the United Kingdom.</w:t>
      </w:r>
    </w:p>
  </w:footnote>
  <w:footnote w:id="25">
    <w:p>
      <w:pPr>
        <w:pStyle w:val="FootnoteText"/>
        <w:rPr>
          <w:sz w:val="16"/>
          <w:szCs w:val="16"/>
        </w:rPr>
      </w:pPr>
      <w:r>
        <w:rPr>
          <w:rStyle w:val="FootnoteReference"/>
          <w:sz w:val="16"/>
          <w:szCs w:val="16"/>
        </w:rPr>
        <w:footnoteRef/>
      </w:r>
      <w:r>
        <w:rPr>
          <w:sz w:val="16"/>
          <w:szCs w:val="16"/>
        </w:rPr>
        <w:t xml:space="preserve"> </w:t>
      </w:r>
      <w:hyperlink r:id="rId14" w:history="1">
        <w:r>
          <w:rPr>
            <w:rStyle w:val="Hyperlink"/>
            <w:sz w:val="16"/>
            <w:szCs w:val="16"/>
          </w:rPr>
          <w:t>Directive 1999/31/EC</w:t>
        </w:r>
      </w:hyperlink>
      <w:r>
        <w:rPr>
          <w:sz w:val="16"/>
          <w:szCs w:val="16"/>
        </w:rPr>
        <w:t>.</w:t>
      </w:r>
    </w:p>
  </w:footnote>
  <w:footnote w:id="26">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The Intergovernmental Panel on Climate Change, </w:t>
      </w:r>
      <w:hyperlink r:id="rId15" w:history="1">
        <w:r>
          <w:rPr>
            <w:rStyle w:val="Hyperlink"/>
            <w:rFonts w:eastAsia="Times New Roman" w:cs="Times New Roman"/>
            <w:sz w:val="16"/>
            <w:szCs w:val="16"/>
          </w:rPr>
          <w:t>Special report on a Global Warming of 1.5°C</w:t>
        </w:r>
      </w:hyperlink>
      <w:r>
        <w:rPr>
          <w:rFonts w:eastAsia="Times New Roman" w:cs="Times New Roman"/>
          <w:sz w:val="16"/>
          <w:szCs w:val="16"/>
        </w:rPr>
        <w:t>.</w:t>
      </w:r>
    </w:p>
  </w:footnote>
  <w:footnote w:id="27">
    <w:p>
      <w:pPr>
        <w:pStyle w:val="FootnoteText"/>
        <w:rPr>
          <w:rFonts w:eastAsia="Times New Roman" w:cs="Times New Roman"/>
          <w:sz w:val="16"/>
          <w:szCs w:val="16"/>
          <w:lang w:val="pt-PT"/>
        </w:rPr>
      </w:pPr>
      <w:r>
        <w:rPr>
          <w:rStyle w:val="FootnoteReference"/>
          <w:rFonts w:eastAsia="Times New Roman" w:cs="Times New Roman"/>
          <w:sz w:val="16"/>
          <w:szCs w:val="16"/>
        </w:rPr>
        <w:footnoteRef/>
      </w:r>
      <w:r>
        <w:rPr>
          <w:rFonts w:eastAsia="Times New Roman" w:cs="Times New Roman"/>
          <w:sz w:val="16"/>
          <w:szCs w:val="16"/>
          <w:lang w:val="pt-PT"/>
        </w:rPr>
        <w:t xml:space="preserve"> </w:t>
      </w:r>
      <w:hyperlink r:id="rId16" w:history="1">
        <w:r>
          <w:rPr>
            <w:rStyle w:val="Hyperlink"/>
            <w:rFonts w:eastAsia="Times New Roman" w:cs="Times New Roman"/>
            <w:sz w:val="16"/>
            <w:szCs w:val="16"/>
            <w:lang w:val="pt-PT"/>
          </w:rPr>
          <w:t>COM(2018)773.</w:t>
        </w:r>
      </w:hyperlink>
      <w:r>
        <w:rPr>
          <w:rFonts w:eastAsia="Times New Roman" w:cs="Times New Roman"/>
          <w:sz w:val="16"/>
          <w:szCs w:val="16"/>
          <w:lang w:val="pt-PT"/>
        </w:rPr>
        <w:t xml:space="preserve"> </w:t>
      </w:r>
    </w:p>
  </w:footnote>
  <w:footnote w:id="28">
    <w:p>
      <w:pPr>
        <w:pStyle w:val="FootnoteText"/>
        <w:rPr>
          <w:rFonts w:eastAsia="Times New Roman" w:cs="Times New Roman"/>
          <w:sz w:val="16"/>
          <w:szCs w:val="16"/>
          <w:lang w:val="pt-PT"/>
        </w:rPr>
      </w:pPr>
      <w:r>
        <w:rPr>
          <w:rStyle w:val="FootnoteReference"/>
          <w:rFonts w:eastAsia="Times New Roman" w:cs="Times New Roman"/>
          <w:sz w:val="16"/>
          <w:szCs w:val="16"/>
        </w:rPr>
        <w:footnoteRef/>
      </w:r>
      <w:r>
        <w:rPr>
          <w:rFonts w:eastAsia="Times New Roman" w:cs="Times New Roman"/>
          <w:sz w:val="16"/>
          <w:szCs w:val="16"/>
          <w:lang w:val="pt-PT"/>
        </w:rPr>
        <w:t xml:space="preserve"> </w:t>
      </w:r>
      <w:hyperlink r:id="rId17" w:history="1">
        <w:r>
          <w:rPr>
            <w:rStyle w:val="Hyperlink"/>
            <w:rFonts w:eastAsia="Times New Roman" w:cs="Times New Roman"/>
            <w:sz w:val="16"/>
            <w:szCs w:val="16"/>
            <w:lang w:val="pt-PT"/>
          </w:rPr>
          <w:t>Directive (EU) 2018/410</w:t>
        </w:r>
      </w:hyperlink>
      <w:r>
        <w:rPr>
          <w:rFonts w:eastAsia="Times New Roman" w:cs="Times New Roman"/>
          <w:sz w:val="16"/>
          <w:szCs w:val="16"/>
          <w:lang w:val="pt-PT"/>
        </w:rPr>
        <w:t>.</w:t>
      </w:r>
    </w:p>
  </w:footnote>
  <w:footnote w:id="29">
    <w:p>
      <w:pPr>
        <w:pStyle w:val="FootnoteText"/>
        <w:rPr>
          <w:rFonts w:eastAsia="Times New Roman" w:cs="Times New Roman"/>
          <w:sz w:val="16"/>
          <w:szCs w:val="16"/>
          <w:lang w:val="pt-PT"/>
        </w:rPr>
      </w:pPr>
      <w:r>
        <w:rPr>
          <w:rStyle w:val="FootnoteReference"/>
          <w:rFonts w:eastAsia="Times New Roman" w:cs="Times New Roman"/>
          <w:sz w:val="16"/>
          <w:szCs w:val="16"/>
        </w:rPr>
        <w:footnoteRef/>
      </w:r>
      <w:r>
        <w:rPr>
          <w:rFonts w:eastAsia="Times New Roman" w:cs="Times New Roman"/>
          <w:sz w:val="16"/>
          <w:szCs w:val="16"/>
          <w:lang w:val="pt-PT"/>
        </w:rPr>
        <w:t xml:space="preserve"> </w:t>
      </w:r>
      <w:hyperlink r:id="rId18" w:history="1">
        <w:r>
          <w:rPr>
            <w:rStyle w:val="Hyperlink"/>
            <w:rFonts w:eastAsia="Times New Roman" w:cs="Times New Roman"/>
            <w:sz w:val="16"/>
            <w:szCs w:val="16"/>
            <w:lang w:val="pt-PT"/>
          </w:rPr>
          <w:t>COM(2018) 738</w:t>
        </w:r>
      </w:hyperlink>
      <w:r>
        <w:rPr>
          <w:rFonts w:eastAsia="Times New Roman" w:cs="Times New Roman"/>
          <w:sz w:val="16"/>
          <w:szCs w:val="16"/>
          <w:lang w:val="pt-PT"/>
        </w:rPr>
        <w:t>.</w:t>
      </w:r>
    </w:p>
  </w:footnote>
  <w:footnote w:id="30">
    <w:p>
      <w:pPr>
        <w:pStyle w:val="FootnoteText"/>
        <w:rPr>
          <w:rFonts w:eastAsia="Times New Roman" w:cs="Times New Roman"/>
          <w:sz w:val="16"/>
          <w:szCs w:val="16"/>
          <w:lang w:val="fr-BE"/>
        </w:rPr>
      </w:pPr>
      <w:r>
        <w:rPr>
          <w:rStyle w:val="FootnoteReference"/>
          <w:rFonts w:eastAsia="Times New Roman" w:cs="Times New Roman"/>
          <w:sz w:val="16"/>
          <w:szCs w:val="16"/>
        </w:rPr>
        <w:footnoteRef/>
      </w:r>
      <w:r>
        <w:rPr>
          <w:rFonts w:eastAsia="Times New Roman" w:cs="Times New Roman"/>
          <w:sz w:val="16"/>
          <w:szCs w:val="16"/>
          <w:lang w:val="fr-BE"/>
        </w:rPr>
        <w:t xml:space="preserve"> </w:t>
      </w:r>
      <w:hyperlink r:id="rId19" w:history="1">
        <w:r>
          <w:rPr>
            <w:rStyle w:val="Hyperlink"/>
            <w:rFonts w:eastAsia="Times New Roman" w:cs="Times New Roman"/>
            <w:sz w:val="16"/>
            <w:szCs w:val="16"/>
            <w:lang w:val="fr-BE"/>
          </w:rPr>
          <w:t>Regulation (EU) 2018/1999</w:t>
        </w:r>
      </w:hyperlink>
      <w:r>
        <w:rPr>
          <w:rFonts w:eastAsia="Times New Roman" w:cs="Times New Roman"/>
          <w:sz w:val="16"/>
          <w:szCs w:val="16"/>
          <w:lang w:val="fr-BE"/>
        </w:rPr>
        <w:t>.</w:t>
      </w:r>
    </w:p>
  </w:footnote>
  <w:footnote w:id="31">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In 2016, Belgium, Finland, Germany, Ireland, Malta and Poland had higher emissions than their annual emission allocations. In 2017, according to preliminary data, Austria, Bulgaria, Cyprus, Estonia, Finland, Germany, Ireland, Lithuania, Malta and Poland had higher emissions than their annual emission allocations. </w:t>
      </w:r>
    </w:p>
  </w:footnote>
  <w:footnote w:id="32">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All member States but Bulgaria, Croatia and Latvia.</w:t>
      </w:r>
    </w:p>
  </w:footnote>
  <w:footnote w:id="33">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European Commission, </w:t>
      </w:r>
      <w:hyperlink r:id="rId20" w:history="1">
        <w:r>
          <w:rPr>
            <w:rStyle w:val="Hyperlink"/>
            <w:rFonts w:eastAsia="Times New Roman" w:cs="Times New Roman"/>
            <w:sz w:val="16"/>
            <w:szCs w:val="16"/>
          </w:rPr>
          <w:t>Macro-regional strategies</w:t>
        </w:r>
      </w:hyperlink>
      <w:r>
        <w:rPr>
          <w:rFonts w:eastAsia="Times New Roman" w:cs="Times New Roman"/>
          <w:sz w:val="16"/>
          <w:szCs w:val="16"/>
        </w:rPr>
        <w:t xml:space="preserve">. </w:t>
      </w:r>
    </w:p>
  </w:footnote>
  <w:footnote w:id="34">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Alpine Convention, </w:t>
      </w:r>
      <w:hyperlink r:id="rId21" w:history="1">
        <w:r>
          <w:rPr>
            <w:rStyle w:val="Hyperlink"/>
            <w:rFonts w:eastAsia="Times New Roman" w:cs="Times New Roman"/>
            <w:sz w:val="16"/>
            <w:szCs w:val="16"/>
          </w:rPr>
          <w:t>website.</w:t>
        </w:r>
      </w:hyperlink>
      <w:r>
        <w:rPr>
          <w:rFonts w:eastAsia="Times New Roman" w:cs="Times New Roman"/>
          <w:sz w:val="16"/>
          <w:szCs w:val="16"/>
        </w:rPr>
        <w:t xml:space="preserve"> </w:t>
      </w:r>
    </w:p>
  </w:footnote>
  <w:footnote w:id="35">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Carpathian Convention, </w:t>
      </w:r>
      <w:hyperlink r:id="rId22" w:history="1">
        <w:r>
          <w:rPr>
            <w:rStyle w:val="Hyperlink"/>
            <w:rFonts w:eastAsia="Times New Roman" w:cs="Times New Roman"/>
            <w:sz w:val="16"/>
            <w:szCs w:val="16"/>
          </w:rPr>
          <w:t>website.</w:t>
        </w:r>
      </w:hyperlink>
      <w:r>
        <w:rPr>
          <w:rFonts w:eastAsia="Times New Roman" w:cs="Times New Roman"/>
          <w:sz w:val="16"/>
          <w:szCs w:val="16"/>
        </w:rPr>
        <w:t xml:space="preserve"> </w:t>
      </w:r>
    </w:p>
  </w:footnote>
  <w:footnote w:id="36">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w:t>
      </w:r>
      <w:hyperlink r:id="rId23" w:history="1">
        <w:r>
          <w:rPr>
            <w:rStyle w:val="Hyperlink"/>
            <w:rFonts w:eastAsia="Times New Roman" w:cs="Times New Roman"/>
            <w:sz w:val="16"/>
            <w:szCs w:val="16"/>
          </w:rPr>
          <w:t>COM(2011) 244</w:t>
        </w:r>
      </w:hyperlink>
      <w:r>
        <w:rPr>
          <w:rFonts w:eastAsia="Times New Roman" w:cs="Times New Roman"/>
          <w:sz w:val="16"/>
          <w:szCs w:val="16"/>
        </w:rPr>
        <w:t>.</w:t>
      </w:r>
    </w:p>
  </w:footnote>
  <w:footnote w:id="37">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w:t>
      </w:r>
      <w:hyperlink r:id="rId24" w:history="1">
        <w:r>
          <w:rPr>
            <w:rStyle w:val="Hyperlink"/>
            <w:rFonts w:eastAsia="Times New Roman" w:cs="Times New Roman"/>
            <w:sz w:val="16"/>
            <w:szCs w:val="16"/>
          </w:rPr>
          <w:t>Directive 92/43/EEC</w:t>
        </w:r>
      </w:hyperlink>
      <w:r>
        <w:rPr>
          <w:rFonts w:eastAsia="Times New Roman" w:cs="Times New Roman"/>
          <w:sz w:val="16"/>
          <w:szCs w:val="16"/>
        </w:rPr>
        <w:t xml:space="preserve"> and </w:t>
      </w:r>
      <w:hyperlink r:id="rId25" w:history="1">
        <w:r>
          <w:rPr>
            <w:rStyle w:val="Hyperlink"/>
            <w:rFonts w:eastAsia="Times New Roman" w:cs="Times New Roman"/>
            <w:sz w:val="16"/>
            <w:szCs w:val="16"/>
          </w:rPr>
          <w:t>Directive 2009/147/EC</w:t>
        </w:r>
      </w:hyperlink>
      <w:r>
        <w:rPr>
          <w:rFonts w:eastAsia="Times New Roman" w:cs="Times New Roman"/>
          <w:sz w:val="16"/>
          <w:szCs w:val="16"/>
        </w:rPr>
        <w:t>.</w:t>
      </w:r>
    </w:p>
  </w:footnote>
  <w:footnote w:id="38">
    <w:p>
      <w:pPr>
        <w:pStyle w:val="FootnoteText"/>
        <w:rPr>
          <w:sz w:val="16"/>
          <w:szCs w:val="16"/>
        </w:rPr>
      </w:pPr>
      <w:r>
        <w:rPr>
          <w:rStyle w:val="FootnoteReference"/>
          <w:sz w:val="16"/>
          <w:szCs w:val="16"/>
        </w:rPr>
        <w:footnoteRef/>
      </w:r>
      <w:r>
        <w:rPr>
          <w:sz w:val="16"/>
          <w:szCs w:val="16"/>
        </w:rPr>
        <w:t xml:space="preserve"> </w:t>
      </w:r>
      <w:hyperlink r:id="rId26" w:history="1">
        <w:r>
          <w:rPr>
            <w:rStyle w:val="Hyperlink"/>
            <w:sz w:val="16"/>
            <w:szCs w:val="16"/>
          </w:rPr>
          <w:t>COM(2017) 198</w:t>
        </w:r>
      </w:hyperlink>
      <w:r>
        <w:rPr>
          <w:sz w:val="16"/>
          <w:szCs w:val="16"/>
        </w:rPr>
        <w:t>.</w:t>
      </w:r>
    </w:p>
  </w:footnote>
  <w:footnote w:id="39">
    <w:p>
      <w:pPr>
        <w:pStyle w:val="FootnoteText"/>
        <w:rPr>
          <w:sz w:val="16"/>
          <w:szCs w:val="16"/>
        </w:rPr>
      </w:pPr>
      <w:r>
        <w:rPr>
          <w:rStyle w:val="FootnoteReference"/>
          <w:sz w:val="16"/>
          <w:szCs w:val="16"/>
        </w:rPr>
        <w:footnoteRef/>
      </w:r>
      <w:r>
        <w:rPr>
          <w:sz w:val="16"/>
          <w:szCs w:val="16"/>
        </w:rPr>
        <w:t xml:space="preserve"> </w:t>
      </w:r>
      <w:hyperlink r:id="rId27" w:history="1">
        <w:r>
          <w:rPr>
            <w:rStyle w:val="Hyperlink"/>
            <w:sz w:val="16"/>
            <w:szCs w:val="16"/>
          </w:rPr>
          <w:t>COM(2011) 244</w:t>
        </w:r>
      </w:hyperlink>
      <w:r>
        <w:rPr>
          <w:sz w:val="16"/>
          <w:szCs w:val="16"/>
        </w:rPr>
        <w:t>.</w:t>
      </w:r>
    </w:p>
  </w:footnote>
  <w:footnote w:id="40">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w:t>
      </w:r>
      <w:hyperlink r:id="rId28" w:history="1">
        <w:r>
          <w:rPr>
            <w:rStyle w:val="Hyperlink"/>
            <w:rFonts w:eastAsia="Times New Roman" w:cs="Times New Roman"/>
            <w:sz w:val="16"/>
            <w:szCs w:val="16"/>
          </w:rPr>
          <w:t>Regulation (EU) No 1143/2014</w:t>
        </w:r>
      </w:hyperlink>
      <w:r>
        <w:rPr>
          <w:rFonts w:eastAsia="Times New Roman" w:cs="Times New Roman"/>
          <w:sz w:val="16"/>
          <w:szCs w:val="16"/>
        </w:rPr>
        <w:t>.</w:t>
      </w:r>
    </w:p>
  </w:footnote>
  <w:footnote w:id="41">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Austria, Belgium, Bulgaria, Croatia, Cyprus, the Czech Republic, Denmark, Estonia, Finland, Germany, Greece, Hungary, Ireland, Italy, Lithuania, Latvia, Malta, the Netherlands, Poland, Portugal, Romania, Spain, Slovakia, Slovenia, Sweden and the United Kingdom.</w:t>
      </w:r>
    </w:p>
  </w:footnote>
  <w:footnote w:id="42">
    <w:p>
      <w:pPr>
        <w:pStyle w:val="FootnoteText"/>
        <w:rPr>
          <w:rFonts w:eastAsia="Times New Roman" w:cs="Times New Roman"/>
          <w:sz w:val="16"/>
          <w:szCs w:val="16"/>
          <w:lang w:val="it-IT"/>
        </w:rPr>
      </w:pPr>
      <w:r>
        <w:rPr>
          <w:rStyle w:val="FootnoteReference"/>
          <w:rFonts w:eastAsia="Times New Roman" w:cs="Times New Roman"/>
          <w:sz w:val="16"/>
          <w:szCs w:val="16"/>
        </w:rPr>
        <w:footnoteRef/>
      </w:r>
      <w:r>
        <w:rPr>
          <w:rFonts w:eastAsia="Times New Roman" w:cs="Times New Roman"/>
          <w:sz w:val="16"/>
          <w:szCs w:val="16"/>
          <w:lang w:val="it-IT"/>
        </w:rPr>
        <w:t xml:space="preserve"> Bulgaria, Cyprus, Estonia, Greece, Hungary, Italy, Lithuania, Portugal, Romania and Slovenia.</w:t>
      </w:r>
    </w:p>
  </w:footnote>
  <w:footnote w:id="43">
    <w:p>
      <w:pPr>
        <w:pStyle w:val="FootnoteText"/>
        <w:rPr>
          <w:rFonts w:eastAsia="Times New Roman" w:cs="Times New Roman"/>
          <w:sz w:val="16"/>
          <w:szCs w:val="16"/>
          <w:lang w:val="it-IT"/>
        </w:rPr>
      </w:pPr>
      <w:r>
        <w:rPr>
          <w:rStyle w:val="FootnoteReference"/>
          <w:rFonts w:eastAsia="Times New Roman" w:cs="Times New Roman"/>
          <w:sz w:val="16"/>
          <w:szCs w:val="16"/>
        </w:rPr>
        <w:footnoteRef/>
      </w:r>
      <w:r>
        <w:rPr>
          <w:rFonts w:eastAsia="Times New Roman" w:cs="Times New Roman"/>
          <w:sz w:val="16"/>
          <w:szCs w:val="16"/>
          <w:lang w:val="it-IT"/>
        </w:rPr>
        <w:t xml:space="preserve"> Bulgaria, Croatia, Estonia, France, Greece, Hungary, Ireland, Italy, Lithuania, Luxembourg, Malta, Romania, Slovakia, Slovenia and Spain.</w:t>
      </w:r>
    </w:p>
  </w:footnote>
  <w:footnote w:id="44">
    <w:p>
      <w:pPr>
        <w:pStyle w:val="FootnoteText"/>
        <w:rPr>
          <w:rFonts w:eastAsia="Times New Roman" w:cs="Times New Roman"/>
          <w:sz w:val="16"/>
          <w:szCs w:val="16"/>
          <w:lang w:val="it-IT"/>
        </w:rPr>
      </w:pPr>
      <w:r>
        <w:rPr>
          <w:rStyle w:val="FootnoteReference"/>
          <w:rFonts w:eastAsia="Times New Roman" w:cs="Times New Roman"/>
          <w:sz w:val="16"/>
          <w:szCs w:val="16"/>
        </w:rPr>
        <w:footnoteRef/>
      </w:r>
      <w:r>
        <w:rPr>
          <w:rFonts w:eastAsia="Times New Roman" w:cs="Times New Roman"/>
          <w:sz w:val="16"/>
          <w:szCs w:val="16"/>
          <w:lang w:val="it-IT"/>
        </w:rPr>
        <w:t xml:space="preserve"> Austria, Belgium, the Czech Republic, Denmark, Estonia, Hungary, Portugal, Slovakia and Sweden.</w:t>
      </w:r>
    </w:p>
  </w:footnote>
  <w:footnote w:id="45">
    <w:p>
      <w:pPr>
        <w:pStyle w:val="FootnoteText"/>
        <w:rPr>
          <w:rFonts w:eastAsia="Times New Roman" w:cs="Times New Roman"/>
          <w:sz w:val="16"/>
          <w:szCs w:val="16"/>
          <w:lang w:val="it-IT"/>
        </w:rPr>
      </w:pPr>
      <w:r>
        <w:rPr>
          <w:rStyle w:val="FootnoteReference"/>
          <w:rFonts w:eastAsia="Times New Roman" w:cs="Times New Roman"/>
          <w:sz w:val="16"/>
          <w:szCs w:val="16"/>
        </w:rPr>
        <w:footnoteRef/>
      </w:r>
      <w:r>
        <w:rPr>
          <w:rFonts w:eastAsia="Times New Roman" w:cs="Times New Roman"/>
          <w:sz w:val="16"/>
          <w:szCs w:val="16"/>
          <w:lang w:val="it-IT"/>
        </w:rPr>
        <w:t xml:space="preserve"> Finland, Lithuania, Latvia, Poland, Slovakia and Sweden.</w:t>
      </w:r>
    </w:p>
  </w:footnote>
  <w:footnote w:id="46">
    <w:p>
      <w:pPr>
        <w:pStyle w:val="FootnoteText"/>
        <w:rPr>
          <w:rFonts w:eastAsia="Times New Roman" w:cs="Times New Roman"/>
          <w:sz w:val="16"/>
          <w:szCs w:val="16"/>
          <w:lang w:val="it-IT"/>
        </w:rPr>
      </w:pPr>
      <w:r>
        <w:rPr>
          <w:rStyle w:val="FootnoteReference"/>
          <w:rFonts w:eastAsia="Times New Roman" w:cs="Times New Roman"/>
          <w:sz w:val="16"/>
          <w:szCs w:val="16"/>
        </w:rPr>
        <w:footnoteRef/>
      </w:r>
      <w:r>
        <w:rPr>
          <w:rFonts w:eastAsia="Times New Roman" w:cs="Times New Roman"/>
          <w:sz w:val="16"/>
          <w:szCs w:val="16"/>
          <w:lang w:val="it-IT"/>
        </w:rPr>
        <w:t xml:space="preserve"> </w:t>
      </w:r>
      <w:hyperlink r:id="rId29" w:history="1">
        <w:r>
          <w:rPr>
            <w:rStyle w:val="Hyperlink"/>
            <w:rFonts w:eastAsia="Times New Roman" w:cs="Times New Roman"/>
            <w:sz w:val="16"/>
            <w:szCs w:val="16"/>
            <w:lang w:val="it-IT"/>
          </w:rPr>
          <w:t>COM(2013) 659</w:t>
        </w:r>
      </w:hyperlink>
      <w:r>
        <w:rPr>
          <w:rFonts w:eastAsia="Times New Roman" w:cs="Times New Roman"/>
          <w:sz w:val="16"/>
          <w:szCs w:val="16"/>
          <w:lang w:val="it-IT"/>
        </w:rPr>
        <w:t>.</w:t>
      </w:r>
    </w:p>
  </w:footnote>
  <w:footnote w:id="47">
    <w:p>
      <w:pPr>
        <w:pStyle w:val="FootnoteText"/>
        <w:rPr>
          <w:rFonts w:eastAsia="Times New Roman" w:cs="Times New Roman"/>
          <w:sz w:val="16"/>
          <w:szCs w:val="16"/>
          <w:lang w:val="it-IT"/>
        </w:rPr>
      </w:pPr>
      <w:r>
        <w:rPr>
          <w:rStyle w:val="FootnoteReference"/>
          <w:rFonts w:eastAsia="Times New Roman" w:cs="Times New Roman"/>
          <w:sz w:val="16"/>
          <w:szCs w:val="16"/>
        </w:rPr>
        <w:footnoteRef/>
      </w:r>
      <w:r>
        <w:rPr>
          <w:rFonts w:eastAsia="Times New Roman" w:cs="Times New Roman"/>
          <w:sz w:val="16"/>
          <w:szCs w:val="16"/>
          <w:lang w:val="it-IT"/>
        </w:rPr>
        <w:t xml:space="preserve"> Austria, Belgium, the Czech Republic, Greece, Ireland, Portugal, Romania, Slovakia, Sweden and the United Kingdom. </w:t>
      </w:r>
    </w:p>
  </w:footnote>
  <w:footnote w:id="48">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The Czech Republic, Denmark, Germany, Greece, France, Hungary, Portugal and Spain. </w:t>
      </w:r>
    </w:p>
  </w:footnote>
  <w:footnote w:id="49">
    <w:p>
      <w:pPr>
        <w:pStyle w:val="FootnoteText"/>
        <w:rPr>
          <w:rFonts w:eastAsia="Times New Roman" w:cs="Times New Roman"/>
          <w:sz w:val="16"/>
          <w:szCs w:val="16"/>
          <w:lang w:val="it-IT"/>
        </w:rPr>
      </w:pPr>
      <w:r>
        <w:rPr>
          <w:rStyle w:val="FootnoteReference"/>
          <w:rFonts w:eastAsia="Times New Roman" w:cs="Times New Roman"/>
          <w:sz w:val="16"/>
          <w:szCs w:val="16"/>
        </w:rPr>
        <w:footnoteRef/>
      </w:r>
      <w:r>
        <w:rPr>
          <w:rFonts w:eastAsia="Times New Roman" w:cs="Times New Roman"/>
          <w:sz w:val="16"/>
          <w:szCs w:val="16"/>
          <w:lang w:val="it-IT"/>
        </w:rPr>
        <w:t xml:space="preserve"> Croatia, Denmark, Estonia, Greece, Lithuania, Romania and Slovenia.</w:t>
      </w:r>
    </w:p>
  </w:footnote>
  <w:footnote w:id="50">
    <w:p>
      <w:pPr>
        <w:pStyle w:val="FootnoteText"/>
        <w:rPr>
          <w:sz w:val="16"/>
          <w:szCs w:val="16"/>
        </w:rPr>
      </w:pPr>
      <w:r>
        <w:rPr>
          <w:rStyle w:val="FootnoteReference"/>
          <w:sz w:val="16"/>
          <w:szCs w:val="16"/>
        </w:rPr>
        <w:footnoteRef/>
      </w:r>
      <w:r>
        <w:rPr>
          <w:sz w:val="16"/>
          <w:szCs w:val="16"/>
        </w:rPr>
        <w:t xml:space="preserve"> As required under the Marine Strategy Framework Directive (</w:t>
      </w:r>
      <w:hyperlink r:id="rId30" w:history="1">
        <w:r>
          <w:rPr>
            <w:rStyle w:val="Hyperlink"/>
            <w:sz w:val="16"/>
            <w:szCs w:val="16"/>
          </w:rPr>
          <w:t>Directive 2008/56/EC</w:t>
        </w:r>
      </w:hyperlink>
      <w:r>
        <w:rPr>
          <w:sz w:val="16"/>
          <w:szCs w:val="16"/>
        </w:rPr>
        <w:t>).</w:t>
      </w:r>
    </w:p>
  </w:footnote>
  <w:footnote w:id="51">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Belgium, Bulgaria, Cyprus, Denmark, Finland, France, Ireland, Italy, Latvia, Malta, the Netherlands, Poland, Portugal, Spain, Sweden and the United Kingdom.</w:t>
      </w:r>
    </w:p>
  </w:footnote>
  <w:footnote w:id="52">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LIFE Connect Carpathians, </w:t>
      </w:r>
      <w:hyperlink r:id="rId31" w:history="1">
        <w:r>
          <w:rPr>
            <w:rStyle w:val="Hyperlink"/>
            <w:rFonts w:eastAsia="Times New Roman" w:cs="Times New Roman"/>
            <w:sz w:val="16"/>
            <w:szCs w:val="16"/>
          </w:rPr>
          <w:t>website</w:t>
        </w:r>
      </w:hyperlink>
      <w:r>
        <w:rPr>
          <w:rFonts w:eastAsia="Times New Roman" w:cs="Times New Roman"/>
          <w:sz w:val="16"/>
          <w:szCs w:val="16"/>
        </w:rPr>
        <w:t>.</w:t>
      </w:r>
    </w:p>
  </w:footnote>
  <w:footnote w:id="53">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European Commission, </w:t>
      </w:r>
      <w:hyperlink r:id="rId32" w:anchor="Ammonia" w:history="1">
        <w:r>
          <w:rPr>
            <w:rStyle w:val="Hyperlink"/>
            <w:rFonts w:eastAsia="Times New Roman" w:cs="Times New Roman"/>
            <w:sz w:val="16"/>
            <w:szCs w:val="16"/>
          </w:rPr>
          <w:t>Emissions of air pollutants, EU-28, 1990-2016</w:t>
        </w:r>
      </w:hyperlink>
      <w:r>
        <w:rPr>
          <w:rFonts w:eastAsia="Times New Roman" w:cs="Times New Roman"/>
          <w:sz w:val="16"/>
          <w:szCs w:val="16"/>
        </w:rPr>
        <w:t>.</w:t>
      </w:r>
    </w:p>
  </w:footnote>
  <w:footnote w:id="54">
    <w:p>
      <w:pPr>
        <w:pStyle w:val="FootnoteText"/>
        <w:rPr>
          <w:sz w:val="16"/>
          <w:szCs w:val="16"/>
        </w:rPr>
      </w:pPr>
      <w:r>
        <w:rPr>
          <w:rStyle w:val="FootnoteReference"/>
          <w:sz w:val="16"/>
          <w:szCs w:val="16"/>
        </w:rPr>
        <w:footnoteRef/>
      </w:r>
      <w:r>
        <w:rPr>
          <w:sz w:val="16"/>
          <w:szCs w:val="16"/>
        </w:rPr>
        <w:t xml:space="preserve"> </w:t>
      </w:r>
      <w:hyperlink r:id="rId33" w:history="1">
        <w:r>
          <w:rPr>
            <w:rStyle w:val="Hyperlink"/>
            <w:rFonts w:eastAsia="Times New Roman" w:cs="Times New Roman"/>
            <w:sz w:val="16"/>
            <w:szCs w:val="16"/>
          </w:rPr>
          <w:t>COM(2018) 330</w:t>
        </w:r>
      </w:hyperlink>
      <w:r>
        <w:rPr>
          <w:rFonts w:eastAsia="Times New Roman" w:cs="Times New Roman"/>
          <w:sz w:val="16"/>
          <w:szCs w:val="16"/>
        </w:rPr>
        <w:t>.</w:t>
      </w:r>
    </w:p>
  </w:footnote>
  <w:footnote w:id="55">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European Commission, </w:t>
      </w:r>
      <w:hyperlink r:id="rId34" w:history="1">
        <w:r>
          <w:rPr>
            <w:rStyle w:val="Hyperlink"/>
            <w:rFonts w:eastAsia="Times New Roman" w:cs="Times New Roman"/>
            <w:sz w:val="16"/>
            <w:szCs w:val="16"/>
          </w:rPr>
          <w:t>Air quality fitness check</w:t>
        </w:r>
      </w:hyperlink>
      <w:r>
        <w:rPr>
          <w:rFonts w:eastAsia="Times New Roman" w:cs="Times New Roman"/>
          <w:sz w:val="16"/>
          <w:szCs w:val="16"/>
        </w:rPr>
        <w:t xml:space="preserve">. </w:t>
      </w:r>
    </w:p>
  </w:footnote>
  <w:footnote w:id="56">
    <w:p>
      <w:pPr>
        <w:pStyle w:val="FootnoteText"/>
        <w:rPr>
          <w:sz w:val="16"/>
          <w:szCs w:val="16"/>
        </w:rPr>
      </w:pPr>
      <w:r>
        <w:rPr>
          <w:rStyle w:val="FootnoteReference"/>
          <w:sz w:val="16"/>
          <w:szCs w:val="16"/>
        </w:rPr>
        <w:footnoteRef/>
      </w:r>
      <w:r>
        <w:rPr>
          <w:sz w:val="16"/>
          <w:szCs w:val="16"/>
        </w:rPr>
        <w:t xml:space="preserve"> As an example, the Horizon Prize on Engine Retrofit for Clean Air has been awarded to an innovative retrofit system for diesel cars with excessive NOx emission that demonstrated very good performance. See </w:t>
      </w:r>
      <w:r>
        <w:rPr>
          <w:rFonts w:eastAsia="Times New Roman" w:cs="Times New Roman"/>
          <w:sz w:val="16"/>
          <w:szCs w:val="16"/>
        </w:rPr>
        <w:t xml:space="preserve">European Commission, </w:t>
      </w:r>
      <w:hyperlink r:id="rId35" w:history="1">
        <w:r>
          <w:rPr>
            <w:rFonts w:eastAsia="Times New Roman" w:cs="Times New Roman"/>
            <w:sz w:val="16"/>
            <w:szCs w:val="16"/>
          </w:rPr>
          <w:t>Engine retrofit for clean air Prize</w:t>
        </w:r>
      </w:hyperlink>
      <w:r>
        <w:rPr>
          <w:rFonts w:eastAsia="Times New Roman" w:cs="Times New Roman"/>
          <w:sz w:val="16"/>
          <w:szCs w:val="16"/>
        </w:rPr>
        <w:t xml:space="preserve"> - </w:t>
      </w:r>
      <w:hyperlink r:id="rId36" w:history="1">
        <w:r>
          <w:rPr>
            <w:rStyle w:val="Hyperlink"/>
            <w:rFonts w:eastAsia="Times New Roman" w:cs="Times New Roman"/>
            <w:sz w:val="16"/>
            <w:szCs w:val="16"/>
          </w:rPr>
          <w:t>Evaluation of NOx emissions, Horizon Prize</w:t>
        </w:r>
      </w:hyperlink>
      <w:r>
        <w:rPr>
          <w:rFonts w:eastAsia="Times New Roman" w:cs="Times New Roman"/>
          <w:sz w:val="16"/>
          <w:szCs w:val="16"/>
        </w:rPr>
        <w:t>.</w:t>
      </w:r>
      <w:r>
        <w:rPr>
          <w:sz w:val="16"/>
          <w:szCs w:val="16"/>
        </w:rPr>
        <w:t xml:space="preserve"> </w:t>
      </w:r>
    </w:p>
  </w:footnote>
  <w:footnote w:id="57">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The European Court of Auditors (</w:t>
      </w:r>
      <w:hyperlink r:id="rId37" w:history="1">
        <w:r>
          <w:rPr>
            <w:rStyle w:val="Hyperlink"/>
            <w:rFonts w:eastAsia="Times New Roman" w:cs="Times New Roman"/>
            <w:sz w:val="16"/>
            <w:szCs w:val="16"/>
          </w:rPr>
          <w:t>Special Report 23/2018</w:t>
        </w:r>
      </w:hyperlink>
      <w:r>
        <w:rPr>
          <w:rFonts w:eastAsia="Times New Roman" w:cs="Times New Roman"/>
          <w:sz w:val="16"/>
          <w:szCs w:val="16"/>
        </w:rPr>
        <w:t xml:space="preserve">) has also pointed out this finding. </w:t>
      </w:r>
    </w:p>
  </w:footnote>
  <w:footnote w:id="58">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Austria, Belgium, Bulgaria, Croatia, the Czech Republic, Germany, Greece, France, Hungary, Italy, Ireland, Luxembourg, The Netherlands, Poland, Portugal, Romania, Spain, United Kingdom.</w:t>
      </w:r>
    </w:p>
  </w:footnote>
  <w:footnote w:id="59">
    <w:p>
      <w:pPr>
        <w:pStyle w:val="FootnoteText"/>
        <w:rPr>
          <w:rFonts w:eastAsia="Times New Roman" w:cs="Times New Roman"/>
          <w:sz w:val="16"/>
          <w:szCs w:val="16"/>
          <w:lang w:val="it-IT"/>
        </w:rPr>
      </w:pPr>
      <w:r>
        <w:rPr>
          <w:rStyle w:val="FootnoteReference"/>
          <w:rFonts w:eastAsia="Times New Roman" w:cs="Times New Roman"/>
          <w:sz w:val="16"/>
          <w:szCs w:val="16"/>
        </w:rPr>
        <w:footnoteRef/>
      </w:r>
      <w:r>
        <w:rPr>
          <w:rFonts w:eastAsia="Times New Roman" w:cs="Times New Roman"/>
          <w:sz w:val="16"/>
          <w:szCs w:val="16"/>
          <w:lang w:val="it-IT"/>
        </w:rPr>
        <w:t xml:space="preserve"> Austria, Bulgaria, Croatia, the Czech Republic, Germany, Greece, France, Hungary, Italy, Poland, Romania, Slovakia Slovenia, Spain and Sweden.</w:t>
      </w:r>
    </w:p>
  </w:footnote>
  <w:footnote w:id="60">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Austria, Croatia, Denmark, Germany, Ireland and Spain.</w:t>
      </w:r>
    </w:p>
  </w:footnote>
  <w:footnote w:id="61">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Belgium, Cyprus, the Czech Republic, France, Germany, Greece, Italy, Poland, Portugal, Romania, Slovakia, Sweden and Spain.</w:t>
      </w:r>
      <w:r>
        <w:rPr>
          <w:i/>
          <w:iCs/>
          <w:sz w:val="16"/>
          <w:szCs w:val="16"/>
        </w:rPr>
        <w:t xml:space="preserve"> </w:t>
      </w:r>
    </w:p>
  </w:footnote>
  <w:footnote w:id="62">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Belgium, Greece, Italy, Portugal, Romania, Slovakia and Spain.</w:t>
      </w:r>
    </w:p>
  </w:footnote>
  <w:footnote w:id="63">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European Commission, </w:t>
      </w:r>
      <w:hyperlink r:id="rId38" w:history="1">
        <w:r>
          <w:rPr>
            <w:rStyle w:val="Hyperlink"/>
            <w:rFonts w:eastAsia="Times New Roman" w:cs="Times New Roman"/>
            <w:sz w:val="16"/>
            <w:szCs w:val="16"/>
          </w:rPr>
          <w:t>LIFE Małopolska Region</w:t>
        </w:r>
      </w:hyperlink>
      <w:r>
        <w:rPr>
          <w:rFonts w:eastAsia="Times New Roman" w:cs="Times New Roman"/>
          <w:sz w:val="16"/>
          <w:szCs w:val="16"/>
        </w:rPr>
        <w:t>.</w:t>
      </w:r>
    </w:p>
  </w:footnote>
  <w:footnote w:id="64">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European Commission, </w:t>
      </w:r>
      <w:hyperlink r:id="rId39" w:history="1">
        <w:r>
          <w:rPr>
            <w:rStyle w:val="Hyperlink"/>
            <w:rFonts w:eastAsia="Times New Roman" w:cs="Times New Roman"/>
            <w:sz w:val="16"/>
            <w:szCs w:val="16"/>
          </w:rPr>
          <w:t>Cleaner Industry: what is in it for you?</w:t>
        </w:r>
      </w:hyperlink>
      <w:r>
        <w:rPr>
          <w:rFonts w:eastAsia="Times New Roman" w:cs="Times New Roman"/>
          <w:sz w:val="16"/>
          <w:szCs w:val="16"/>
        </w:rPr>
        <w:t xml:space="preserve"> 2018, p.2. </w:t>
      </w:r>
    </w:p>
  </w:footnote>
  <w:footnote w:id="65">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w:t>
      </w:r>
      <w:hyperlink r:id="rId40" w:history="1">
        <w:r>
          <w:rPr>
            <w:rStyle w:val="Hyperlink"/>
            <w:rFonts w:eastAsia="Times New Roman" w:cs="Times New Roman"/>
            <w:sz w:val="16"/>
            <w:szCs w:val="16"/>
          </w:rPr>
          <w:t>Directive 2010/75/EU</w:t>
        </w:r>
      </w:hyperlink>
      <w:r>
        <w:rPr>
          <w:rFonts w:eastAsia="Times New Roman" w:cs="Times New Roman"/>
          <w:sz w:val="16"/>
          <w:szCs w:val="16"/>
        </w:rPr>
        <w:t>.</w:t>
      </w:r>
    </w:p>
  </w:footnote>
  <w:footnote w:id="66">
    <w:p>
      <w:pPr>
        <w:pStyle w:val="FootnoteText"/>
        <w:rPr>
          <w:sz w:val="16"/>
          <w:szCs w:val="16"/>
        </w:rPr>
      </w:pPr>
      <w:r>
        <w:rPr>
          <w:rStyle w:val="FootnoteReference"/>
          <w:sz w:val="16"/>
          <w:szCs w:val="16"/>
        </w:rPr>
        <w:footnoteRef/>
      </w:r>
      <w:r>
        <w:rPr>
          <w:sz w:val="16"/>
          <w:szCs w:val="16"/>
        </w:rPr>
        <w:t xml:space="preserve"> Publications Office of the European Union, </w:t>
      </w:r>
      <w:hyperlink r:id="rId41" w:history="1">
        <w:r>
          <w:rPr>
            <w:rStyle w:val="Hyperlink"/>
            <w:sz w:val="16"/>
            <w:szCs w:val="16"/>
          </w:rPr>
          <w:t>Cleaner industry: what is in it for you?</w:t>
        </w:r>
      </w:hyperlink>
      <w:r>
        <w:rPr>
          <w:sz w:val="16"/>
          <w:szCs w:val="16"/>
        </w:rPr>
        <w:t>, 2018, p. 2.</w:t>
      </w:r>
    </w:p>
  </w:footnote>
  <w:footnote w:id="67">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Bulgaria, the Czech Republic, Estonia, Finland, Greece, Irelands, Portugal, Romania, Slovakia and United Kingdom.</w:t>
      </w:r>
    </w:p>
  </w:footnote>
  <w:footnote w:id="68">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Cyprus, Estonia, Germany, Hungary, Latvia, the Netherlands and Spain.</w:t>
      </w:r>
    </w:p>
  </w:footnote>
  <w:footnote w:id="69">
    <w:p>
      <w:pPr>
        <w:pStyle w:val="FootnoteText"/>
        <w:rPr>
          <w:rFonts w:eastAsia="Times New Roman" w:cs="Times New Roman"/>
          <w:sz w:val="16"/>
          <w:szCs w:val="16"/>
          <w:lang w:val="it-IT"/>
        </w:rPr>
      </w:pPr>
      <w:r>
        <w:rPr>
          <w:rStyle w:val="FootnoteReference"/>
          <w:rFonts w:eastAsia="Times New Roman" w:cs="Times New Roman"/>
          <w:sz w:val="16"/>
          <w:szCs w:val="16"/>
        </w:rPr>
        <w:footnoteRef/>
      </w:r>
      <w:r>
        <w:rPr>
          <w:rFonts w:eastAsia="Times New Roman" w:cs="Times New Roman"/>
          <w:sz w:val="16"/>
          <w:szCs w:val="16"/>
          <w:lang w:val="it-IT"/>
        </w:rPr>
        <w:t xml:space="preserve"> </w:t>
      </w:r>
      <w:r>
        <w:rPr>
          <w:rFonts w:eastAsia="Times New Roman" w:cs="Times New Roman"/>
          <w:sz w:val="16"/>
          <w:szCs w:val="16"/>
        </w:rPr>
        <w:t>Italy</w:t>
      </w:r>
      <w:r>
        <w:rPr>
          <w:rFonts w:eastAsia="Times New Roman" w:cs="Times New Roman"/>
          <w:sz w:val="16"/>
          <w:szCs w:val="16"/>
          <w:lang w:val="it-IT"/>
        </w:rPr>
        <w:t xml:space="preserve"> and </w:t>
      </w:r>
      <w:r>
        <w:rPr>
          <w:rFonts w:eastAsia="Times New Roman" w:cs="Times New Roman"/>
          <w:sz w:val="16"/>
          <w:szCs w:val="16"/>
        </w:rPr>
        <w:t>Luxembourg</w:t>
      </w:r>
      <w:r>
        <w:rPr>
          <w:rFonts w:eastAsia="Times New Roman" w:cs="Times New Roman"/>
          <w:sz w:val="16"/>
          <w:szCs w:val="16"/>
          <w:lang w:val="it-IT"/>
        </w:rPr>
        <w:t>.</w:t>
      </w:r>
    </w:p>
  </w:footnote>
  <w:footnote w:id="70">
    <w:p>
      <w:pPr>
        <w:pStyle w:val="FootnoteText"/>
        <w:rPr>
          <w:rFonts w:eastAsia="Times New Roman" w:cs="Times New Roman"/>
          <w:sz w:val="16"/>
          <w:szCs w:val="16"/>
          <w:lang w:val="it-IT"/>
        </w:rPr>
      </w:pPr>
      <w:r>
        <w:rPr>
          <w:rStyle w:val="FootnoteReference"/>
          <w:rFonts w:eastAsia="Times New Roman" w:cs="Times New Roman"/>
          <w:sz w:val="16"/>
          <w:szCs w:val="16"/>
        </w:rPr>
        <w:footnoteRef/>
      </w:r>
      <w:r>
        <w:rPr>
          <w:rFonts w:eastAsia="Times New Roman" w:cs="Times New Roman"/>
          <w:sz w:val="16"/>
          <w:szCs w:val="16"/>
          <w:lang w:val="it-IT"/>
        </w:rPr>
        <w:t xml:space="preserve"> Estonia, Latvia and </w:t>
      </w:r>
      <w:r>
        <w:rPr>
          <w:rFonts w:eastAsia="Times New Roman" w:cs="Times New Roman"/>
          <w:sz w:val="16"/>
          <w:szCs w:val="16"/>
        </w:rPr>
        <w:t>Spain</w:t>
      </w:r>
      <w:r>
        <w:rPr>
          <w:rFonts w:eastAsia="Times New Roman" w:cs="Times New Roman"/>
          <w:sz w:val="16"/>
          <w:szCs w:val="16"/>
          <w:lang w:val="it-IT"/>
        </w:rPr>
        <w:t>.</w:t>
      </w:r>
    </w:p>
  </w:footnote>
  <w:footnote w:id="71">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This includes the </w:t>
      </w:r>
      <w:hyperlink r:id="rId42" w:history="1">
        <w:r>
          <w:rPr>
            <w:rStyle w:val="Hyperlink"/>
            <w:rFonts w:eastAsia="Times New Roman" w:cs="Times New Roman"/>
            <w:sz w:val="16"/>
            <w:szCs w:val="16"/>
          </w:rPr>
          <w:t>Bathing Waters Directive (2006/7/EC);</w:t>
        </w:r>
      </w:hyperlink>
      <w:r>
        <w:rPr>
          <w:rFonts w:eastAsia="Times New Roman" w:cs="Times New Roman"/>
          <w:sz w:val="16"/>
          <w:szCs w:val="16"/>
        </w:rPr>
        <w:t xml:space="preserve"> the </w:t>
      </w:r>
      <w:hyperlink r:id="rId43" w:history="1">
        <w:r>
          <w:rPr>
            <w:rStyle w:val="Hyperlink"/>
            <w:rFonts w:eastAsia="Times New Roman" w:cs="Times New Roman"/>
            <w:sz w:val="16"/>
            <w:szCs w:val="16"/>
          </w:rPr>
          <w:t>Urban Waste Water Treatment Directive (91/271/EEC)</w:t>
        </w:r>
      </w:hyperlink>
      <w:r>
        <w:rPr>
          <w:rFonts w:eastAsia="Times New Roman" w:cs="Times New Roman"/>
          <w:sz w:val="16"/>
          <w:szCs w:val="16"/>
        </w:rPr>
        <w:t xml:space="preserve">; the </w:t>
      </w:r>
      <w:hyperlink r:id="rId44" w:history="1">
        <w:r>
          <w:rPr>
            <w:rStyle w:val="Hyperlink"/>
            <w:rFonts w:eastAsia="Times New Roman" w:cs="Times New Roman"/>
            <w:sz w:val="16"/>
            <w:szCs w:val="16"/>
          </w:rPr>
          <w:t>Drinking Water Directive (98/83/EC)</w:t>
        </w:r>
      </w:hyperlink>
      <w:r>
        <w:rPr>
          <w:rFonts w:eastAsia="Times New Roman" w:cs="Times New Roman"/>
          <w:sz w:val="16"/>
          <w:szCs w:val="16"/>
        </w:rPr>
        <w:t xml:space="preserve">; the </w:t>
      </w:r>
      <w:hyperlink r:id="rId45" w:history="1">
        <w:r>
          <w:rPr>
            <w:rStyle w:val="Hyperlink"/>
            <w:rFonts w:eastAsia="Times New Roman" w:cs="Times New Roman"/>
            <w:sz w:val="16"/>
            <w:szCs w:val="16"/>
          </w:rPr>
          <w:t>Water Framework Directive (2000/60/EC)</w:t>
        </w:r>
      </w:hyperlink>
      <w:r>
        <w:rPr>
          <w:rFonts w:eastAsia="Times New Roman" w:cs="Times New Roman"/>
          <w:sz w:val="16"/>
          <w:szCs w:val="16"/>
        </w:rPr>
        <w:t xml:space="preserve">; the </w:t>
      </w:r>
      <w:hyperlink r:id="rId46" w:history="1">
        <w:r>
          <w:rPr>
            <w:rStyle w:val="Hyperlink"/>
            <w:rFonts w:eastAsia="Times New Roman" w:cs="Times New Roman"/>
            <w:sz w:val="16"/>
            <w:szCs w:val="16"/>
          </w:rPr>
          <w:t>Nitrates Directive (91/676/EEC)</w:t>
        </w:r>
      </w:hyperlink>
      <w:r>
        <w:rPr>
          <w:rFonts w:eastAsia="Times New Roman" w:cs="Times New Roman"/>
          <w:sz w:val="16"/>
          <w:szCs w:val="16"/>
        </w:rPr>
        <w:t xml:space="preserve"> and the </w:t>
      </w:r>
      <w:hyperlink r:id="rId47" w:history="1">
        <w:r>
          <w:rPr>
            <w:rStyle w:val="Hyperlink"/>
            <w:rFonts w:eastAsia="Times New Roman" w:cs="Times New Roman"/>
            <w:sz w:val="16"/>
            <w:szCs w:val="16"/>
          </w:rPr>
          <w:t>Floods Directive (2007/60/EC)</w:t>
        </w:r>
      </w:hyperlink>
      <w:r>
        <w:rPr>
          <w:rStyle w:val="Hyperlink"/>
          <w:rFonts w:eastAsia="Times New Roman" w:cs="Times New Roman"/>
          <w:sz w:val="16"/>
          <w:szCs w:val="16"/>
        </w:rPr>
        <w:t>.</w:t>
      </w:r>
    </w:p>
  </w:footnote>
  <w:footnote w:id="72">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European Commission, </w:t>
      </w:r>
      <w:hyperlink r:id="rId48" w:history="1">
        <w:r>
          <w:rPr>
            <w:rStyle w:val="Hyperlink"/>
            <w:rFonts w:eastAsia="Times New Roman" w:cs="Times New Roman"/>
            <w:sz w:val="16"/>
            <w:szCs w:val="16"/>
          </w:rPr>
          <w:t>Water reuse: background and policy context</w:t>
        </w:r>
      </w:hyperlink>
      <w:r>
        <w:rPr>
          <w:rFonts w:eastAsia="Times New Roman" w:cs="Times New Roman"/>
          <w:sz w:val="16"/>
          <w:szCs w:val="16"/>
        </w:rPr>
        <w:t>.</w:t>
      </w:r>
    </w:p>
  </w:footnote>
  <w:footnote w:id="73">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European Commission, </w:t>
      </w:r>
      <w:hyperlink r:id="rId49" w:history="1">
        <w:r>
          <w:rPr>
            <w:rStyle w:val="Hyperlink"/>
            <w:rFonts w:eastAsia="Times New Roman" w:cs="Times New Roman"/>
            <w:sz w:val="16"/>
            <w:szCs w:val="16"/>
          </w:rPr>
          <w:t>EU Water conference 2018</w:t>
        </w:r>
      </w:hyperlink>
      <w:r>
        <w:rPr>
          <w:rFonts w:eastAsia="Times New Roman" w:cs="Times New Roman"/>
          <w:sz w:val="16"/>
          <w:szCs w:val="16"/>
        </w:rPr>
        <w:t xml:space="preserve">, 20-21 September 2018. </w:t>
      </w:r>
    </w:p>
  </w:footnote>
  <w:footnote w:id="74">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EU report on the Water Framework Directive and the Floods Directive (</w:t>
      </w:r>
      <w:r>
        <w:rPr>
          <w:rFonts w:eastAsia="Times New Roman" w:cs="Times New Roman"/>
          <w:i/>
          <w:iCs/>
          <w:sz w:val="16"/>
          <w:szCs w:val="16"/>
        </w:rPr>
        <w:t>January 2019</w:t>
      </w:r>
      <w:r>
        <w:rPr>
          <w:rFonts w:eastAsia="Times New Roman" w:cs="Times New Roman"/>
          <w:sz w:val="16"/>
          <w:szCs w:val="16"/>
        </w:rPr>
        <w:t>).</w:t>
      </w:r>
    </w:p>
  </w:footnote>
  <w:footnote w:id="75">
    <w:p>
      <w:pPr>
        <w:pStyle w:val="FootnoteText"/>
        <w:rPr>
          <w:rFonts w:eastAsia="Times New Roman" w:cs="Times New Roman"/>
          <w:sz w:val="16"/>
          <w:szCs w:val="16"/>
          <w:lang w:val="it-IT"/>
        </w:rPr>
      </w:pPr>
      <w:r>
        <w:rPr>
          <w:rStyle w:val="FootnoteReference"/>
          <w:rFonts w:eastAsia="Times New Roman" w:cs="Times New Roman"/>
          <w:sz w:val="16"/>
          <w:szCs w:val="16"/>
        </w:rPr>
        <w:footnoteRef/>
      </w:r>
      <w:r>
        <w:rPr>
          <w:rFonts w:eastAsia="Times New Roman" w:cs="Times New Roman"/>
          <w:sz w:val="16"/>
          <w:szCs w:val="16"/>
          <w:lang w:val="it-IT"/>
        </w:rPr>
        <w:t xml:space="preserve"> Bulgaria, Croatia, Cyprus, France, Greece, Hungary, Ireland, Italy, Latvia, Lithuania, Luxembourg, Malta, Poland, Portugal, Romania, Slovakia, Slovenia and Spain.</w:t>
      </w:r>
    </w:p>
  </w:footnote>
  <w:footnote w:id="76">
    <w:p>
      <w:pPr>
        <w:pStyle w:val="FootnoteText"/>
        <w:rPr>
          <w:rFonts w:eastAsia="Times New Roman" w:cs="Times New Roman"/>
          <w:sz w:val="16"/>
          <w:szCs w:val="16"/>
          <w:lang w:val="pt-PT"/>
        </w:rPr>
      </w:pPr>
      <w:r>
        <w:rPr>
          <w:rStyle w:val="FootnoteReference"/>
          <w:rFonts w:eastAsia="Times New Roman" w:cs="Times New Roman"/>
          <w:sz w:val="16"/>
          <w:szCs w:val="16"/>
        </w:rPr>
        <w:footnoteRef/>
      </w:r>
      <w:r>
        <w:rPr>
          <w:rFonts w:eastAsia="Times New Roman" w:cs="Times New Roman"/>
          <w:sz w:val="16"/>
          <w:szCs w:val="16"/>
          <w:lang w:val="pt-PT"/>
        </w:rPr>
        <w:t xml:space="preserve"> In particular, Austria, Belgium, Cyprus, the Czech Republic, Denmark, Estonia, Germany, Greece, Finland, France, Italy, Lithuania, Malta, the Netherlands, Poland, Portugal, Slovakia, Slovenia, Sweden, Spain and United Kingdom.</w:t>
      </w:r>
    </w:p>
  </w:footnote>
  <w:footnote w:id="77">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w:t>
      </w:r>
      <w:r>
        <w:rPr>
          <w:rStyle w:val="Hyperlink"/>
          <w:rFonts w:eastAsia="Times New Roman" w:cs="Times New Roman"/>
          <w:sz w:val="16"/>
          <w:szCs w:val="16"/>
        </w:rPr>
        <w:t>Regulation (EC) No 1907/2006</w:t>
      </w:r>
    </w:p>
  </w:footnote>
  <w:footnote w:id="78">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w:t>
      </w:r>
      <w:hyperlink r:id="rId50" w:history="1">
        <w:r>
          <w:rPr>
            <w:rStyle w:val="Hyperlink"/>
            <w:rFonts w:eastAsia="Times New Roman" w:cs="Times New Roman"/>
            <w:sz w:val="16"/>
            <w:szCs w:val="16"/>
          </w:rPr>
          <w:t>Regulation (EC) No 1272/2008</w:t>
        </w:r>
      </w:hyperlink>
      <w:r>
        <w:rPr>
          <w:rFonts w:eastAsia="Times New Roman" w:cs="Times New Roman"/>
          <w:sz w:val="16"/>
          <w:szCs w:val="16"/>
        </w:rPr>
        <w:t>.</w:t>
      </w:r>
    </w:p>
  </w:footnote>
  <w:footnote w:id="79">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European Commission, </w:t>
      </w:r>
      <w:hyperlink r:id="rId51" w:history="1">
        <w:r>
          <w:rPr>
            <w:rStyle w:val="Hyperlink"/>
            <w:rFonts w:eastAsia="Times New Roman" w:cs="Times New Roman"/>
            <w:sz w:val="16"/>
            <w:szCs w:val="16"/>
          </w:rPr>
          <w:t>Chemicals legislation</w:t>
        </w:r>
      </w:hyperlink>
      <w:r>
        <w:rPr>
          <w:rFonts w:eastAsia="Times New Roman" w:cs="Times New Roman"/>
          <w:sz w:val="16"/>
          <w:szCs w:val="16"/>
        </w:rPr>
        <w:t xml:space="preserve">. </w:t>
      </w:r>
    </w:p>
  </w:footnote>
  <w:footnote w:id="80">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w:t>
      </w:r>
      <w:hyperlink r:id="rId52" w:history="1">
        <w:r>
          <w:rPr>
            <w:rStyle w:val="Hyperlink"/>
            <w:rFonts w:eastAsia="Times New Roman" w:cs="Times New Roman"/>
            <w:sz w:val="16"/>
            <w:szCs w:val="16"/>
          </w:rPr>
          <w:t>COM(2018) 116</w:t>
        </w:r>
      </w:hyperlink>
      <w:r>
        <w:rPr>
          <w:rStyle w:val="Hyperlink"/>
          <w:rFonts w:eastAsia="Times New Roman" w:cs="Times New Roman"/>
          <w:color w:val="auto"/>
          <w:sz w:val="16"/>
          <w:szCs w:val="16"/>
          <w:u w:val="none"/>
        </w:rPr>
        <w:t>, p.6 and p.9</w:t>
      </w:r>
      <w:r>
        <w:rPr>
          <w:rFonts w:eastAsia="Times New Roman" w:cs="Times New Roman"/>
          <w:sz w:val="16"/>
          <w:szCs w:val="16"/>
        </w:rPr>
        <w:t xml:space="preserve">. </w:t>
      </w:r>
    </w:p>
  </w:footnote>
  <w:footnote w:id="81">
    <w:p>
      <w:pPr>
        <w:pStyle w:val="FootnoteText"/>
        <w:jc w:val="lef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Government of the Netherlands, </w:t>
      </w:r>
      <w:hyperlink r:id="rId53" w:anchor="overlay-context=content/bijeenkomsten-en-presentaties" w:history="1">
        <w:r>
          <w:rPr>
            <w:rStyle w:val="Hyperlink"/>
            <w:rFonts w:eastAsia="Times New Roman" w:cs="Times New Roman"/>
            <w:sz w:val="16"/>
            <w:szCs w:val="16"/>
          </w:rPr>
          <w:t>Workshop towards a Safe Chemicals Innovation Agenda from Substitution to Safe-by-design</w:t>
        </w:r>
      </w:hyperlink>
      <w:r>
        <w:rPr>
          <w:rFonts w:eastAsia="Times New Roman" w:cs="Times New Roman"/>
          <w:sz w:val="16"/>
          <w:szCs w:val="16"/>
        </w:rPr>
        <w:t>.</w:t>
      </w:r>
    </w:p>
  </w:footnote>
  <w:footnote w:id="82">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European Commission, </w:t>
      </w:r>
      <w:hyperlink r:id="rId54" w:history="1">
        <w:r>
          <w:rPr>
            <w:rStyle w:val="Hyperlink"/>
            <w:rFonts w:eastAsia="Times New Roman" w:cs="Times New Roman"/>
            <w:sz w:val="16"/>
            <w:szCs w:val="16"/>
          </w:rPr>
          <w:t>Evaluation study of the payment for agricultural practices beneficial for the climate and the environment</w:t>
        </w:r>
      </w:hyperlink>
      <w:r>
        <w:rPr>
          <w:rFonts w:eastAsia="Times New Roman" w:cs="Times New Roman"/>
          <w:sz w:val="16"/>
          <w:szCs w:val="16"/>
        </w:rPr>
        <w:t xml:space="preserve">, 2017. </w:t>
      </w:r>
    </w:p>
  </w:footnote>
  <w:footnote w:id="83">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Belgium, Denmark, Estonia, Finland, France, Ireland, Lithuania, Luxembourg, Malta, the Netherlands, Romania, Sweden and United Kingdom. European Commission, </w:t>
      </w:r>
      <w:hyperlink r:id="rId55" w:history="1">
        <w:r>
          <w:rPr>
            <w:rStyle w:val="Hyperlink"/>
            <w:rFonts w:eastAsia="Times New Roman" w:cs="Times New Roman"/>
            <w:sz w:val="16"/>
            <w:szCs w:val="16"/>
          </w:rPr>
          <w:t>Taxation Trends in the European Union</w:t>
        </w:r>
      </w:hyperlink>
      <w:r>
        <w:rPr>
          <w:rFonts w:eastAsia="Times New Roman" w:cs="Times New Roman"/>
          <w:sz w:val="16"/>
          <w:szCs w:val="16"/>
        </w:rPr>
        <w:t>, 2018 edition.</w:t>
      </w:r>
    </w:p>
  </w:footnote>
  <w:footnote w:id="84">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Belgium, the Czech Republic, France, Hungary, Ireland, Poland, Portugal and Slovakia. </w:t>
      </w:r>
    </w:p>
  </w:footnote>
  <w:footnote w:id="85">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Austria, Bulgaria, Croatia, Cyprus, Denmark, Finland, France, Greece, Ireland, Luxembourg, Malta and Sweden. </w:t>
      </w:r>
    </w:p>
  </w:footnote>
  <w:footnote w:id="86">
    <w:p>
      <w:pPr>
        <w:pStyle w:val="FootnoteText"/>
        <w:rPr>
          <w:rFonts w:eastAsia="Times New Roman" w:cs="Times New Roman"/>
          <w:sz w:val="16"/>
          <w:szCs w:val="16"/>
          <w:lang w:val="it-IT"/>
        </w:rPr>
      </w:pPr>
      <w:r>
        <w:rPr>
          <w:rStyle w:val="FootnoteReference"/>
          <w:rFonts w:eastAsia="Times New Roman" w:cs="Times New Roman"/>
          <w:sz w:val="16"/>
          <w:szCs w:val="16"/>
        </w:rPr>
        <w:footnoteRef/>
      </w:r>
      <w:r>
        <w:rPr>
          <w:rFonts w:eastAsia="Times New Roman" w:cs="Times New Roman"/>
          <w:sz w:val="16"/>
          <w:szCs w:val="16"/>
          <w:lang w:val="it-IT"/>
        </w:rPr>
        <w:t xml:space="preserve"> Bulgaria, Croatia, Estonia, Hungary, Latvia, Lithuania, Poland, Portugal, Romania, Slovakia and Slovenia. </w:t>
      </w:r>
    </w:p>
  </w:footnote>
  <w:footnote w:id="87">
    <w:p>
      <w:pPr>
        <w:pStyle w:val="FootnoteText"/>
        <w:rPr>
          <w:rFonts w:eastAsia="Times New Roman" w:cs="Times New Roman"/>
          <w:sz w:val="16"/>
          <w:szCs w:val="16"/>
          <w:lang w:val="it-IT"/>
        </w:rPr>
      </w:pPr>
      <w:r>
        <w:rPr>
          <w:rStyle w:val="FootnoteReference"/>
          <w:rFonts w:eastAsia="Times New Roman" w:cs="Times New Roman"/>
          <w:sz w:val="16"/>
          <w:szCs w:val="16"/>
        </w:rPr>
        <w:footnoteRef/>
      </w:r>
      <w:r>
        <w:rPr>
          <w:rFonts w:eastAsia="Times New Roman" w:cs="Times New Roman"/>
          <w:sz w:val="16"/>
          <w:szCs w:val="16"/>
          <w:lang w:val="it-IT"/>
        </w:rPr>
        <w:t xml:space="preserve"> Austria, Bulgaria, Finland, France, Germany, Greece, Hungary, Italy, Luxembourg, the Netherlands, Portugal, Romania, Slovenia, Spain, Sweden and the United Kingdom.</w:t>
      </w:r>
    </w:p>
  </w:footnote>
  <w:footnote w:id="88">
    <w:p>
      <w:pPr>
        <w:pStyle w:val="FootnoteText"/>
        <w:rPr>
          <w:rFonts w:eastAsia="Times New Roman" w:cs="Times New Roman"/>
          <w:sz w:val="16"/>
          <w:szCs w:val="16"/>
          <w:lang w:val="it-IT"/>
        </w:rPr>
      </w:pPr>
      <w:r>
        <w:rPr>
          <w:rStyle w:val="FootnoteReference"/>
          <w:rFonts w:eastAsia="Times New Roman" w:cs="Times New Roman"/>
          <w:sz w:val="16"/>
          <w:szCs w:val="16"/>
        </w:rPr>
        <w:footnoteRef/>
      </w:r>
      <w:r>
        <w:rPr>
          <w:rFonts w:eastAsia="Times New Roman" w:cs="Times New Roman"/>
          <w:sz w:val="16"/>
          <w:szCs w:val="16"/>
          <w:lang w:val="it-IT"/>
        </w:rPr>
        <w:t xml:space="preserve"> Croatia, the Czech Republic, Estonia, Greece, Lithuania, Latvia, Poland, Romania and Slovakia. </w:t>
      </w:r>
    </w:p>
  </w:footnote>
  <w:footnote w:id="89">
    <w:p>
      <w:pPr>
        <w:pStyle w:val="FootnoteText"/>
        <w:rPr>
          <w:rFonts w:eastAsia="Times New Roman" w:cs="Times New Roman"/>
          <w:sz w:val="16"/>
          <w:szCs w:val="16"/>
          <w:lang w:val="it-IT"/>
        </w:rPr>
      </w:pPr>
      <w:r>
        <w:rPr>
          <w:rStyle w:val="FootnoteReference"/>
          <w:rFonts w:eastAsia="Times New Roman" w:cs="Times New Roman"/>
          <w:sz w:val="16"/>
          <w:szCs w:val="16"/>
        </w:rPr>
        <w:footnoteRef/>
      </w:r>
      <w:r>
        <w:rPr>
          <w:rFonts w:eastAsia="Times New Roman" w:cs="Times New Roman"/>
          <w:sz w:val="16"/>
          <w:szCs w:val="16"/>
          <w:lang w:val="it-IT"/>
        </w:rPr>
        <w:t xml:space="preserve"> Austria, Belgium, Cyprus, the Czech Republic, France, Greece, Ireland, Italy, Latvia, Lithuania, Malta, Poland, Portugal, Romania, Slovakia, Slovenia and Spain.</w:t>
      </w:r>
    </w:p>
  </w:footnote>
  <w:footnote w:id="90">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European Commission, </w:t>
      </w:r>
      <w:hyperlink r:id="rId56" w:history="1">
        <w:r>
          <w:rPr>
            <w:rStyle w:val="Hyperlink"/>
            <w:rFonts w:eastAsia="Times New Roman" w:cs="Times New Roman"/>
            <w:sz w:val="16"/>
            <w:szCs w:val="16"/>
          </w:rPr>
          <w:t>A Comparative Overview of Public Administration Characteristics and Performance in EU28</w:t>
        </w:r>
      </w:hyperlink>
      <w:r>
        <w:rPr>
          <w:rStyle w:val="Hyperlink"/>
          <w:rFonts w:eastAsia="Times New Roman" w:cs="Times New Roman"/>
          <w:sz w:val="16"/>
          <w:szCs w:val="16"/>
        </w:rPr>
        <w:t>.</w:t>
      </w:r>
    </w:p>
  </w:footnote>
  <w:footnote w:id="91">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Ineffective coordination among local, regional and national authorities, lack of administrative capacity and insufficient financing, lack of knowledge and data, insufficient compliance assurance mechanisms and lack of integration and policy coherence. (see </w:t>
      </w:r>
      <w:hyperlink r:id="rId57" w:history="1">
        <w:r>
          <w:rPr>
            <w:rStyle w:val="Hyperlink"/>
            <w:rFonts w:eastAsia="Times New Roman" w:cs="Times New Roman"/>
            <w:sz w:val="16"/>
            <w:szCs w:val="16"/>
          </w:rPr>
          <w:t>COM(2017) 63</w:t>
        </w:r>
      </w:hyperlink>
      <w:r>
        <w:rPr>
          <w:rFonts w:eastAsia="Times New Roman" w:cs="Times New Roman"/>
          <w:sz w:val="16"/>
          <w:szCs w:val="16"/>
        </w:rPr>
        <w:t xml:space="preserve">) </w:t>
      </w:r>
    </w:p>
  </w:footnote>
  <w:footnote w:id="92">
    <w:p>
      <w:pPr>
        <w:spacing w:after="0" w:line="240" w:lineRule="auto"/>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European Commission, Study project “Development of an assessment framework on environmental governance in EU Member States” (see </w:t>
      </w:r>
      <w:hyperlink r:id="rId58" w:history="1">
        <w:r>
          <w:rPr>
            <w:rStyle w:val="Hyperlink"/>
            <w:rFonts w:eastAsia="Times New Roman" w:cs="Times New Roman"/>
            <w:sz w:val="16"/>
            <w:szCs w:val="16"/>
          </w:rPr>
          <w:t>project library</w:t>
        </w:r>
      </w:hyperlink>
      <w:r>
        <w:rPr>
          <w:rFonts w:eastAsia="Times New Roman" w:cs="Times New Roman"/>
          <w:sz w:val="16"/>
          <w:szCs w:val="16"/>
        </w:rPr>
        <w:t>).</w:t>
      </w:r>
    </w:p>
  </w:footnote>
  <w:footnote w:id="93">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Environmental Compliance and Governance Forum, </w:t>
      </w:r>
      <w:hyperlink r:id="rId59" w:history="1">
        <w:r>
          <w:rPr>
            <w:rStyle w:val="Hyperlink"/>
            <w:rFonts w:eastAsia="Times New Roman" w:cs="Times New Roman"/>
            <w:sz w:val="16"/>
            <w:szCs w:val="16"/>
          </w:rPr>
          <w:t>website</w:t>
        </w:r>
      </w:hyperlink>
    </w:p>
  </w:footnote>
  <w:footnote w:id="94">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European Commission, </w:t>
      </w:r>
      <w:hyperlink r:id="rId60" w:history="1">
        <w:r>
          <w:rPr>
            <w:rStyle w:val="Hyperlink"/>
            <w:rFonts w:eastAsia="Times New Roman" w:cs="Times New Roman"/>
            <w:sz w:val="16"/>
            <w:szCs w:val="16"/>
          </w:rPr>
          <w:t>Expert Group Greening the European Semester/EIR</w:t>
        </w:r>
      </w:hyperlink>
      <w:r>
        <w:rPr>
          <w:rFonts w:eastAsia="Times New Roman" w:cs="Times New Roman"/>
          <w:sz w:val="16"/>
          <w:szCs w:val="16"/>
        </w:rPr>
        <w:t>.</w:t>
      </w:r>
    </w:p>
  </w:footnote>
  <w:footnote w:id="95">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European Commission, </w:t>
      </w:r>
      <w:hyperlink r:id="rId61" w:history="1">
        <w:r>
          <w:rPr>
            <w:rStyle w:val="Hyperlink"/>
            <w:rFonts w:eastAsia="Times New Roman" w:cs="Times New Roman"/>
            <w:sz w:val="16"/>
            <w:szCs w:val="16"/>
          </w:rPr>
          <w:t>the Aarhus Convention</w:t>
        </w:r>
      </w:hyperlink>
      <w:r>
        <w:rPr>
          <w:rFonts w:eastAsia="Times New Roman" w:cs="Times New Roman"/>
          <w:sz w:val="16"/>
          <w:szCs w:val="16"/>
        </w:rPr>
        <w:t>.</w:t>
      </w:r>
    </w:p>
  </w:footnote>
  <w:footnote w:id="96">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w:t>
      </w:r>
      <w:hyperlink r:id="rId62" w:history="1">
        <w:r>
          <w:rPr>
            <w:rStyle w:val="Hyperlink"/>
            <w:rFonts w:eastAsia="Times New Roman" w:cs="Times New Roman"/>
            <w:sz w:val="16"/>
            <w:szCs w:val="16"/>
          </w:rPr>
          <w:t>COM(2017) 2616</w:t>
        </w:r>
      </w:hyperlink>
      <w:r>
        <w:rPr>
          <w:rFonts w:eastAsia="Times New Roman" w:cs="Times New Roman"/>
          <w:sz w:val="16"/>
          <w:szCs w:val="16"/>
        </w:rPr>
        <w:t>.</w:t>
      </w:r>
    </w:p>
  </w:footnote>
  <w:footnote w:id="97">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w:t>
      </w:r>
      <w:hyperlink r:id="rId63" w:history="1">
        <w:r>
          <w:rPr>
            <w:rStyle w:val="Hyperlink"/>
            <w:rFonts w:eastAsia="Times New Roman" w:cs="Times New Roman"/>
            <w:sz w:val="16"/>
            <w:szCs w:val="16"/>
          </w:rPr>
          <w:t>COM(2018) 10</w:t>
        </w:r>
      </w:hyperlink>
      <w:r>
        <w:rPr>
          <w:rFonts w:eastAsia="Times New Roman" w:cs="Times New Roman"/>
          <w:sz w:val="16"/>
          <w:szCs w:val="16"/>
        </w:rPr>
        <w:t>.</w:t>
      </w:r>
    </w:p>
  </w:footnote>
  <w:footnote w:id="98">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w:t>
      </w:r>
      <w:hyperlink r:id="rId64" w:history="1">
        <w:r>
          <w:rPr>
            <w:rStyle w:val="Hyperlink"/>
            <w:rFonts w:eastAsia="Times New Roman" w:cs="Times New Roman"/>
            <w:sz w:val="16"/>
            <w:szCs w:val="16"/>
          </w:rPr>
          <w:t>Regulation (EU) 2018/1999</w:t>
        </w:r>
      </w:hyperlink>
      <w:r>
        <w:rPr>
          <w:rFonts w:eastAsia="Times New Roman" w:cs="Times New Roman"/>
          <w:sz w:val="16"/>
          <w:szCs w:val="16"/>
        </w:rPr>
        <w:t>.</w:t>
      </w:r>
    </w:p>
  </w:footnote>
  <w:footnote w:id="99">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Council of the European Union, </w:t>
      </w:r>
      <w:hyperlink r:id="rId65" w:history="1">
        <w:r>
          <w:rPr>
            <w:rStyle w:val="Hyperlink"/>
            <w:rFonts w:eastAsia="Times New Roman" w:cs="Times New Roman"/>
            <w:sz w:val="16"/>
            <w:szCs w:val="16"/>
          </w:rPr>
          <w:t>Council conclusions on setting the EU’s priorities for the fight against organised and serious international crime between 2018 and 2021</w:t>
        </w:r>
      </w:hyperlink>
      <w:r>
        <w:rPr>
          <w:rFonts w:eastAsia="Times New Roman" w:cs="Times New Roman"/>
          <w:sz w:val="16"/>
          <w:szCs w:val="16"/>
        </w:rPr>
        <w:t xml:space="preserve">. </w:t>
      </w:r>
    </w:p>
  </w:footnote>
  <w:footnote w:id="100">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w:t>
      </w:r>
      <w:hyperlink r:id="rId66" w:history="1">
        <w:r>
          <w:rPr>
            <w:rStyle w:val="Hyperlink"/>
            <w:rFonts w:eastAsia="Times New Roman" w:cs="Times New Roman"/>
            <w:sz w:val="16"/>
            <w:szCs w:val="16"/>
          </w:rPr>
          <w:t>EU network for Implementation and Enforcement of Environmental Legislation</w:t>
        </w:r>
      </w:hyperlink>
      <w:r>
        <w:rPr>
          <w:rFonts w:eastAsia="Times New Roman" w:cs="Times New Roman"/>
          <w:sz w:val="16"/>
          <w:szCs w:val="16"/>
        </w:rPr>
        <w:t>.</w:t>
      </w:r>
    </w:p>
  </w:footnote>
  <w:footnote w:id="101">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Such as </w:t>
      </w:r>
      <w:hyperlink r:id="rId67" w:history="1">
        <w:r>
          <w:rPr>
            <w:rStyle w:val="Hyperlink"/>
            <w:rFonts w:eastAsia="Times New Roman" w:cs="Times New Roman"/>
            <w:sz w:val="16"/>
            <w:szCs w:val="16"/>
          </w:rPr>
          <w:t>e-Government Action Plan</w:t>
        </w:r>
      </w:hyperlink>
      <w:r>
        <w:rPr>
          <w:rFonts w:eastAsia="Times New Roman" w:cs="Times New Roman"/>
          <w:sz w:val="16"/>
          <w:szCs w:val="16"/>
        </w:rPr>
        <w:t xml:space="preserve">, </w:t>
      </w:r>
      <w:hyperlink r:id="rId68" w:history="1">
        <w:r>
          <w:rPr>
            <w:rStyle w:val="Hyperlink"/>
            <w:rFonts w:eastAsia="Times New Roman" w:cs="Times New Roman"/>
            <w:sz w:val="16"/>
            <w:szCs w:val="16"/>
          </w:rPr>
          <w:t>Environmental Compliance and Governance Action Plan</w:t>
        </w:r>
      </w:hyperlink>
      <w:r>
        <w:rPr>
          <w:rFonts w:eastAsia="Times New Roman" w:cs="Times New Roman"/>
          <w:sz w:val="16"/>
          <w:szCs w:val="16"/>
        </w:rPr>
        <w:t xml:space="preserve"> and </w:t>
      </w:r>
      <w:hyperlink r:id="rId69" w:history="1">
        <w:r>
          <w:rPr>
            <w:rStyle w:val="Hyperlink"/>
            <w:rFonts w:eastAsia="Times New Roman" w:cs="Times New Roman"/>
            <w:sz w:val="16"/>
            <w:szCs w:val="16"/>
          </w:rPr>
          <w:t>Quality of Public Administration Handbook</w:t>
        </w:r>
      </w:hyperlink>
      <w:r>
        <w:rPr>
          <w:rFonts w:eastAsia="Times New Roman" w:cs="Times New Roman"/>
          <w:sz w:val="16"/>
          <w:szCs w:val="16"/>
        </w:rPr>
        <w:t xml:space="preserve"> </w:t>
      </w:r>
    </w:p>
  </w:footnote>
  <w:footnote w:id="102">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INSPIRE: Infrastructure for Spatial Information in the European Community.</w:t>
      </w:r>
    </w:p>
  </w:footnote>
  <w:footnote w:id="103">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lang w:val="fr-BE"/>
        </w:rPr>
        <w:t xml:space="preserve"> </w:t>
      </w:r>
      <w:hyperlink r:id="rId70" w:history="1">
        <w:r>
          <w:rPr>
            <w:rStyle w:val="Hyperlink"/>
            <w:rFonts w:eastAsia="Times New Roman" w:cs="Times New Roman"/>
            <w:sz w:val="16"/>
            <w:szCs w:val="16"/>
            <w:lang w:val="fr-BE"/>
          </w:rPr>
          <w:t>Directive 2007/2/EC</w:t>
        </w:r>
      </w:hyperlink>
      <w:r>
        <w:rPr>
          <w:rFonts w:eastAsia="Times New Roman" w:cs="Times New Roman"/>
          <w:sz w:val="16"/>
          <w:szCs w:val="16"/>
          <w:lang w:val="fr-BE"/>
        </w:rPr>
        <w:t xml:space="preserve">, </w:t>
      </w:r>
      <w:hyperlink r:id="rId71" w:history="1">
        <w:r>
          <w:rPr>
            <w:rStyle w:val="Hyperlink"/>
            <w:rFonts w:eastAsia="Times New Roman" w:cs="Times New Roman"/>
            <w:sz w:val="16"/>
            <w:szCs w:val="16"/>
            <w:lang w:val="fr-BE"/>
          </w:rPr>
          <w:t>Directive 2003/4/EC</w:t>
        </w:r>
      </w:hyperlink>
      <w:r>
        <w:rPr>
          <w:rFonts w:eastAsia="Times New Roman" w:cs="Times New Roman"/>
          <w:sz w:val="16"/>
          <w:szCs w:val="16"/>
          <w:lang w:val="fr-BE"/>
        </w:rPr>
        <w:t xml:space="preserve">, </w:t>
      </w:r>
      <w:hyperlink r:id="rId72" w:history="1">
        <w:r>
          <w:rPr>
            <w:rStyle w:val="Hyperlink"/>
            <w:rFonts w:eastAsia="Times New Roman" w:cs="Times New Roman"/>
            <w:sz w:val="16"/>
            <w:szCs w:val="16"/>
            <w:lang w:val="fr-BE"/>
          </w:rPr>
          <w:t>Directive 2013/37/EU</w:t>
        </w:r>
      </w:hyperlink>
      <w:r>
        <w:rPr>
          <w:rFonts w:eastAsia="Times New Roman" w:cs="Times New Roman"/>
          <w:sz w:val="16"/>
          <w:szCs w:val="16"/>
          <w:lang w:val="fr-BE"/>
        </w:rPr>
        <w:t xml:space="preserve">. </w:t>
      </w:r>
      <w:r>
        <w:rPr>
          <w:rFonts w:eastAsia="Times New Roman" w:cs="Times New Roman"/>
          <w:sz w:val="16"/>
          <w:szCs w:val="16"/>
        </w:rPr>
        <w:t xml:space="preserve">A dedicated project is currently analysing national environmental information systems in more detail and preparing guidance for good practices: European Commission, </w:t>
      </w:r>
      <w:hyperlink r:id="rId73" w:history="1">
        <w:r>
          <w:rPr>
            <w:rStyle w:val="Hyperlink"/>
            <w:rFonts w:eastAsia="Times New Roman" w:cs="Times New Roman"/>
            <w:sz w:val="16"/>
            <w:szCs w:val="16"/>
          </w:rPr>
          <w:t>EIS Data</w:t>
        </w:r>
      </w:hyperlink>
      <w:r>
        <w:rPr>
          <w:rFonts w:eastAsia="Times New Roman" w:cs="Times New Roman"/>
          <w:sz w:val="16"/>
          <w:szCs w:val="16"/>
        </w:rPr>
        <w:t xml:space="preserve">. </w:t>
      </w:r>
    </w:p>
  </w:footnote>
  <w:footnote w:id="104">
    <w:p>
      <w:pPr>
        <w:pStyle w:val="FootnoteText"/>
        <w:rPr>
          <w:rFonts w:eastAsia="Times New Roman" w:cs="Times New Roman"/>
          <w:sz w:val="16"/>
          <w:szCs w:val="16"/>
          <w:lang w:val="it-IT"/>
        </w:rPr>
      </w:pPr>
      <w:r>
        <w:rPr>
          <w:rStyle w:val="FootnoteReference"/>
          <w:rFonts w:eastAsia="Times New Roman" w:cs="Times New Roman"/>
          <w:sz w:val="16"/>
          <w:szCs w:val="16"/>
        </w:rPr>
        <w:footnoteRef/>
      </w:r>
      <w:r>
        <w:rPr>
          <w:rFonts w:eastAsia="Times New Roman" w:cs="Times New Roman"/>
          <w:sz w:val="16"/>
          <w:szCs w:val="16"/>
          <w:lang w:val="it-IT"/>
        </w:rPr>
        <w:t xml:space="preserve"> Bulgaria, Croatia, Cyprus, Finland, Hungary, Ireland, Lithuania, Luxembourg, Malta, Poland and Romania.</w:t>
      </w:r>
    </w:p>
  </w:footnote>
  <w:footnote w:id="105">
    <w:p>
      <w:pPr>
        <w:pStyle w:val="FootnoteText"/>
        <w:rPr>
          <w:rFonts w:eastAsia="Times New Roman" w:cs="Times New Roman"/>
          <w:sz w:val="16"/>
          <w:szCs w:val="16"/>
          <w:lang w:val="it-IT"/>
        </w:rPr>
      </w:pPr>
      <w:r>
        <w:rPr>
          <w:rStyle w:val="FootnoteReference"/>
          <w:rFonts w:eastAsia="Times New Roman" w:cs="Times New Roman"/>
          <w:sz w:val="16"/>
          <w:szCs w:val="16"/>
        </w:rPr>
        <w:footnoteRef/>
      </w:r>
      <w:r>
        <w:rPr>
          <w:rFonts w:eastAsia="Times New Roman" w:cs="Times New Roman"/>
          <w:sz w:val="16"/>
          <w:szCs w:val="16"/>
          <w:lang w:val="it-IT"/>
        </w:rPr>
        <w:t xml:space="preserve"> Austria, Belgium, Bulgaria, Croatia, Cyprus, the Czech Republic, Denmark, Estonia, Finland, France, Germany, Greece, Hungary, Ireland, Italy, Latvia, Lithuania, Luxembourg, Malta, the Netherlands, Poland, Romania, Slovakia, Slovenia, Sweden and the United Kingdom.</w:t>
      </w:r>
    </w:p>
  </w:footnote>
  <w:footnote w:id="106">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w:t>
      </w:r>
      <w:hyperlink r:id="rId74" w:history="1">
        <w:r>
          <w:rPr>
            <w:rStyle w:val="Hyperlink"/>
            <w:rFonts w:eastAsia="Times New Roman" w:cs="Times New Roman"/>
            <w:sz w:val="16"/>
            <w:szCs w:val="16"/>
          </w:rPr>
          <w:t>7</w:t>
        </w:r>
        <w:r>
          <w:rPr>
            <w:rStyle w:val="Hyperlink"/>
            <w:rFonts w:eastAsia="Times New Roman" w:cs="Times New Roman"/>
            <w:sz w:val="16"/>
            <w:szCs w:val="16"/>
            <w:vertAlign w:val="superscript"/>
          </w:rPr>
          <w:t>th</w:t>
        </w:r>
        <w:r>
          <w:rPr>
            <w:rStyle w:val="Hyperlink"/>
            <w:rFonts w:eastAsia="Times New Roman" w:cs="Times New Roman"/>
            <w:sz w:val="16"/>
            <w:szCs w:val="16"/>
          </w:rPr>
          <w:t xml:space="preserve"> Environmental Action Programme 2014-2020</w:t>
        </w:r>
      </w:hyperlink>
      <w:r>
        <w:rPr>
          <w:rFonts w:eastAsia="Times New Roman" w:cs="Times New Roman"/>
          <w:sz w:val="16"/>
          <w:szCs w:val="16"/>
        </w:rPr>
        <w:t xml:space="preserve">. </w:t>
      </w:r>
    </w:p>
  </w:footnote>
  <w:footnote w:id="107">
    <w:p>
      <w:pPr>
        <w:pStyle w:val="FootnoteText"/>
        <w:rPr>
          <w:sz w:val="16"/>
          <w:szCs w:val="16"/>
        </w:rPr>
      </w:pPr>
      <w:r>
        <w:rPr>
          <w:rStyle w:val="FootnoteReference"/>
          <w:sz w:val="16"/>
          <w:szCs w:val="16"/>
        </w:rPr>
        <w:footnoteRef/>
      </w:r>
      <w:r>
        <w:rPr>
          <w:sz w:val="16"/>
          <w:szCs w:val="16"/>
        </w:rPr>
        <w:t xml:space="preserve"> </w:t>
      </w:r>
      <w:hyperlink r:id="rId75" w:history="1">
        <w:r>
          <w:rPr>
            <w:rStyle w:val="Hyperlink"/>
            <w:rFonts w:eastAsia="Times New Roman" w:cs="Times New Roman"/>
            <w:sz w:val="16"/>
            <w:szCs w:val="16"/>
          </w:rPr>
          <w:t>COM(2015) 614</w:t>
        </w:r>
      </w:hyperlink>
      <w:r>
        <w:rPr>
          <w:rStyle w:val="Hyperlink"/>
          <w:rFonts w:eastAsia="Times New Roman" w:cs="Times New Roman"/>
          <w:sz w:val="16"/>
          <w:szCs w:val="16"/>
        </w:rPr>
        <w:t xml:space="preserve"> </w:t>
      </w:r>
    </w:p>
  </w:footnote>
  <w:footnote w:id="108">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European Commission, </w:t>
      </w:r>
      <w:hyperlink r:id="rId76" w:history="1">
        <w:r>
          <w:rPr>
            <w:rStyle w:val="Hyperlink"/>
            <w:rFonts w:eastAsia="Times New Roman" w:cs="Times New Roman"/>
            <w:sz w:val="16"/>
            <w:szCs w:val="16"/>
          </w:rPr>
          <w:t>Agriculture and Sustainable Water Management in the EU</w:t>
        </w:r>
      </w:hyperlink>
      <w:r>
        <w:rPr>
          <w:rFonts w:eastAsia="Times New Roman" w:cs="Times New Roman"/>
          <w:sz w:val="16"/>
          <w:szCs w:val="16"/>
        </w:rPr>
        <w:t xml:space="preserve">, 2017. </w:t>
      </w:r>
    </w:p>
  </w:footnote>
  <w:footnote w:id="109">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Greece, Italy and Spain.</w:t>
      </w:r>
    </w:p>
  </w:footnote>
  <w:footnote w:id="110">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Germany and Lithuania.</w:t>
      </w:r>
    </w:p>
  </w:footnote>
  <w:footnote w:id="111">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European Environmental Agency, </w:t>
      </w:r>
      <w:hyperlink r:id="rId77" w:history="1">
        <w:r>
          <w:rPr>
            <w:rStyle w:val="Hyperlink"/>
            <w:rFonts w:eastAsia="Times New Roman" w:cs="Times New Roman"/>
            <w:sz w:val="16"/>
            <w:szCs w:val="16"/>
          </w:rPr>
          <w:t>Report on the State of the Environment</w:t>
        </w:r>
      </w:hyperlink>
      <w:r>
        <w:rPr>
          <w:rFonts w:eastAsia="Times New Roman" w:cs="Times New Roman"/>
          <w:sz w:val="16"/>
          <w:szCs w:val="16"/>
        </w:rPr>
        <w:t>, 2015.</w:t>
      </w:r>
    </w:p>
  </w:footnote>
  <w:footnote w:id="112">
    <w:p>
      <w:pPr>
        <w:pStyle w:val="FootnoteText"/>
        <w:rPr>
          <w:sz w:val="16"/>
          <w:szCs w:val="16"/>
        </w:rPr>
      </w:pPr>
      <w:r>
        <w:rPr>
          <w:rStyle w:val="FootnoteReference"/>
          <w:sz w:val="16"/>
          <w:szCs w:val="16"/>
        </w:rPr>
        <w:footnoteRef/>
      </w:r>
      <w:r>
        <w:rPr>
          <w:sz w:val="16"/>
          <w:szCs w:val="16"/>
        </w:rPr>
        <w:t xml:space="preserve"> European Environment Agency, </w:t>
      </w:r>
      <w:hyperlink r:id="rId78" w:history="1">
        <w:r>
          <w:rPr>
            <w:rStyle w:val="Hyperlink"/>
            <w:sz w:val="16"/>
            <w:szCs w:val="16"/>
          </w:rPr>
          <w:t>Environmental Indicator Report 2018</w:t>
        </w:r>
      </w:hyperlink>
      <w:r>
        <w:rPr>
          <w:sz w:val="16"/>
          <w:szCs w:val="16"/>
        </w:rPr>
        <w:t xml:space="preserve">. </w:t>
      </w:r>
    </w:p>
  </w:footnote>
  <w:footnote w:id="113">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The "Nexus approach", referred to in the Communication from the Commission, Next steps for a sustainable European future European action for sustainability, </w:t>
      </w:r>
      <w:hyperlink r:id="rId79" w:history="1">
        <w:r>
          <w:rPr>
            <w:rStyle w:val="Hyperlink"/>
            <w:rFonts w:eastAsia="Times New Roman" w:cs="Times New Roman"/>
            <w:sz w:val="16"/>
            <w:szCs w:val="16"/>
          </w:rPr>
          <w:t>COM(2016) 739</w:t>
        </w:r>
      </w:hyperlink>
      <w:r>
        <w:rPr>
          <w:rFonts w:eastAsia="Times New Roman" w:cs="Times New Roman"/>
          <w:sz w:val="16"/>
          <w:szCs w:val="16"/>
        </w:rPr>
        <w:t xml:space="preserve">, examines the interrelatedness and interdependencies of different challenges. </w:t>
      </w:r>
    </w:p>
  </w:footnote>
  <w:footnote w:id="114">
    <w:p>
      <w:pPr>
        <w:pStyle w:val="FootnoteText"/>
        <w:rPr>
          <w:sz w:val="16"/>
          <w:szCs w:val="16"/>
        </w:rPr>
      </w:pPr>
      <w:r>
        <w:rPr>
          <w:rStyle w:val="FootnoteReference"/>
          <w:sz w:val="16"/>
          <w:szCs w:val="16"/>
        </w:rPr>
        <w:footnoteRef/>
      </w:r>
      <w:r>
        <w:rPr>
          <w:sz w:val="16"/>
          <w:szCs w:val="16"/>
        </w:rPr>
        <w:t xml:space="preserve"> E.g. ‘</w:t>
      </w:r>
      <w:hyperlink r:id="rId80" w:history="1">
        <w:r>
          <w:rPr>
            <w:rStyle w:val="Hyperlink"/>
            <w:sz w:val="16"/>
            <w:szCs w:val="16"/>
          </w:rPr>
          <w:t>Quality of Public Administration - A Toolbox for Practitioners</w:t>
        </w:r>
      </w:hyperlink>
      <w:r>
        <w:rPr>
          <w:sz w:val="16"/>
          <w:szCs w:val="16"/>
        </w:rPr>
        <w:t>’ and the study ‘</w:t>
      </w:r>
      <w:hyperlink r:id="rId81" w:history="1">
        <w:r>
          <w:rPr>
            <w:rStyle w:val="Hyperlink"/>
            <w:sz w:val="16"/>
            <w:szCs w:val="16"/>
          </w:rPr>
          <w:t>Public administration characteristics and performance in EU28</w:t>
        </w:r>
      </w:hyperlink>
      <w:r>
        <w:rPr>
          <w:sz w:val="16"/>
          <w:szCs w:val="16"/>
        </w:rPr>
        <w:t xml:space="preserve">’. </w:t>
      </w:r>
    </w:p>
  </w:footnote>
  <w:footnote w:id="115">
    <w:p>
      <w:pPr>
        <w:pStyle w:val="FootnoteText"/>
        <w:rPr>
          <w:sz w:val="16"/>
          <w:szCs w:val="16"/>
          <w:lang w:val="it-IT"/>
        </w:rPr>
      </w:pPr>
      <w:r>
        <w:rPr>
          <w:rStyle w:val="FootnoteReference"/>
          <w:sz w:val="16"/>
          <w:szCs w:val="16"/>
        </w:rPr>
        <w:footnoteRef/>
      </w:r>
      <w:r>
        <w:rPr>
          <w:sz w:val="16"/>
          <w:szCs w:val="16"/>
          <w:lang w:val="it-IT"/>
        </w:rPr>
        <w:t xml:space="preserve"> European Commission, </w:t>
      </w:r>
      <w:hyperlink r:id="rId82" w:history="1">
        <w:r>
          <w:rPr>
            <w:rStyle w:val="Hyperlink"/>
            <w:sz w:val="16"/>
            <w:szCs w:val="16"/>
            <w:lang w:val="it-IT"/>
          </w:rPr>
          <w:t>EU Open Data Portal</w:t>
        </w:r>
      </w:hyperlink>
      <w:r>
        <w:rPr>
          <w:sz w:val="16"/>
          <w:szCs w:val="16"/>
          <w:lang w:val="it-IT"/>
        </w:rPr>
        <w:t>.</w:t>
      </w:r>
    </w:p>
  </w:footnote>
  <w:footnote w:id="116">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w:t>
      </w:r>
      <w:hyperlink r:id="rId83" w:history="1">
        <w:r>
          <w:rPr>
            <w:rStyle w:val="Hyperlink"/>
            <w:rFonts w:eastAsia="Times New Roman" w:cs="Times New Roman"/>
            <w:sz w:val="16"/>
            <w:szCs w:val="16"/>
          </w:rPr>
          <w:t>COM(2018) 330</w:t>
        </w:r>
      </w:hyperlink>
      <w:r>
        <w:rPr>
          <w:rFonts w:eastAsia="Times New Roman" w:cs="Times New Roman"/>
          <w:sz w:val="16"/>
          <w:szCs w:val="16"/>
        </w:rPr>
        <w:t>.</w:t>
      </w:r>
    </w:p>
  </w:footnote>
  <w:footnote w:id="117">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w:t>
      </w:r>
      <w:hyperlink r:id="rId84" w:history="1">
        <w:r>
          <w:rPr>
            <w:rStyle w:val="Hyperlink"/>
            <w:rFonts w:eastAsia="Times New Roman" w:cs="Times New Roman"/>
            <w:sz w:val="16"/>
            <w:szCs w:val="16"/>
          </w:rPr>
          <w:t>SWD(2017) 153</w:t>
        </w:r>
      </w:hyperlink>
      <w:r>
        <w:rPr>
          <w:rFonts w:eastAsia="Times New Roman" w:cs="Times New Roman"/>
          <w:sz w:val="16"/>
          <w:szCs w:val="16"/>
        </w:rPr>
        <w:t xml:space="preserve">. </w:t>
      </w:r>
    </w:p>
  </w:footnote>
  <w:footnote w:id="118">
    <w:p>
      <w:pPr>
        <w:pStyle w:val="Default"/>
        <w:ind w:left="142" w:hanging="142"/>
        <w:rPr>
          <w:rFonts w:ascii="Times New Roman" w:eastAsia="Times New Roman" w:hAnsi="Times New Roman" w:cs="Times New Roman"/>
          <w:sz w:val="16"/>
          <w:szCs w:val="16"/>
        </w:rPr>
      </w:pPr>
      <w:r>
        <w:rPr>
          <w:rStyle w:val="FootnoteReference"/>
          <w:rFonts w:ascii="Times New Roman" w:eastAsia="Times New Roman" w:hAnsi="Times New Roman" w:cs="Times New Roman"/>
          <w:sz w:val="16"/>
          <w:szCs w:val="16"/>
        </w:rPr>
        <w:footnoteRef/>
      </w:r>
      <w:r>
        <w:rPr>
          <w:rFonts w:ascii="Times New Roman" w:eastAsia="Times New Roman" w:hAnsi="Times New Roman" w:cs="Times New Roman"/>
          <w:sz w:val="16"/>
          <w:szCs w:val="16"/>
        </w:rPr>
        <w:t xml:space="preserve"> </w:t>
      </w:r>
      <w:hyperlink r:id="rId85" w:history="1">
        <w:r>
          <w:rPr>
            <w:rStyle w:val="Hyperlink"/>
            <w:rFonts w:ascii="Times New Roman" w:eastAsia="Times New Roman" w:hAnsi="Times New Roman" w:cs="Times New Roman"/>
            <w:sz w:val="16"/>
            <w:szCs w:val="16"/>
          </w:rPr>
          <w:t>COM(2017) 198</w:t>
        </w:r>
      </w:hyperlink>
      <w:r>
        <w:rPr>
          <w:rFonts w:ascii="Times New Roman" w:eastAsia="Times New Roman" w:hAnsi="Times New Roman" w:cs="Times New Roman"/>
          <w:sz w:val="16"/>
          <w:szCs w:val="16"/>
        </w:rPr>
        <w:t xml:space="preserve"> </w:t>
      </w:r>
      <w:r>
        <w:rPr>
          <w:rStyle w:val="Hyperlink"/>
          <w:rFonts w:ascii="Times New Roman" w:eastAsia="Times New Roman" w:hAnsi="Times New Roman" w:cs="Times New Roman"/>
          <w:color w:val="auto"/>
          <w:sz w:val="16"/>
          <w:szCs w:val="16"/>
          <w:u w:val="none"/>
        </w:rPr>
        <w:t>and</w:t>
      </w:r>
      <w:r>
        <w:rPr>
          <w:rStyle w:val="Hyperlink"/>
          <w:rFonts w:ascii="Times New Roman" w:eastAsia="Times New Roman" w:hAnsi="Times New Roman" w:cs="Times New Roman"/>
          <w:color w:val="auto"/>
          <w:sz w:val="16"/>
          <w:szCs w:val="16"/>
        </w:rPr>
        <w:t xml:space="preserve"> </w:t>
      </w:r>
      <w:hyperlink r:id="rId86" w:history="1">
        <w:r>
          <w:rPr>
            <w:rStyle w:val="Hyperlink"/>
            <w:rFonts w:ascii="Times New Roman" w:eastAsia="Times New Roman" w:hAnsi="Times New Roman" w:cs="Times New Roman"/>
            <w:sz w:val="16"/>
            <w:szCs w:val="16"/>
          </w:rPr>
          <w:t>SWD(2017) 139</w:t>
        </w:r>
      </w:hyperlink>
      <w:r>
        <w:rPr>
          <w:rFonts w:ascii="Times New Roman" w:eastAsia="Times New Roman" w:hAnsi="Times New Roman" w:cs="Times New Roman"/>
          <w:sz w:val="16"/>
          <w:szCs w:val="16"/>
        </w:rPr>
        <w:t>.</w:t>
      </w:r>
    </w:p>
  </w:footnote>
  <w:footnote w:id="119">
    <w:p>
      <w:pPr>
        <w:pStyle w:val="FootnoteText"/>
        <w:rPr>
          <w:rFonts w:eastAsia="Times New Roman" w:cs="Times New Roman"/>
          <w:sz w:val="16"/>
          <w:szCs w:val="16"/>
        </w:rPr>
      </w:pPr>
      <w:r>
        <w:rPr>
          <w:rStyle w:val="FootnoteReference"/>
          <w:rFonts w:eastAsia="Times New Roman" w:cs="Times New Roman"/>
          <w:sz w:val="16"/>
          <w:szCs w:val="16"/>
        </w:rPr>
        <w:footnoteRef/>
      </w:r>
      <w:r>
        <w:rPr>
          <w:rFonts w:eastAsia="Times New Roman" w:cs="Times New Roman"/>
          <w:sz w:val="16"/>
          <w:szCs w:val="16"/>
        </w:rPr>
        <w:t xml:space="preserve"> European Commission, </w:t>
      </w:r>
      <w:hyperlink r:id="rId87" w:history="1">
        <w:r>
          <w:rPr>
            <w:rStyle w:val="Hyperlink"/>
            <w:rFonts w:eastAsia="Times New Roman" w:cs="Times New Roman"/>
            <w:sz w:val="16"/>
            <w:szCs w:val="16"/>
          </w:rPr>
          <w:t>Report on the implementation of waste legislation, including the early warning report</w:t>
        </w:r>
      </w:hyperlink>
      <w:r>
        <w:rPr>
          <w:rFonts w:eastAsia="Times New Roman" w:cs="Times New Roman"/>
          <w:sz w:val="16"/>
          <w:szCs w:val="16"/>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70278"/>
    <w:multiLevelType w:val="hybridMultilevel"/>
    <w:tmpl w:val="D4F45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5C05162"/>
    <w:multiLevelType w:val="hybridMultilevel"/>
    <w:tmpl w:val="BDAE5EE4"/>
    <w:lvl w:ilvl="0" w:tplc="BB24E05C">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84442E9"/>
    <w:multiLevelType w:val="hybridMultilevel"/>
    <w:tmpl w:val="347003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0B9B611B"/>
    <w:multiLevelType w:val="hybridMultilevel"/>
    <w:tmpl w:val="7826A4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122F4EE0"/>
    <w:multiLevelType w:val="hybridMultilevel"/>
    <w:tmpl w:val="84EE3A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262669F"/>
    <w:multiLevelType w:val="multilevel"/>
    <w:tmpl w:val="64F0EA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8EB2B87"/>
    <w:multiLevelType w:val="hybridMultilevel"/>
    <w:tmpl w:val="1672908A"/>
    <w:lvl w:ilvl="0" w:tplc="D4F41586">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A7A6E2F"/>
    <w:multiLevelType w:val="multilevel"/>
    <w:tmpl w:val="E954C2A2"/>
    <w:lvl w:ilvl="0">
      <w:start w:val="3"/>
      <w:numFmt w:val="decimal"/>
      <w:lvlText w:val="%1."/>
      <w:lvlJc w:val="left"/>
      <w:pPr>
        <w:ind w:left="360" w:hanging="360"/>
      </w:pPr>
      <w:rPr>
        <w:rFonts w:hint="default"/>
        <w:b/>
      </w:rPr>
    </w:lvl>
    <w:lvl w:ilvl="1">
      <w:start w:val="1"/>
      <w:numFmt w:val="decimal"/>
      <w:isLgl/>
      <w:lvlText w:val="%1.%2."/>
      <w:lvlJc w:val="left"/>
      <w:pPr>
        <w:ind w:left="360" w:hanging="360"/>
      </w:pPr>
      <w:rPr>
        <w:rFonts w:hint="default"/>
        <w:sz w:val="24"/>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nsid w:val="1EE20077"/>
    <w:multiLevelType w:val="hybridMultilevel"/>
    <w:tmpl w:val="23B40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2D293CE3"/>
    <w:multiLevelType w:val="multilevel"/>
    <w:tmpl w:val="8D7C4D2A"/>
    <w:lvl w:ilvl="0">
      <w:start w:val="1"/>
      <w:numFmt w:val="decimal"/>
      <w:lvlText w:val="%1."/>
      <w:lvlJc w:val="left"/>
      <w:pPr>
        <w:ind w:left="476" w:hanging="476"/>
      </w:pPr>
      <w:rPr>
        <w:rFonts w:hint="default"/>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nsid w:val="2FCF503B"/>
    <w:multiLevelType w:val="hybridMultilevel"/>
    <w:tmpl w:val="6EB477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34B718EA"/>
    <w:multiLevelType w:val="hybridMultilevel"/>
    <w:tmpl w:val="1FDE0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612053C"/>
    <w:multiLevelType w:val="hybridMultilevel"/>
    <w:tmpl w:val="837CC254"/>
    <w:lvl w:ilvl="0" w:tplc="04090001">
      <w:start w:val="1"/>
      <w:numFmt w:val="bullet"/>
      <w:lvlText w:val=""/>
      <w:lvlJc w:val="left"/>
      <w:pPr>
        <w:ind w:left="769" w:hanging="360"/>
      </w:pPr>
      <w:rPr>
        <w:rFonts w:ascii="Symbol" w:hAnsi="Symbol" w:hint="default"/>
      </w:rPr>
    </w:lvl>
    <w:lvl w:ilvl="1" w:tplc="04090003">
      <w:start w:val="1"/>
      <w:numFmt w:val="bullet"/>
      <w:lvlText w:val="o"/>
      <w:lvlJc w:val="left"/>
      <w:pPr>
        <w:ind w:left="1489" w:hanging="360"/>
      </w:pPr>
      <w:rPr>
        <w:rFonts w:ascii="Courier New" w:hAnsi="Courier New" w:cs="Courier New" w:hint="default"/>
      </w:rPr>
    </w:lvl>
    <w:lvl w:ilvl="2" w:tplc="04090005" w:tentative="1">
      <w:start w:val="1"/>
      <w:numFmt w:val="bullet"/>
      <w:lvlText w:val=""/>
      <w:lvlJc w:val="left"/>
      <w:pPr>
        <w:ind w:left="2209" w:hanging="360"/>
      </w:pPr>
      <w:rPr>
        <w:rFonts w:ascii="Wingdings" w:hAnsi="Wingdings" w:hint="default"/>
      </w:rPr>
    </w:lvl>
    <w:lvl w:ilvl="3" w:tplc="04090001" w:tentative="1">
      <w:start w:val="1"/>
      <w:numFmt w:val="bullet"/>
      <w:lvlText w:val=""/>
      <w:lvlJc w:val="left"/>
      <w:pPr>
        <w:ind w:left="2929" w:hanging="360"/>
      </w:pPr>
      <w:rPr>
        <w:rFonts w:ascii="Symbol" w:hAnsi="Symbol" w:hint="default"/>
      </w:rPr>
    </w:lvl>
    <w:lvl w:ilvl="4" w:tplc="04090003" w:tentative="1">
      <w:start w:val="1"/>
      <w:numFmt w:val="bullet"/>
      <w:lvlText w:val="o"/>
      <w:lvlJc w:val="left"/>
      <w:pPr>
        <w:ind w:left="3649" w:hanging="360"/>
      </w:pPr>
      <w:rPr>
        <w:rFonts w:ascii="Courier New" w:hAnsi="Courier New" w:cs="Courier New" w:hint="default"/>
      </w:rPr>
    </w:lvl>
    <w:lvl w:ilvl="5" w:tplc="04090005" w:tentative="1">
      <w:start w:val="1"/>
      <w:numFmt w:val="bullet"/>
      <w:lvlText w:val=""/>
      <w:lvlJc w:val="left"/>
      <w:pPr>
        <w:ind w:left="4369" w:hanging="360"/>
      </w:pPr>
      <w:rPr>
        <w:rFonts w:ascii="Wingdings" w:hAnsi="Wingdings" w:hint="default"/>
      </w:rPr>
    </w:lvl>
    <w:lvl w:ilvl="6" w:tplc="04090001" w:tentative="1">
      <w:start w:val="1"/>
      <w:numFmt w:val="bullet"/>
      <w:lvlText w:val=""/>
      <w:lvlJc w:val="left"/>
      <w:pPr>
        <w:ind w:left="5089" w:hanging="360"/>
      </w:pPr>
      <w:rPr>
        <w:rFonts w:ascii="Symbol" w:hAnsi="Symbol" w:hint="default"/>
      </w:rPr>
    </w:lvl>
    <w:lvl w:ilvl="7" w:tplc="04090003" w:tentative="1">
      <w:start w:val="1"/>
      <w:numFmt w:val="bullet"/>
      <w:lvlText w:val="o"/>
      <w:lvlJc w:val="left"/>
      <w:pPr>
        <w:ind w:left="5809" w:hanging="360"/>
      </w:pPr>
      <w:rPr>
        <w:rFonts w:ascii="Courier New" w:hAnsi="Courier New" w:cs="Courier New" w:hint="default"/>
      </w:rPr>
    </w:lvl>
    <w:lvl w:ilvl="8" w:tplc="04090005" w:tentative="1">
      <w:start w:val="1"/>
      <w:numFmt w:val="bullet"/>
      <w:lvlText w:val=""/>
      <w:lvlJc w:val="left"/>
      <w:pPr>
        <w:ind w:left="6529" w:hanging="360"/>
      </w:pPr>
      <w:rPr>
        <w:rFonts w:ascii="Wingdings" w:hAnsi="Wingdings" w:hint="default"/>
      </w:rPr>
    </w:lvl>
  </w:abstractNum>
  <w:abstractNum w:abstractNumId="13">
    <w:nsid w:val="3AF87101"/>
    <w:multiLevelType w:val="hybridMultilevel"/>
    <w:tmpl w:val="98C660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D077000"/>
    <w:multiLevelType w:val="hybridMultilevel"/>
    <w:tmpl w:val="1E90F6A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3F7D588C"/>
    <w:multiLevelType w:val="hybridMultilevel"/>
    <w:tmpl w:val="80ACA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B0372BC"/>
    <w:multiLevelType w:val="hybridMultilevel"/>
    <w:tmpl w:val="F03A99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525C69AC"/>
    <w:multiLevelType w:val="hybridMultilevel"/>
    <w:tmpl w:val="666241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52A67A5A"/>
    <w:multiLevelType w:val="hybridMultilevel"/>
    <w:tmpl w:val="4454B3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5D80502F"/>
    <w:multiLevelType w:val="multilevel"/>
    <w:tmpl w:val="53D6A3A8"/>
    <w:lvl w:ilvl="0">
      <w:start w:val="1"/>
      <w:numFmt w:val="decimal"/>
      <w:lvlText w:val="%1."/>
      <w:lvlJc w:val="left"/>
      <w:pPr>
        <w:ind w:left="360" w:hanging="360"/>
      </w:pPr>
      <w:rPr>
        <w:rFonts w:hint="default"/>
        <w:b/>
      </w:rPr>
    </w:lvl>
    <w:lvl w:ilvl="1">
      <w:start w:val="2"/>
      <w:numFmt w:val="decimal"/>
      <w:isLgl/>
      <w:lvlText w:val="%1.%2."/>
      <w:lvlJc w:val="left"/>
      <w:pPr>
        <w:ind w:left="360" w:hanging="360"/>
      </w:pPr>
      <w:rPr>
        <w:rFonts w:hint="default"/>
        <w:sz w:val="24"/>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nsid w:val="6E336C05"/>
    <w:multiLevelType w:val="hybridMultilevel"/>
    <w:tmpl w:val="22A466D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77D0266F"/>
    <w:multiLevelType w:val="hybridMultilevel"/>
    <w:tmpl w:val="3800B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4"/>
  </w:num>
  <w:num w:numId="3">
    <w:abstractNumId w:val="20"/>
  </w:num>
  <w:num w:numId="4">
    <w:abstractNumId w:val="11"/>
  </w:num>
  <w:num w:numId="5">
    <w:abstractNumId w:val="19"/>
  </w:num>
  <w:num w:numId="6">
    <w:abstractNumId w:val="8"/>
  </w:num>
  <w:num w:numId="7">
    <w:abstractNumId w:val="0"/>
  </w:num>
  <w:num w:numId="8">
    <w:abstractNumId w:val="10"/>
  </w:num>
  <w:num w:numId="9">
    <w:abstractNumId w:val="12"/>
  </w:num>
  <w:num w:numId="10">
    <w:abstractNumId w:val="5"/>
  </w:num>
  <w:num w:numId="11">
    <w:abstractNumId w:val="1"/>
  </w:num>
  <w:num w:numId="12">
    <w:abstractNumId w:val="3"/>
  </w:num>
  <w:num w:numId="13">
    <w:abstractNumId w:val="14"/>
  </w:num>
  <w:num w:numId="14">
    <w:abstractNumId w:val="17"/>
  </w:num>
  <w:num w:numId="15">
    <w:abstractNumId w:val="9"/>
  </w:num>
  <w:num w:numId="16">
    <w:abstractNumId w:val="9"/>
  </w:num>
  <w:num w:numId="17">
    <w:abstractNumId w:val="9"/>
  </w:num>
  <w:num w:numId="18">
    <w:abstractNumId w:val="7"/>
  </w:num>
  <w:num w:numId="19">
    <w:abstractNumId w:val="15"/>
  </w:num>
  <w:num w:numId="20">
    <w:abstractNumId w:val="2"/>
  </w:num>
  <w:num w:numId="21">
    <w:abstractNumId w:val="16"/>
  </w:num>
  <w:num w:numId="22">
    <w:abstractNumId w:val="21"/>
  </w:num>
  <w:num w:numId="23">
    <w:abstractNumId w:val="18"/>
  </w:num>
  <w:num w:numId="24">
    <w:abstractNumId w:val="6"/>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hideSpellingErrors/>
  <w:hideGrammaticalErrors/>
  <w:activeWritingStyle w:appName="MSWord" w:lang="it-IT" w:vendorID="64" w:dllVersion="131078" w:nlCheck="1" w:checkStyle="0"/>
  <w:activeWritingStyle w:appName="MSWord" w:lang="en-GB" w:vendorID="64" w:dllVersion="131078" w:nlCheck="1" w:checkStyle="1"/>
  <w:activeWritingStyle w:appName="MSWord" w:lang="fr-BE" w:vendorID="64" w:dllVersion="131078" w:nlCheck="1" w:checkStyle="0"/>
  <w:activeWritingStyle w:appName="MSWord" w:lang="en-US" w:vendorID="64" w:dllVersion="131078" w:nlCheck="1" w:checkStyle="1"/>
  <w:activeWritingStyle w:appName="MSWord" w:lang="pt-PT" w:vendorID="64" w:dllVersion="131078" w:nlCheck="1" w:checkStyle="0"/>
  <w:activeWritingStyle w:appName="MSWord" w:lang="en-IE" w:vendorID="64" w:dllVersion="131078" w:nlCheck="1" w:checkStyle="1"/>
  <w:revisionView w:markup="0"/>
  <w:doNotTrackFormatting/>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528B0E9E-5AF1-4B23-B1BB-AE175E987635"/>
    <w:docVar w:name="LW_COVERPAGE_TYPE" w:val="1"/>
    <w:docVar w:name="LW_CROSSREFERENCE" w:val="{SWD(2019) 111 final} - {SWD(2019) 112 final} - {SWD(2019) 113 final} - {SWD(2019) 114 final} - {SWD(2019) 115 final} - {SWD(2019) 116 final} - {SWD(2019) 117 final} - {SWD(2019) 118 final} - {SWD(2019) 119 final} - {SWD(2019) 120 final} - {SWD(2019) 121 final} - {SWD(2019) 122 final} - {SWD(2019) 123 final} - {SWD(2019) 124 final} - {SWD(2019) 125 final} - {SWD(2019) 126 final} - {SWD(2019) 127 final} - {SWD(2019) 128 final} - {SWD(2019) 129 final} - {SWD(2019) 130 final} - {SWD(2019) 131 final} - {SWD(2019) 132 final} - {SWD(2019) 133 final} - {SWD(2019) 134 final} - {SWD(2019) 135 final} - {SWD(2019) 136 final} - {SWD(2019) 137 final} - {SWD(2019) 138 final} - {SWD(2019) 139 final}"/>
    <w:docVar w:name="LW_DocType" w:val="NORMAL"/>
    <w:docVar w:name="LW_EMISSION" w:val="4.4.2019"/>
    <w:docVar w:name="LW_EMISSION_ISODATE" w:val="2019-04-04"/>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9) 14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Bold&gt;Environmental Implementation Review 2019: &lt;/FMT&gt;_x000b_&lt;FMT:Bold&gt;A Europe that protects its citizens and enhances their quality of life&lt;/FMT&gt;_x000d__x000d__x000b_"/>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20" w:line="260" w:lineRule="exact"/>
      <w:jc w:val="both"/>
    </w:pPr>
    <w:rPr>
      <w:rFonts w:ascii="Times New Roman" w:hAnsi="Times New Roman"/>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autoRedefine/>
    <w:uiPriority w:val="9"/>
    <w:unhideWhenUsed/>
    <w:qFormat/>
    <w:pPr>
      <w:keepNext/>
      <w:spacing w:before="240" w:line="240" w:lineRule="auto"/>
      <w:jc w:val="left"/>
      <w:outlineLvl w:val="1"/>
    </w:pPr>
    <w:rPr>
      <w:rFonts w:ascii="Calibri" w:eastAsia="Calibri" w:hAnsi="Calibri" w:cs="Times New Roman"/>
      <w:b/>
      <w:noProof/>
      <w:color w:val="1F497D"/>
      <w:sz w:val="24"/>
      <w:szCs w:val="24"/>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Footnote Text Char Char Char Char,Footnote Text1 Char,Footnote Text1,Footnote Text Char Char Char,Footnote Text1 Char Char Char,Footnote Text1 Char Char Char Char Char Char Char Char,Char Char Char,Footnote Text Ch"/>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 Char Char1,Footnote Text Char Char Char Char Char,Footnote Text1 Char Char,Footnote Text1 Char1,Footnote Text Char Char Char Char1,Footnote Text1 Char Char Char Char,Char Char Char Char,Footnote Text Ch Char"/>
    <w:basedOn w:val="DefaultParagraphFont"/>
    <w:link w:val="FootnoteText"/>
    <w:uiPriority w:val="99"/>
    <w:qFormat/>
    <w:rPr>
      <w:sz w:val="20"/>
      <w:szCs w:val="20"/>
    </w:rPr>
  </w:style>
  <w:style w:type="character" w:styleId="FootnoteReference">
    <w:name w:val="footnote reference"/>
    <w:aliases w:val="Footnote Reference Superscript,BVI fnr, BVI fnr,Footnote symbol,Footnote,Char1 Char Char Char Char,Footnote Reference/,EN Footnote Reference,Times 10 Point,Exposant 3 Point,Footnote reference number,note TESI,stylish,SUPERS,number,no."/>
    <w:basedOn w:val="DefaultParagraphFont"/>
    <w:link w:val="FootnotesymbolCarZchn"/>
    <w:uiPriority w:val="99"/>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aliases w:val="Numbered Para 1,Dot pt,No Spacing1,List Paragraph Char Char Char,Indicator Text,Bullet 1,List Paragraph1,Bullet Points,MAIN CONTENT,List Paragraph12,F5 List Paragraph,Heading 2_sj,1st level - Bullet List Paragraph,Lettre d'introduction,L"/>
    <w:basedOn w:val="Normal"/>
    <w:link w:val="ListParagraphChar"/>
    <w:uiPriority w:val="34"/>
    <w:qFormat/>
    <w:pPr>
      <w:ind w:left="720"/>
      <w:contextualSpacing/>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lang w:eastAsia="en-US"/>
    </w:rPr>
  </w:style>
  <w:style w:type="character" w:customStyle="1" w:styleId="CommentTextChar">
    <w:name w:val="Comment Text Char"/>
    <w:basedOn w:val="DefaultParagraphFont"/>
    <w:link w:val="CommentText"/>
    <w:uiPriority w:val="99"/>
    <w:rPr>
      <w:sz w:val="20"/>
      <w:szCs w:val="20"/>
      <w:lang w:eastAsia="en-US"/>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Pr>
      <w:b/>
      <w:bCs/>
      <w:lang w:eastAsia="en-GB"/>
    </w:rPr>
  </w:style>
  <w:style w:type="character" w:customStyle="1" w:styleId="CommentSubjectChar">
    <w:name w:val="Comment Subject Char"/>
    <w:basedOn w:val="CommentTextChar"/>
    <w:link w:val="CommentSubject"/>
    <w:uiPriority w:val="99"/>
    <w:semiHidden/>
    <w:rPr>
      <w:rFonts w:ascii="Times New Roman" w:hAnsi="Times New Roman"/>
      <w:b/>
      <w:bCs/>
      <w:sz w:val="20"/>
      <w:szCs w:val="20"/>
      <w:lang w:eastAsia="en-US"/>
    </w:rPr>
  </w:style>
  <w:style w:type="paragraph" w:styleId="Revision">
    <w:name w:val="Revision"/>
    <w:hidden/>
    <w:uiPriority w:val="99"/>
    <w:semiHidden/>
    <w:pPr>
      <w:spacing w:after="0" w:line="240" w:lineRule="auto"/>
    </w:pPr>
    <w:rPr>
      <w:rFonts w:ascii="Times New Roman" w:hAnsi="Times New Roman"/>
    </w:rPr>
  </w:style>
  <w:style w:type="character" w:customStyle="1" w:styleId="Funotenzeichen">
    <w:name w:val="Fußnotenzeichen"/>
  </w:style>
  <w:style w:type="character" w:styleId="FollowedHyperlink">
    <w:name w:val="FollowedHyperlink"/>
    <w:basedOn w:val="DefaultParagraphFont"/>
    <w:uiPriority w:val="99"/>
    <w:semiHidden/>
    <w:unhideWhenUsed/>
    <w:rPr>
      <w:color w:val="800080" w:themeColor="followedHyperlink"/>
      <w:u w:val="single"/>
    </w:rPr>
  </w:style>
  <w:style w:type="character" w:styleId="Strong">
    <w:name w:val="Strong"/>
    <w:basedOn w:val="DefaultParagraphFont"/>
    <w:uiPriority w:val="22"/>
    <w:qFormat/>
    <w:rPr>
      <w:b/>
      <w:bC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locked/>
    <w:pPr>
      <w:spacing w:after="160" w:line="240" w:lineRule="exact"/>
    </w:pPr>
    <w:rPr>
      <w:rFonts w:asciiTheme="minorHAnsi" w:hAnsiTheme="minorHAnsi"/>
      <w:vertAlign w:val="superscript"/>
    </w:rPr>
  </w:style>
  <w:style w:type="paragraph" w:styleId="NormalWeb">
    <w:name w:val="Normal (Web)"/>
    <w:basedOn w:val="Normal"/>
    <w:uiPriority w:val="99"/>
    <w:unhideWhenUsed/>
    <w:pPr>
      <w:spacing w:before="100" w:beforeAutospacing="1" w:after="100" w:afterAutospacing="1" w:line="240" w:lineRule="auto"/>
      <w:jc w:val="left"/>
    </w:pPr>
    <w:rPr>
      <w:rFonts w:cs="Times New Roman"/>
      <w:sz w:val="24"/>
      <w:szCs w:val="24"/>
    </w:rPr>
  </w:style>
  <w:style w:type="character" w:customStyle="1" w:styleId="num">
    <w:name w:val="num"/>
    <w:basedOn w:val="DefaultParagraphFont"/>
  </w:style>
  <w:style w:type="paragraph" w:customStyle="1" w:styleId="LegalNumPar">
    <w:name w:val="LegalNumPar"/>
    <w:basedOn w:val="Normal"/>
    <w:pPr>
      <w:spacing w:line="360" w:lineRule="auto"/>
      <w:ind w:left="476" w:hanging="476"/>
    </w:pPr>
    <w:rPr>
      <w:sz w:val="24"/>
    </w:rPr>
  </w:style>
  <w:style w:type="paragraph" w:customStyle="1" w:styleId="LegalNumPar2">
    <w:name w:val="LegalNumPar2"/>
    <w:basedOn w:val="Normal"/>
    <w:pPr>
      <w:spacing w:line="360" w:lineRule="auto"/>
      <w:ind w:left="953" w:hanging="477"/>
    </w:pPr>
    <w:rPr>
      <w:sz w:val="24"/>
    </w:rPr>
  </w:style>
  <w:style w:type="paragraph" w:customStyle="1" w:styleId="LegalNumPar3">
    <w:name w:val="LegalNumPar3"/>
    <w:basedOn w:val="Normal"/>
    <w:pPr>
      <w:spacing w:line="360" w:lineRule="auto"/>
      <w:ind w:left="1429" w:hanging="476"/>
    </w:pPr>
    <w:rPr>
      <w:sz w:val="24"/>
    </w:rPr>
  </w:style>
  <w:style w:type="paragraph" w:customStyle="1" w:styleId="body">
    <w:name w:val="body"/>
    <w:basedOn w:val="Normal"/>
    <w:pPr>
      <w:spacing w:before="100" w:beforeAutospacing="1" w:after="100" w:afterAutospacing="1" w:line="240" w:lineRule="auto"/>
      <w:jc w:val="left"/>
    </w:pPr>
    <w:rPr>
      <w:rFonts w:cs="Times New Roman"/>
      <w:sz w:val="24"/>
      <w:szCs w:val="24"/>
    </w:rPr>
  </w:style>
  <w:style w:type="paragraph" w:customStyle="1" w:styleId="Default">
    <w:name w:val="Default"/>
    <w:pPr>
      <w:autoSpaceDE w:val="0"/>
      <w:autoSpaceDN w:val="0"/>
      <w:adjustRightInd w:val="0"/>
      <w:spacing w:after="0" w:line="240" w:lineRule="auto"/>
    </w:pPr>
    <w:rPr>
      <w:rFonts w:ascii="Calibri" w:eastAsia="Calibri" w:hAnsi="Calibri" w:cs="Calibri"/>
      <w:color w:val="000000"/>
      <w:sz w:val="24"/>
      <w:szCs w:val="24"/>
      <w:lang w:eastAsia="en-US"/>
    </w:rPr>
  </w:style>
  <w:style w:type="character" w:customStyle="1" w:styleId="ListParagraphChar">
    <w:name w:val="List Paragraph Char"/>
    <w:aliases w:val="Numbered Para 1 Char,Dot pt Char,No Spacing1 Char,List Paragraph Char Char Char Char,Indicator Text Char,Bullet 1 Char,List Paragraph1 Char,Bullet Points Char,MAIN CONTENT Char,List Paragraph12 Char,F5 List Paragraph Char,L Char"/>
    <w:basedOn w:val="DefaultParagraphFont"/>
    <w:link w:val="ListParagraph"/>
    <w:uiPriority w:val="34"/>
    <w:qFormat/>
    <w:rPr>
      <w:rFonts w:ascii="Times New Roman" w:hAnsi="Times New Roman"/>
    </w:rPr>
  </w:style>
  <w:style w:type="paragraph" w:styleId="NoSpacing">
    <w:name w:val="No Spacing"/>
    <w:uiPriority w:val="1"/>
    <w:qFormat/>
    <w:pPr>
      <w:spacing w:after="0" w:line="240" w:lineRule="auto"/>
      <w:jc w:val="both"/>
    </w:pPr>
    <w:rPr>
      <w:rFonts w:ascii="Times New Roman" w:hAnsi="Times New Roman"/>
    </w:rPr>
  </w:style>
  <w:style w:type="character" w:customStyle="1" w:styleId="Marker">
    <w:name w:val="Marker"/>
    <w:basedOn w:val="DefaultParagraphFont"/>
    <w:rPr>
      <w:color w:val="0000FF"/>
      <w:shd w:val="clear" w:color="auto" w:fill="auto"/>
    </w:rPr>
  </w:style>
  <w:style w:type="paragraph" w:customStyle="1" w:styleId="HeaderCoverPage">
    <w:name w:val="Header Cover Page"/>
    <w:basedOn w:val="Normal"/>
    <w:link w:val="HeaderCoverPageChar"/>
    <w:pPr>
      <w:tabs>
        <w:tab w:val="center" w:pos="4535"/>
        <w:tab w:val="right" w:pos="9071"/>
      </w:tabs>
      <w:spacing w:line="240" w:lineRule="auto"/>
    </w:pPr>
    <w:rPr>
      <w:sz w:val="24"/>
    </w:rPr>
  </w:style>
  <w:style w:type="character" w:customStyle="1" w:styleId="HeaderCoverPageChar">
    <w:name w:val="Header Cover Page Char"/>
    <w:basedOn w:val="DefaultParagraphFont"/>
    <w:link w:val="HeaderCoverPage"/>
    <w:rPr>
      <w:rFonts w:ascii="Times New Roman" w:hAnsi="Times New Roman"/>
      <w:sz w:val="24"/>
    </w:rPr>
  </w:style>
  <w:style w:type="character" w:customStyle="1" w:styleId="Heading2Char">
    <w:name w:val="Heading 2 Char"/>
    <w:basedOn w:val="DefaultParagraphFont"/>
    <w:link w:val="Heading2"/>
    <w:uiPriority w:val="9"/>
    <w:rPr>
      <w:rFonts w:ascii="Calibri" w:eastAsia="Calibri" w:hAnsi="Calibri" w:cs="Times New Roman"/>
      <w:b/>
      <w:noProof/>
      <w:color w:val="1F497D"/>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character" w:customStyle="1" w:styleId="st">
    <w:name w:val="st"/>
    <w:basedOn w:val="DefaultParagraphFont"/>
  </w:style>
  <w:style w:type="character" w:styleId="Emphasis">
    <w:name w:val="Emphasis"/>
    <w:basedOn w:val="DefaultParagraphFont"/>
    <w:uiPriority w:val="20"/>
    <w:qFormat/>
    <w:rPr>
      <w:i/>
      <w:iCs/>
    </w:rPr>
  </w:style>
  <w:style w:type="paragraph" w:customStyle="1" w:styleId="Pagedecouverture">
    <w:name w:val="Page de couverture"/>
    <w:basedOn w:val="Normal"/>
    <w:next w:val="Normal"/>
    <w:pPr>
      <w:spacing w:after="0" w:line="240" w:lineRule="auto"/>
    </w:pPr>
    <w:rPr>
      <w:rFonts w:cs="Times New Roman"/>
      <w:sz w:val="24"/>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sz w:val="24"/>
    </w:rPr>
  </w:style>
  <w:style w:type="character" w:customStyle="1" w:styleId="FooterCoverPageChar">
    <w:name w:val="Footer Cover Page Char"/>
    <w:basedOn w:val="DefaultParagraphFont"/>
    <w:link w:val="FooterCoverPage"/>
    <w:rPr>
      <w:rFonts w:ascii="Times New Roman" w:hAnsi="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Pr>
      <w:rFonts w:ascii="Times New Roman" w:hAnsi="Times New Roman"/>
      <w:b/>
      <w:sz w:val="32"/>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line="240" w:lineRule="auto"/>
      <w:ind w:left="113" w:right="113"/>
      <w:jc w:val="center"/>
    </w:pPr>
    <w:rPr>
      <w:b/>
      <w:sz w:val="32"/>
    </w:rPr>
  </w:style>
  <w:style w:type="character" w:customStyle="1" w:styleId="HeaderSensitivityChar">
    <w:name w:val="Header Sensitivity Char"/>
    <w:basedOn w:val="DefaultParagraphFont"/>
    <w:link w:val="HeaderSensitivity"/>
    <w:rPr>
      <w:rFonts w:ascii="Times New Roman" w:hAnsi="Times New Roman"/>
      <w:b/>
      <w:sz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20" w:line="260" w:lineRule="exact"/>
      <w:jc w:val="both"/>
    </w:pPr>
    <w:rPr>
      <w:rFonts w:ascii="Times New Roman" w:hAnsi="Times New Roman"/>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autoRedefine/>
    <w:uiPriority w:val="9"/>
    <w:unhideWhenUsed/>
    <w:qFormat/>
    <w:pPr>
      <w:keepNext/>
      <w:spacing w:before="240" w:line="240" w:lineRule="auto"/>
      <w:jc w:val="left"/>
      <w:outlineLvl w:val="1"/>
    </w:pPr>
    <w:rPr>
      <w:rFonts w:ascii="Calibri" w:eastAsia="Calibri" w:hAnsi="Calibri" w:cs="Times New Roman"/>
      <w:b/>
      <w:noProof/>
      <w:color w:val="1F497D"/>
      <w:sz w:val="24"/>
      <w:szCs w:val="24"/>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Footnote Text Char Char Char Char,Footnote Text1 Char,Footnote Text1,Footnote Text Char Char Char,Footnote Text1 Char Char Char,Footnote Text1 Char Char Char Char Char Char Char Char,Char Char Char,Footnote Text Ch"/>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 Char Char1,Footnote Text Char Char Char Char Char,Footnote Text1 Char Char,Footnote Text1 Char1,Footnote Text Char Char Char Char1,Footnote Text1 Char Char Char Char,Char Char Char Char,Footnote Text Ch Char"/>
    <w:basedOn w:val="DefaultParagraphFont"/>
    <w:link w:val="FootnoteText"/>
    <w:uiPriority w:val="99"/>
    <w:qFormat/>
    <w:rPr>
      <w:sz w:val="20"/>
      <w:szCs w:val="20"/>
    </w:rPr>
  </w:style>
  <w:style w:type="character" w:styleId="FootnoteReference">
    <w:name w:val="footnote reference"/>
    <w:aliases w:val="Footnote Reference Superscript,BVI fnr, BVI fnr,Footnote symbol,Footnote,Char1 Char Char Char Char,Footnote Reference/,EN Footnote Reference,Times 10 Point,Exposant 3 Point,Footnote reference number,note TESI,stylish,SUPERS,number,no."/>
    <w:basedOn w:val="DefaultParagraphFont"/>
    <w:link w:val="FootnotesymbolCarZchn"/>
    <w:uiPriority w:val="99"/>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aliases w:val="Numbered Para 1,Dot pt,No Spacing1,List Paragraph Char Char Char,Indicator Text,Bullet 1,List Paragraph1,Bullet Points,MAIN CONTENT,List Paragraph12,F5 List Paragraph,Heading 2_sj,1st level - Bullet List Paragraph,Lettre d'introduction,L"/>
    <w:basedOn w:val="Normal"/>
    <w:link w:val="ListParagraphChar"/>
    <w:uiPriority w:val="34"/>
    <w:qFormat/>
    <w:pPr>
      <w:ind w:left="720"/>
      <w:contextualSpacing/>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lang w:eastAsia="en-US"/>
    </w:rPr>
  </w:style>
  <w:style w:type="character" w:customStyle="1" w:styleId="CommentTextChar">
    <w:name w:val="Comment Text Char"/>
    <w:basedOn w:val="DefaultParagraphFont"/>
    <w:link w:val="CommentText"/>
    <w:uiPriority w:val="99"/>
    <w:rPr>
      <w:sz w:val="20"/>
      <w:szCs w:val="20"/>
      <w:lang w:eastAsia="en-US"/>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Pr>
      <w:b/>
      <w:bCs/>
      <w:lang w:eastAsia="en-GB"/>
    </w:rPr>
  </w:style>
  <w:style w:type="character" w:customStyle="1" w:styleId="CommentSubjectChar">
    <w:name w:val="Comment Subject Char"/>
    <w:basedOn w:val="CommentTextChar"/>
    <w:link w:val="CommentSubject"/>
    <w:uiPriority w:val="99"/>
    <w:semiHidden/>
    <w:rPr>
      <w:rFonts w:ascii="Times New Roman" w:hAnsi="Times New Roman"/>
      <w:b/>
      <w:bCs/>
      <w:sz w:val="20"/>
      <w:szCs w:val="20"/>
      <w:lang w:eastAsia="en-US"/>
    </w:rPr>
  </w:style>
  <w:style w:type="paragraph" w:styleId="Revision">
    <w:name w:val="Revision"/>
    <w:hidden/>
    <w:uiPriority w:val="99"/>
    <w:semiHidden/>
    <w:pPr>
      <w:spacing w:after="0" w:line="240" w:lineRule="auto"/>
    </w:pPr>
    <w:rPr>
      <w:rFonts w:ascii="Times New Roman" w:hAnsi="Times New Roman"/>
    </w:rPr>
  </w:style>
  <w:style w:type="character" w:customStyle="1" w:styleId="Funotenzeichen">
    <w:name w:val="Fußnotenzeichen"/>
  </w:style>
  <w:style w:type="character" w:styleId="FollowedHyperlink">
    <w:name w:val="FollowedHyperlink"/>
    <w:basedOn w:val="DefaultParagraphFont"/>
    <w:uiPriority w:val="99"/>
    <w:semiHidden/>
    <w:unhideWhenUsed/>
    <w:rPr>
      <w:color w:val="800080" w:themeColor="followedHyperlink"/>
      <w:u w:val="single"/>
    </w:rPr>
  </w:style>
  <w:style w:type="character" w:styleId="Strong">
    <w:name w:val="Strong"/>
    <w:basedOn w:val="DefaultParagraphFont"/>
    <w:uiPriority w:val="22"/>
    <w:qFormat/>
    <w:rPr>
      <w:b/>
      <w:bC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locked/>
    <w:pPr>
      <w:spacing w:after="160" w:line="240" w:lineRule="exact"/>
    </w:pPr>
    <w:rPr>
      <w:rFonts w:asciiTheme="minorHAnsi" w:hAnsiTheme="minorHAnsi"/>
      <w:vertAlign w:val="superscript"/>
    </w:rPr>
  </w:style>
  <w:style w:type="paragraph" w:styleId="NormalWeb">
    <w:name w:val="Normal (Web)"/>
    <w:basedOn w:val="Normal"/>
    <w:uiPriority w:val="99"/>
    <w:unhideWhenUsed/>
    <w:pPr>
      <w:spacing w:before="100" w:beforeAutospacing="1" w:after="100" w:afterAutospacing="1" w:line="240" w:lineRule="auto"/>
      <w:jc w:val="left"/>
    </w:pPr>
    <w:rPr>
      <w:rFonts w:cs="Times New Roman"/>
      <w:sz w:val="24"/>
      <w:szCs w:val="24"/>
    </w:rPr>
  </w:style>
  <w:style w:type="character" w:customStyle="1" w:styleId="num">
    <w:name w:val="num"/>
    <w:basedOn w:val="DefaultParagraphFont"/>
  </w:style>
  <w:style w:type="paragraph" w:customStyle="1" w:styleId="LegalNumPar">
    <w:name w:val="LegalNumPar"/>
    <w:basedOn w:val="Normal"/>
    <w:pPr>
      <w:spacing w:line="360" w:lineRule="auto"/>
      <w:ind w:left="476" w:hanging="476"/>
    </w:pPr>
    <w:rPr>
      <w:sz w:val="24"/>
    </w:rPr>
  </w:style>
  <w:style w:type="paragraph" w:customStyle="1" w:styleId="LegalNumPar2">
    <w:name w:val="LegalNumPar2"/>
    <w:basedOn w:val="Normal"/>
    <w:pPr>
      <w:spacing w:line="360" w:lineRule="auto"/>
      <w:ind w:left="953" w:hanging="477"/>
    </w:pPr>
    <w:rPr>
      <w:sz w:val="24"/>
    </w:rPr>
  </w:style>
  <w:style w:type="paragraph" w:customStyle="1" w:styleId="LegalNumPar3">
    <w:name w:val="LegalNumPar3"/>
    <w:basedOn w:val="Normal"/>
    <w:pPr>
      <w:spacing w:line="360" w:lineRule="auto"/>
      <w:ind w:left="1429" w:hanging="476"/>
    </w:pPr>
    <w:rPr>
      <w:sz w:val="24"/>
    </w:rPr>
  </w:style>
  <w:style w:type="paragraph" w:customStyle="1" w:styleId="body">
    <w:name w:val="body"/>
    <w:basedOn w:val="Normal"/>
    <w:pPr>
      <w:spacing w:before="100" w:beforeAutospacing="1" w:after="100" w:afterAutospacing="1" w:line="240" w:lineRule="auto"/>
      <w:jc w:val="left"/>
    </w:pPr>
    <w:rPr>
      <w:rFonts w:cs="Times New Roman"/>
      <w:sz w:val="24"/>
      <w:szCs w:val="24"/>
    </w:rPr>
  </w:style>
  <w:style w:type="paragraph" w:customStyle="1" w:styleId="Default">
    <w:name w:val="Default"/>
    <w:pPr>
      <w:autoSpaceDE w:val="0"/>
      <w:autoSpaceDN w:val="0"/>
      <w:adjustRightInd w:val="0"/>
      <w:spacing w:after="0" w:line="240" w:lineRule="auto"/>
    </w:pPr>
    <w:rPr>
      <w:rFonts w:ascii="Calibri" w:eastAsia="Calibri" w:hAnsi="Calibri" w:cs="Calibri"/>
      <w:color w:val="000000"/>
      <w:sz w:val="24"/>
      <w:szCs w:val="24"/>
      <w:lang w:eastAsia="en-US"/>
    </w:rPr>
  </w:style>
  <w:style w:type="character" w:customStyle="1" w:styleId="ListParagraphChar">
    <w:name w:val="List Paragraph Char"/>
    <w:aliases w:val="Numbered Para 1 Char,Dot pt Char,No Spacing1 Char,List Paragraph Char Char Char Char,Indicator Text Char,Bullet 1 Char,List Paragraph1 Char,Bullet Points Char,MAIN CONTENT Char,List Paragraph12 Char,F5 List Paragraph Char,L Char"/>
    <w:basedOn w:val="DefaultParagraphFont"/>
    <w:link w:val="ListParagraph"/>
    <w:uiPriority w:val="34"/>
    <w:qFormat/>
    <w:rPr>
      <w:rFonts w:ascii="Times New Roman" w:hAnsi="Times New Roman"/>
    </w:rPr>
  </w:style>
  <w:style w:type="paragraph" w:styleId="NoSpacing">
    <w:name w:val="No Spacing"/>
    <w:uiPriority w:val="1"/>
    <w:qFormat/>
    <w:pPr>
      <w:spacing w:after="0" w:line="240" w:lineRule="auto"/>
      <w:jc w:val="both"/>
    </w:pPr>
    <w:rPr>
      <w:rFonts w:ascii="Times New Roman" w:hAnsi="Times New Roman"/>
    </w:rPr>
  </w:style>
  <w:style w:type="character" w:customStyle="1" w:styleId="Marker">
    <w:name w:val="Marker"/>
    <w:basedOn w:val="DefaultParagraphFont"/>
    <w:rPr>
      <w:color w:val="0000FF"/>
      <w:shd w:val="clear" w:color="auto" w:fill="auto"/>
    </w:rPr>
  </w:style>
  <w:style w:type="paragraph" w:customStyle="1" w:styleId="HeaderCoverPage">
    <w:name w:val="Header Cover Page"/>
    <w:basedOn w:val="Normal"/>
    <w:link w:val="HeaderCoverPageChar"/>
    <w:pPr>
      <w:tabs>
        <w:tab w:val="center" w:pos="4535"/>
        <w:tab w:val="right" w:pos="9071"/>
      </w:tabs>
      <w:spacing w:line="240" w:lineRule="auto"/>
    </w:pPr>
    <w:rPr>
      <w:sz w:val="24"/>
    </w:rPr>
  </w:style>
  <w:style w:type="character" w:customStyle="1" w:styleId="HeaderCoverPageChar">
    <w:name w:val="Header Cover Page Char"/>
    <w:basedOn w:val="DefaultParagraphFont"/>
    <w:link w:val="HeaderCoverPage"/>
    <w:rPr>
      <w:rFonts w:ascii="Times New Roman" w:hAnsi="Times New Roman"/>
      <w:sz w:val="24"/>
    </w:rPr>
  </w:style>
  <w:style w:type="character" w:customStyle="1" w:styleId="Heading2Char">
    <w:name w:val="Heading 2 Char"/>
    <w:basedOn w:val="DefaultParagraphFont"/>
    <w:link w:val="Heading2"/>
    <w:uiPriority w:val="9"/>
    <w:rPr>
      <w:rFonts w:ascii="Calibri" w:eastAsia="Calibri" w:hAnsi="Calibri" w:cs="Times New Roman"/>
      <w:b/>
      <w:noProof/>
      <w:color w:val="1F497D"/>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character" w:customStyle="1" w:styleId="st">
    <w:name w:val="st"/>
    <w:basedOn w:val="DefaultParagraphFont"/>
  </w:style>
  <w:style w:type="character" w:styleId="Emphasis">
    <w:name w:val="Emphasis"/>
    <w:basedOn w:val="DefaultParagraphFont"/>
    <w:uiPriority w:val="20"/>
    <w:qFormat/>
    <w:rPr>
      <w:i/>
      <w:iCs/>
    </w:rPr>
  </w:style>
  <w:style w:type="paragraph" w:customStyle="1" w:styleId="Pagedecouverture">
    <w:name w:val="Page de couverture"/>
    <w:basedOn w:val="Normal"/>
    <w:next w:val="Normal"/>
    <w:pPr>
      <w:spacing w:after="0" w:line="240" w:lineRule="auto"/>
    </w:pPr>
    <w:rPr>
      <w:rFonts w:cs="Times New Roman"/>
      <w:sz w:val="24"/>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sz w:val="24"/>
    </w:rPr>
  </w:style>
  <w:style w:type="character" w:customStyle="1" w:styleId="FooterCoverPageChar">
    <w:name w:val="Footer Cover Page Char"/>
    <w:basedOn w:val="DefaultParagraphFont"/>
    <w:link w:val="FooterCoverPage"/>
    <w:rPr>
      <w:rFonts w:ascii="Times New Roman" w:hAnsi="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Pr>
      <w:rFonts w:ascii="Times New Roman" w:hAnsi="Times New Roman"/>
      <w:b/>
      <w:sz w:val="32"/>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line="240" w:lineRule="auto"/>
      <w:ind w:left="113" w:right="113"/>
      <w:jc w:val="center"/>
    </w:pPr>
    <w:rPr>
      <w:b/>
      <w:sz w:val="32"/>
    </w:rPr>
  </w:style>
  <w:style w:type="character" w:customStyle="1" w:styleId="HeaderSensitivityChar">
    <w:name w:val="Header Sensitivity Char"/>
    <w:basedOn w:val="DefaultParagraphFont"/>
    <w:link w:val="HeaderSensitivity"/>
    <w:rPr>
      <w:rFonts w:ascii="Times New Roman" w:hAnsi="Times New Roman"/>
      <w:b/>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316258">
      <w:bodyDiv w:val="1"/>
      <w:marLeft w:val="0"/>
      <w:marRight w:val="0"/>
      <w:marTop w:val="0"/>
      <w:marBottom w:val="0"/>
      <w:divBdr>
        <w:top w:val="none" w:sz="0" w:space="0" w:color="auto"/>
        <w:left w:val="none" w:sz="0" w:space="0" w:color="auto"/>
        <w:bottom w:val="none" w:sz="0" w:space="0" w:color="auto"/>
        <w:right w:val="none" w:sz="0" w:space="0" w:color="auto"/>
      </w:divBdr>
    </w:div>
    <w:div w:id="180897500">
      <w:bodyDiv w:val="1"/>
      <w:marLeft w:val="0"/>
      <w:marRight w:val="0"/>
      <w:marTop w:val="0"/>
      <w:marBottom w:val="0"/>
      <w:divBdr>
        <w:top w:val="none" w:sz="0" w:space="0" w:color="auto"/>
        <w:left w:val="none" w:sz="0" w:space="0" w:color="auto"/>
        <w:bottom w:val="none" w:sz="0" w:space="0" w:color="auto"/>
        <w:right w:val="none" w:sz="0" w:space="0" w:color="auto"/>
      </w:divBdr>
    </w:div>
    <w:div w:id="250088342">
      <w:bodyDiv w:val="1"/>
      <w:marLeft w:val="0"/>
      <w:marRight w:val="0"/>
      <w:marTop w:val="0"/>
      <w:marBottom w:val="0"/>
      <w:divBdr>
        <w:top w:val="none" w:sz="0" w:space="0" w:color="auto"/>
        <w:left w:val="none" w:sz="0" w:space="0" w:color="auto"/>
        <w:bottom w:val="none" w:sz="0" w:space="0" w:color="auto"/>
        <w:right w:val="none" w:sz="0" w:space="0" w:color="auto"/>
      </w:divBdr>
    </w:div>
    <w:div w:id="460419583">
      <w:bodyDiv w:val="1"/>
      <w:marLeft w:val="0"/>
      <w:marRight w:val="0"/>
      <w:marTop w:val="0"/>
      <w:marBottom w:val="0"/>
      <w:divBdr>
        <w:top w:val="none" w:sz="0" w:space="0" w:color="auto"/>
        <w:left w:val="none" w:sz="0" w:space="0" w:color="auto"/>
        <w:bottom w:val="none" w:sz="0" w:space="0" w:color="auto"/>
        <w:right w:val="none" w:sz="0" w:space="0" w:color="auto"/>
      </w:divBdr>
      <w:divsChild>
        <w:div w:id="1312640480">
          <w:marLeft w:val="0"/>
          <w:marRight w:val="0"/>
          <w:marTop w:val="0"/>
          <w:marBottom w:val="0"/>
          <w:divBdr>
            <w:top w:val="none" w:sz="0" w:space="0" w:color="auto"/>
            <w:left w:val="none" w:sz="0" w:space="0" w:color="auto"/>
            <w:bottom w:val="none" w:sz="0" w:space="0" w:color="auto"/>
            <w:right w:val="none" w:sz="0" w:space="0" w:color="auto"/>
          </w:divBdr>
        </w:div>
        <w:div w:id="1479304681">
          <w:marLeft w:val="0"/>
          <w:marRight w:val="0"/>
          <w:marTop w:val="0"/>
          <w:marBottom w:val="0"/>
          <w:divBdr>
            <w:top w:val="none" w:sz="0" w:space="0" w:color="auto"/>
            <w:left w:val="none" w:sz="0" w:space="0" w:color="auto"/>
            <w:bottom w:val="none" w:sz="0" w:space="0" w:color="auto"/>
            <w:right w:val="none" w:sz="0" w:space="0" w:color="auto"/>
          </w:divBdr>
        </w:div>
      </w:divsChild>
    </w:div>
    <w:div w:id="528565629">
      <w:bodyDiv w:val="1"/>
      <w:marLeft w:val="0"/>
      <w:marRight w:val="0"/>
      <w:marTop w:val="0"/>
      <w:marBottom w:val="0"/>
      <w:divBdr>
        <w:top w:val="none" w:sz="0" w:space="0" w:color="auto"/>
        <w:left w:val="none" w:sz="0" w:space="0" w:color="auto"/>
        <w:bottom w:val="none" w:sz="0" w:space="0" w:color="auto"/>
        <w:right w:val="none" w:sz="0" w:space="0" w:color="auto"/>
      </w:divBdr>
      <w:divsChild>
        <w:div w:id="149102338">
          <w:marLeft w:val="0"/>
          <w:marRight w:val="0"/>
          <w:marTop w:val="0"/>
          <w:marBottom w:val="0"/>
          <w:divBdr>
            <w:top w:val="none" w:sz="0" w:space="0" w:color="auto"/>
            <w:left w:val="none" w:sz="0" w:space="0" w:color="auto"/>
            <w:bottom w:val="none" w:sz="0" w:space="0" w:color="auto"/>
            <w:right w:val="none" w:sz="0" w:space="0" w:color="auto"/>
          </w:divBdr>
        </w:div>
        <w:div w:id="844243402">
          <w:marLeft w:val="0"/>
          <w:marRight w:val="0"/>
          <w:marTop w:val="0"/>
          <w:marBottom w:val="0"/>
          <w:divBdr>
            <w:top w:val="none" w:sz="0" w:space="0" w:color="auto"/>
            <w:left w:val="none" w:sz="0" w:space="0" w:color="auto"/>
            <w:bottom w:val="none" w:sz="0" w:space="0" w:color="auto"/>
            <w:right w:val="none" w:sz="0" w:space="0" w:color="auto"/>
          </w:divBdr>
        </w:div>
        <w:div w:id="1203908982">
          <w:marLeft w:val="0"/>
          <w:marRight w:val="0"/>
          <w:marTop w:val="0"/>
          <w:marBottom w:val="0"/>
          <w:divBdr>
            <w:top w:val="none" w:sz="0" w:space="0" w:color="auto"/>
            <w:left w:val="none" w:sz="0" w:space="0" w:color="auto"/>
            <w:bottom w:val="none" w:sz="0" w:space="0" w:color="auto"/>
            <w:right w:val="none" w:sz="0" w:space="0" w:color="auto"/>
          </w:divBdr>
        </w:div>
        <w:div w:id="1273704943">
          <w:marLeft w:val="0"/>
          <w:marRight w:val="0"/>
          <w:marTop w:val="0"/>
          <w:marBottom w:val="0"/>
          <w:divBdr>
            <w:top w:val="none" w:sz="0" w:space="0" w:color="auto"/>
            <w:left w:val="none" w:sz="0" w:space="0" w:color="auto"/>
            <w:bottom w:val="none" w:sz="0" w:space="0" w:color="auto"/>
            <w:right w:val="none" w:sz="0" w:space="0" w:color="auto"/>
          </w:divBdr>
        </w:div>
      </w:divsChild>
    </w:div>
    <w:div w:id="568199502">
      <w:bodyDiv w:val="1"/>
      <w:marLeft w:val="0"/>
      <w:marRight w:val="0"/>
      <w:marTop w:val="0"/>
      <w:marBottom w:val="0"/>
      <w:divBdr>
        <w:top w:val="none" w:sz="0" w:space="0" w:color="auto"/>
        <w:left w:val="none" w:sz="0" w:space="0" w:color="auto"/>
        <w:bottom w:val="none" w:sz="0" w:space="0" w:color="auto"/>
        <w:right w:val="none" w:sz="0" w:space="0" w:color="auto"/>
      </w:divBdr>
    </w:div>
    <w:div w:id="664019909">
      <w:bodyDiv w:val="1"/>
      <w:marLeft w:val="0"/>
      <w:marRight w:val="0"/>
      <w:marTop w:val="0"/>
      <w:marBottom w:val="0"/>
      <w:divBdr>
        <w:top w:val="none" w:sz="0" w:space="0" w:color="auto"/>
        <w:left w:val="none" w:sz="0" w:space="0" w:color="auto"/>
        <w:bottom w:val="none" w:sz="0" w:space="0" w:color="auto"/>
        <w:right w:val="none" w:sz="0" w:space="0" w:color="auto"/>
      </w:divBdr>
      <w:divsChild>
        <w:div w:id="755711940">
          <w:marLeft w:val="0"/>
          <w:marRight w:val="0"/>
          <w:marTop w:val="0"/>
          <w:marBottom w:val="0"/>
          <w:divBdr>
            <w:top w:val="none" w:sz="0" w:space="0" w:color="auto"/>
            <w:left w:val="none" w:sz="0" w:space="0" w:color="auto"/>
            <w:bottom w:val="none" w:sz="0" w:space="0" w:color="auto"/>
            <w:right w:val="none" w:sz="0" w:space="0" w:color="auto"/>
          </w:divBdr>
        </w:div>
        <w:div w:id="1328174138">
          <w:marLeft w:val="0"/>
          <w:marRight w:val="0"/>
          <w:marTop w:val="0"/>
          <w:marBottom w:val="0"/>
          <w:divBdr>
            <w:top w:val="none" w:sz="0" w:space="0" w:color="auto"/>
            <w:left w:val="none" w:sz="0" w:space="0" w:color="auto"/>
            <w:bottom w:val="none" w:sz="0" w:space="0" w:color="auto"/>
            <w:right w:val="none" w:sz="0" w:space="0" w:color="auto"/>
          </w:divBdr>
        </w:div>
        <w:div w:id="1184709224">
          <w:marLeft w:val="0"/>
          <w:marRight w:val="0"/>
          <w:marTop w:val="0"/>
          <w:marBottom w:val="0"/>
          <w:divBdr>
            <w:top w:val="none" w:sz="0" w:space="0" w:color="auto"/>
            <w:left w:val="none" w:sz="0" w:space="0" w:color="auto"/>
            <w:bottom w:val="none" w:sz="0" w:space="0" w:color="auto"/>
            <w:right w:val="none" w:sz="0" w:space="0" w:color="auto"/>
          </w:divBdr>
        </w:div>
        <w:div w:id="900137051">
          <w:marLeft w:val="0"/>
          <w:marRight w:val="0"/>
          <w:marTop w:val="0"/>
          <w:marBottom w:val="0"/>
          <w:divBdr>
            <w:top w:val="none" w:sz="0" w:space="0" w:color="auto"/>
            <w:left w:val="none" w:sz="0" w:space="0" w:color="auto"/>
            <w:bottom w:val="none" w:sz="0" w:space="0" w:color="auto"/>
            <w:right w:val="none" w:sz="0" w:space="0" w:color="auto"/>
          </w:divBdr>
        </w:div>
      </w:divsChild>
    </w:div>
    <w:div w:id="738937581">
      <w:bodyDiv w:val="1"/>
      <w:marLeft w:val="0"/>
      <w:marRight w:val="0"/>
      <w:marTop w:val="0"/>
      <w:marBottom w:val="0"/>
      <w:divBdr>
        <w:top w:val="none" w:sz="0" w:space="0" w:color="auto"/>
        <w:left w:val="none" w:sz="0" w:space="0" w:color="auto"/>
        <w:bottom w:val="none" w:sz="0" w:space="0" w:color="auto"/>
        <w:right w:val="none" w:sz="0" w:space="0" w:color="auto"/>
      </w:divBdr>
      <w:divsChild>
        <w:div w:id="628169514">
          <w:marLeft w:val="0"/>
          <w:marRight w:val="0"/>
          <w:marTop w:val="0"/>
          <w:marBottom w:val="0"/>
          <w:divBdr>
            <w:top w:val="none" w:sz="0" w:space="0" w:color="auto"/>
            <w:left w:val="none" w:sz="0" w:space="0" w:color="auto"/>
            <w:bottom w:val="none" w:sz="0" w:space="0" w:color="auto"/>
            <w:right w:val="none" w:sz="0" w:space="0" w:color="auto"/>
          </w:divBdr>
        </w:div>
        <w:div w:id="940265105">
          <w:marLeft w:val="0"/>
          <w:marRight w:val="0"/>
          <w:marTop w:val="0"/>
          <w:marBottom w:val="0"/>
          <w:divBdr>
            <w:top w:val="none" w:sz="0" w:space="0" w:color="auto"/>
            <w:left w:val="none" w:sz="0" w:space="0" w:color="auto"/>
            <w:bottom w:val="none" w:sz="0" w:space="0" w:color="auto"/>
            <w:right w:val="none" w:sz="0" w:space="0" w:color="auto"/>
          </w:divBdr>
        </w:div>
      </w:divsChild>
    </w:div>
    <w:div w:id="938024900">
      <w:bodyDiv w:val="1"/>
      <w:marLeft w:val="0"/>
      <w:marRight w:val="0"/>
      <w:marTop w:val="0"/>
      <w:marBottom w:val="0"/>
      <w:divBdr>
        <w:top w:val="none" w:sz="0" w:space="0" w:color="auto"/>
        <w:left w:val="none" w:sz="0" w:space="0" w:color="auto"/>
        <w:bottom w:val="none" w:sz="0" w:space="0" w:color="auto"/>
        <w:right w:val="none" w:sz="0" w:space="0" w:color="auto"/>
      </w:divBdr>
    </w:div>
    <w:div w:id="991444582">
      <w:bodyDiv w:val="1"/>
      <w:marLeft w:val="0"/>
      <w:marRight w:val="0"/>
      <w:marTop w:val="0"/>
      <w:marBottom w:val="0"/>
      <w:divBdr>
        <w:top w:val="none" w:sz="0" w:space="0" w:color="auto"/>
        <w:left w:val="none" w:sz="0" w:space="0" w:color="auto"/>
        <w:bottom w:val="none" w:sz="0" w:space="0" w:color="auto"/>
        <w:right w:val="none" w:sz="0" w:space="0" w:color="auto"/>
      </w:divBdr>
    </w:div>
    <w:div w:id="993147472">
      <w:bodyDiv w:val="1"/>
      <w:marLeft w:val="0"/>
      <w:marRight w:val="0"/>
      <w:marTop w:val="0"/>
      <w:marBottom w:val="0"/>
      <w:divBdr>
        <w:top w:val="none" w:sz="0" w:space="0" w:color="auto"/>
        <w:left w:val="none" w:sz="0" w:space="0" w:color="auto"/>
        <w:bottom w:val="none" w:sz="0" w:space="0" w:color="auto"/>
        <w:right w:val="none" w:sz="0" w:space="0" w:color="auto"/>
      </w:divBdr>
    </w:div>
    <w:div w:id="1135416439">
      <w:bodyDiv w:val="1"/>
      <w:marLeft w:val="0"/>
      <w:marRight w:val="0"/>
      <w:marTop w:val="0"/>
      <w:marBottom w:val="0"/>
      <w:divBdr>
        <w:top w:val="none" w:sz="0" w:space="0" w:color="auto"/>
        <w:left w:val="none" w:sz="0" w:space="0" w:color="auto"/>
        <w:bottom w:val="none" w:sz="0" w:space="0" w:color="auto"/>
        <w:right w:val="none" w:sz="0" w:space="0" w:color="auto"/>
      </w:divBdr>
    </w:div>
    <w:div w:id="1161584318">
      <w:bodyDiv w:val="1"/>
      <w:marLeft w:val="0"/>
      <w:marRight w:val="0"/>
      <w:marTop w:val="0"/>
      <w:marBottom w:val="0"/>
      <w:divBdr>
        <w:top w:val="none" w:sz="0" w:space="0" w:color="auto"/>
        <w:left w:val="none" w:sz="0" w:space="0" w:color="auto"/>
        <w:bottom w:val="none" w:sz="0" w:space="0" w:color="auto"/>
        <w:right w:val="none" w:sz="0" w:space="0" w:color="auto"/>
      </w:divBdr>
      <w:divsChild>
        <w:div w:id="19478132">
          <w:marLeft w:val="0"/>
          <w:marRight w:val="0"/>
          <w:marTop w:val="0"/>
          <w:marBottom w:val="0"/>
          <w:divBdr>
            <w:top w:val="none" w:sz="0" w:space="0" w:color="auto"/>
            <w:left w:val="none" w:sz="0" w:space="0" w:color="auto"/>
            <w:bottom w:val="none" w:sz="0" w:space="0" w:color="auto"/>
            <w:right w:val="none" w:sz="0" w:space="0" w:color="auto"/>
          </w:divBdr>
        </w:div>
        <w:div w:id="337930196">
          <w:marLeft w:val="0"/>
          <w:marRight w:val="0"/>
          <w:marTop w:val="0"/>
          <w:marBottom w:val="0"/>
          <w:divBdr>
            <w:top w:val="none" w:sz="0" w:space="0" w:color="auto"/>
            <w:left w:val="none" w:sz="0" w:space="0" w:color="auto"/>
            <w:bottom w:val="none" w:sz="0" w:space="0" w:color="auto"/>
            <w:right w:val="none" w:sz="0" w:space="0" w:color="auto"/>
          </w:divBdr>
        </w:div>
        <w:div w:id="343941469">
          <w:marLeft w:val="0"/>
          <w:marRight w:val="0"/>
          <w:marTop w:val="0"/>
          <w:marBottom w:val="0"/>
          <w:divBdr>
            <w:top w:val="none" w:sz="0" w:space="0" w:color="auto"/>
            <w:left w:val="none" w:sz="0" w:space="0" w:color="auto"/>
            <w:bottom w:val="none" w:sz="0" w:space="0" w:color="auto"/>
            <w:right w:val="none" w:sz="0" w:space="0" w:color="auto"/>
          </w:divBdr>
        </w:div>
        <w:div w:id="1855225508">
          <w:marLeft w:val="0"/>
          <w:marRight w:val="0"/>
          <w:marTop w:val="0"/>
          <w:marBottom w:val="0"/>
          <w:divBdr>
            <w:top w:val="none" w:sz="0" w:space="0" w:color="auto"/>
            <w:left w:val="none" w:sz="0" w:space="0" w:color="auto"/>
            <w:bottom w:val="none" w:sz="0" w:space="0" w:color="auto"/>
            <w:right w:val="none" w:sz="0" w:space="0" w:color="auto"/>
          </w:divBdr>
        </w:div>
        <w:div w:id="2108037528">
          <w:marLeft w:val="0"/>
          <w:marRight w:val="0"/>
          <w:marTop w:val="0"/>
          <w:marBottom w:val="0"/>
          <w:divBdr>
            <w:top w:val="none" w:sz="0" w:space="0" w:color="auto"/>
            <w:left w:val="none" w:sz="0" w:space="0" w:color="auto"/>
            <w:bottom w:val="none" w:sz="0" w:space="0" w:color="auto"/>
            <w:right w:val="none" w:sz="0" w:space="0" w:color="auto"/>
          </w:divBdr>
        </w:div>
      </w:divsChild>
    </w:div>
    <w:div w:id="1238901798">
      <w:bodyDiv w:val="1"/>
      <w:marLeft w:val="0"/>
      <w:marRight w:val="0"/>
      <w:marTop w:val="0"/>
      <w:marBottom w:val="0"/>
      <w:divBdr>
        <w:top w:val="none" w:sz="0" w:space="0" w:color="auto"/>
        <w:left w:val="none" w:sz="0" w:space="0" w:color="auto"/>
        <w:bottom w:val="none" w:sz="0" w:space="0" w:color="auto"/>
        <w:right w:val="none" w:sz="0" w:space="0" w:color="auto"/>
      </w:divBdr>
      <w:divsChild>
        <w:div w:id="541674126">
          <w:marLeft w:val="0"/>
          <w:marRight w:val="0"/>
          <w:marTop w:val="0"/>
          <w:marBottom w:val="0"/>
          <w:divBdr>
            <w:top w:val="none" w:sz="0" w:space="0" w:color="auto"/>
            <w:left w:val="none" w:sz="0" w:space="0" w:color="auto"/>
            <w:bottom w:val="none" w:sz="0" w:space="0" w:color="auto"/>
            <w:right w:val="none" w:sz="0" w:space="0" w:color="auto"/>
          </w:divBdr>
        </w:div>
        <w:div w:id="1245609196">
          <w:marLeft w:val="0"/>
          <w:marRight w:val="0"/>
          <w:marTop w:val="0"/>
          <w:marBottom w:val="0"/>
          <w:divBdr>
            <w:top w:val="none" w:sz="0" w:space="0" w:color="auto"/>
            <w:left w:val="none" w:sz="0" w:space="0" w:color="auto"/>
            <w:bottom w:val="none" w:sz="0" w:space="0" w:color="auto"/>
            <w:right w:val="none" w:sz="0" w:space="0" w:color="auto"/>
          </w:divBdr>
        </w:div>
        <w:div w:id="182866711">
          <w:marLeft w:val="0"/>
          <w:marRight w:val="0"/>
          <w:marTop w:val="0"/>
          <w:marBottom w:val="0"/>
          <w:divBdr>
            <w:top w:val="none" w:sz="0" w:space="0" w:color="auto"/>
            <w:left w:val="none" w:sz="0" w:space="0" w:color="auto"/>
            <w:bottom w:val="none" w:sz="0" w:space="0" w:color="auto"/>
            <w:right w:val="none" w:sz="0" w:space="0" w:color="auto"/>
          </w:divBdr>
        </w:div>
      </w:divsChild>
    </w:div>
    <w:div w:id="1303341183">
      <w:bodyDiv w:val="1"/>
      <w:marLeft w:val="0"/>
      <w:marRight w:val="0"/>
      <w:marTop w:val="0"/>
      <w:marBottom w:val="0"/>
      <w:divBdr>
        <w:top w:val="none" w:sz="0" w:space="0" w:color="auto"/>
        <w:left w:val="none" w:sz="0" w:space="0" w:color="auto"/>
        <w:bottom w:val="none" w:sz="0" w:space="0" w:color="auto"/>
        <w:right w:val="none" w:sz="0" w:space="0" w:color="auto"/>
      </w:divBdr>
    </w:div>
    <w:div w:id="1437019592">
      <w:bodyDiv w:val="1"/>
      <w:marLeft w:val="0"/>
      <w:marRight w:val="0"/>
      <w:marTop w:val="0"/>
      <w:marBottom w:val="0"/>
      <w:divBdr>
        <w:top w:val="none" w:sz="0" w:space="0" w:color="auto"/>
        <w:left w:val="none" w:sz="0" w:space="0" w:color="auto"/>
        <w:bottom w:val="none" w:sz="0" w:space="0" w:color="auto"/>
        <w:right w:val="none" w:sz="0" w:space="0" w:color="auto"/>
      </w:divBdr>
    </w:div>
    <w:div w:id="1646858414">
      <w:bodyDiv w:val="1"/>
      <w:marLeft w:val="0"/>
      <w:marRight w:val="0"/>
      <w:marTop w:val="0"/>
      <w:marBottom w:val="0"/>
      <w:divBdr>
        <w:top w:val="none" w:sz="0" w:space="0" w:color="auto"/>
        <w:left w:val="none" w:sz="0" w:space="0" w:color="auto"/>
        <w:bottom w:val="none" w:sz="0" w:space="0" w:color="auto"/>
        <w:right w:val="none" w:sz="0" w:space="0" w:color="auto"/>
      </w:divBdr>
    </w:div>
    <w:div w:id="1728722672">
      <w:bodyDiv w:val="1"/>
      <w:marLeft w:val="0"/>
      <w:marRight w:val="0"/>
      <w:marTop w:val="0"/>
      <w:marBottom w:val="0"/>
      <w:divBdr>
        <w:top w:val="none" w:sz="0" w:space="0" w:color="auto"/>
        <w:left w:val="none" w:sz="0" w:space="0" w:color="auto"/>
        <w:bottom w:val="none" w:sz="0" w:space="0" w:color="auto"/>
        <w:right w:val="none" w:sz="0" w:space="0" w:color="auto"/>
      </w:divBdr>
    </w:div>
    <w:div w:id="1777866830">
      <w:bodyDiv w:val="1"/>
      <w:marLeft w:val="0"/>
      <w:marRight w:val="0"/>
      <w:marTop w:val="0"/>
      <w:marBottom w:val="0"/>
      <w:divBdr>
        <w:top w:val="none" w:sz="0" w:space="0" w:color="auto"/>
        <w:left w:val="none" w:sz="0" w:space="0" w:color="auto"/>
        <w:bottom w:val="none" w:sz="0" w:space="0" w:color="auto"/>
        <w:right w:val="none" w:sz="0" w:space="0" w:color="auto"/>
      </w:divBdr>
    </w:div>
    <w:div w:id="1816213781">
      <w:bodyDiv w:val="1"/>
      <w:marLeft w:val="0"/>
      <w:marRight w:val="0"/>
      <w:marTop w:val="0"/>
      <w:marBottom w:val="0"/>
      <w:divBdr>
        <w:top w:val="none" w:sz="0" w:space="0" w:color="auto"/>
        <w:left w:val="none" w:sz="0" w:space="0" w:color="auto"/>
        <w:bottom w:val="none" w:sz="0" w:space="0" w:color="auto"/>
        <w:right w:val="none" w:sz="0" w:space="0" w:color="auto"/>
      </w:divBdr>
    </w:div>
    <w:div w:id="2003191174">
      <w:bodyDiv w:val="1"/>
      <w:marLeft w:val="0"/>
      <w:marRight w:val="0"/>
      <w:marTop w:val="0"/>
      <w:marBottom w:val="0"/>
      <w:divBdr>
        <w:top w:val="none" w:sz="0" w:space="0" w:color="auto"/>
        <w:left w:val="none" w:sz="0" w:space="0" w:color="auto"/>
        <w:bottom w:val="none" w:sz="0" w:space="0" w:color="auto"/>
        <w:right w:val="none" w:sz="0" w:space="0" w:color="auto"/>
      </w:divBdr>
    </w:div>
    <w:div w:id="2078629057">
      <w:bodyDiv w:val="1"/>
      <w:marLeft w:val="0"/>
      <w:marRight w:val="0"/>
      <w:marTop w:val="0"/>
      <w:marBottom w:val="0"/>
      <w:divBdr>
        <w:top w:val="none" w:sz="0" w:space="0" w:color="auto"/>
        <w:left w:val="none" w:sz="0" w:space="0" w:color="auto"/>
        <w:bottom w:val="none" w:sz="0" w:space="0" w:color="auto"/>
        <w:right w:val="none" w:sz="0" w:space="0" w:color="auto"/>
      </w:divBdr>
    </w:div>
    <w:div w:id="2095475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image" Target="media/image3.png"/><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ec.europa.eu/environment/nature/invasivealien/list/index_en.ht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4.png"/><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s://www.ecologique-solidaire.gouv.fr/sites/default/files/FREC%20anglais.pdf" TargetMode="External"/><Relationship Id="rId18" Type="http://schemas.openxmlformats.org/officeDocument/2006/relationships/hyperlink" Target="https://eur-lex.europa.eu/legal-content/EN/ALL/?uri=COM:2018:738:FIN" TargetMode="External"/><Relationship Id="rId26" Type="http://schemas.openxmlformats.org/officeDocument/2006/relationships/hyperlink" Target="http://ec.europa.eu/environment/nature/legislation/fitness_check/action_plan/communication_en.pdf" TargetMode="External"/><Relationship Id="rId39" Type="http://schemas.openxmlformats.org/officeDocument/2006/relationships/hyperlink" Target="https://publications.europa.eu/en/publication-detail/-/publication/2a754add-32fb-11e8-b5fe-01aa75ed71a1/language-en/format-PDF/source-72304101" TargetMode="External"/><Relationship Id="rId21" Type="http://schemas.openxmlformats.org/officeDocument/2006/relationships/hyperlink" Target="http://www.alpconv.org/" TargetMode="External"/><Relationship Id="rId34" Type="http://schemas.openxmlformats.org/officeDocument/2006/relationships/hyperlink" Target="http://ec.europa.eu/environment/air/quality/aqd_fitness_check_en.htm" TargetMode="External"/><Relationship Id="rId42" Type="http://schemas.openxmlformats.org/officeDocument/2006/relationships/hyperlink" Target="http://eur-lex.europa.eu/legal-content/EN/TXT/?qid=1481623908600&amp;uri=CELEX:32006L0007" TargetMode="External"/><Relationship Id="rId47" Type="http://schemas.openxmlformats.org/officeDocument/2006/relationships/hyperlink" Target="http://eur-lex.europa.eu/legal-content/EN/TXT/?uri=CELEX:32007L0060" TargetMode="External"/><Relationship Id="rId50" Type="http://schemas.openxmlformats.org/officeDocument/2006/relationships/hyperlink" Target="https://eur-lex.europa.eu/legal-content/EN/TXT/?uri=CELEX:32008R1272" TargetMode="External"/><Relationship Id="rId55" Type="http://schemas.openxmlformats.org/officeDocument/2006/relationships/hyperlink" Target="https://ec.europa.eu/taxation_customs/news/taxation-trends-report-2018_en" TargetMode="External"/><Relationship Id="rId63" Type="http://schemas.openxmlformats.org/officeDocument/2006/relationships/hyperlink" Target="http://ec.europa.eu/environment/legal/pdf/COM_2018_10_F1_COMMUNICATION_FROM_COMMISSION_TO_INST_EN_V8_P1_959219.pdf" TargetMode="External"/><Relationship Id="rId68" Type="http://schemas.openxmlformats.org/officeDocument/2006/relationships/hyperlink" Target="http://ec.europa.eu/environment/legal/pdf/COM_2018_10_F1_COMMUNICATION_FROM_COMMISSION_TO_INST_EN_V8_P1_959219.pdf" TargetMode="External"/><Relationship Id="rId76" Type="http://schemas.openxmlformats.org/officeDocument/2006/relationships/hyperlink" Target="https://circabc.europa.eu/sd/a/abff972e-203a-4b4e-b42e-a0f291d3fdf9/SWD_2017_EN_V4_P1_885057.pdf" TargetMode="External"/><Relationship Id="rId84" Type="http://schemas.openxmlformats.org/officeDocument/2006/relationships/hyperlink" Target="https://circabc.europa.eu/sd/a/abff972e-203a-4b4e-b42e-a0f291d3fdf9/SWD_2017_EN_V4_P1_885057.pdf" TargetMode="External"/><Relationship Id="rId7" Type="http://schemas.openxmlformats.org/officeDocument/2006/relationships/hyperlink" Target="https://ec.europa.eu/eurostat/web/circular-economy/indicators/monitoring-framework" TargetMode="External"/><Relationship Id="rId71" Type="http://schemas.openxmlformats.org/officeDocument/2006/relationships/hyperlink" Target="https://eur-lex.europa.eu/legal-content/en/TXT/?uri=CELEX:32003L0004" TargetMode="External"/><Relationship Id="rId2" Type="http://schemas.openxmlformats.org/officeDocument/2006/relationships/hyperlink" Target="http://ec.europa.eu/environment/eir/p2p/index_en.htm" TargetMode="External"/><Relationship Id="rId16" Type="http://schemas.openxmlformats.org/officeDocument/2006/relationships/hyperlink" Target="https://ec.europa.eu/clima/sites/clima/files/docs/pages/com_2018_733_en.pdf" TargetMode="External"/><Relationship Id="rId29" Type="http://schemas.openxmlformats.org/officeDocument/2006/relationships/hyperlink" Target="https://eur-lex.europa.eu/legal-content/EN/TXT/?uri=CELEX:52013DC0659" TargetMode="External"/><Relationship Id="rId11" Type="http://schemas.openxmlformats.org/officeDocument/2006/relationships/hyperlink" Target="http://appsso.eurostat.ec.europa.eu/nui/show.do?dataset=env_wasmun&amp;lang=en" TargetMode="External"/><Relationship Id="rId24" Type="http://schemas.openxmlformats.org/officeDocument/2006/relationships/hyperlink" Target="https://eur-lex.europa.eu/legal-content/EN/TXT/?uri=CELEX:31992L0043" TargetMode="External"/><Relationship Id="rId32" Type="http://schemas.openxmlformats.org/officeDocument/2006/relationships/hyperlink" Target="https://ec.europa.eu/eurostat/statistics-explained/index.php/Air_pollution_statistics_-_emission_inventories" TargetMode="External"/><Relationship Id="rId37" Type="http://schemas.openxmlformats.org/officeDocument/2006/relationships/hyperlink" Target="https://www.eca.europa.eu/Lists/ECADocuments/SR18_23/SR_AIR_QUALITY_EN.pdf" TargetMode="External"/><Relationship Id="rId40" Type="http://schemas.openxmlformats.org/officeDocument/2006/relationships/hyperlink" Target="https://eur-lex.europa.eu/legal-content/EN/TXT/?qid=1540372185676&amp;uri=CELEX:32010L0075" TargetMode="External"/><Relationship Id="rId45" Type="http://schemas.openxmlformats.org/officeDocument/2006/relationships/hyperlink" Target="http://eur-lex.europa.eu/legal-content/EN/TXT/?qid=1481624135097&amp;uri=CELEX:32000L0060" TargetMode="External"/><Relationship Id="rId53" Type="http://schemas.openxmlformats.org/officeDocument/2006/relationships/hyperlink" Target="https://www.chemischestoffengoedgeregeld.nl/content/workshop-towards-safe-chemicals-innovation-agenda-substitution-safe-design" TargetMode="External"/><Relationship Id="rId58" Type="http://schemas.openxmlformats.org/officeDocument/2006/relationships/hyperlink" Target="https://circabc.europa.eu/ui/group/cafdbfbb-a3b9-42d8-b3c9-05e8f2c6a6fe/library/3df891ed-062d-4349-8751-f64bd9e5cf4b?p=1&amp;n=10&amp;sort=modified_DESC" TargetMode="External"/><Relationship Id="rId66" Type="http://schemas.openxmlformats.org/officeDocument/2006/relationships/hyperlink" Target="https://www.impel.eu/" TargetMode="External"/><Relationship Id="rId74" Type="http://schemas.openxmlformats.org/officeDocument/2006/relationships/hyperlink" Target="http://ec.europa.eu/environment/action-programme/" TargetMode="External"/><Relationship Id="rId79" Type="http://schemas.openxmlformats.org/officeDocument/2006/relationships/hyperlink" Target="https://eur-lex.europa.eu/legal-content/EN/TXT/?uri=COM%3A2016%3A739%3AFIN" TargetMode="External"/><Relationship Id="rId87" Type="http://schemas.openxmlformats.org/officeDocument/2006/relationships/hyperlink" Target="http://ec.europa.eu/environment/waste/framework/early_warning.htm" TargetMode="External"/><Relationship Id="rId5" Type="http://schemas.openxmlformats.org/officeDocument/2006/relationships/hyperlink" Target="https://eur-lex.europa.eu/legal-content/EN/TXT/?uri=COM%3A2018%3A28%3AFIN" TargetMode="External"/><Relationship Id="rId61" Type="http://schemas.openxmlformats.org/officeDocument/2006/relationships/hyperlink" Target="http://ec.europa.eu/environment/aarhus/index.htm" TargetMode="External"/><Relationship Id="rId82" Type="http://schemas.openxmlformats.org/officeDocument/2006/relationships/hyperlink" Target="http://data.europa.eu/euodp/en/home" TargetMode="External"/><Relationship Id="rId19" Type="http://schemas.openxmlformats.org/officeDocument/2006/relationships/hyperlink" Target="https://eur-lex.europa.eu/legal-content/EN/TXT/?uri=CELEX:32018R1999" TargetMode="External"/><Relationship Id="rId4" Type="http://schemas.openxmlformats.org/officeDocument/2006/relationships/hyperlink" Target="https://ec.europa.eu/transparency/regdoc/rep/1/2015/EN/1-2015-614-EN-F1-1.PDF" TargetMode="External"/><Relationship Id="rId9" Type="http://schemas.openxmlformats.org/officeDocument/2006/relationships/hyperlink" Target="http://ec.europa.eu/eurostat/tgm/refreshTableAction.do?tab=table&amp;plugin=1&amp;pcode=t2020_rt120&amp;language=en" TargetMode="External"/><Relationship Id="rId14" Type="http://schemas.openxmlformats.org/officeDocument/2006/relationships/hyperlink" Target="https://eur-lex.europa.eu/legal-content/EN/TXT/?uri=celex%3A31999L0031" TargetMode="External"/><Relationship Id="rId22" Type="http://schemas.openxmlformats.org/officeDocument/2006/relationships/hyperlink" Target="http://www.carpathianconvention.org/" TargetMode="External"/><Relationship Id="rId27" Type="http://schemas.openxmlformats.org/officeDocument/2006/relationships/hyperlink" Target="https://eur-lex.europa.eu/LexUriServ/LexUriServ.do?uri=COM:2011:0244:FIN:EN:pdf" TargetMode="External"/><Relationship Id="rId30" Type="http://schemas.openxmlformats.org/officeDocument/2006/relationships/hyperlink" Target="https://eur-lex.europa.eu/legal-content/EN/TXT/?uri=CELEX%3A32008L0056" TargetMode="External"/><Relationship Id="rId35" Type="http://schemas.openxmlformats.org/officeDocument/2006/relationships/hyperlink" Target="https://ec.europa.eu/research/horizonprize/index.cfm?prize=engine-retrofit" TargetMode="External"/><Relationship Id="rId43" Type="http://schemas.openxmlformats.org/officeDocument/2006/relationships/hyperlink" Target="http://eur-lex.europa.eu/legal-content/EN/ALL/?uri=CELEX%3A31991L0271" TargetMode="External"/><Relationship Id="rId48" Type="http://schemas.openxmlformats.org/officeDocument/2006/relationships/hyperlink" Target="http://ec.europa.eu/environment/water/pdf/water_reuse_factsheet_en.pdf" TargetMode="External"/><Relationship Id="rId56" Type="http://schemas.openxmlformats.org/officeDocument/2006/relationships/hyperlink" Target="http://ec.europa.eu/social/main.jsp?catId=738&amp;langId=en&amp;pubId=8072" TargetMode="External"/><Relationship Id="rId64" Type="http://schemas.openxmlformats.org/officeDocument/2006/relationships/hyperlink" Target="https://eur-lex.europa.eu/legal-content/EN/TXT/?uri=uriserv:OJ.L_.2018.328.01.0001.01.ENG&amp;toc=OJ:L:2018:328:FULL" TargetMode="External"/><Relationship Id="rId69" Type="http://schemas.openxmlformats.org/officeDocument/2006/relationships/hyperlink" Target="https://ec.europa.eu/digital-single-market/en/news/quality-public-administration-toolbox-practitioners" TargetMode="External"/><Relationship Id="rId77" Type="http://schemas.openxmlformats.org/officeDocument/2006/relationships/hyperlink" Target="https://www.eea.europa.eu/soer" TargetMode="External"/><Relationship Id="rId8" Type="http://schemas.openxmlformats.org/officeDocument/2006/relationships/hyperlink" Target="https://www.consilium.europa.eu/nl/press/press-releases/2018/12/19/single-use-plastics-presidency-reaches-provisional-agreement-with-parliament/" TargetMode="External"/><Relationship Id="rId51" Type="http://schemas.openxmlformats.org/officeDocument/2006/relationships/hyperlink" Target="http://ec.europa.eu/environment/chemicals/index_en.htm" TargetMode="External"/><Relationship Id="rId72" Type="http://schemas.openxmlformats.org/officeDocument/2006/relationships/hyperlink" Target="https://eur-lex.europa.eu/legal-content/EN/TXT/?uri=celex%3A32013L0037" TargetMode="External"/><Relationship Id="rId80" Type="http://schemas.openxmlformats.org/officeDocument/2006/relationships/hyperlink" Target="https://ec.europa.eu/social/main.jsp?catId=738&amp;langId=en&amp;pubId=8055&amp;type=2&amp;furtherPubs=no" TargetMode="External"/><Relationship Id="rId85" Type="http://schemas.openxmlformats.org/officeDocument/2006/relationships/hyperlink" Target="http://ec.europa.eu/environment/nature/legislation/fitness_check/action_plan/communication_en.pdf" TargetMode="External"/><Relationship Id="rId3" Type="http://schemas.openxmlformats.org/officeDocument/2006/relationships/hyperlink" Target="https://eur-lex.europa.eu/legal-content/EN/TXT/?uri=COM%3A2016%3A316%3AFIN" TargetMode="External"/><Relationship Id="rId12" Type="http://schemas.openxmlformats.org/officeDocument/2006/relationships/hyperlink" Target="http://ec.europa.eu/environment/waste/pdf/waste_legislation_implementation_report.pdf" TargetMode="External"/><Relationship Id="rId17" Type="http://schemas.openxmlformats.org/officeDocument/2006/relationships/hyperlink" Target="https://eur-lex.europa.eu/legal-content/EN/TXT/?uri=CELEX:32018L0410" TargetMode="External"/><Relationship Id="rId25" Type="http://schemas.openxmlformats.org/officeDocument/2006/relationships/hyperlink" Target="https://eur-lex.europa.eu/legal-content/EN/TXT/?uri=CELEX:32009L0147" TargetMode="External"/><Relationship Id="rId33" Type="http://schemas.openxmlformats.org/officeDocument/2006/relationships/hyperlink" Target="https://eur-lex.europa.eu/legal-content/FR/TXT/?qid=1526552009832&amp;uri=COM:2018:330:FIN" TargetMode="External"/><Relationship Id="rId38" Type="http://schemas.openxmlformats.org/officeDocument/2006/relationships/hyperlink" Target="http://ec.europa.eu/environment/life/project/Projects/index.cfm?fuseaction=search.dspPage&amp;n_proj_id=5440" TargetMode="External"/><Relationship Id="rId46" Type="http://schemas.openxmlformats.org/officeDocument/2006/relationships/hyperlink" Target="http://eur-lex.europa.eu/legal-content/EN/TXT/?uri=CELEX%3A31991L0676" TargetMode="External"/><Relationship Id="rId59" Type="http://schemas.openxmlformats.org/officeDocument/2006/relationships/hyperlink" Target="http://ec.europa.eu/environment/legal/pdf/C_2018_10_F1_COMMISSION_DECISION_EN_V13_P1_959398.pdf" TargetMode="External"/><Relationship Id="rId67" Type="http://schemas.openxmlformats.org/officeDocument/2006/relationships/hyperlink" Target="https://ec.europa.eu/digital-single-market/en/european-egovernment-action-plan-2016-2020" TargetMode="External"/><Relationship Id="rId20" Type="http://schemas.openxmlformats.org/officeDocument/2006/relationships/hyperlink" Target="http://ec.europa.eu/regional_policy/en/policy/cooperation/macro-regional-strategies/" TargetMode="External"/><Relationship Id="rId41" Type="http://schemas.openxmlformats.org/officeDocument/2006/relationships/hyperlink" Target="https://publications.europa.eu/en/publication-detail/-/publication/2a754add-32fb-11e8-b5fe-01aa75ed71a1/language-en/format-PDF/source-72304101" TargetMode="External"/><Relationship Id="rId54" Type="http://schemas.openxmlformats.org/officeDocument/2006/relationships/hyperlink" Target="https://ec.europa.eu/agriculture/sites/agriculture/files/exec-sum_en.pdf" TargetMode="External"/><Relationship Id="rId62" Type="http://schemas.openxmlformats.org/officeDocument/2006/relationships/hyperlink" Target="http://ec.europa.eu/environment/aarhus/pdf/notice_accesstojustice.pdf" TargetMode="External"/><Relationship Id="rId70" Type="http://schemas.openxmlformats.org/officeDocument/2006/relationships/hyperlink" Target="https://eur-lex.europa.eu/legal-content/EN/ALL/?uri=CELEX:32007L0002" TargetMode="External"/><Relationship Id="rId75" Type="http://schemas.openxmlformats.org/officeDocument/2006/relationships/hyperlink" Target="https://ec.europa.eu/transparency/regdoc/rep/1/2015/EN/1-2015-614-EN-F1-1.PDF" TargetMode="External"/><Relationship Id="rId83" Type="http://schemas.openxmlformats.org/officeDocument/2006/relationships/hyperlink" Target="http://ec.europa.eu/environment/air/pdf/clean_air_for_all.pdf" TargetMode="External"/><Relationship Id="rId1" Type="http://schemas.openxmlformats.org/officeDocument/2006/relationships/hyperlink" Target="https://eur-lex.europa.eu/legal-content/EN/TXT/PDF/?uri=CELEX:52017DC0063&amp;from=EN" TargetMode="External"/><Relationship Id="rId6" Type="http://schemas.openxmlformats.org/officeDocument/2006/relationships/hyperlink" Target="https://eur-lex.europa.eu/legal-content/EN/TXT/?uri=OJ:L:2018:150:TOC" TargetMode="External"/><Relationship Id="rId15" Type="http://schemas.openxmlformats.org/officeDocument/2006/relationships/hyperlink" Target="https://www.ipcc.ch/sr15/" TargetMode="External"/><Relationship Id="rId23" Type="http://schemas.openxmlformats.org/officeDocument/2006/relationships/hyperlink" Target="https://eur-lex.europa.eu/legal-content/EN/TXT/?uri=CELEX:52011DC0244" TargetMode="External"/><Relationship Id="rId28" Type="http://schemas.openxmlformats.org/officeDocument/2006/relationships/hyperlink" Target="https://eur-lex.europa.eu/legal-content/EN/TXT/?qid=1417443504720&amp;uri=CELEX:32014R1143" TargetMode="External"/><Relationship Id="rId36" Type="http://schemas.openxmlformats.org/officeDocument/2006/relationships/hyperlink" Target="https://www.sciencedirect.com/science/article/pii/S0013935118303086" TargetMode="External"/><Relationship Id="rId49" Type="http://schemas.openxmlformats.org/officeDocument/2006/relationships/hyperlink" Target="https://ec.europa.eu/info/events/eu-water-conference-2018_en" TargetMode="External"/><Relationship Id="rId57" Type="http://schemas.openxmlformats.org/officeDocument/2006/relationships/hyperlink" Target="https://eur-lex.europa.eu/legal-content/EN/ALL/?uri=COM:2017:63:FIN" TargetMode="External"/><Relationship Id="rId10" Type="http://schemas.openxmlformats.org/officeDocument/2006/relationships/hyperlink" Target="http://ec.europa.eu/environment/waste/pdf/waste_legislation_implementation_report.pdf" TargetMode="External"/><Relationship Id="rId31" Type="http://schemas.openxmlformats.org/officeDocument/2006/relationships/hyperlink" Target="http://connectcarpathians.ro/?lang=en" TargetMode="External"/><Relationship Id="rId44" Type="http://schemas.openxmlformats.org/officeDocument/2006/relationships/hyperlink" Target="http://eur-lex.europa.eu/legal-content/EN/TXT/?uri=CELEX%3A31998L0083" TargetMode="External"/><Relationship Id="rId52" Type="http://schemas.openxmlformats.org/officeDocument/2006/relationships/hyperlink" Target="https://eur-lex.europa.eu/legal-content/EN/ALL/?uri=COM:2018:0116:FIN" TargetMode="External"/><Relationship Id="rId60" Type="http://schemas.openxmlformats.org/officeDocument/2006/relationships/hyperlink" Target="http://ec.europa.eu/environment/integration/green_semester/expert_group_en.htm" TargetMode="External"/><Relationship Id="rId65" Type="http://schemas.openxmlformats.org/officeDocument/2006/relationships/hyperlink" Target="http://data.consilium.europa.eu/doc/document/ST-9450-2017-INIT/en/pdf" TargetMode="External"/><Relationship Id="rId73" Type="http://schemas.openxmlformats.org/officeDocument/2006/relationships/hyperlink" Target="http://www.eis-data.eu/" TargetMode="External"/><Relationship Id="rId78" Type="http://schemas.openxmlformats.org/officeDocument/2006/relationships/hyperlink" Target="https://www.eea.europa.eu/publications/environmental-indicator-report-2018" TargetMode="External"/><Relationship Id="rId81" Type="http://schemas.openxmlformats.org/officeDocument/2006/relationships/hyperlink" Target="https://publications.europa.eu/en/publication-detail/-/publication/51888c17-960b-11e8-8bc1-01aa75ed71a1" TargetMode="External"/><Relationship Id="rId86" Type="http://schemas.openxmlformats.org/officeDocument/2006/relationships/hyperlink" Target="http://ec.europa.eu/environment/nature/legislation/fitness_check/action_plan/factsheets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8E97EA221F96E4B9233A8505060E8B9" ma:contentTypeVersion="0" ma:contentTypeDescription="Create a new document." ma:contentTypeScope="" ma:versionID="dbda434071fed551bc7965c951722631">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8C8D9492-40FD-4CEF-A99A-8E43897D90CC}">
  <ds:schemaRefs>
    <ds:schemaRef ds:uri="http://schemas.microsoft.com/sharepoint/v3/contenttype/forms"/>
  </ds:schemaRefs>
</ds:datastoreItem>
</file>

<file path=customXml/itemProps2.xml><?xml version="1.0" encoding="utf-8"?>
<ds:datastoreItem xmlns:ds="http://schemas.openxmlformats.org/officeDocument/2006/customXml" ds:itemID="{5A929B3B-8303-4C6E-8650-F5C4817FA4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38ECC67-CB6E-4AF9-969E-E84B571EE334}">
  <ds:schemaRefs>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4.xml><?xml version="1.0" encoding="utf-8"?>
<ds:datastoreItem xmlns:ds="http://schemas.openxmlformats.org/officeDocument/2006/customXml" ds:itemID="{189F7FE1-3E48-4204-8FF2-615A8C973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7834</Words>
  <Characters>45281</Characters>
  <Application>Microsoft Office Word</Application>
  <DocSecurity>0</DocSecurity>
  <Lines>656</Lines>
  <Paragraphs>186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WES PDFC Administrator</cp:lastModifiedBy>
  <cp:revision>16</cp:revision>
  <cp:lastPrinted>2019-02-01T15:12:00Z</cp:lastPrinted>
  <dcterms:created xsi:type="dcterms:W3CDTF">2019-03-18T10:02:00Z</dcterms:created>
  <dcterms:modified xsi:type="dcterms:W3CDTF">2019-03-25T10:34:00Z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0x01010078E97EA221F96E4B9233A8505060E8B9</vt:lpwstr>
  </property>
  <property fmtid="{D5CDD505-2E9C-101B-9397-08002B2CF9AE}" pid="3" name="Created using">
    <vt:lpwstr>LW 6.0.1, Build 20180503</vt:lpwstr>
  </property>
  <property fmtid="{D5CDD505-2E9C-101B-9397-08002B2CF9AE}" pid="4" name="Last edited using">
    <vt:lpwstr>LW 6.0.1, Build 20180503</vt:lpwstr>
  </property>
  <property fmtid="{D5CDD505-2E9C-101B-9397-08002B2CF9AE}" pid="5" name="Level of sensitivity">
    <vt:lpwstr>Standard treatment</vt:lpwstr>
  </property>
  <property fmtid="{D5CDD505-2E9C-101B-9397-08002B2CF9AE}" pid="6" name="Part">
    <vt:lpwstr>1</vt:lpwstr>
  </property>
  <property fmtid="{D5CDD505-2E9C-101B-9397-08002B2CF9AE}" pid="7" name="Total parts">
    <vt:lpwstr>1</vt:lpwstr>
  </property>
  <property fmtid="{D5CDD505-2E9C-101B-9397-08002B2CF9AE}" pid="8" name="DocStatus">
    <vt:lpwstr>Green</vt:lpwstr>
  </property>
</Properties>
</file>