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8C4B8F6-1884-4EDA-A4B2-86FAC6B1F350" style="width:450.75pt;height:422.25pt">
            <v:imagedata r:id="rId12" o:title=""/>
          </v:shape>
        </w:pict>
      </w:r>
    </w:p>
    <w:p>
      <w:pPr>
        <w:rPr>
          <w:noProof/>
        </w:rPr>
        <w:sectPr>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rPr>
          <w:noProof/>
        </w:rPr>
      </w:pPr>
      <w:r>
        <w:rPr>
          <w:noProof/>
        </w:rPr>
        <w:t>Institutul European de Inovare și Tehnologie (EIT) a fost înființat în 2008 prin Regulamentul (CE) nr. 294/2008</w:t>
      </w:r>
      <w:r>
        <w:rPr>
          <w:rStyle w:val="FootnoteReference"/>
          <w:noProof/>
        </w:rPr>
        <w:footnoteReference w:id="1"/>
      </w:r>
      <w:r>
        <w:rPr>
          <w:noProof/>
        </w:rPr>
        <w:t xml:space="preserve">. Misiunea sa este să abordeze provocările societale majore prin îmbunătățirea capacității de inovare și a performanței UE prin integrarea triunghiului cunoașterii format din educație, cercetare și inovare. </w:t>
      </w:r>
      <w:r>
        <w:rPr>
          <w:noProof/>
          <w:color w:val="000000" w:themeColor="text1"/>
        </w:rPr>
        <w:t>EIT îndeplinește aceste obiective în primul rând prin intermediul comunităților sale de cunoaștere și inovare (CCI)</w:t>
      </w:r>
      <w:r>
        <w:rPr>
          <w:noProof/>
        </w:rPr>
        <w:t>.</w:t>
      </w:r>
    </w:p>
    <w:p>
      <w:pPr>
        <w:rPr>
          <w:noProof/>
        </w:rPr>
      </w:pPr>
      <w:r>
        <w:rPr>
          <w:noProof/>
        </w:rPr>
        <w:t>Pentru perioada 2021-2027, Orizont Europa va fi programul Uniunii de finanțare a EIT. EIT face parte integrantă din propunerea Comisiei de instituire a programului Orizont Europa</w:t>
      </w:r>
      <w:r>
        <w:rPr>
          <w:rStyle w:val="FootnoteReference"/>
          <w:noProof/>
        </w:rPr>
        <w:footnoteReference w:id="2"/>
      </w:r>
      <w:r>
        <w:rPr>
          <w:noProof/>
        </w:rPr>
        <w:t xml:space="preserve"> și este una dintre cele trei componente ale pilonului său „Europa inovatoare”. Propunerea privind Orizont Europa stabilește bugetul EIT pentru următorul CFM, precum și raționamentul de bază, valoarea adăugată, domeniile de intervenție și liniile sale generale de activitate. Cu toate acestea, propunerea privind programul Orizont Europa nu oferă în sine temeiul juridic pentru continuarea operațiunilor EIT începând cu 2021. Temeiul juridic al EIT rămâne Regulamentul EIT care stabilește misiunea acestuia, sarcinile sale cheie și cadrul pentru funcționarea lui.</w:t>
      </w:r>
    </w:p>
    <w:p>
      <w:pPr>
        <w:pBdr>
          <w:top w:val="nil"/>
          <w:left w:val="nil"/>
          <w:bottom w:val="nil"/>
          <w:right w:val="nil"/>
          <w:between w:val="nil"/>
          <w:bar w:val="nil"/>
        </w:pBdr>
        <w:spacing w:before="0" w:after="240"/>
        <w:rPr>
          <w:noProof/>
        </w:rPr>
      </w:pPr>
      <w:r>
        <w:rPr>
          <w:noProof/>
        </w:rPr>
        <w:t>În plus, articolul 17 din Regulamentul EIT prevede că, din șapte în șapte ani, Comisia prezintă Parlamentului European și Consiliului o propunere de agendă strategică de inovare (ASI) care stabilește domeniile prioritare, strategia pe termen lung și nevoile financiare ale EIT. Prin urmare, ASI trebuie să fie în conformitate cu Programul-cadru pentru cercetare și inovare aplicabil</w:t>
      </w:r>
      <w:r>
        <w:rPr>
          <w:rStyle w:val="FootnoteReference"/>
          <w:noProof/>
        </w:rPr>
        <w:footnoteReference w:id="3"/>
      </w:r>
      <w:r>
        <w:rPr>
          <w:noProof/>
        </w:rPr>
        <w:t>. Pentru perioada 2021-2027, ASI trebuie, prin urmare, să garanteze că este în linie cu obiectivele programului Orizont Europa, precum și cu planificarea strategică multianuală, monitorizarea și alte cerințe ale programului respectiv, și să stimuleze sinergiile cu alte programe relevante.</w:t>
      </w:r>
    </w:p>
    <w:p>
      <w:pPr>
        <w:pBdr>
          <w:top w:val="nil"/>
          <w:left w:val="nil"/>
          <w:bottom w:val="nil"/>
          <w:right w:val="nil"/>
          <w:between w:val="nil"/>
          <w:bar w:val="nil"/>
        </w:pBdr>
        <w:spacing w:before="0" w:after="240"/>
        <w:rPr>
          <w:noProof/>
        </w:rPr>
      </w:pPr>
      <w:r>
        <w:rPr>
          <w:noProof/>
        </w:rPr>
        <w:t>Prin urmare, prezenta propunere de nouă agendă strategică de inovare (ASI) a EIT pentru perioada 2021-2027 este prezentată în paralel cu propunerea de reformare a Regulamentului EIT.</w:t>
      </w:r>
    </w:p>
    <w:p>
      <w:pPr>
        <w:pBdr>
          <w:top w:val="nil"/>
          <w:left w:val="nil"/>
          <w:bottom w:val="nil"/>
          <w:right w:val="nil"/>
          <w:between w:val="nil"/>
          <w:bar w:val="nil"/>
        </w:pBdr>
        <w:spacing w:before="0" w:after="240"/>
        <w:rPr>
          <w:rFonts w:eastAsia="Arial Unicode MS"/>
          <w:b/>
          <w:bCs/>
          <w:noProof/>
        </w:rPr>
      </w:pPr>
      <w:r>
        <w:rPr>
          <w:noProof/>
        </w:rPr>
        <w:t>ASI a EIT pentru perioada 2021-2027 definește domeniile prioritare, strategia și nevoile financiare ale EIT pentru perioada respectivă și stabilește modul în care EIT va contribui la atingerea obiectivelor programului Orizont Europa.</w:t>
      </w:r>
      <w:r>
        <w:rPr>
          <w:b/>
          <w:noProof/>
        </w:rPr>
        <w:t xml:space="preserve"> </w:t>
      </w:r>
      <w:r>
        <w:rPr>
          <w:noProof/>
          <w:color w:val="000000" w:themeColor="text1"/>
        </w:rPr>
        <w:t>Ea prezintă, de asemenea, activitățile planificate în ceea ce privește învățământul superior, cercetarea și inovarea, precum și defalcarea bugetului respectiv. Ea stabilește calendarul pentru selectarea și desemnarea noilor CCI-uri pentru următoarea perioadă de programare.</w:t>
      </w:r>
    </w:p>
    <w:p>
      <w:pPr>
        <w:pStyle w:val="ManualHeading2"/>
        <w:rPr>
          <w:rFonts w:eastAsia="Arial Unicode MS"/>
          <w:noProof/>
          <w:color w:val="000000"/>
          <w:u w:color="000000"/>
          <w:bdr w:val="nil"/>
        </w:rPr>
      </w:pPr>
      <w:r>
        <w:rPr>
          <w:noProof/>
          <w:color w:val="000000"/>
          <w:u w:color="000000"/>
          <w:bdr w:val="nil"/>
        </w:rPr>
        <w:t>•</w:t>
      </w:r>
      <w:r>
        <w:rPr>
          <w:noProof/>
        </w:rPr>
        <w:tab/>
        <w:t>Coerența cu dispozițiile existente în domeniul de politică</w:t>
      </w:r>
    </w:p>
    <w:p>
      <w:pPr>
        <w:rPr>
          <w:noProof/>
        </w:rPr>
      </w:pPr>
      <w:r>
        <w:rPr>
          <w:noProof/>
        </w:rPr>
        <w:t>EIT este integrat în programul Orizont Europa ca parte a pilonului III („</w:t>
      </w:r>
      <w:r>
        <w:rPr>
          <w:rFonts w:asciiTheme="majorBidi" w:hAnsiTheme="majorBidi" w:cstheme="majorBidi"/>
          <w:noProof/>
        </w:rPr>
        <w:t>Europa inovatoare</w:t>
      </w:r>
      <w:r>
        <w:rPr>
          <w:noProof/>
        </w:rPr>
        <w:t xml:space="preserve">”). Cu toate acestea, se vor asigura sinergiile și complementaritățile cu celelalte componente ale programului. EIT, prin intermediul CCI-urilor sale, va contribui, de asemenea, la abordarea provocărilor mondiale din cadrul pilonului II („Provocări globale și competitivitate industrială europeană”) și al pilonului I („Excelență științifică”). </w:t>
      </w:r>
    </w:p>
    <w:p>
      <w:pPr>
        <w:pBdr>
          <w:top w:val="nil"/>
          <w:left w:val="nil"/>
          <w:bottom w:val="nil"/>
          <w:right w:val="nil"/>
          <w:between w:val="nil"/>
          <w:bar w:val="nil"/>
        </w:pBdr>
        <w:spacing w:before="0" w:after="240"/>
        <w:rPr>
          <w:rFonts w:eastAsia="Arial Unicode MS"/>
          <w:noProof/>
        </w:rPr>
      </w:pPr>
      <w:r>
        <w:rPr>
          <w:noProof/>
        </w:rPr>
        <w:t>Procesul de planificare strategică multianuală din cadrul programului Orizont Europa va garanta că toate activitățile din cadrul Orizont Europa, inclusiv CCI-urile EIT, care sunt parteneriate europene instituționalizate, sunt coordonate în mod eficient. În acest context, propunerea privind programul Orizont Europa subliniază că „propunerile privind viitoarele comunități de cunoaștere și inovare ale EIT în conformitate cu Regulamentul privind EIT vor fi indicate în Agenda strategică de inovare a EIT și vor lua în considerare rezultatele procesului de planificare strategică și prioritățile pilonului «Provocări globale și competitivitate industrială»”.</w:t>
      </w:r>
    </w:p>
    <w:p>
      <w:pPr>
        <w:pBdr>
          <w:top w:val="nil"/>
          <w:left w:val="nil"/>
          <w:bottom w:val="nil"/>
          <w:right w:val="nil"/>
          <w:between w:val="nil"/>
          <w:bar w:val="nil"/>
        </w:pBdr>
        <w:spacing w:before="0" w:after="240"/>
        <w:rPr>
          <w:rFonts w:eastAsia="Arial Unicode MS"/>
          <w:noProof/>
        </w:rPr>
      </w:pPr>
      <w:r>
        <w:rPr>
          <w:noProof/>
        </w:rPr>
        <w:t>Cooperarea dintre EIT și Consiliul european pentru inovare (CEI) va fi, de asemenea, stabilită astfel încât să se evite suprapunerile și să se asigure sinergii și un impact mai mare al acțiunilor lor. CEI va identifica, va dezvolta și va implementa inovații revoluționare și va sprijini expansiunea rapidă a întreprinderilor inovatoare care realizează inovații creatoare de piețe la nivel european și internațional. La rândul său, EIT va contribui la dezvoltarea capacității de inovare a Europei prin integrarea triunghiului cunoașterii și prin sprijinirea ecosistemelor de inovare.</w:t>
      </w:r>
    </w:p>
    <w:p>
      <w:pPr>
        <w:pStyle w:val="ManualHeading2"/>
        <w:rPr>
          <w:rFonts w:eastAsia="Arial Unicode MS"/>
          <w:noProof/>
        </w:rPr>
      </w:pPr>
      <w:r>
        <w:rPr>
          <w:noProof/>
          <w:color w:val="000000"/>
          <w:u w:color="000000"/>
          <w:bdr w:val="nil"/>
        </w:rPr>
        <w:t>•</w:t>
      </w:r>
      <w:r>
        <w:rPr>
          <w:noProof/>
        </w:rPr>
        <w:tab/>
        <w:t>Coerența cu alte domenii de politică ale Uniunii</w:t>
      </w:r>
    </w:p>
    <w:p>
      <w:pPr>
        <w:rPr>
          <w:noProof/>
        </w:rPr>
      </w:pPr>
      <w:r>
        <w:rPr>
          <w:noProof/>
        </w:rPr>
        <w:t>ASI va încuraja sinergiile nu numai cu programul-cadru al Uniunii de sprijinire a cercetării și inovării, dar și cu alte programe relevante ale Uniunii din respectivul CFM. În special, agenda va asigura sinergii și complementarități adecvate între activitățile EIT și alte inițiative, politici și instrumente ale Uniunii. Se va urmări cooperarea în privința unor programe și instrumente precum Erasmus, Europa digitală, fondurile structurale și de investiții europene, Programul InvestEU sau programul Europa creativă. În plus, vor fi asigurate sinergii și complementarități ale activităților EIT și ale CCI-urilor cu programe și inițiative naționale, prin consolidarea rolului grupului de reprezentanți ai statelor membre.</w:t>
      </w:r>
    </w:p>
    <w:p>
      <w:pPr>
        <w:pStyle w:val="ManualHeading1"/>
        <w:rPr>
          <w:noProof/>
        </w:rPr>
      </w:pPr>
      <w:r>
        <w:rPr>
          <w:noProof/>
        </w:rPr>
        <w:t>2.</w:t>
      </w:r>
      <w:r>
        <w:rPr>
          <w:noProof/>
        </w:rPr>
        <w:tab/>
        <w:t>TEMEIUL JURIDIC, SUBSIDIARITATEA ȘI PROPORȚIONALITATEA</w:t>
      </w:r>
    </w:p>
    <w:p>
      <w:pPr>
        <w:pStyle w:val="ManualHeading2"/>
        <w:rPr>
          <w:rFonts w:eastAsia="Arial Unicode MS"/>
          <w:noProof/>
          <w:u w:color="000000"/>
          <w:bdr w:val="nil"/>
        </w:rPr>
      </w:pPr>
      <w:r>
        <w:rPr>
          <w:noProof/>
        </w:rPr>
        <w:t>•</w:t>
      </w:r>
      <w:r>
        <w:rPr>
          <w:noProof/>
        </w:rPr>
        <w:tab/>
        <w:t>Temei juridic</w:t>
      </w:r>
    </w:p>
    <w:p>
      <w:pPr>
        <w:rPr>
          <w:noProof/>
        </w:rPr>
      </w:pPr>
      <w:r>
        <w:rPr>
          <w:noProof/>
        </w:rPr>
        <w:t>UE are o competență partajată în politica industrială, în temeiul articolului 173 din TFUE (titlul XVII). În conformitate cu articolul 173 alineatul (1), Uniunea și statele membre se asigură că există condițiile necesare competitivității industriei Uniunii. În acest scop, în conformitate cu un sistem de piețe deschise și competitive, acțiunile lor trebuie să urmărească, de asemenea, să încurajeze o mai bună exploatare a potențialului industrial al politicilor de inovare, cercetare și dezvoltare tehnologică. Articolul 173 alineatul (3) prevede că Parlamentul European și Consiliul, hotărând în conformitate cu procedura legislativă ordinară menționată la articolul 294, pot decide cu privire la unele măsuri specifice menite să sprijine acțiunile întreprinse în statele membre pentru realizarea obiectivului menționat, excluzând orice armonizare a actelor cu putere de lege și a normelor administrative ale statelor membre. Această dispoziție reprezintă temeiul juridic al actualului Regulament EIT și al ASI pentru perioada 2014-2020.</w:t>
      </w:r>
    </w:p>
    <w:p>
      <w:pPr>
        <w:rPr>
          <w:noProof/>
        </w:rPr>
      </w:pPr>
      <w:r>
        <w:rPr>
          <w:noProof/>
        </w:rPr>
        <w:t>Propunerea de consolidare a activităților EIT, inclusiv în domeniul educației și al dimensiunii regionale, este orientată către inovare și urmărește îndeplinirea obiectivului stabilit la articolul 173 din TFUE.</w:t>
      </w:r>
    </w:p>
    <w:p>
      <w:pPr>
        <w:pStyle w:val="ManualHeading2"/>
        <w:rPr>
          <w:rFonts w:eastAsia="Arial Unicode MS"/>
          <w:noProof/>
          <w:u w:color="000000"/>
          <w:bdr w:val="nil"/>
        </w:rPr>
      </w:pPr>
      <w:r>
        <w:rPr>
          <w:noProof/>
        </w:rPr>
        <w:t>•</w:t>
      </w:r>
      <w:r>
        <w:rPr>
          <w:noProof/>
        </w:rPr>
        <w:tab/>
        <w:t xml:space="preserve">Subsidiaritate și proporționalitate </w:t>
      </w:r>
    </w:p>
    <w:p>
      <w:pPr>
        <w:rPr>
          <w:noProof/>
          <w:color w:val="1F497D"/>
        </w:rPr>
      </w:pPr>
      <w:r>
        <w:rPr>
          <w:noProof/>
        </w:rPr>
        <w:t xml:space="preserve">Propunerea de agendă strategică de inovare pentru perioada 2021-2027 respectă principiile </w:t>
      </w:r>
      <w:r>
        <w:rPr>
          <w:b/>
          <w:noProof/>
        </w:rPr>
        <w:t>subsidiarității</w:t>
      </w:r>
      <w:r>
        <w:rPr>
          <w:noProof/>
        </w:rPr>
        <w:t xml:space="preserve"> și </w:t>
      </w:r>
      <w:r>
        <w:rPr>
          <w:b/>
          <w:noProof/>
        </w:rPr>
        <w:t>proporționalității</w:t>
      </w:r>
      <w:r>
        <w:rPr>
          <w:noProof/>
        </w:rPr>
        <w:t>. Aceasta nu depășește ceea ce este necesar pentru atingerea obiectivelor Uniunii și oferă o valoare adăugată clară la nivelul UE în ceea ce privește economiile de scară, sfera și viteza investițiilor în domeniile cercetării și inovării, în comparație cu inițiativele și soluțiile naționale și regionale. În plus, acțiunea la nivelul UE nu ar interveni în scenariile pur interne și nici nu ar necesita armonizarea actelor cu putere de lege și a normelor administrative ale statelor membre.</w:t>
      </w:r>
    </w:p>
    <w:p>
      <w:pPr>
        <w:rPr>
          <w:noProof/>
        </w:rPr>
      </w:pPr>
      <w:r>
        <w:rPr>
          <w:noProof/>
        </w:rPr>
        <w:t>EIT are o modalitate unică de a construi ecosisteme de inovare la nivelul UE pentru educație, cercetare, întreprinderi și alte părți interesate.</w:t>
      </w:r>
      <w:r>
        <w:rPr>
          <w:rStyle w:val="FootnoteReference"/>
          <w:noProof/>
        </w:rPr>
        <w:footnoteReference w:id="4"/>
      </w:r>
      <w:r>
        <w:rPr>
          <w:noProof/>
        </w:rPr>
        <w:t xml:space="preserve"> Activitățile de cooperare sprijinite de EIT conduc la îmbunătățirea calității acțiunii, a inovării și a internaționalizării partenerilor și organizațiilor CCI-urilor, la crearea de rețele transfrontaliere, multidisciplinare, la o mai mare cooperare intersectorială și extindere geografică.</w:t>
      </w:r>
    </w:p>
    <w:p>
      <w:pPr>
        <w:rPr>
          <w:noProof/>
        </w:rPr>
      </w:pPr>
      <w:r>
        <w:rPr>
          <w:noProof/>
        </w:rPr>
        <w:t>EIT este, de asemenea, singurul instrument din cadrul programului Orizont Europa, care se concentrează în mod clar pe educație ca principal factor propulsor al inovării, al creșterii economice și al competitivității.</w:t>
      </w:r>
      <w:bookmarkStart w:id="1" w:name="_Toc534627716"/>
      <w:bookmarkEnd w:id="1"/>
    </w:p>
    <w:p>
      <w:pPr>
        <w:pStyle w:val="ManualHeading1"/>
        <w:rPr>
          <w:noProof/>
        </w:rPr>
      </w:pPr>
      <w:r>
        <w:rPr>
          <w:noProof/>
        </w:rPr>
        <w:t>3.</w:t>
      </w:r>
      <w:r>
        <w:rPr>
          <w:noProof/>
        </w:rPr>
        <w:tab/>
        <w:t>REZULTATELE EVALUĂRILOR EX-POST, ALE CONSULTĂRILOR CU PĂRȚILE INTERESATE ȘI ALE EVALUĂRILOR IMPACTULUI</w:t>
      </w:r>
    </w:p>
    <w:p>
      <w:pPr>
        <w:rPr>
          <w:i/>
          <w:noProof/>
        </w:rPr>
      </w:pPr>
      <w:r>
        <w:rPr>
          <w:i/>
          <w:noProof/>
        </w:rPr>
        <w:t>Evaluare externă</w:t>
      </w:r>
    </w:p>
    <w:p>
      <w:pPr>
        <w:rPr>
          <w:noProof/>
        </w:rPr>
      </w:pPr>
      <w:r>
        <w:rPr>
          <w:noProof/>
        </w:rPr>
        <w:t>Propunerea se bazează pe evaluarea externă a EIT realizată în 2017, care a confirmat că raționamentul de la baza înființării EIT este valabil și că modelul său de integrare a triunghiului cunoașterii bazată pe inovare rămâne relevant. Modelul EIT vizează deficiențele structurale ale capacităților de inovare din UE (în domenii tematice cheie), cum ar fi cultura antreprenorială limitată, nivelul scăzut de cooperare dintre mediul universitar și industrie și dezvoltarea insuficientă a potențialului uman, și urmărește să contribuie la eliminarea decalajelor în materie de inovare dintre UE și principalii săi concurenți.</w:t>
      </w:r>
    </w:p>
    <w:p>
      <w:pPr>
        <w:rPr>
          <w:i/>
          <w:noProof/>
        </w:rPr>
      </w:pPr>
      <w:r>
        <w:rPr>
          <w:i/>
          <w:noProof/>
        </w:rPr>
        <w:t>Consultarea publică deschisă</w:t>
      </w:r>
    </w:p>
    <w:p>
      <w:pPr>
        <w:rPr>
          <w:noProof/>
        </w:rPr>
      </w:pPr>
      <w:r>
        <w:rPr>
          <w:noProof/>
        </w:rPr>
        <w:t>Propunerea ia în considerare rezultatele consultării publice deschise (CPD), care a fost realizată ca parte a evaluării impactului efectuată de Comisia Europeană în sprijinul propunerilor sale de revizuire a Regulamentului de înființare a Institutului European de Inovare și Tehnologie (EIT) (CE nr. 294/2008) și, respectiv, de nouă agendă strategică de inovare a EIT pentru perioada 2021-2027. Scopul CPD a fost acela de a colecta informații, opinii și puncte de vedere de la o gamă largă de părți interesate cu privire la 1) provocările și oportunitățile din domeniul cercetării și inovării europene, 2) obiectivele de politică ale EIT și 3) opțiunile de politică pentru abordarea provocărilor.</w:t>
      </w:r>
    </w:p>
    <w:p>
      <w:pPr>
        <w:pBdr>
          <w:top w:val="nil"/>
          <w:left w:val="nil"/>
          <w:bottom w:val="nil"/>
          <w:right w:val="nil"/>
          <w:between w:val="nil"/>
          <w:bar w:val="nil"/>
        </w:pBdr>
        <w:spacing w:before="0" w:after="240"/>
        <w:rPr>
          <w:i/>
          <w:noProof/>
        </w:rPr>
      </w:pPr>
      <w:r>
        <w:rPr>
          <w:i/>
          <w:noProof/>
        </w:rPr>
        <w:t>Evaluarea impactului</w:t>
      </w:r>
    </w:p>
    <w:p>
      <w:pPr>
        <w:rPr>
          <w:noProof/>
        </w:rPr>
      </w:pPr>
      <w:r>
        <w:rPr>
          <w:noProof/>
        </w:rPr>
        <w:t>Prezenta propunere este susținută de o evaluare a impactului, care acoperă atât propunerea de revizuire a Regulamentului EIT, cât și propunerea de ASI a EIT pentru perioada 2021-2027.</w:t>
      </w:r>
    </w:p>
    <w:p>
      <w:pPr>
        <w:rPr>
          <w:noProof/>
        </w:rPr>
      </w:pPr>
      <w:r>
        <w:rPr>
          <w:noProof/>
        </w:rPr>
        <w:t>Evaluarea impactului referitoare la EIT a avut la bază evaluarea impactului realizată pentru programul Orizont Europa. Avizul Comitetului de analiză a reglementării a fost favorabil, recomandând explicarea mai în detaliu (i) a opiniilor părților interesate cu privire la diferitele opțiuni, (ii) a mecanismelor de realizare a noului model de finanțare și (iii) a razei de acțiune la nivel regional.</w:t>
      </w:r>
    </w:p>
    <w:p>
      <w:pPr>
        <w:pBdr>
          <w:top w:val="nil"/>
          <w:left w:val="nil"/>
          <w:bottom w:val="nil"/>
          <w:right w:val="nil"/>
          <w:between w:val="nil"/>
          <w:bar w:val="nil"/>
        </w:pBdr>
        <w:rPr>
          <w:rFonts w:eastAsia="Arial Unicode MS"/>
          <w:noProof/>
        </w:rPr>
      </w:pPr>
      <w:r>
        <w:rPr>
          <w:noProof/>
        </w:rPr>
        <w:t>Evaluarea impactului a identificat următoarele opțiuni de politică: o opțiune de bază și două opțiuni diferite care să abordeze problemele și aspectele tehnice evidențiate în evaluarea impactului.</w:t>
      </w:r>
    </w:p>
    <w:p>
      <w:pPr>
        <w:pBdr>
          <w:top w:val="nil"/>
          <w:left w:val="nil"/>
          <w:bottom w:val="nil"/>
          <w:right w:val="nil"/>
          <w:between w:val="nil"/>
          <w:bar w:val="nil"/>
        </w:pBdr>
        <w:rPr>
          <w:rFonts w:eastAsia="Arial Unicode MS"/>
          <w:noProof/>
        </w:rPr>
      </w:pPr>
      <w:r>
        <w:rPr>
          <w:noProof/>
        </w:rPr>
        <w:t>Opțiunea de referință 1 reprezintă continuarea activităților EIT așa cum se derulează în prezent, făcându-se doar ajustările necesare alinierii sale la propunerea privind programul Orizont Europa. Opțiunea 2 pornește de la scenariul de referință. În plus, aceasta include adoptarea unei serii de măsuri tehnice pentru a îmbunătăți funcționarea EIT și propune o nouă acțiune de promovare a educației antreprenoriale în Europa. Opțiunea 3 diferă de opțiunea 2 prin faptul că ar înființa un Centru EIT în fiecare stat membru pentru a spori impactul activităților EIT în întreaga Europă.</w:t>
      </w:r>
    </w:p>
    <w:p>
      <w:pPr>
        <w:pBdr>
          <w:top w:val="nil"/>
          <w:left w:val="nil"/>
          <w:bottom w:val="nil"/>
          <w:right w:val="nil"/>
          <w:between w:val="nil"/>
          <w:bar w:val="nil"/>
        </w:pBdr>
        <w:rPr>
          <w:noProof/>
        </w:rPr>
      </w:pPr>
      <w:r>
        <w:rPr>
          <w:noProof/>
        </w:rPr>
        <w:t>Opțiunea 2 a fost identificată ca fiind opțiunea preferată, deoarece atinge cel mai bun echilibru între realizarea obiectivelor inițiativei ținând seama în același timp de resursele disponibile și atingerea celui mai mare impact economic și societal. Ea va atrage după sine și îmbunătățiri semnificative ale EIT în următoarea perioadă de programare.</w:t>
      </w:r>
    </w:p>
    <w:p>
      <w:pPr>
        <w:pStyle w:val="ManualHeading2"/>
        <w:rPr>
          <w:rFonts w:eastAsia="Arial Unicode MS"/>
          <w:noProof/>
          <w:u w:color="000000"/>
          <w:bdr w:val="nil"/>
        </w:rPr>
      </w:pPr>
      <w:r>
        <w:rPr>
          <w:noProof/>
        </w:rPr>
        <w:t>•</w:t>
      </w:r>
      <w:r>
        <w:rPr>
          <w:noProof/>
        </w:rPr>
        <w:tab/>
        <w:t>Drepturi fundamentale</w:t>
      </w:r>
    </w:p>
    <w:p>
      <w:pPr>
        <w:rPr>
          <w:noProof/>
        </w:rPr>
      </w:pPr>
      <w:r>
        <w:rPr>
          <w:noProof/>
        </w:rPr>
        <w:t>Propunerea Comisiei respectă drepturile fundamentale și principiile Cartei drepturilor fundamentale a UE.</w:t>
      </w:r>
    </w:p>
    <w:p>
      <w:pPr>
        <w:pStyle w:val="ManualHeading1"/>
        <w:rPr>
          <w:noProof/>
        </w:rPr>
      </w:pPr>
      <w:r>
        <w:rPr>
          <w:noProof/>
        </w:rPr>
        <w:t>4.</w:t>
      </w:r>
      <w:r>
        <w:rPr>
          <w:noProof/>
        </w:rPr>
        <w:tab/>
        <w:t>IMPLICAȚIILE BUGETARE</w:t>
      </w:r>
    </w:p>
    <w:p>
      <w:pPr>
        <w:rPr>
          <w:noProof/>
        </w:rPr>
      </w:pPr>
      <w:r>
        <w:rPr>
          <w:noProof/>
        </w:rPr>
        <w:t>Implicațiile bugetare ale propunerii, precum și resursele umane și administrative necesare sunt descrise în detaliu în fișa financiară legislativă.</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rPr>
        <w:t>•</w:t>
      </w:r>
      <w:r>
        <w:rPr>
          <w:noProof/>
        </w:rPr>
        <w:tab/>
        <w:t>Planuri de punere în aplicare și măsuri de monitorizare, evaluare și raportare</w:t>
      </w:r>
    </w:p>
    <w:p>
      <w:pPr>
        <w:rPr>
          <w:noProof/>
        </w:rPr>
      </w:pPr>
      <w:r>
        <w:rPr>
          <w:noProof/>
        </w:rPr>
        <w:t>Monitorizarea și evaluarea sunt instrumente fundamentale pentru măsurarea impactului EIT și vor fi consolidate în continuare și îmbunătățite continuu în următoarea perioadă de programare. Dată fiind natura modelului de integrare a triunghiului cunoașterii, va fi important să se aplice un cadru de monitorizare care să permită flexibilitatea la toate nivelurile relevante și să asigure coerența cu obiectivele generale ale programului Orizont Europa și cu impactul urmărit.</w:t>
      </w:r>
    </w:p>
    <w:p>
      <w:pPr>
        <w:pBdr>
          <w:top w:val="nil"/>
          <w:left w:val="nil"/>
          <w:bottom w:val="nil"/>
          <w:right w:val="nil"/>
          <w:between w:val="nil"/>
          <w:bar w:val="nil"/>
        </w:pBdr>
        <w:spacing w:before="0" w:after="0"/>
        <w:rPr>
          <w:rFonts w:eastAsia="Arial Unicode MS"/>
          <w:i/>
          <w:noProof/>
        </w:rPr>
      </w:pPr>
      <w:r>
        <w:rPr>
          <w:i/>
          <w:noProof/>
        </w:rPr>
        <w:t>Monitorizare</w:t>
      </w:r>
    </w:p>
    <w:p>
      <w:pPr>
        <w:rPr>
          <w:noProof/>
        </w:rPr>
      </w:pPr>
      <w:r>
        <w:rPr>
          <w:noProof/>
        </w:rPr>
        <w:t>Toate resursele, realizările, rezultatele și impactul identificate în evaluarea impactului care însoțește prezenta propunere vor fi monitorizate cu ajutorul unor indicatori. Astfel de indicatori există deja pentru majoritatea categoriilor. Atunci când nu există, vor fi definiți noi indicatori pentru a permite EIT să monitorizeze îndeplinirea obiectivelor sale.</w:t>
      </w:r>
    </w:p>
    <w:p>
      <w:pPr>
        <w:rPr>
          <w:noProof/>
        </w:rPr>
      </w:pPr>
      <w:r>
        <w:rPr>
          <w:noProof/>
        </w:rPr>
        <w:t>În paralel și în deplină conformitate cu instrumentele de monitorizare existente, se va urmări o aliniere fidelă a dispozițiilor privind monitorizarea aplicabile EIT la cele care sunt instituite pentru programul Orizont Europa. De exemplu, EIT își va alinia instrumentele de monitorizare la căile de impact ale programului Orizont Europa care caută să răspundă într-un mod mai cuprinzător nevoii de indicatori în materie de impact științific, economic și societal. EIT va avea responsabilitatea de a monitoriza cu regularitate performanța operațională a CCI-urilor și de a-și adapta în mod continuu sistemele de monitorizare și de raportare. Rezultatele acestei monitorizări vor fi luate în considerare în procesele de planificare a activităților CCI-urilor și în procesul decizional al EIT cu privire la alocarea bugetului și la pregătirea acordurilor-cadru de parteneriat cu CCI-urile în calitate de beneficiari. Rezultatele monitorizării ar trebui să fie integrate în mod continuu în procesul de elaborare a politicilor.</w:t>
      </w:r>
    </w:p>
    <w:p>
      <w:pPr>
        <w:rPr>
          <w:noProof/>
          <w:szCs w:val="24"/>
        </w:rPr>
      </w:pPr>
      <w:r>
        <w:rPr>
          <w:noProof/>
          <w:color w:val="000000"/>
        </w:rPr>
        <w:t xml:space="preserve">EIT va urmări îndeaproape implementarea metodologiei „radarul de inovare” în programul Orizont Europa și va analiza modul în care radarul de inovare ar putea fi utilizat de CCI-uri pentru consolidarea activităților sale de monitorizare. </w:t>
      </w:r>
    </w:p>
    <w:p>
      <w:pPr>
        <w:pBdr>
          <w:top w:val="nil"/>
          <w:left w:val="nil"/>
          <w:bottom w:val="nil"/>
          <w:right w:val="nil"/>
          <w:between w:val="nil"/>
          <w:bar w:val="nil"/>
        </w:pBdr>
        <w:spacing w:before="0" w:after="0"/>
        <w:rPr>
          <w:rFonts w:eastAsia="Arial Unicode MS"/>
          <w:i/>
          <w:noProof/>
        </w:rPr>
      </w:pPr>
      <w:r>
        <w:rPr>
          <w:i/>
          <w:noProof/>
        </w:rPr>
        <w:t>Evaluare</w:t>
      </w:r>
    </w:p>
    <w:p>
      <w:pPr>
        <w:rPr>
          <w:noProof/>
        </w:rPr>
      </w:pPr>
      <w:r>
        <w:rPr>
          <w:noProof/>
        </w:rPr>
        <w:t>Evaluarea performanței EIT va fi efectuată de Comisie în conformitate cu cerințele Regulamentului EIT modificat și va contribui la evaluarea globală a programului Orizont Europa, care va fi realizată la jumătatea perioadei și</w:t>
      </w:r>
      <w:r>
        <w:rPr>
          <w:i/>
          <w:noProof/>
        </w:rPr>
        <w:t xml:space="preserve"> ex post</w:t>
      </w:r>
      <w:r>
        <w:rPr>
          <w:noProof/>
        </w:rPr>
        <w:t>. Aceasta va include o evaluare a sinergiilor EIT cu celelalte instrumente ale programului.</w:t>
      </w:r>
    </w:p>
    <w:p>
      <w:pPr>
        <w:rPr>
          <w:noProof/>
        </w:rPr>
      </w:pPr>
      <w:r>
        <w:rPr>
          <w:noProof/>
        </w:rPr>
        <w:t>În ceea ce privește CCI-urile, va fi utilizat un cadru de indicatori specifici pentru a evalua performanța CCI-urilor în cursul următoarei perioade de programare (detaliat în propunerea privind o nouă ASI). Cadrul respectiv se bazează pe indicatorii actuali și anteriori și umple lacunele și remediază deficiențele identificate în sistemul actual de măsurare a performanței. Cadrul este, de asemenea, aliniat la cadrul de indicatori al programului Orizont Europa.</w:t>
      </w:r>
    </w:p>
    <w:p>
      <w:pPr>
        <w:pStyle w:val="ManualHeading2"/>
        <w:rPr>
          <w:rFonts w:eastAsia="Arial Unicode MS"/>
          <w:noProof/>
          <w:u w:color="000000"/>
          <w:bdr w:val="nil"/>
        </w:rPr>
      </w:pPr>
      <w:r>
        <w:rPr>
          <w:noProof/>
        </w:rPr>
        <w:t>•</w:t>
      </w:r>
      <w:r>
        <w:rPr>
          <w:noProof/>
        </w:rPr>
        <w:tab/>
        <w:t>Explicarea detaliată a dispozițiilor specifice ale propunerii</w:t>
      </w:r>
    </w:p>
    <w:p>
      <w:pPr>
        <w:rPr>
          <w:noProof/>
        </w:rPr>
      </w:pPr>
      <w:r>
        <w:rPr>
          <w:noProof/>
        </w:rPr>
        <w:t>Agenda strategică de inovare (ASI) a EIT pentru perioada 2021-2027 subliniază contribuția EIT la obiectivele programului Orizont Europa, programul-cadru al Uniunii de sprijinire a cercetării și inovării pentru perioada respectivă.</w:t>
      </w:r>
      <w:r>
        <w:rPr>
          <w:b/>
          <w:noProof/>
        </w:rPr>
        <w:t xml:space="preserve"> </w:t>
      </w:r>
      <w:r>
        <w:rPr>
          <w:noProof/>
        </w:rPr>
        <w:t>Ea identifică principalele puncte forte ale EIT pe care se va baza strategia sa viitoare și provocările și problemele specifice pe care le va aborda. În plus, ASI clarifică rolul EIT în cadrul programului Orizont Europa și stabilește complementaritatea lui cu diferitele părți ale programului Orizont Europa, în special cu Consiliul european pentru inovare.</w:t>
      </w:r>
    </w:p>
    <w:p>
      <w:pPr>
        <w:rPr>
          <w:noProof/>
        </w:rPr>
      </w:pPr>
      <w:r>
        <w:rPr>
          <w:noProof/>
        </w:rPr>
        <w:t>ASI include o serie de îmbunătățiri ale modelului EIT existent. Acestea se referă la alinierea la parteneriatele europene din cadrul programului Orizont Europa și la normele lor de reglementare, îmbunătățirea modelului de finanțare actual, astfel cum a recomandat Curtea de Conturi Europeană, și includerea posibilității ca EIT să încheie memorandumuri de cooperare cu CCI-urile pentru a menține fostele CCI-uri ca membri activi ai comunității EIT după expirarea acordului lor cadru de parteneriat.</w:t>
      </w:r>
    </w:p>
    <w:p>
      <w:pPr>
        <w:pBdr>
          <w:top w:val="nil"/>
          <w:left w:val="nil"/>
          <w:bottom w:val="nil"/>
          <w:right w:val="nil"/>
          <w:between w:val="nil"/>
          <w:bar w:val="nil"/>
        </w:pBdr>
        <w:spacing w:before="0" w:after="240"/>
        <w:rPr>
          <w:rFonts w:eastAsia="Arial Unicode MS"/>
          <w:noProof/>
        </w:rPr>
      </w:pPr>
      <w:r>
        <w:rPr>
          <w:noProof/>
        </w:rPr>
        <w:t>ASI oferă clarificări specifice cu privire la principiile stabilite în Regulamentul EIT. Ea trece în revistă resursele financiare și umane necesare pentru punerea în aplicare a obiectivelor EIT. Sunt definite dispoziții clare privind monitorizarea și evaluarea, ținându-se seama de cadrul programului Orizont Europa și de particularitățile EIT.</w:t>
      </w:r>
    </w:p>
    <w:p>
      <w:pPr>
        <w:pBdr>
          <w:top w:val="nil"/>
          <w:left w:val="nil"/>
          <w:bottom w:val="nil"/>
          <w:right w:val="nil"/>
          <w:between w:val="nil"/>
          <w:bar w:val="nil"/>
        </w:pBdr>
        <w:spacing w:before="0" w:after="240"/>
        <w:rPr>
          <w:noProof/>
        </w:rPr>
      </w:pPr>
      <w:r>
        <w:rPr>
          <w:noProof/>
        </w:rPr>
        <w:t>În plus, ASI introduce obiective clare pentru lansarea unei noi acțiuni de sprijin și de coordonare. Această nouă acțiune va sprijini dezvoltarea capacității antreprenoriale și de inovare a instituțiilor europene de învățământ superior din afara CCI-urilor, pentru a le permite să fie mai bine integrate în ecosistemele de inovare locale. Eticheta EIT se va înscrie în demersul EIT de concentrare sporită asupra educației.</w:t>
      </w:r>
    </w:p>
    <w:p>
      <w:pPr>
        <w:pBdr>
          <w:top w:val="nil"/>
          <w:left w:val="nil"/>
          <w:bottom w:val="nil"/>
          <w:right w:val="nil"/>
          <w:between w:val="nil"/>
          <w:bar w:val="nil"/>
        </w:pBdr>
        <w:spacing w:before="0" w:after="240"/>
        <w:rPr>
          <w:noProof/>
          <w:color w:val="000000" w:themeColor="text1"/>
          <w:szCs w:val="24"/>
        </w:rPr>
      </w:pPr>
      <w:r>
        <w:rPr>
          <w:noProof/>
        </w:rPr>
        <w:t>EIT va pune un accent puternic pe acțiuni transversale, cum ar fi comunicarea, identificarea, codificarea și diseminarea de bune practici, precum și cooperarea internațională.</w:t>
      </w:r>
      <w:r>
        <w:rPr>
          <w:noProof/>
          <w:color w:val="000000" w:themeColor="text1"/>
        </w:rPr>
        <w:t xml:space="preserve"> </w:t>
      </w:r>
      <w:r>
        <w:rPr>
          <w:noProof/>
        </w:rPr>
        <w:t>Un alt domeniu-cheie de acțiune pentru EIT va fi extinderea și consolidarea dimensiunii sale regionale prin intermediul Mecanismului regional de inovare (MRI). MRI va oferi, în special, oportunități pentru statele membre cu performanțe scăzute în materie de inovare și va ameliora accesul acestora la CCI-urile EIT.</w:t>
      </w:r>
    </w:p>
    <w:p>
      <w:pPr>
        <w:pBdr>
          <w:top w:val="nil"/>
          <w:left w:val="nil"/>
          <w:bottom w:val="nil"/>
          <w:right w:val="nil"/>
          <w:between w:val="nil"/>
          <w:bar w:val="nil"/>
        </w:pBdr>
        <w:spacing w:before="0" w:after="240"/>
        <w:rPr>
          <w:rFonts w:eastAsia="Times New Roman"/>
          <w:noProof/>
          <w:szCs w:val="24"/>
        </w:rPr>
      </w:pPr>
      <w:r>
        <w:rPr>
          <w:noProof/>
          <w:color w:val="000000" w:themeColor="text1"/>
        </w:rPr>
        <w:t xml:space="preserve">ASI identifică industriile culturale și creative ca fiind un domeniu prioritar pentru o nouă CCI, urmând să fie lansată, în 2021, o cerere de propuneri în acest sens. </w:t>
      </w:r>
      <w:r>
        <w:rPr>
          <w:noProof/>
        </w:rPr>
        <w:t xml:space="preserve">O a doua cerere de propuneri pentru o nouă CCI este prevăzută în 2024, dacă anexa I se modifică pentru a adăuga noi domenii prioritare. Alte domenii prioritare ar putea fi adăugate în ASI și, ulterior, ar putea fi lansate și alte cereri de noi CCI-uri în cazul în care va fi disponibil un buget suplimentar față de cel al EIT. </w:t>
      </w:r>
    </w:p>
    <w:p>
      <w:pPr>
        <w:rPr>
          <w:noProof/>
        </w:rPr>
      </w:pPr>
    </w:p>
    <w:p>
      <w:pPr>
        <w:rPr>
          <w:noProof/>
        </w:rPr>
        <w:sectPr>
          <w:footerReference w:type="default" r:id="rId19"/>
          <w:footerReference w:type="first" r:id="rId20"/>
          <w:pgSz w:w="11907" w:h="16839"/>
          <w:pgMar w:top="1134" w:right="1417" w:bottom="1134" w:left="1417" w:header="709" w:footer="709" w:gutter="0"/>
          <w:cols w:space="708"/>
          <w:docGrid w:linePitch="360"/>
        </w:sectPr>
      </w:pPr>
    </w:p>
    <w:p>
      <w:pPr>
        <w:pStyle w:val="Rfrenceinterinstitutionnelle"/>
        <w:rPr>
          <w:noProof/>
        </w:rPr>
      </w:pPr>
      <w:r>
        <w:rPr>
          <w:noProof/>
        </w:rPr>
        <w:t>2019/0152 (COD)</w:t>
      </w:r>
    </w:p>
    <w:p>
      <w:pPr>
        <w:pStyle w:val="Statut"/>
        <w:rPr>
          <w:noProof/>
        </w:rPr>
      </w:pPr>
      <w:r>
        <w:rPr>
          <w:noProof/>
        </w:rPr>
        <w:t>Propunere de</w:t>
      </w:r>
    </w:p>
    <w:p>
      <w:pPr>
        <w:pStyle w:val="Typedudocument"/>
        <w:rPr>
          <w:noProof/>
        </w:rPr>
      </w:pPr>
      <w:r>
        <w:rPr>
          <w:noProof/>
        </w:rPr>
        <w:t>DECIZIE A PARLAMENTULUI EUROPEAN ȘI A CONSILIULUI</w:t>
      </w:r>
    </w:p>
    <w:p>
      <w:pPr>
        <w:pStyle w:val="Titreobjet"/>
        <w:rPr>
          <w:noProof/>
        </w:rPr>
      </w:pPr>
      <w:r>
        <w:rPr>
          <w:noProof/>
        </w:rPr>
        <w:t xml:space="preserve">privind Agenda strategică de inovare a Institutului European </w:t>
      </w:r>
      <w:r>
        <w:rPr>
          <w:noProof/>
        </w:rPr>
        <w:br/>
        <w:t xml:space="preserve">de Inovare și Tehnologie (EIT) 2021-2027: </w:t>
      </w:r>
      <w:r>
        <w:rPr>
          <w:noProof/>
        </w:rPr>
        <w:br/>
        <w:t>stimularea talentului și a capacității de inovare a Europei</w:t>
      </w:r>
    </w:p>
    <w:p>
      <w:pPr>
        <w:pStyle w:val="IntrtEEE"/>
        <w:rPr>
          <w:noProof/>
        </w:rPr>
      </w:pPr>
      <w:r>
        <w:rPr>
          <w:noProof/>
        </w:rPr>
        <w:t>(Text cu relevanță pentru SEE)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173 alineatul (3),</w:t>
      </w:r>
    </w:p>
    <w:p>
      <w:pPr>
        <w:rPr>
          <w:noProof/>
        </w:rPr>
      </w:pPr>
      <w:r>
        <w:rPr>
          <w:noProof/>
        </w:rPr>
        <w:t>având în vedere Regulamentul (CE) nr. 294/2008 al Parlamentului European și al Consiliului din 11 martie 2008 de înființare a Institutului European de Inovare și Tehnologie</w:t>
      </w:r>
      <w:r>
        <w:rPr>
          <w:rStyle w:val="FootnoteReference"/>
          <w:noProof/>
        </w:rPr>
        <w:footnoteReference w:id="5"/>
      </w:r>
      <w:r>
        <w:rPr>
          <w:noProof/>
        </w:rPr>
        <w:t>, în special articolul 17,</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p>
    <w:p>
      <w:pPr>
        <w:rPr>
          <w:noProof/>
        </w:rPr>
      </w:pPr>
      <w:r>
        <w:rPr>
          <w:noProof/>
        </w:rPr>
        <w:t>hotărând în conformitate cu procedura legislativă ordinară,</w:t>
      </w:r>
    </w:p>
    <w:p>
      <w:pPr>
        <w:rPr>
          <w:noProof/>
        </w:rPr>
      </w:pPr>
      <w:r>
        <w:rPr>
          <w:noProof/>
        </w:rPr>
        <w:t>întrucât:</w:t>
      </w:r>
    </w:p>
    <w:p>
      <w:pPr>
        <w:pStyle w:val="ManualConsidrant"/>
        <w:rPr>
          <w:noProof/>
        </w:rPr>
      </w:pPr>
      <w:r>
        <w:t>(1)</w:t>
      </w:r>
      <w:r>
        <w:tab/>
      </w:r>
      <w:r>
        <w:rPr>
          <w:noProof/>
        </w:rPr>
        <w:t>Regulamentul (CE) nr. 294/2008 prevede adoptarea unei agende strategice de inovare (denumită în continuare „ASI”).</w:t>
      </w:r>
    </w:p>
    <w:p>
      <w:pPr>
        <w:pStyle w:val="ManualConsidrant"/>
        <w:rPr>
          <w:noProof/>
        </w:rPr>
      </w:pPr>
      <w:r>
        <w:t>(2)</w:t>
      </w:r>
      <w:r>
        <w:tab/>
      </w:r>
      <w:r>
        <w:rPr>
          <w:noProof/>
        </w:rPr>
        <w:t>ASI trebuie să definească domeniile prioritare și strategia pe termen lung pentru Institutul European de Inovare și Tehnologie (denumit în continuare „EIT”) și să includă o evaluare a impactului său socio-economic și a capacității sale de a genera cea mai bună valoare adăugată în materie de inovare. ASI trebuie să țină seama de rezultatele monitorizării și evaluării EIT.</w:t>
      </w:r>
    </w:p>
    <w:p>
      <w:pPr>
        <w:pStyle w:val="ManualConsidrant"/>
        <w:rPr>
          <w:noProof/>
        </w:rPr>
      </w:pPr>
      <w:r>
        <w:t>(3)</w:t>
      </w:r>
      <w:r>
        <w:tab/>
      </w:r>
      <w:r>
        <w:rPr>
          <w:noProof/>
        </w:rPr>
        <w:t>ASI trebuie să includă o analiză a posibilelor sinergii și complementarități adecvate între activitățile EIT și alte inițiative, instrumente și programe ale Uniunii,</w:t>
      </w:r>
    </w:p>
    <w:p>
      <w:pPr>
        <w:pStyle w:val="Formuledadoption"/>
        <w:rPr>
          <w:noProof/>
        </w:rPr>
      </w:pPr>
      <w:r>
        <w:rPr>
          <w:noProof/>
        </w:rPr>
        <w:t xml:space="preserve">ADOPTĂ PREZENTA DECIZIE: </w:t>
      </w:r>
    </w:p>
    <w:p>
      <w:pPr>
        <w:pStyle w:val="Titrearticle"/>
        <w:rPr>
          <w:noProof/>
        </w:rPr>
      </w:pPr>
      <w:r>
        <w:rPr>
          <w:noProof/>
        </w:rPr>
        <w:t>Articolul 1</w:t>
      </w:r>
    </w:p>
    <w:p>
      <w:pPr>
        <w:rPr>
          <w:noProof/>
        </w:rPr>
      </w:pPr>
      <w:r>
        <w:rPr>
          <w:noProof/>
        </w:rPr>
        <w:t>Se adoptă Agenda strategică de inovare a Institutului European de Inovare și Tehnologie pentru perioada 2021-2027, astfel cum este prevăzută în anexă.</w:t>
      </w:r>
    </w:p>
    <w:p>
      <w:pPr>
        <w:pStyle w:val="Titrearticle"/>
        <w:rPr>
          <w:noProof/>
        </w:rPr>
      </w:pPr>
      <w:r>
        <w:rPr>
          <w:noProof/>
        </w:rPr>
        <w:t>Articolul 2</w:t>
      </w:r>
    </w:p>
    <w:p>
      <w:pPr>
        <w:rPr>
          <w:noProof/>
        </w:rPr>
      </w:pPr>
      <w:r>
        <w:rPr>
          <w:noProof/>
        </w:rPr>
        <w:t>ASI este pusă în aplicare în conformitate cu Regulamentul (UE) nr.</w:t>
      </w:r>
      <w:r>
        <w:t xml:space="preserve"> [...] privind</w:t>
      </w:r>
      <w:r>
        <w:rPr>
          <w:noProof/>
        </w:rPr>
        <w:t xml:space="preserve"> Institutul European de Inovare și Tehnologie</w:t>
      </w:r>
      <w:r>
        <w:rPr>
          <w:rStyle w:val="FootnoteReference"/>
          <w:noProof/>
        </w:rPr>
        <w:footnoteReference w:id="6"/>
      </w:r>
      <w:r>
        <w:t>.</w:t>
      </w:r>
    </w:p>
    <w:p>
      <w:pPr>
        <w:pStyle w:val="Titrearticle"/>
        <w:rPr>
          <w:noProof/>
        </w:rPr>
      </w:pPr>
      <w:r>
        <w:rPr>
          <w:noProof/>
        </w:rPr>
        <w:t>Articolul 3</w:t>
      </w:r>
    </w:p>
    <w:p>
      <w:pPr>
        <w:keepNext/>
        <w:keepLines/>
        <w:rPr>
          <w:noProof/>
        </w:rPr>
      </w:pPr>
      <w:r>
        <w:rPr>
          <w:noProof/>
        </w:rPr>
        <w:t xml:space="preserve">Prezenta decizie intră în vigoare în a  zi de la data publicării în </w:t>
      </w:r>
      <w:r>
        <w:rPr>
          <w:i/>
          <w:noProof/>
        </w:rPr>
        <w:t>Jurnalul Oficial al Uniunii Europene</w:t>
      </w:r>
      <w:r>
        <w:rPr>
          <w:noProof/>
        </w:rPr>
        <w:t>.</w:t>
      </w:r>
    </w:p>
    <w:p>
      <w:pPr>
        <w:pStyle w:val="Fait"/>
        <w:rPr>
          <w:noProof/>
        </w:rPr>
      </w:pPr>
      <w:r>
        <w:t>Adoptată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Președintele</w:t>
      </w:r>
      <w:r>
        <w:rPr>
          <w:noProof/>
        </w:rPr>
        <w:tab/>
        <w:t>Președintele</w:t>
      </w:r>
    </w:p>
    <w:p>
      <w:pPr>
        <w:rPr>
          <w:noProof/>
        </w:rPr>
        <w:sectPr>
          <w:pgSz w:w="11907" w:h="16839"/>
          <w:pgMar w:top="1134" w:right="1417" w:bottom="1134" w:left="1417" w:header="709" w:footer="709" w:gutter="0"/>
          <w:cols w:space="708"/>
          <w:docGrid w:linePitch="360"/>
        </w:sectPr>
      </w:pPr>
    </w:p>
    <w:p>
      <w:pPr>
        <w:pStyle w:val="Fichefinanciretitre"/>
        <w:rPr>
          <w:noProof/>
        </w:rPr>
      </w:pPr>
      <w:bookmarkStart w:id="2" w:name="_Toc514941970"/>
      <w:r>
        <w:rPr>
          <w:noProof/>
        </w:rPr>
        <w:t>FIȘĂ FINANCIARĂ LEGISLATIVĂ</w:t>
      </w:r>
      <w:bookmarkEnd w:id="2"/>
    </w:p>
    <w:p>
      <w:pPr>
        <w:keepNext/>
        <w:tabs>
          <w:tab w:val="left" w:pos="850"/>
        </w:tabs>
        <w:spacing w:before="360"/>
        <w:ind w:left="850" w:hanging="850"/>
        <w:outlineLvl w:val="0"/>
        <w:rPr>
          <w:rFonts w:eastAsia="Calibri"/>
          <w:b/>
          <w:smallCaps/>
          <w:noProof/>
        </w:rPr>
      </w:pPr>
      <w:r>
        <w:rPr>
          <w:b/>
          <w:smallCaps/>
          <w:noProof/>
        </w:rPr>
        <w:t xml:space="preserve">1. </w:t>
      </w:r>
      <w:r>
        <w:rPr>
          <w:noProof/>
        </w:rPr>
        <w:tab/>
      </w:r>
      <w:r>
        <w:rPr>
          <w:b/>
          <w:smallCaps/>
          <w:noProof/>
        </w:rPr>
        <w:t xml:space="preserve">CADRUL PROPUNERII/INIȚIATIVEI </w:t>
      </w:r>
    </w:p>
    <w:p>
      <w:pPr>
        <w:keepNext/>
        <w:tabs>
          <w:tab w:val="left" w:pos="850"/>
        </w:tabs>
        <w:ind w:left="850" w:hanging="850"/>
        <w:outlineLvl w:val="1"/>
        <w:rPr>
          <w:rFonts w:eastAsia="Calibri"/>
          <w:noProof/>
        </w:rPr>
      </w:pPr>
      <w:r>
        <w:rPr>
          <w:noProof/>
        </w:rPr>
        <w:t>1.1.</w:t>
      </w:r>
      <w:r>
        <w:rPr>
          <w:noProof/>
        </w:rPr>
        <w:tab/>
        <w:t>Titlul propunerii/inițiativei</w:t>
      </w:r>
    </w:p>
    <w:p>
      <w:pPr>
        <w:keepNext/>
        <w:tabs>
          <w:tab w:val="left" w:pos="850"/>
        </w:tabs>
        <w:ind w:left="850" w:hanging="850"/>
        <w:outlineLvl w:val="1"/>
        <w:rPr>
          <w:rFonts w:eastAsia="Calibri"/>
          <w:noProof/>
        </w:rPr>
      </w:pPr>
      <w:r>
        <w:rPr>
          <w:noProof/>
        </w:rPr>
        <w:t>1.2.</w:t>
      </w:r>
      <w:r>
        <w:rPr>
          <w:noProof/>
        </w:rPr>
        <w:tab/>
        <w:t>Domeniul (domeniile) de politică în cauză (clusterul de programe)</w:t>
      </w:r>
    </w:p>
    <w:p>
      <w:pPr>
        <w:keepNext/>
        <w:tabs>
          <w:tab w:val="left" w:pos="850"/>
        </w:tabs>
        <w:ind w:left="850" w:hanging="850"/>
        <w:outlineLvl w:val="1"/>
        <w:rPr>
          <w:rFonts w:eastAsia="Calibri"/>
          <w:noProof/>
        </w:rPr>
      </w:pPr>
      <w:r>
        <w:rPr>
          <w:noProof/>
        </w:rPr>
        <w:t>1.3.</w:t>
      </w:r>
      <w:r>
        <w:rPr>
          <w:noProof/>
        </w:rPr>
        <w:tab/>
        <w:t>Obiectul propunerii/inițiativei:</w:t>
      </w:r>
    </w:p>
    <w:p>
      <w:pPr>
        <w:keepNext/>
        <w:tabs>
          <w:tab w:val="left" w:pos="850"/>
        </w:tabs>
        <w:ind w:left="850" w:hanging="850"/>
        <w:outlineLvl w:val="1"/>
        <w:rPr>
          <w:rFonts w:eastAsia="Calibri"/>
          <w:noProof/>
        </w:rPr>
      </w:pPr>
      <w:r>
        <w:rPr>
          <w:noProof/>
        </w:rPr>
        <w:t>1.4.</w:t>
      </w:r>
      <w:r>
        <w:rPr>
          <w:noProof/>
        </w:rPr>
        <w:tab/>
        <w:t>Motivele propunerii/inițiativei</w:t>
      </w:r>
    </w:p>
    <w:p>
      <w:pPr>
        <w:keepNext/>
        <w:tabs>
          <w:tab w:val="left" w:pos="850"/>
        </w:tabs>
        <w:ind w:left="850" w:hanging="850"/>
        <w:outlineLvl w:val="1"/>
        <w:rPr>
          <w:rFonts w:eastAsia="Calibri"/>
          <w:i/>
          <w:noProof/>
        </w:rPr>
      </w:pPr>
      <w:r>
        <w:rPr>
          <w:i/>
          <w:noProof/>
        </w:rPr>
        <w:t>1.4.1.</w:t>
      </w:r>
      <w:r>
        <w:rPr>
          <w:noProof/>
        </w:rPr>
        <w:tab/>
      </w:r>
      <w:r>
        <w:rPr>
          <w:i/>
          <w:noProof/>
        </w:rPr>
        <w:t>Cerința (cerințele) care trebuie îndeplinită (îndeplinite) pe termen scurt sau lung, inclusiv un calendar detaliat pentru punerea în aplicare a inițiativei</w:t>
      </w:r>
    </w:p>
    <w:p>
      <w:pPr>
        <w:keepNext/>
        <w:tabs>
          <w:tab w:val="left" w:pos="850"/>
        </w:tabs>
        <w:ind w:left="850" w:hanging="850"/>
        <w:outlineLvl w:val="1"/>
        <w:rPr>
          <w:rFonts w:eastAsia="Calibri"/>
          <w:i/>
          <w:noProof/>
        </w:rPr>
      </w:pPr>
      <w:r>
        <w:rPr>
          <w:i/>
          <w:noProof/>
        </w:rPr>
        <w:t>1.4.2.</w:t>
      </w:r>
      <w:r>
        <w:rPr>
          <w:noProof/>
        </w:rPr>
        <w:tab/>
      </w:r>
      <w:r>
        <w:rPr>
          <w:i/>
          <w:noProof/>
        </w:rPr>
        <w:t>Valoarea adăugată a intervenției Uniunii (aceasta poate rezulta din diferiți factori, de exemplu mai buna coordonare, securitatea juridică, o mai mare eficacitate sau complementaritate). În sensul prezentului punct, „valoarea adăugată a intervenției Uniunii” este valoarea ce rezultă din intervenția Uniunii care depășește valoarea ce ar fi fost obținută dacă ar fi acționat doar statele membre.</w:t>
      </w:r>
    </w:p>
    <w:p>
      <w:pPr>
        <w:keepNext/>
        <w:tabs>
          <w:tab w:val="left" w:pos="850"/>
        </w:tabs>
        <w:ind w:left="850" w:hanging="850"/>
        <w:outlineLvl w:val="1"/>
        <w:rPr>
          <w:rFonts w:eastAsia="Calibri"/>
          <w:i/>
          <w:noProof/>
        </w:rPr>
      </w:pPr>
      <w:r>
        <w:rPr>
          <w:i/>
          <w:noProof/>
        </w:rPr>
        <w:t>1.4.3.</w:t>
      </w:r>
      <w:r>
        <w:rPr>
          <w:noProof/>
        </w:rPr>
        <w:tab/>
      </w:r>
      <w:r>
        <w:rPr>
          <w:i/>
          <w:noProof/>
        </w:rPr>
        <w:t>Învățăminte desprinse din experiențele anterioare similare</w:t>
      </w:r>
    </w:p>
    <w:p>
      <w:pPr>
        <w:keepNext/>
        <w:tabs>
          <w:tab w:val="left" w:pos="850"/>
        </w:tabs>
        <w:ind w:left="850" w:hanging="850"/>
        <w:outlineLvl w:val="1"/>
        <w:rPr>
          <w:rFonts w:eastAsia="Calibri"/>
          <w:i/>
          <w:noProof/>
        </w:rPr>
      </w:pPr>
      <w:r>
        <w:rPr>
          <w:i/>
          <w:noProof/>
        </w:rPr>
        <w:t>1.4.4.</w:t>
      </w:r>
      <w:r>
        <w:rPr>
          <w:noProof/>
        </w:rPr>
        <w:tab/>
      </w:r>
      <w:r>
        <w:rPr>
          <w:i/>
          <w:noProof/>
        </w:rPr>
        <w:t>Compatibilitatea și posibila sinergie cu alte instrumente corespunzătoare</w:t>
      </w:r>
    </w:p>
    <w:p>
      <w:pPr>
        <w:tabs>
          <w:tab w:val="left" w:pos="850"/>
        </w:tabs>
        <w:ind w:left="850" w:hanging="850"/>
        <w:outlineLvl w:val="1"/>
        <w:rPr>
          <w:rFonts w:eastAsia="Calibri"/>
          <w:noProof/>
        </w:rPr>
      </w:pPr>
      <w:r>
        <w:rPr>
          <w:noProof/>
        </w:rPr>
        <w:t>1.5.</w:t>
      </w:r>
      <w:r>
        <w:rPr>
          <w:noProof/>
        </w:rPr>
        <w:tab/>
        <w:t>Durata și impactul financiar</w:t>
      </w:r>
    </w:p>
    <w:p>
      <w:pPr>
        <w:tabs>
          <w:tab w:val="left" w:pos="850"/>
        </w:tabs>
        <w:ind w:left="850" w:hanging="850"/>
        <w:outlineLvl w:val="1"/>
        <w:rPr>
          <w:rFonts w:eastAsia="Calibri"/>
          <w:noProof/>
        </w:rPr>
      </w:pPr>
      <w:r>
        <w:rPr>
          <w:noProof/>
        </w:rPr>
        <w:t>1.6.</w:t>
      </w:r>
      <w:r>
        <w:rPr>
          <w:noProof/>
        </w:rPr>
        <w:tab/>
        <w:t>Modul (modurile) de gestiune preconizat(e)</w:t>
      </w:r>
    </w:p>
    <w:p>
      <w:pPr>
        <w:tabs>
          <w:tab w:val="left" w:pos="850"/>
        </w:tabs>
        <w:ind w:left="850" w:hanging="850"/>
        <w:outlineLvl w:val="1"/>
        <w:rPr>
          <w:rFonts w:eastAsia="Calibri"/>
          <w:noProof/>
        </w:rPr>
      </w:pPr>
      <w:r>
        <w:rPr>
          <w:noProof/>
        </w:rPr>
        <w:t>1.7.</w:t>
      </w:r>
      <w:r>
        <w:rPr>
          <w:noProof/>
        </w:rPr>
        <w:tab/>
        <w:t>Modul (modurile) de gestiune preconizat(e)</w:t>
      </w:r>
    </w:p>
    <w:p>
      <w:pPr>
        <w:tabs>
          <w:tab w:val="left" w:pos="850"/>
        </w:tabs>
        <w:spacing w:before="360"/>
        <w:ind w:left="850" w:hanging="850"/>
        <w:outlineLvl w:val="0"/>
        <w:rPr>
          <w:rFonts w:eastAsia="Calibri"/>
          <w:b/>
          <w:smallCaps/>
          <w:noProof/>
        </w:rPr>
      </w:pPr>
      <w:r>
        <w:rPr>
          <w:b/>
          <w:smallCaps/>
          <w:noProof/>
        </w:rPr>
        <w:t>2.</w:t>
      </w:r>
      <w:r>
        <w:rPr>
          <w:noProof/>
        </w:rPr>
        <w:tab/>
      </w:r>
      <w:r>
        <w:rPr>
          <w:b/>
          <w:smallCaps/>
          <w:noProof/>
        </w:rPr>
        <w:t xml:space="preserve">MĂSURI DE GESTIUNE </w:t>
      </w:r>
    </w:p>
    <w:p>
      <w:pPr>
        <w:tabs>
          <w:tab w:val="left" w:pos="850"/>
        </w:tabs>
        <w:ind w:left="850" w:hanging="850"/>
        <w:outlineLvl w:val="1"/>
        <w:rPr>
          <w:rFonts w:eastAsia="Calibri"/>
          <w:noProof/>
        </w:rPr>
      </w:pPr>
      <w:r>
        <w:rPr>
          <w:noProof/>
        </w:rPr>
        <w:tab/>
        <w:t>2.1.</w:t>
      </w:r>
      <w:r>
        <w:rPr>
          <w:noProof/>
        </w:rPr>
        <w:tab/>
        <w:t>Dispoziții în materie de monitorizare și de raportare</w:t>
      </w:r>
    </w:p>
    <w:p>
      <w:pPr>
        <w:tabs>
          <w:tab w:val="left" w:pos="850"/>
        </w:tabs>
        <w:ind w:left="850" w:hanging="850"/>
        <w:outlineLvl w:val="1"/>
        <w:rPr>
          <w:rFonts w:eastAsia="Calibri"/>
          <w:noProof/>
        </w:rPr>
      </w:pPr>
      <w:r>
        <w:rPr>
          <w:noProof/>
        </w:rPr>
        <w:tab/>
        <w:t>2.2.</w:t>
      </w:r>
      <w:r>
        <w:rPr>
          <w:noProof/>
        </w:rPr>
        <w:tab/>
        <w:t>Sistemul (sistemele) de gestiune și de control</w:t>
      </w:r>
    </w:p>
    <w:p>
      <w:pPr>
        <w:ind w:left="851" w:hanging="851"/>
        <w:outlineLvl w:val="1"/>
        <w:rPr>
          <w:rFonts w:eastAsia="Calibri"/>
          <w:i/>
          <w:noProof/>
        </w:rPr>
      </w:pPr>
      <w:r>
        <w:rPr>
          <w:noProof/>
        </w:rPr>
        <w:tab/>
      </w:r>
      <w:r>
        <w:rPr>
          <w:i/>
          <w:noProof/>
        </w:rPr>
        <w:t>2.2.1.</w:t>
      </w:r>
      <w:r>
        <w:rPr>
          <w:noProof/>
        </w:rPr>
        <w:tab/>
      </w:r>
      <w:r>
        <w:rPr>
          <w:i/>
          <w:noProof/>
        </w:rPr>
        <w:t>Justificarea modului (modurilor) de gestiune, a mecanismului (mecanismelor) de punere în aplicare a finanțării, a modalităților de plată și a strategiei de control propuse</w:t>
      </w:r>
    </w:p>
    <w:p>
      <w:pPr>
        <w:tabs>
          <w:tab w:val="left" w:pos="850"/>
        </w:tabs>
        <w:ind w:left="850" w:hanging="850"/>
        <w:outlineLvl w:val="1"/>
        <w:rPr>
          <w:rFonts w:eastAsia="Calibri"/>
          <w:i/>
          <w:noProof/>
        </w:rPr>
      </w:pPr>
      <w:r>
        <w:rPr>
          <w:noProof/>
        </w:rPr>
        <w:tab/>
      </w:r>
      <w:r>
        <w:rPr>
          <w:i/>
          <w:noProof/>
        </w:rPr>
        <w:t>2.2.2.</w:t>
      </w:r>
      <w:r>
        <w:rPr>
          <w:noProof/>
        </w:rPr>
        <w:tab/>
      </w:r>
      <w:r>
        <w:rPr>
          <w:i/>
          <w:noProof/>
        </w:rPr>
        <w:t>Informații privind riscurile identificate și sistemul (sistemele) de control intern instituit(e) pentru atenuarea lor</w:t>
      </w:r>
    </w:p>
    <w:p>
      <w:pPr>
        <w:tabs>
          <w:tab w:val="left" w:pos="850"/>
        </w:tabs>
        <w:ind w:left="851" w:hanging="851"/>
        <w:outlineLvl w:val="1"/>
        <w:rPr>
          <w:rFonts w:eastAsia="Calibri"/>
          <w:i/>
          <w:noProof/>
        </w:rPr>
      </w:pPr>
      <w:r>
        <w:rPr>
          <w:noProof/>
        </w:rPr>
        <w:tab/>
      </w:r>
      <w:r>
        <w:rPr>
          <w:i/>
          <w:noProof/>
        </w:rPr>
        <w:t>2.2.3.</w:t>
      </w:r>
      <w:r>
        <w:rPr>
          <w:noProof/>
        </w:rPr>
        <w:tab/>
      </w:r>
      <w:r>
        <w:rPr>
          <w:i/>
          <w:noProof/>
        </w:rPr>
        <w:t>Estimarea și justificarea raportului cost-eficacitate al controalelor (raportul dintre costurile controalelor și valoarea fondurilor aferente gestionate) și evaluarea nivelurilor preconizate ale riscurilor de eroare (la plată și la închidere)</w:t>
      </w:r>
    </w:p>
    <w:p>
      <w:pPr>
        <w:tabs>
          <w:tab w:val="left" w:pos="850"/>
        </w:tabs>
        <w:ind w:left="851" w:hanging="851"/>
        <w:outlineLvl w:val="1"/>
        <w:rPr>
          <w:rFonts w:eastAsia="Calibri"/>
          <w:noProof/>
        </w:rPr>
      </w:pPr>
      <w:r>
        <w:rPr>
          <w:noProof/>
        </w:rPr>
        <w:tab/>
        <w:t>2.3.</w:t>
      </w:r>
      <w:r>
        <w:rPr>
          <w:noProof/>
        </w:rPr>
        <w:tab/>
        <w:t>Măsuri de prevenire a fraudelor și a neregulilor</w:t>
      </w:r>
    </w:p>
    <w:p>
      <w:pPr>
        <w:keepNext/>
        <w:tabs>
          <w:tab w:val="left" w:pos="850"/>
        </w:tabs>
        <w:spacing w:before="360"/>
        <w:ind w:left="850" w:hanging="850"/>
        <w:outlineLvl w:val="0"/>
        <w:rPr>
          <w:rFonts w:eastAsia="Calibri"/>
          <w:b/>
          <w:smallCaps/>
          <w:noProof/>
        </w:rPr>
      </w:pPr>
      <w:r>
        <w:rPr>
          <w:b/>
          <w:smallCaps/>
          <w:noProof/>
        </w:rPr>
        <w:t>3.</w:t>
      </w:r>
      <w:r>
        <w:rPr>
          <w:noProof/>
        </w:rPr>
        <w:tab/>
      </w:r>
      <w:r>
        <w:rPr>
          <w:b/>
          <w:smallCaps/>
          <w:noProof/>
        </w:rPr>
        <w:t xml:space="preserve">IMPACTUL FINANCIAR ESTIMAT AL PROPUNERII/INIȚIATIVEI </w:t>
      </w:r>
    </w:p>
    <w:p>
      <w:pPr>
        <w:keepNext/>
        <w:tabs>
          <w:tab w:val="left" w:pos="850"/>
        </w:tabs>
        <w:ind w:left="850" w:hanging="850"/>
        <w:outlineLvl w:val="1"/>
        <w:rPr>
          <w:rFonts w:eastAsia="Calibri"/>
          <w:noProof/>
        </w:rPr>
      </w:pPr>
      <w:r>
        <w:rPr>
          <w:noProof/>
        </w:rPr>
        <w:tab/>
        <w:t>3.1.</w:t>
      </w:r>
      <w:r>
        <w:rPr>
          <w:noProof/>
        </w:rPr>
        <w:tab/>
        <w:t>Rubrica din cadrul financiar multianual și linia (liniile) bugetară (bugetare) de cheltuieli propusă (propuse)</w:t>
      </w:r>
    </w:p>
    <w:p>
      <w:pPr>
        <w:keepNext/>
        <w:tabs>
          <w:tab w:val="left" w:pos="850"/>
        </w:tabs>
        <w:ind w:left="850" w:hanging="850"/>
        <w:outlineLvl w:val="1"/>
        <w:rPr>
          <w:rFonts w:eastAsia="Calibri"/>
          <w:b/>
          <w:noProof/>
        </w:rPr>
      </w:pPr>
      <w:r>
        <w:rPr>
          <w:noProof/>
        </w:rPr>
        <w:tab/>
        <w:t>3.2.</w:t>
      </w:r>
      <w:r>
        <w:rPr>
          <w:noProof/>
        </w:rPr>
        <w:tab/>
        <w:t>Impactul estimat asupra cheltuielilor</w:t>
      </w:r>
    </w:p>
    <w:p>
      <w:pPr>
        <w:keepNext/>
        <w:tabs>
          <w:tab w:val="left" w:pos="850"/>
        </w:tabs>
        <w:ind w:left="850" w:hanging="850"/>
        <w:outlineLvl w:val="2"/>
        <w:rPr>
          <w:rFonts w:eastAsia="Calibri"/>
          <w:i/>
          <w:noProof/>
        </w:rPr>
      </w:pPr>
      <w:r>
        <w:rPr>
          <w:noProof/>
        </w:rPr>
        <w:tab/>
      </w:r>
      <w:r>
        <w:rPr>
          <w:i/>
          <w:noProof/>
        </w:rPr>
        <w:t>3.2.1.</w:t>
      </w:r>
      <w:r>
        <w:rPr>
          <w:noProof/>
        </w:rPr>
        <w:tab/>
      </w:r>
      <w:r>
        <w:rPr>
          <w:i/>
          <w:noProof/>
        </w:rPr>
        <w:t>Sinteza impactului estimat asupra cheltuielilor</w:t>
      </w:r>
    </w:p>
    <w:p>
      <w:pPr>
        <w:keepNext/>
        <w:tabs>
          <w:tab w:val="left" w:pos="850"/>
        </w:tabs>
        <w:ind w:left="850" w:hanging="850"/>
        <w:outlineLvl w:val="2"/>
        <w:rPr>
          <w:rFonts w:eastAsia="Calibri"/>
          <w:i/>
          <w:noProof/>
        </w:rPr>
      </w:pPr>
      <w:r>
        <w:rPr>
          <w:noProof/>
        </w:rPr>
        <w:tab/>
      </w:r>
      <w:r>
        <w:rPr>
          <w:i/>
          <w:noProof/>
        </w:rPr>
        <w:t>3.2.2.</w:t>
      </w:r>
      <w:r>
        <w:rPr>
          <w:noProof/>
        </w:rPr>
        <w:tab/>
      </w:r>
      <w:r>
        <w:rPr>
          <w:i/>
          <w:noProof/>
        </w:rPr>
        <w:t>Sinteza impactului estimat asupra creditelor cu caracter administrativ</w:t>
      </w:r>
    </w:p>
    <w:p>
      <w:pPr>
        <w:keepNext/>
        <w:tabs>
          <w:tab w:val="left" w:pos="850"/>
        </w:tabs>
        <w:ind w:left="850" w:hanging="850"/>
        <w:outlineLvl w:val="2"/>
        <w:rPr>
          <w:rFonts w:eastAsia="Calibri"/>
          <w:i/>
          <w:noProof/>
        </w:rPr>
      </w:pPr>
      <w:r>
        <w:rPr>
          <w:noProof/>
        </w:rPr>
        <w:tab/>
      </w:r>
      <w:r>
        <w:rPr>
          <w:i/>
          <w:noProof/>
        </w:rPr>
        <w:t>3.2.3.</w:t>
      </w:r>
      <w:r>
        <w:rPr>
          <w:noProof/>
        </w:rPr>
        <w:tab/>
      </w:r>
      <w:r>
        <w:rPr>
          <w:i/>
          <w:noProof/>
        </w:rPr>
        <w:t>Contribuțiile terților</w:t>
      </w:r>
    </w:p>
    <w:p>
      <w:pPr>
        <w:keepNext/>
        <w:tabs>
          <w:tab w:val="left" w:pos="850"/>
        </w:tabs>
        <w:ind w:left="850" w:hanging="850"/>
        <w:jc w:val="left"/>
        <w:outlineLvl w:val="1"/>
        <w:rPr>
          <w:rFonts w:eastAsia="Calibri"/>
          <w:noProof/>
        </w:rPr>
      </w:pPr>
      <w:r>
        <w:rPr>
          <w:noProof/>
        </w:rPr>
        <w:tab/>
        <w:t>3.3.</w:t>
      </w:r>
      <w:r>
        <w:rPr>
          <w:noProof/>
        </w:rPr>
        <w:tab/>
        <w:t>Impactul estimat asupra veniturilor</w:t>
      </w:r>
    </w:p>
    <w:p>
      <w:pPr>
        <w:keepNext/>
        <w:tabs>
          <w:tab w:val="left" w:pos="850"/>
        </w:tabs>
        <w:jc w:val="left"/>
        <w:outlineLvl w:val="1"/>
        <w:rPr>
          <w:rFonts w:eastAsia="Calibri"/>
          <w:noProof/>
        </w:rPr>
        <w:sectPr>
          <w:pgSz w:w="11907" w:h="16840" w:code="9"/>
          <w:pgMar w:top="1134" w:right="1418" w:bottom="1134" w:left="1418" w:header="709" w:footer="709" w:gutter="0"/>
          <w:cols w:space="708"/>
          <w:docGrid w:linePitch="360"/>
        </w:sectPr>
      </w:pPr>
    </w:p>
    <w:p>
      <w:pPr>
        <w:jc w:val="center"/>
        <w:rPr>
          <w:rFonts w:eastAsia="Calibri"/>
          <w:b/>
          <w:noProof/>
          <w:u w:val="single"/>
        </w:rPr>
      </w:pPr>
      <w:r>
        <w:rPr>
          <w:b/>
          <w:noProof/>
          <w:u w:val="single"/>
        </w:rPr>
        <w:t xml:space="preserve">FIȘĂ FINANCIARĂ LEGISLATIVĂ </w:t>
      </w:r>
    </w:p>
    <w:p>
      <w:pPr>
        <w:keepNext/>
        <w:tabs>
          <w:tab w:val="left" w:pos="850"/>
        </w:tabs>
        <w:spacing w:before="360"/>
        <w:ind w:left="850" w:hanging="850"/>
        <w:outlineLvl w:val="0"/>
        <w:rPr>
          <w:rFonts w:eastAsia="Calibri"/>
          <w:b/>
          <w:smallCaps/>
          <w:noProof/>
        </w:rPr>
      </w:pPr>
      <w:bookmarkStart w:id="3" w:name="_Toc514941973"/>
      <w:r>
        <w:rPr>
          <w:b/>
          <w:smallCaps/>
          <w:noProof/>
        </w:rPr>
        <w:t xml:space="preserve">1. </w:t>
      </w:r>
      <w:r>
        <w:rPr>
          <w:noProof/>
        </w:rPr>
        <w:tab/>
      </w:r>
      <w:r>
        <w:rPr>
          <w:b/>
          <w:smallCaps/>
          <w:noProof/>
        </w:rPr>
        <w:t xml:space="preserve">CADRUL PROPUNERII/INIȚIATIVEI </w:t>
      </w:r>
    </w:p>
    <w:p>
      <w:pPr>
        <w:keepNext/>
        <w:tabs>
          <w:tab w:val="left" w:pos="850"/>
        </w:tabs>
        <w:ind w:left="850" w:hanging="850"/>
        <w:outlineLvl w:val="1"/>
        <w:rPr>
          <w:rFonts w:eastAsia="Calibri"/>
          <w:b/>
          <w:noProof/>
        </w:rPr>
      </w:pPr>
      <w:r>
        <w:rPr>
          <w:b/>
          <w:noProof/>
        </w:rPr>
        <w:t>1.1.</w:t>
      </w:r>
      <w:r>
        <w:rPr>
          <w:noProof/>
        </w:rPr>
        <w:tab/>
      </w:r>
      <w:r>
        <w:rPr>
          <w:b/>
          <w:noProof/>
        </w:rPr>
        <w:t>Titlul propunerii/inițiativei</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Modificarea Regulamentului Parlamentului European și al Consiliului de înființare a Institutului European de Inovare și Tehnologie (EIT) și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Decizia Parlamentului European și a Consiliului de instituire a unei Agende strategice de inovare a Institutului European de Inovare și Tehnologie (EIT) pentru perioada 2021-2027</w:t>
      </w:r>
    </w:p>
    <w:p>
      <w:pPr>
        <w:keepNext/>
        <w:tabs>
          <w:tab w:val="left" w:pos="850"/>
        </w:tabs>
        <w:ind w:left="850" w:hanging="850"/>
        <w:outlineLvl w:val="1"/>
        <w:rPr>
          <w:rFonts w:eastAsia="Calibri"/>
          <w:noProof/>
        </w:rPr>
      </w:pPr>
      <w:bookmarkStart w:id="4" w:name="_Toc514941974"/>
      <w:bookmarkEnd w:id="3"/>
      <w:r>
        <w:rPr>
          <w:b/>
          <w:noProof/>
        </w:rPr>
        <w:t>1.2.</w:t>
      </w:r>
      <w:r>
        <w:rPr>
          <w:noProof/>
        </w:rPr>
        <w:tab/>
      </w:r>
      <w:r>
        <w:rPr>
          <w:b/>
          <w:noProof/>
        </w:rPr>
        <w:t>Domeniul (domeniile) de politică în cauză (clusterul de programe)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Orizont Europa, Programul-cadru pentru cercetare și inovare (2021-2027)</w:t>
      </w:r>
    </w:p>
    <w:bookmarkEnd w:id="4"/>
    <w:p>
      <w:pPr>
        <w:keepNext/>
        <w:tabs>
          <w:tab w:val="left" w:pos="850"/>
        </w:tabs>
        <w:ind w:left="850" w:hanging="850"/>
        <w:outlineLvl w:val="1"/>
        <w:rPr>
          <w:rFonts w:eastAsia="Calibri"/>
          <w:b/>
          <w:noProof/>
        </w:rPr>
      </w:pPr>
      <w:r>
        <w:rPr>
          <w:b/>
          <w:noProof/>
        </w:rPr>
        <w:t>1.3.</w:t>
      </w:r>
      <w:r>
        <w:rPr>
          <w:noProof/>
        </w:rPr>
        <w:tab/>
      </w:r>
      <w:r>
        <w:rPr>
          <w:b/>
          <w:noProof/>
        </w:rPr>
        <w:t>Obiectul propunerii/inițiativei:</w:t>
      </w:r>
    </w:p>
    <w:p>
      <w:pPr>
        <w:ind w:left="850"/>
        <w:rPr>
          <w:rFonts w:eastAsia="Calibri"/>
          <w:b/>
          <w:noProof/>
          <w:sz w:val="22"/>
        </w:rPr>
      </w:pPr>
      <w:r>
        <w:rPr>
          <w:rFonts w:eastAsia="Calibri"/>
          <w:noProof/>
          <w:sz w:val="22"/>
        </w:rPr>
        <w:sym w:font="Wingdings" w:char="F0A8"/>
      </w:r>
      <w:r>
        <w:rPr>
          <w:b/>
          <w:i/>
          <w:noProof/>
          <w:sz w:val="22"/>
        </w:rPr>
        <w:t xml:space="preserve"> </w:t>
      </w:r>
      <w:r>
        <w:rPr>
          <w:b/>
          <w:noProof/>
        </w:rPr>
        <w:t>o acțiune nouă</w:t>
      </w:r>
      <w:r>
        <w:rPr>
          <w:b/>
          <w:noProof/>
          <w:sz w:val="22"/>
        </w:rPr>
        <w:t xml:space="preserve"> </w:t>
      </w:r>
    </w:p>
    <w:p>
      <w:pPr>
        <w:ind w:left="850"/>
        <w:rPr>
          <w:rFonts w:eastAsia="Calibri"/>
          <w:noProof/>
          <w:sz w:val="22"/>
        </w:rPr>
      </w:pPr>
      <w:r>
        <w:rPr>
          <w:rFonts w:eastAsia="Calibri"/>
          <w:noProof/>
          <w:sz w:val="22"/>
        </w:rPr>
        <w:sym w:font="Wingdings" w:char="F0A8"/>
      </w:r>
      <w:r>
        <w:rPr>
          <w:i/>
          <w:noProof/>
          <w:sz w:val="22"/>
        </w:rPr>
        <w:t xml:space="preserve"> </w:t>
      </w:r>
      <w:r>
        <w:rPr>
          <w:b/>
          <w:noProof/>
        </w:rPr>
        <w:t>o acțiune nouă întreprinsă ca urmare a unui proiect-pilot/a unei acțiuni pregătitoare</w:t>
      </w:r>
      <w:r>
        <w:rPr>
          <w:rStyle w:val="FootnoteReference"/>
          <w:noProof/>
        </w:rPr>
        <w:footnoteReference w:id="7"/>
      </w:r>
      <w:r>
        <w:rPr>
          <w:noProof/>
          <w:sz w:val="22"/>
        </w:rPr>
        <w:t xml:space="preserve"> </w:t>
      </w:r>
    </w:p>
    <w:p>
      <w:pPr>
        <w:ind w:left="850"/>
        <w:rPr>
          <w:rFonts w:eastAsia="Calibri"/>
          <w:noProof/>
          <w:sz w:val="22"/>
        </w:rPr>
      </w:pPr>
      <w:r>
        <w:rPr>
          <w:b/>
          <w:noProof/>
          <w:sz w:val="22"/>
        </w:rPr>
        <w:t>X</w:t>
      </w:r>
      <w:r>
        <w:rPr>
          <w:i/>
          <w:noProof/>
          <w:sz w:val="22"/>
        </w:rPr>
        <w:t xml:space="preserve"> </w:t>
      </w:r>
      <w:r>
        <w:rPr>
          <w:b/>
          <w:noProof/>
        </w:rPr>
        <w:t>prelungirea unei acțiuni existente</w:t>
      </w:r>
      <w:r>
        <w:rPr>
          <w:noProof/>
          <w:sz w:val="22"/>
        </w:rPr>
        <w:t xml:space="preserve"> </w:t>
      </w:r>
    </w:p>
    <w:p>
      <w:pPr>
        <w:ind w:left="850"/>
        <w:rPr>
          <w:rFonts w:eastAsia="Calibri"/>
          <w:noProof/>
        </w:rPr>
      </w:pPr>
      <w:r>
        <w:rPr>
          <w:rFonts w:eastAsia="Calibri"/>
          <w:noProof/>
          <w:sz w:val="22"/>
        </w:rPr>
        <w:sym w:font="Wingdings" w:char="F0A8"/>
      </w:r>
      <w:r>
        <w:rPr>
          <w:i/>
          <w:noProof/>
          <w:sz w:val="22"/>
        </w:rPr>
        <w:t xml:space="preserve"> </w:t>
      </w:r>
      <w:r>
        <w:rPr>
          <w:b/>
          <w:noProof/>
        </w:rPr>
        <w:t>o fuziune sau o redirecționare a uneia sau mai multor acțiuni către o altă/o nouă acțiune</w:t>
      </w:r>
      <w:r>
        <w:rPr>
          <w:noProof/>
        </w:rPr>
        <w:t xml:space="preserve"> </w:t>
      </w:r>
    </w:p>
    <w:p>
      <w:pPr>
        <w:keepNext/>
        <w:tabs>
          <w:tab w:val="left" w:pos="850"/>
        </w:tabs>
        <w:ind w:left="850" w:hanging="850"/>
        <w:outlineLvl w:val="1"/>
        <w:rPr>
          <w:rFonts w:eastAsia="Calibri"/>
          <w:b/>
          <w:noProof/>
        </w:rPr>
      </w:pPr>
      <w:bookmarkStart w:id="5" w:name="_Toc514941976"/>
      <w:bookmarkStart w:id="6" w:name="_Toc5205283"/>
      <w:r>
        <w:rPr>
          <w:b/>
          <w:noProof/>
        </w:rPr>
        <w:t>1.4.</w:t>
      </w:r>
      <w:r>
        <w:rPr>
          <w:noProof/>
        </w:rPr>
        <w:tab/>
      </w:r>
      <w:r>
        <w:rPr>
          <w:b/>
          <w:noProof/>
        </w:rPr>
        <w:t>Motivele propunerii/inițiativei</w:t>
      </w:r>
    </w:p>
    <w:bookmarkEnd w:id="5"/>
    <w:bookmarkEnd w:id="6"/>
    <w:p>
      <w:pPr>
        <w:keepNext/>
        <w:tabs>
          <w:tab w:val="left" w:pos="850"/>
        </w:tabs>
        <w:ind w:left="850" w:hanging="850"/>
        <w:outlineLvl w:val="1"/>
        <w:rPr>
          <w:rFonts w:eastAsia="Calibri"/>
          <w:i/>
          <w:noProof/>
        </w:rPr>
      </w:pPr>
      <w:r>
        <w:rPr>
          <w:i/>
          <w:noProof/>
        </w:rPr>
        <w:t>1.4.1.</w:t>
      </w:r>
      <w:r>
        <w:rPr>
          <w:noProof/>
        </w:rPr>
        <w:tab/>
      </w:r>
      <w:r>
        <w:rPr>
          <w:i/>
          <w:noProof/>
        </w:rPr>
        <w:t>Cerința (cerințele) care trebuie îndeplinită (îndeplinite) pe termen scurt sau lung, inclusiv un calendar detaliat pentru punerea în aplicare a inițiativei</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Institutul European de Inovare și Tehnologie (EIT) face parte integrantă din propunerea Comisiei privind programul Orizont Europa (2021-2027) în cadrul pilonului Europa inovatoare, dar are un temei juridic separat (Regulamentul EIT).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rPr>
        <w:t>Propunerea privind Orizont Europa</w:t>
      </w:r>
      <w:r>
        <w:rPr>
          <w:rStyle w:val="FootnoteReference"/>
          <w:noProof/>
        </w:rPr>
        <w:footnoteReference w:id="8"/>
      </w:r>
      <w:r>
        <w:rPr>
          <w:noProof/>
        </w:rPr>
        <w:t xml:space="preserve"> a confirmat importanța și contribuția EIT și a CCI-urilor sale la îndeplinirea priorităților strategice ale UE în domeniul inovării. Aceasta propune bugetul EIT pentru perioada 2021-2027</w:t>
      </w:r>
      <w:r>
        <w:rPr>
          <w:rStyle w:val="FootnoteReference"/>
          <w:noProof/>
        </w:rPr>
        <w:footnoteReference w:id="9"/>
      </w:r>
      <w:r>
        <w:rPr>
          <w:noProof/>
        </w:rPr>
        <w:t>, domeniul lui de aplicare, valoarea adăugată și principalele domenii de activitate, indicând totodată un rol revizuit al EIT în vederea consolidării contribuției sale la obiectivele programului Orizont Europa.</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Inițiativa urmărește ca Regulamentul EIT să devină compatibil cu programul Orizont Europa și să îmbunătățească funcționarea EIT, ținând seama de lecțiile învățate în ultimii ani. Aceasta vizează, de asemenea, să propună o nouă agendă strategică de inovare (ASI), care stabilește strategia și prioritățile EIT pentru perioada 2021-2027 și îi definește obiectivele, acțiunile-cheie, rezultatele preconizate și resursele necesare.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Misiunea globală a EIT pentru perioada 2021-2027 este de a contribui la o creștere economică durabilă și la o competitivitate sustenabilă a Europei, prin consolidarea capacității de inovare a statelor membre și a Uniunii. EIT își îndeplinește misiunea promovând și integrând educația, inovarea și cercetarea la cele mai înalte standarde.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El va continua să funcționeze în principal prin intermediul comunităților sale de cunoaștere și inovare (CCI) care sunt parteneriate europene la scară largă care abordează provocări societale specifice. El va continua să consolideze ecosistemele de inovare din jurul lor prin promovarea integrării celor trei laturi ale triunghiului cunoașterii. Fiecare CCI își va menține structura organizatorică, bazată pe „centre de colocație”, și anume centre geografice care reunesc actorii triunghiului cunoașterii și care permit proximitatea geografică și o colaborare mai strânsă.</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EIT va pune în aplicare activități care vizează:</w:t>
      </w:r>
    </w:p>
    <w:p>
      <w:pPr>
        <w:pStyle w:val="Point1number"/>
        <w:numPr>
          <w:ilvl w:val="2"/>
          <w:numId w:val="12"/>
        </w:numPr>
        <w:pBdr>
          <w:top w:val="single" w:sz="4" w:space="1" w:color="auto"/>
          <w:left w:val="single" w:sz="4" w:space="4" w:color="auto"/>
          <w:bottom w:val="single" w:sz="4" w:space="1" w:color="auto"/>
          <w:right w:val="single" w:sz="4" w:space="4" w:color="auto"/>
        </w:pBdr>
        <w:rPr>
          <w:rFonts w:eastAsia="Calibri"/>
          <w:noProof/>
        </w:rPr>
      </w:pPr>
      <w:r>
        <w:rPr>
          <w:noProof/>
        </w:rPr>
        <w:t>consolidarea ecosistemelor de inovare sustenabile în întreaga Europă;</w:t>
      </w:r>
    </w:p>
    <w:p>
      <w:pPr>
        <w:pStyle w:val="Point1number"/>
        <w:numPr>
          <w:ilvl w:val="2"/>
          <w:numId w:val="12"/>
        </w:numPr>
        <w:pBdr>
          <w:top w:val="single" w:sz="4" w:space="1" w:color="auto"/>
          <w:left w:val="single" w:sz="4" w:space="4" w:color="auto"/>
          <w:bottom w:val="single" w:sz="4" w:space="1" w:color="auto"/>
          <w:right w:val="single" w:sz="4" w:space="4" w:color="auto"/>
        </w:pBdr>
        <w:rPr>
          <w:rFonts w:eastAsia="Calibri"/>
          <w:noProof/>
        </w:rPr>
      </w:pPr>
      <w:r>
        <w:rPr>
          <w:noProof/>
        </w:rPr>
        <w:t xml:space="preserve"> încurajarea dezvoltării de competențe antreprenoriale și de inovare din perspectiva învățării pe tot parcursul vieții și sprijinirea transformării antreprenoriale a instituțiilor de învățământ superior din UE;</w:t>
      </w:r>
    </w:p>
    <w:p>
      <w:pPr>
        <w:pStyle w:val="Point1number"/>
        <w:numPr>
          <w:ilvl w:val="2"/>
          <w:numId w:val="12"/>
        </w:numPr>
        <w:pBdr>
          <w:top w:val="single" w:sz="4" w:space="1" w:color="auto"/>
          <w:left w:val="single" w:sz="4" w:space="4" w:color="auto"/>
          <w:bottom w:val="single" w:sz="4" w:space="1" w:color="auto"/>
          <w:right w:val="single" w:sz="4" w:space="4" w:color="auto"/>
        </w:pBdr>
        <w:rPr>
          <w:rFonts w:eastAsia="Calibri"/>
          <w:noProof/>
        </w:rPr>
      </w:pPr>
      <w:r>
        <w:rPr>
          <w:noProof/>
        </w:rPr>
        <w:t>aducerea de noi soluții pe piață pentru provocările globale.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În procesul de realizare a activităților sale, EIT va crea sinergii și va aduce valoare adăugată în cadrul programului Orizont Europa. Punerea în aplicare va avea loc prin sprijinul acordat CCI-urilor și prin activitățile coordonate de EIT.</w:t>
      </w:r>
    </w:p>
    <w:p>
      <w:pPr>
        <w:pBdr>
          <w:top w:val="single" w:sz="4" w:space="1" w:color="auto"/>
          <w:left w:val="single" w:sz="4" w:space="4" w:color="auto"/>
          <w:bottom w:val="single" w:sz="4" w:space="1" w:color="auto"/>
          <w:right w:val="single" w:sz="4" w:space="4" w:color="auto"/>
        </w:pBdr>
        <w:ind w:left="850"/>
        <w:rPr>
          <w:rFonts w:eastAsia="Calibri"/>
          <w:i/>
          <w:noProof/>
          <w:color w:val="000000"/>
          <w:u w:val="single"/>
        </w:rPr>
      </w:pPr>
      <w:r>
        <w:rPr>
          <w:i/>
          <w:noProof/>
          <w:color w:val="000000"/>
          <w:u w:val="single"/>
        </w:rPr>
        <w:t>Sprijin pentru CCI-uri:</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EIT va consolida cele opt CCI-uri existente, stimulând creșterea și impactul acestora și le va însoți în tranziția către viabilitatea financiară. Mai exact, sprijinul va viza primul val de trei CCI-uri lansate în 2009 (EIT Climate, EIT Digital și EIT InnoEnergy) ale căror acorduri-cadru de parteneriat se vor încheia după 2024.</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EIT va lansa, de asemenea, două noi CCI-uri în domenii tematice specifice pentru a face față viitoarelor provocări și nevoi societale globale emergente (cereri de propuneri prevăzute pentru 2021 și 2024).</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EIT va oferi sprijin CCI-urilor care au portofolii de activități ale triunghiului cunoașterii prin:</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1- </w:t>
      </w:r>
      <w:r>
        <w:rPr>
          <w:i/>
          <w:noProof/>
          <w:color w:val="000000"/>
        </w:rPr>
        <w:t>Activități de educație și formare</w:t>
      </w:r>
      <w:r>
        <w:rPr>
          <w:noProof/>
          <w:color w:val="000000"/>
        </w:rPr>
        <w:t xml:space="preserve"> cu componente antreprenoriale solide pentru formarea generației următoare de talente, inclusiv conceperea și punerea în aplicare a programelor cu eticheta EIT, în special la nivel de masterat și de doctorat (eticheta EIT);</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2- </w:t>
      </w:r>
      <w:r>
        <w:rPr>
          <w:i/>
          <w:noProof/>
          <w:color w:val="000000"/>
        </w:rPr>
        <w:t>Activități de sprijinire a inovării</w:t>
      </w:r>
      <w:r>
        <w:rPr>
          <w:noProof/>
          <w:color w:val="000000"/>
        </w:rPr>
        <w:t xml:space="preserve"> în vederea dezvoltării de produse și servicii care abordează o oportunitate specifică de afaceri;</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3- </w:t>
      </w:r>
      <w:r>
        <w:rPr>
          <w:i/>
          <w:noProof/>
          <w:color w:val="000000"/>
        </w:rPr>
        <w:t>Activități de creare și de sprijinire a întreprinderilor</w:t>
      </w:r>
      <w:r>
        <w:rPr>
          <w:noProof/>
          <w:color w:val="000000"/>
        </w:rPr>
        <w:t>, cum ar fi programele accelerate care să îi ajute pe antreprenori să își transforme ideile în afaceri de succes și să își accelereze procesul de dezvoltare.</w:t>
      </w:r>
    </w:p>
    <w:p>
      <w:pPr>
        <w:pBdr>
          <w:top w:val="single" w:sz="4" w:space="1" w:color="auto"/>
          <w:left w:val="single" w:sz="4" w:space="4" w:color="auto"/>
          <w:bottom w:val="single" w:sz="4" w:space="1" w:color="auto"/>
          <w:right w:val="single" w:sz="4" w:space="4" w:color="auto"/>
        </w:pBdr>
        <w:ind w:left="850"/>
        <w:rPr>
          <w:rFonts w:eastAsia="Calibri"/>
          <w:i/>
          <w:noProof/>
          <w:color w:val="000000"/>
          <w:u w:val="single"/>
        </w:rPr>
      </w:pPr>
      <w:r>
        <w:rPr>
          <w:i/>
          <w:noProof/>
          <w:color w:val="000000"/>
          <w:u w:val="single"/>
        </w:rPr>
        <w:t>Activități coordonate de EIT:</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EIT va urmări să sprijine instituțiile de învățământ superior să se integreze mai bine în lanțurile valorice și în ecosistemele de inovare. EIT va pune în aplicare, prin intermediul CCI-urilor sale, o acțiune de sprijin care va reuni în cadrul unor proiecte instituții de învățământ superior și alți actori-cheie din sfera inovării, cum ar fi întreprinderile, pentru a lucra pe domenii strategice de dezvoltare a capacităților. Partenerii vor împărtăși obiective comune și vor lucra împreună pentru obținerea unor rezultate reciproc avantajoase. </w:t>
      </w:r>
      <w:r>
        <w:rPr>
          <w:noProof/>
        </w:rPr>
        <w:t xml:space="preserve">Acțiunea va asigura o abordare favorabilă incluziunii pentru a atrage și alte instituții de învățământ superior decât cele partenere ale CCI-urilor, o abordare interdisciplinară și intersectorială și o legătură cu strategia de specializare inteligentă a Comisiei Europene, cu platformele tematice relevante și cu SIR a EIT.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Prin intermediul Mecanismului de inovare regională și al noilor activități coordonate de EIT, institutul își va spori raza de acțiune a inovării la nivel regional și impactul aferent.</w:t>
      </w:r>
    </w:p>
    <w:p>
      <w:pPr>
        <w:keepNext/>
        <w:tabs>
          <w:tab w:val="left" w:pos="850"/>
        </w:tabs>
        <w:ind w:left="850" w:hanging="850"/>
        <w:outlineLvl w:val="1"/>
        <w:rPr>
          <w:rFonts w:eastAsia="Calibri"/>
          <w:i/>
          <w:noProof/>
        </w:rPr>
      </w:pPr>
      <w:r>
        <w:rPr>
          <w:i/>
          <w:noProof/>
        </w:rPr>
        <w:t>1.4.2.</w:t>
      </w:r>
      <w:r>
        <w:rPr>
          <w:noProof/>
        </w:rPr>
        <w:tab/>
      </w:r>
      <w:r>
        <w:rPr>
          <w:i/>
          <w:noProof/>
        </w:rPr>
        <w:t>Valoarea adăugată a intervenției Uniunii (aceasta poate rezulta din diferiți factori, de exemplu mai buna coordonare, securitatea juridică, o mai mare eficacitate sau complementaritate). În sensul prezentului punct, „valoarea adăugată a intervenției Uniunii” este valoarea ce rezultă din intervenția Uniunii care depășește valoarea ce ar fi fost obținută dacă ar fi acționat doar statele membre.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Motivele acțiunii la nivel european (ex ante)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Natura și amploarea provocărilor din domeniul inovării impun mobilizarea actorilor și a resurselor la scară europeană, prin promovarea colaborării transfrontaliere. Este necesar să se elimine barierele existente între discipline și de-a lungul lanțurilor valorice și să se stimuleze crearea unui mediu favorabil pentru un schimb eficace de cunoștințe și de expertiză, precum și pentru dezvoltarea și atragerea talentelor antreprenoriale.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Evaluarea impactului programului Orizont Europa a identificat deficiențe structurale specifice ale capacității de inovare a UE care trebuie abordate la nivelul UE și pe care urmează să se concentreze contribuțiile EIT. Mai exact, instituțiile europene de învățământ superior trebuie să stimuleze spiritul antreprenorial, să depășească granițele disciplinare și să instituționalizeze colaborări intense, fără caracter disciplinar la nivelul UE între mediul universitar și industrie. Accesul la antreprenori talentați, alături de accesul la servicii profesionale, la capital și la piețe la nivelul UE, precum și reunirea actorilor-cheie din domeniul inovării în jurul unui obiectiv comun reprezintă principalele ingrediente necesare pentru dezvoltarea unui ecosistem de inovare. Este necesară coordonarea eforturilor din întreaga UE, pentru a crea o masă critică de clustere și ecosisteme antreprenoriale interconectate la nivelul UE. Acest nivel de intensitate și amploare a intervenției depășește ceea ce pot face singure statele membre și necesită o intervenție la nivelul UE.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Valoarea adăugată pe care se preconizează că o va avea intervenția Uniunii (ex post)</w:t>
      </w:r>
    </w:p>
    <w:p>
      <w:pPr>
        <w:pBdr>
          <w:top w:val="single" w:sz="4" w:space="1" w:color="auto"/>
          <w:left w:val="single" w:sz="4" w:space="4" w:color="auto"/>
          <w:bottom w:val="single" w:sz="4" w:space="1" w:color="auto"/>
          <w:right w:val="single" w:sz="4" w:space="4" w:color="auto"/>
        </w:pBdr>
        <w:spacing w:before="0" w:after="0"/>
        <w:ind w:left="850"/>
        <w:rPr>
          <w:rFonts w:eastAsia="Calibri"/>
          <w:noProof/>
          <w:color w:val="000000"/>
        </w:rPr>
      </w:pPr>
      <w:r>
        <w:rPr>
          <w:noProof/>
          <w:color w:val="000000"/>
        </w:rPr>
        <w:t>Se preconizează că EIT își va îndeplini obiectivele pentru perioada 2021-2027, astfel cum se subliniază în propunerea privind programul Orizont Europa. Beneficiile specifice ale investițiilor UE în EIT vor avea drept rezultat:</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noProof/>
          <w:color w:val="000000"/>
        </w:rPr>
        <w:t xml:space="preserve">- </w:t>
      </w:r>
      <w:r>
        <w:rPr>
          <w:noProof/>
        </w:rPr>
        <w:t>crearea de noi medii favorabile colaborării și inovării;</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noProof/>
        </w:rPr>
        <w:t>- capacități de inovare mai puternice ale mediului universitar și ale sectorului cercetării;</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noProof/>
        </w:rPr>
        <w:t>- o nouă generație de persoane cu spirit antreprenorial;</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noProof/>
        </w:rPr>
        <w:t>- crearea și dezvoltarea de întreprinderi inovatoare;</w:t>
      </w:r>
    </w:p>
    <w:p>
      <w:pPr>
        <w:pBdr>
          <w:top w:val="single" w:sz="4" w:space="1" w:color="auto"/>
          <w:left w:val="single" w:sz="4" w:space="4" w:color="auto"/>
          <w:bottom w:val="single" w:sz="4" w:space="1" w:color="auto"/>
          <w:right w:val="single" w:sz="4" w:space="4" w:color="auto"/>
        </w:pBdr>
        <w:spacing w:before="0" w:after="0"/>
        <w:ind w:left="850"/>
        <w:rPr>
          <w:rFonts w:eastAsia="Calibri"/>
          <w:noProof/>
        </w:rPr>
      </w:pPr>
      <w:r>
        <w:rPr>
          <w:noProof/>
        </w:rPr>
        <w:t>- o mai mare deschidere la nivel regional a activităților de inovare ale EIT.</w:t>
      </w:r>
    </w:p>
    <w:p>
      <w:pPr>
        <w:keepNext/>
        <w:tabs>
          <w:tab w:val="left" w:pos="850"/>
        </w:tabs>
        <w:ind w:left="850" w:hanging="850"/>
        <w:outlineLvl w:val="1"/>
        <w:rPr>
          <w:rFonts w:eastAsia="Calibri"/>
          <w:i/>
          <w:noProof/>
        </w:rPr>
      </w:pPr>
      <w:bookmarkStart w:id="7" w:name="_Toc514941979"/>
      <w:r>
        <w:rPr>
          <w:i/>
          <w:noProof/>
        </w:rPr>
        <w:t>1.4.3.</w:t>
      </w:r>
      <w:r>
        <w:rPr>
          <w:noProof/>
        </w:rPr>
        <w:tab/>
      </w:r>
      <w:r>
        <w:rPr>
          <w:i/>
          <w:noProof/>
        </w:rPr>
        <w:t>Învățăminte desprinse din experiențele anterioare similare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EIT a fost înființat în 2008 pentru a aborda principalele provocări societale prin îmbunătățirea capacității și a performanței UE în materie de inovare. În 2017, evaluarea intermediară a EIT a concluzionat că EIT continuă să fie foarte relevant și că are o valoare adăugată evidentă la nivelul UE. Nu există niciun alt instrument care să construiască rețele de inovare la nivelul UE pentru educație, cercetare, întreprinderi și alte părți interesate.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EIT a creat un ecosistem de inovare în Europa, cu peste 1 200 de parteneri din mediul de afaceri, cercetare și educație, organizat în 8 comunități de cunoaștere și inovare (CCI-uri), răsfirate în peste 40 de centre de colocație. Peste 50 % din partenerii din mediul de afaceri (industria, IMM-urile și start-upurile) demonstrează că acest instrument este apropiat de piață. Comunitatea EIT obține rezultate: peste 600 de noi produse și servicii lansate pe piață, peste 1 250 de start-upuri și întreprinderi inovatoare care au beneficiat de sprijin, investiții externe în valoare de peste 890 de milioane EUR și peste 6 000 de locuri de muncă create. Primele cohorte de aproximativ 1 700 de absolvenți de cursuri de master cu eticheta EIT intră acum pe piața forței de muncă.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Faptul că EIT a fost conceput să fie un organism independent îi permite să fie flexibil, autonom, orientat spre afaceri și agil în procesul de luare a deciziilor. Timpul de obținere a unui grant este de 4 luni, pe când media este de 6 luni în cadrul programului Orizont 2020. Normele privind finanțarea competitivă, viabilitatea financiară și simplificarea stimulează inovarea în cadrul CCI-urilor. Costurile administrative ale EIT sunt foarte scăzute, reprezentând mai puțin de 2 % din bugetul total, comparativ cu media de 4,6 % raportată pentru programul Orizont 2020.</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Pe perioada 2021-2027, principalele îmbunătățiri aduse EIT vor viza în special:</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simplificarea suplimentară a procedurilor pentru gestionarea eficientă a CCI-urilor (de exemplu, prin introducerea unui nou mecanism de cofinanțare, a granturilor multianuale etc.);</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 sprijinirea unei mai bune integrări a instituțiilor de învățământ superior în lanțurile valorice și în ecosistemele de inovare;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abordarea provocărilor mai globale prin lansarea a două noi CCI-uri;</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 consolidarea deschiderii și a transparenței CCI-urilor și alinierea acestora la </w:t>
      </w:r>
      <w:r>
        <w:rPr>
          <w:noProof/>
        </w:rPr>
        <w:t xml:space="preserve">abordarea propusă pentru parteneriatele europene din cadrul programului Orizont Europa;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creșterea impactului EIT la nivel regional și local și în special în țările cu o performanță mai scăzută în materie de inovare;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creșterea vizibilității acțiunii EIT în statele membre și în afara lor;</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intensificarea sinergiilor și a complementarităților cu alte instrumente ale programului Orizont Europa și cu alte instrumente ale UE și ale statelor membre.</w:t>
      </w:r>
    </w:p>
    <w:bookmarkEnd w:id="7"/>
    <w:p>
      <w:pPr>
        <w:keepNext/>
        <w:tabs>
          <w:tab w:val="left" w:pos="850"/>
        </w:tabs>
        <w:ind w:left="850" w:hanging="850"/>
        <w:outlineLvl w:val="1"/>
        <w:rPr>
          <w:rFonts w:eastAsia="Calibri"/>
          <w:i/>
          <w:noProof/>
        </w:rPr>
      </w:pPr>
      <w:r>
        <w:rPr>
          <w:i/>
          <w:noProof/>
        </w:rPr>
        <w:t>1.4.4.</w:t>
      </w:r>
      <w:r>
        <w:rPr>
          <w:noProof/>
        </w:rPr>
        <w:tab/>
      </w:r>
      <w:r>
        <w:rPr>
          <w:i/>
          <w:noProof/>
        </w:rPr>
        <w:t>Compatibilitatea și posibila sinergie cu alte instrumente corespunzătoare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Bazându-se pe domeniul său vast de acțiune și pe rolul său specific, EIT este bine plasat pentru a crea sinergii și a oferi complementarități cu alte programe sau instrumente ale UE, inclusiv prin consolidarea sprijinului acordat CCI-urilor în cadrul activităților lor de planificare și de implementare. Lista neexhaustivă de mai jos oferă exemple concrete de cazuri în care EIT va contribui la sinergii pe termen mediu și lung în cadrul programului Orizont Europa și în afara acestuia.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u w:val="single"/>
        </w:rPr>
        <w:t>Programul Orizont Europa:</w:t>
      </w:r>
      <w:r>
        <w:rPr>
          <w:noProof/>
          <w:color w:val="000000"/>
        </w:rPr>
        <w:t xml:space="preserve"> Se anticipează sinergii puternice între EIT și întregul program Orizont Europa. Mai exact, sinergiile cu EIC vor fi esențiale pentru impactul pilonului Europa inovatoare, precum și pentru sprijinul acordat ecosistemelor.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În cadrul pilonului [Provocări globale și competitivitate industrială], prin intermediul CCI-urilor sale, EIT poate colabora cu parteneriatele europene, poate contribui la misiuni, poate sprijini măsurile referitoare la cerere și poate furniza servicii de exploatare pentru a stimula transferul de tehnologie și pentru a accelera comercializarea rezultatelor obținute de clusterele tematice sau de alte parteneriate europene.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u w:val="single"/>
        </w:rPr>
        <w:t>Programul Erasmus:</w:t>
      </w:r>
      <w:r>
        <w:rPr>
          <w:noProof/>
          <w:color w:val="000000"/>
        </w:rPr>
        <w:t xml:space="preserve"> Erasmus și EIT vor crea sinergii între comunitățile fiecăruia dintre ele. Cooperarea va fi orientată către asigurarea accesului pentru cursanții Erasmus care participă în cadrul instituțiilor de educație și formare partenere ale CCI-urilor la școlile de vară ale CCI-urilor sau la alte activități de formare relevante (de exemplu, pe tema spiritului antreprenorial și a gestionării inovării) și către stabilirea de contacte cu rețeaua absolvenților CCI-urilor.</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Vor fi asigurate sinergii, acolo unde este posibil, cu inițiativa privind universitățile europene care ar putea contribui la integrarea activităților educaționale și de formare ale EIT în vederea obținerii unui impact sistemic.</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u w:val="single"/>
        </w:rPr>
        <w:t xml:space="preserve">Programul Europa digitală (DEP - </w:t>
      </w:r>
      <w:r>
        <w:rPr>
          <w:i/>
          <w:noProof/>
          <w:color w:val="000000"/>
          <w:u w:val="single"/>
        </w:rPr>
        <w:t>Digital Europe Programme</w:t>
      </w:r>
      <w:r>
        <w:rPr>
          <w:noProof/>
          <w:color w:val="000000"/>
          <w:u w:val="single"/>
        </w:rPr>
        <w:t>):</w:t>
      </w:r>
      <w:r>
        <w:rPr>
          <w:noProof/>
          <w:color w:val="000000"/>
        </w:rPr>
        <w:t xml:space="preserve"> Centrele de colocație ale CCI-urilor vor colabora cu centrele europene de inovare digitală pentru a sprijini transformarea digitală a industriei și a organizațiilor din sectorul public.</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u w:val="single"/>
        </w:rPr>
        <w:t>Fondurile politicii de coeziune (în special FEDR și fondurile ESI+):</w:t>
      </w:r>
      <w:r>
        <w:rPr>
          <w:noProof/>
          <w:color w:val="000000"/>
        </w:rPr>
        <w:t xml:space="preserve"> Prin centrele lor de colocație, CCI-urile EIT vor promova cooperarea regională și interregională între actorii triunghiului cunoașterii (educație, cercetare, întreprinderi) și autoritățile de management, în sinergie cu activitatea Comisiei Europene în materie de cooperare interregională și de investiții în prioritățile conexe de specializare inteligentă.</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u w:val="single"/>
        </w:rPr>
        <w:t>Programul InvestEU:</w:t>
      </w:r>
      <w:r>
        <w:rPr>
          <w:noProof/>
          <w:color w:val="000000"/>
        </w:rPr>
        <w:t xml:space="preserve"> CCI-urile EIT vor urmări să colaboreze cu Platforma de consiliere InvestEU pentru a oferi sprijin tehnic și asistență întreprinderilor susținute de CCI-uri în ceea ce privește pregătirea, dezvoltarea și punerea în aplicare a proiectelor.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u w:val="single"/>
        </w:rPr>
        <w:t>Programul Europa Creativă:</w:t>
      </w:r>
      <w:r>
        <w:rPr>
          <w:noProof/>
          <w:color w:val="000000"/>
        </w:rPr>
        <w:t xml:space="preserve"> Programul va fi deosebit de relevant pentru activitățile unei viitoare CCI consacrate industriilor culturale și creative. Se vor crea sinergii și complementarități puternice cu acest program în domenii precum competențele creative, locurile de muncă și modelele de afaceri.</w:t>
      </w:r>
    </w:p>
    <w:p>
      <w:pPr>
        <w:keepNext/>
        <w:tabs>
          <w:tab w:val="left" w:pos="850"/>
        </w:tabs>
        <w:ind w:left="850" w:hanging="850"/>
        <w:outlineLvl w:val="1"/>
        <w:rPr>
          <w:rFonts w:eastAsia="Calibri"/>
          <w:b/>
          <w:noProof/>
        </w:rPr>
      </w:pPr>
      <w:r>
        <w:rPr>
          <w:noProof/>
        </w:rPr>
        <w:br w:type="page"/>
      </w:r>
      <w:r>
        <w:rPr>
          <w:b/>
          <w:noProof/>
        </w:rPr>
        <w:t>1.5.</w:t>
      </w:r>
      <w:r>
        <w:rPr>
          <w:noProof/>
        </w:rPr>
        <w:tab/>
      </w:r>
      <w:r>
        <w:rPr>
          <w:b/>
          <w:noProof/>
        </w:rPr>
        <w:t>Durata și impactul financiar</w:t>
      </w:r>
    </w:p>
    <w:p>
      <w:pPr>
        <w:ind w:left="850"/>
        <w:rPr>
          <w:rFonts w:eastAsia="Calibri"/>
          <w:noProof/>
        </w:rPr>
      </w:pPr>
      <w:r>
        <w:rPr>
          <w:b/>
          <w:noProof/>
        </w:rPr>
        <w:t>X</w:t>
      </w:r>
      <w:r>
        <w:rPr>
          <w:b/>
          <w:i/>
          <w:noProof/>
        </w:rPr>
        <w:t xml:space="preserve"> </w:t>
      </w:r>
      <w:r>
        <w:rPr>
          <w:b/>
          <w:noProof/>
        </w:rPr>
        <w:t xml:space="preserve">durată limitată </w:t>
      </w:r>
    </w:p>
    <w:p>
      <w:pPr>
        <w:tabs>
          <w:tab w:val="num" w:pos="1134"/>
        </w:tabs>
        <w:ind w:left="1134" w:hanging="283"/>
        <w:rPr>
          <w:rFonts w:eastAsia="Calibri"/>
          <w:noProof/>
        </w:rPr>
      </w:pPr>
      <w:r>
        <w:rPr>
          <w:b/>
          <w:noProof/>
        </w:rPr>
        <w:t>X</w:t>
      </w:r>
      <w:r>
        <w:rPr>
          <w:noProof/>
        </w:rPr>
        <w:tab/>
        <w:t xml:space="preserve">în vigoare de la [1/1]2021 până la [31/12]2027 </w:t>
      </w:r>
    </w:p>
    <w:p>
      <w:pPr>
        <w:tabs>
          <w:tab w:val="num" w:pos="1134"/>
        </w:tabs>
        <w:ind w:left="1134" w:hanging="283"/>
        <w:rPr>
          <w:rFonts w:eastAsia="Calibri"/>
          <w:noProof/>
        </w:rPr>
      </w:pPr>
      <w:r>
        <w:rPr>
          <w:b/>
          <w:noProof/>
        </w:rPr>
        <w:t>X</w:t>
      </w:r>
      <w:r>
        <w:rPr>
          <w:noProof/>
        </w:rPr>
        <w:tab/>
        <w:t xml:space="preserve">impact financiar din 2021 până în 2027 pentru creditele de angajament și din 2021 până în 2029 pentru creditele de plată. </w:t>
      </w:r>
    </w:p>
    <w:p>
      <w:pPr>
        <w:ind w:left="850"/>
        <w:rPr>
          <w:rFonts w:eastAsia="Calibri"/>
          <w:noProof/>
        </w:rPr>
      </w:pPr>
      <w:r>
        <w:rPr>
          <w:rFonts w:eastAsia="Calibri"/>
          <w:noProof/>
        </w:rPr>
        <w:sym w:font="Wingdings" w:char="F0A8"/>
      </w:r>
      <w:r>
        <w:rPr>
          <w:b/>
          <w:i/>
          <w:noProof/>
        </w:rPr>
        <w:t xml:space="preserve"> </w:t>
      </w:r>
      <w:r>
        <w:rPr>
          <w:b/>
          <w:noProof/>
        </w:rPr>
        <w:t>durată nelimitată</w:t>
      </w:r>
    </w:p>
    <w:p>
      <w:pPr>
        <w:tabs>
          <w:tab w:val="num" w:pos="1134"/>
        </w:tabs>
        <w:ind w:left="1134" w:hanging="283"/>
        <w:rPr>
          <w:rFonts w:eastAsia="Calibri"/>
          <w:noProof/>
        </w:rPr>
      </w:pPr>
      <w:r>
        <w:rPr>
          <w:noProof/>
        </w:rPr>
        <w:t>punere în aplicare cu o perioadă de creștere în intensitate din AAAA până în AAAA,</w:t>
      </w:r>
    </w:p>
    <w:p>
      <w:pPr>
        <w:tabs>
          <w:tab w:val="num" w:pos="1134"/>
        </w:tabs>
        <w:ind w:left="1134" w:hanging="283"/>
        <w:rPr>
          <w:rFonts w:eastAsia="Calibri"/>
          <w:noProof/>
        </w:rPr>
      </w:pPr>
      <w:r>
        <w:rPr>
          <w:noProof/>
        </w:rPr>
        <w:t>urmată de o perioadă de funcționare la capacitate maximă.</w:t>
      </w:r>
    </w:p>
    <w:p>
      <w:pPr>
        <w:keepNext/>
        <w:tabs>
          <w:tab w:val="left" w:pos="850"/>
        </w:tabs>
        <w:ind w:left="850" w:hanging="850"/>
        <w:outlineLvl w:val="1"/>
        <w:rPr>
          <w:rFonts w:eastAsia="Calibri"/>
          <w:b/>
          <w:noProof/>
          <w:szCs w:val="24"/>
        </w:rPr>
      </w:pPr>
      <w:bookmarkStart w:id="8" w:name="_Toc514941981"/>
      <w:bookmarkStart w:id="9" w:name="_Toc5205288"/>
      <w:r>
        <w:rPr>
          <w:b/>
          <w:noProof/>
        </w:rPr>
        <w:t>1.6.</w:t>
      </w:r>
      <w:r>
        <w:rPr>
          <w:noProof/>
        </w:rPr>
        <w:tab/>
      </w:r>
      <w:r>
        <w:rPr>
          <w:b/>
          <w:noProof/>
        </w:rPr>
        <w:t>Modul (modurile) de gestiune preconizat(e)</w:t>
      </w:r>
      <w:r>
        <w:rPr>
          <w:rStyle w:val="FootnoteReference"/>
          <w:noProof/>
        </w:rPr>
        <w:footnoteReference w:id="10"/>
      </w:r>
      <w:bookmarkEnd w:id="8"/>
      <w:bookmarkEnd w:id="9"/>
      <w:r>
        <w:rPr>
          <w:b/>
          <w:noProof/>
          <w:vertAlign w:val="superscript"/>
        </w:rPr>
        <w:t xml:space="preserve"> </w:t>
      </w:r>
    </w:p>
    <w:p>
      <w:pPr>
        <w:ind w:left="850"/>
        <w:rPr>
          <w:rFonts w:eastAsia="Calibri"/>
          <w:noProof/>
        </w:rPr>
      </w:pPr>
      <w:r>
        <w:rPr>
          <w:rFonts w:eastAsia="Calibri"/>
          <w:noProof/>
        </w:rPr>
        <w:sym w:font="Wingdings" w:char="F0A8"/>
      </w:r>
      <w:r>
        <w:rPr>
          <w:i/>
          <w:noProof/>
        </w:rPr>
        <w:t xml:space="preserve"> </w:t>
      </w:r>
      <w:r>
        <w:rPr>
          <w:b/>
          <w:noProof/>
        </w:rPr>
        <w:t>Gestiune directă</w:t>
      </w:r>
      <w:r>
        <w:rPr>
          <w:noProof/>
        </w:rPr>
        <w:t xml:space="preserve"> asigurată de Comisie</w:t>
      </w:r>
    </w:p>
    <w:p>
      <w:pPr>
        <w:tabs>
          <w:tab w:val="num" w:pos="1134"/>
        </w:tabs>
        <w:ind w:left="1134" w:hanging="283"/>
        <w:rPr>
          <w:rFonts w:eastAsia="Calibri"/>
          <w:noProof/>
        </w:rPr>
      </w:pPr>
      <w:r>
        <w:rPr>
          <w:rFonts w:eastAsia="Calibri"/>
          <w:noProof/>
        </w:rPr>
        <w:sym w:font="Wingdings" w:char="F0A8"/>
      </w:r>
      <w:r>
        <w:rPr>
          <w:noProof/>
        </w:rPr>
        <w:t xml:space="preserve"> prin intermediul departamentelor sale, inclusiv al personalului din delegațiile Uniunii; </w:t>
      </w:r>
    </w:p>
    <w:p>
      <w:pPr>
        <w:tabs>
          <w:tab w:val="num" w:pos="1134"/>
        </w:tabs>
        <w:ind w:left="1134" w:hanging="283"/>
        <w:rPr>
          <w:rFonts w:eastAsia="Calibri"/>
          <w:noProof/>
        </w:rPr>
      </w:pPr>
      <w:r>
        <w:rPr>
          <w:rFonts w:eastAsia="Calibri"/>
          <w:noProof/>
        </w:rPr>
        <w:sym w:font="Wingdings" w:char="F0A8"/>
      </w:r>
      <w:r>
        <w:rPr>
          <w:noProof/>
        </w:rPr>
        <w:tab/>
        <w:t xml:space="preserve">prin intermediul agențiilor executive </w:t>
      </w:r>
    </w:p>
    <w:p>
      <w:pPr>
        <w:ind w:left="850"/>
        <w:rPr>
          <w:rFonts w:eastAsia="Calibri"/>
          <w:noProof/>
        </w:rPr>
      </w:pPr>
      <w:r>
        <w:rPr>
          <w:rFonts w:eastAsia="Calibri"/>
          <w:noProof/>
        </w:rPr>
        <w:sym w:font="Wingdings" w:char="F0A8"/>
      </w:r>
      <w:r>
        <w:rPr>
          <w:b/>
          <w:i/>
          <w:noProof/>
        </w:rPr>
        <w:t xml:space="preserve"> </w:t>
      </w:r>
      <w:r>
        <w:rPr>
          <w:b/>
          <w:noProof/>
        </w:rPr>
        <w:t>Gestiune partajată</w:t>
      </w:r>
      <w:r>
        <w:rPr>
          <w:noProof/>
        </w:rPr>
        <w:t xml:space="preserve"> cu statele membre </w:t>
      </w:r>
    </w:p>
    <w:p>
      <w:pPr>
        <w:ind w:left="850"/>
        <w:rPr>
          <w:rFonts w:eastAsia="Calibri"/>
          <w:noProof/>
        </w:rPr>
      </w:pPr>
      <w:r>
        <w:rPr>
          <w:b/>
          <w:noProof/>
        </w:rPr>
        <w:t>X</w:t>
      </w:r>
      <w:r>
        <w:rPr>
          <w:i/>
          <w:noProof/>
        </w:rPr>
        <w:t xml:space="preserve"> </w:t>
      </w:r>
      <w:r>
        <w:rPr>
          <w:b/>
          <w:noProof/>
        </w:rPr>
        <w:t>Gestiune indirectă</w:t>
      </w:r>
      <w:r>
        <w:rPr>
          <w:noProof/>
        </w:rPr>
        <w:t>, cu delegarea sarcinilor de execuție bugetară:</w:t>
      </w:r>
    </w:p>
    <w:p>
      <w:pPr>
        <w:tabs>
          <w:tab w:val="num" w:pos="1134"/>
        </w:tabs>
        <w:ind w:left="1134" w:hanging="283"/>
        <w:rPr>
          <w:rFonts w:eastAsia="Calibri"/>
          <w:noProof/>
        </w:rPr>
      </w:pPr>
      <w:r>
        <w:rPr>
          <w:rFonts w:eastAsia="Calibri"/>
          <w:noProof/>
        </w:rPr>
        <w:sym w:font="Wingdings" w:char="F0A8"/>
      </w:r>
      <w:r>
        <w:rPr>
          <w:noProof/>
        </w:rPr>
        <w:t xml:space="preserve"> țărilor terțe sau organismelor pe care le-au desemnat acestea;</w:t>
      </w:r>
    </w:p>
    <w:p>
      <w:pPr>
        <w:tabs>
          <w:tab w:val="num" w:pos="1134"/>
        </w:tabs>
        <w:ind w:left="1134" w:hanging="283"/>
        <w:rPr>
          <w:rFonts w:eastAsia="Calibri"/>
          <w:noProof/>
        </w:rPr>
      </w:pPr>
      <w:r>
        <w:rPr>
          <w:rFonts w:eastAsia="Calibri"/>
          <w:noProof/>
        </w:rPr>
        <w:sym w:font="Wingdings" w:char="F0A8"/>
      </w:r>
      <w:r>
        <w:rPr>
          <w:noProof/>
        </w:rPr>
        <w:t xml:space="preserve"> organizațiilor internaționale și agențiilor acestora (a se preciza);</w:t>
      </w:r>
    </w:p>
    <w:p>
      <w:pPr>
        <w:tabs>
          <w:tab w:val="num" w:pos="1134"/>
        </w:tabs>
        <w:ind w:left="1134" w:hanging="283"/>
        <w:rPr>
          <w:rFonts w:eastAsia="Calibri"/>
          <w:noProof/>
        </w:rPr>
      </w:pPr>
      <w:r>
        <w:rPr>
          <w:rFonts w:eastAsia="Calibri"/>
          <w:noProof/>
        </w:rPr>
        <w:sym w:font="Wingdings" w:char="F0A8"/>
      </w:r>
      <w:r>
        <w:rPr>
          <w:noProof/>
        </w:rPr>
        <w:t xml:space="preserve"> BEI și Fondului european de investiții;</w:t>
      </w:r>
    </w:p>
    <w:p>
      <w:pPr>
        <w:tabs>
          <w:tab w:val="num" w:pos="1134"/>
        </w:tabs>
        <w:ind w:left="1134" w:hanging="283"/>
        <w:rPr>
          <w:rFonts w:eastAsia="Calibri"/>
          <w:noProof/>
        </w:rPr>
      </w:pPr>
      <w:r>
        <w:rPr>
          <w:b/>
          <w:noProof/>
        </w:rPr>
        <w:t>X</w:t>
      </w:r>
      <w:r>
        <w:rPr>
          <w:noProof/>
        </w:rPr>
        <w:t xml:space="preserve"> organismelor menționate la articolele 70 și 71 din Regulamentul financiar;</w:t>
      </w:r>
    </w:p>
    <w:p>
      <w:pPr>
        <w:tabs>
          <w:tab w:val="num" w:pos="1134"/>
        </w:tabs>
        <w:ind w:left="1134" w:hanging="283"/>
        <w:rPr>
          <w:rFonts w:eastAsia="Calibri"/>
          <w:noProof/>
        </w:rPr>
      </w:pPr>
      <w:r>
        <w:rPr>
          <w:rFonts w:eastAsia="Calibri"/>
          <w:noProof/>
        </w:rPr>
        <w:sym w:font="Wingdings" w:char="F0A8"/>
      </w:r>
      <w:r>
        <w:rPr>
          <w:noProof/>
        </w:rPr>
        <w:t xml:space="preserve"> organismelor de drept public;</w:t>
      </w:r>
    </w:p>
    <w:p>
      <w:pPr>
        <w:tabs>
          <w:tab w:val="num" w:pos="1134"/>
        </w:tabs>
        <w:ind w:left="1134" w:hanging="283"/>
        <w:rPr>
          <w:rFonts w:eastAsia="Calibri"/>
          <w:noProof/>
        </w:rPr>
      </w:pPr>
      <w:r>
        <w:rPr>
          <w:rFonts w:eastAsia="Calibri"/>
          <w:noProof/>
        </w:rPr>
        <w:sym w:font="Wingdings" w:char="F0A8"/>
      </w:r>
      <w:r>
        <w:rPr>
          <w:noProof/>
        </w:rPr>
        <w:t xml:space="preserve"> organismelor de drept privat cu misiune de serviciu public, cu condiția să prezinte garanții financiare adecvate;</w:t>
      </w:r>
    </w:p>
    <w:p>
      <w:pPr>
        <w:tabs>
          <w:tab w:val="num" w:pos="1134"/>
        </w:tabs>
        <w:ind w:left="1134" w:hanging="283"/>
        <w:rPr>
          <w:rFonts w:eastAsia="Calibri"/>
          <w:noProof/>
        </w:rPr>
      </w:pPr>
      <w:r>
        <w:rPr>
          <w:rFonts w:eastAsia="Calibri"/>
          <w:noProof/>
        </w:rPr>
        <w:sym w:font="Wingdings" w:char="F0A8"/>
      </w:r>
      <w:r>
        <w:rPr>
          <w:noProof/>
        </w:rPr>
        <w:t xml:space="preserve"> organismelor de drept privat dintr-un stat membru care sunt responsabile cu punerea în aplicare a unui parteneriat public-privat și care prezintă garanții financiare adecvate;</w:t>
      </w:r>
    </w:p>
    <w:p>
      <w:pPr>
        <w:tabs>
          <w:tab w:val="num" w:pos="1134"/>
        </w:tabs>
        <w:ind w:left="1134" w:hanging="283"/>
        <w:rPr>
          <w:rFonts w:eastAsia="Calibri"/>
          <w:noProof/>
        </w:rPr>
      </w:pPr>
      <w:r>
        <w:rPr>
          <w:rFonts w:eastAsia="Calibri"/>
          <w:noProof/>
        </w:rPr>
        <w:sym w:font="Wingdings" w:char="F0A8"/>
      </w:r>
      <w:r>
        <w:rPr>
          <w:noProof/>
        </w:rPr>
        <w:t xml:space="preserve"> persoanelor cărora li se încredințează executarea unor acțiuni specifice în cadrul PESC, în temeiul titlului V din TUE, și care sunt identificate în actul de bază relevant.</w:t>
      </w:r>
    </w:p>
    <w:p>
      <w:pPr>
        <w:tabs>
          <w:tab w:val="num" w:pos="1134"/>
        </w:tabs>
        <w:ind w:left="1134" w:hanging="283"/>
        <w:rPr>
          <w:rFonts w:eastAsia="Calibri"/>
          <w:i/>
          <w:noProof/>
          <w:sz w:val="18"/>
          <w:u w:val="single"/>
        </w:rPr>
      </w:pPr>
      <w:r>
        <w:rPr>
          <w:i/>
          <w:noProof/>
          <w:sz w:val="18"/>
        </w:rPr>
        <w:t>Dacă se indică mai multe moduri de gestiune, a se furniza detalii suplimentare în secțiunea „Observații”.</w:t>
      </w:r>
    </w:p>
    <w:p>
      <w:pPr>
        <w:rPr>
          <w:rFonts w:eastAsia="Calibri"/>
          <w:noProof/>
        </w:rPr>
        <w:sectPr>
          <w:pgSz w:w="11907" w:h="16840" w:code="9"/>
          <w:pgMar w:top="1134" w:right="1418" w:bottom="1134" w:left="1418" w:header="709" w:footer="709" w:gutter="0"/>
          <w:cols w:space="708"/>
          <w:docGrid w:linePitch="360"/>
        </w:sectPr>
      </w:pPr>
    </w:p>
    <w:p>
      <w:pPr>
        <w:keepNext/>
        <w:tabs>
          <w:tab w:val="left" w:pos="850"/>
        </w:tabs>
        <w:spacing w:before="360"/>
        <w:ind w:left="850" w:hanging="850"/>
        <w:outlineLvl w:val="0"/>
        <w:rPr>
          <w:rFonts w:eastAsia="Calibri"/>
          <w:b/>
          <w:smallCaps/>
          <w:noProof/>
        </w:rPr>
      </w:pPr>
      <w:bookmarkStart w:id="10" w:name="_Toc514941983"/>
      <w:bookmarkStart w:id="11" w:name="_Toc5205290"/>
      <w:r>
        <w:rPr>
          <w:b/>
          <w:smallCaps/>
          <w:noProof/>
        </w:rPr>
        <w:t>2.</w:t>
      </w:r>
      <w:r>
        <w:rPr>
          <w:noProof/>
        </w:rPr>
        <w:tab/>
      </w:r>
      <w:r>
        <w:rPr>
          <w:b/>
          <w:smallCaps/>
          <w:noProof/>
        </w:rPr>
        <w:t>MĂSURI DE GESTIUNE</w:t>
      </w:r>
    </w:p>
    <w:bookmarkEnd w:id="10"/>
    <w:bookmarkEnd w:id="11"/>
    <w:p>
      <w:pPr>
        <w:keepNext/>
        <w:outlineLvl w:val="1"/>
        <w:rPr>
          <w:rFonts w:eastAsia="Calibri"/>
          <w:b/>
          <w:bCs/>
          <w:noProof/>
          <w:szCs w:val="26"/>
        </w:rPr>
      </w:pPr>
      <w:r>
        <w:rPr>
          <w:b/>
          <w:noProof/>
        </w:rPr>
        <w:t>2.1.</w:t>
      </w:r>
      <w:r>
        <w:rPr>
          <w:noProof/>
        </w:rPr>
        <w:tab/>
      </w:r>
      <w:r>
        <w:rPr>
          <w:b/>
          <w:noProof/>
        </w:rPr>
        <w:t>Dispoziții în materie de monitorizare și de raportare</w:t>
      </w:r>
      <w:r>
        <w:rPr>
          <w:b/>
          <w:noProof/>
          <w:sz w:val="16"/>
        </w:rPr>
        <w:t xml:space="preserve"> </w:t>
      </w:r>
    </w:p>
    <w:p>
      <w:pPr>
        <w:ind w:left="850"/>
        <w:rPr>
          <w:rFonts w:eastAsia="Calibri"/>
          <w:i/>
          <w:noProof/>
          <w:sz w:val="20"/>
        </w:rPr>
      </w:pPr>
      <w:r>
        <w:rPr>
          <w:i/>
          <w:noProof/>
          <w:sz w:val="20"/>
        </w:rPr>
        <w:t>A se preciza frecvența și condițiile aferente monitorizării și raportării.</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 xml:space="preserve">EIT va aplica un cadru de evaluare și de monitorizare care permite flexibilitatea </w:t>
      </w:r>
      <w:r>
        <w:rPr>
          <w:noProof/>
        </w:rPr>
        <w:t xml:space="preserve">la toate nivelurile relevante și asigură coerența cu obiectivele generale ale programului Orizont Europa și cu impactul urmărit. </w:t>
      </w:r>
      <w:r>
        <w:rPr>
          <w:noProof/>
          <w:color w:val="000000"/>
        </w:rPr>
        <w:t xml:space="preserve">În speță, se vor asigura legături de feedback între Comisie, EIT și CCI-uri pentru ca obiectivele să fie abordate într-un mod consecvent, coerent și eficient.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MONITORIZARE</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Monitorizarea EIT va fi instituită pe următoarele niveluri:</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 xml:space="preserve">1. Monitorizarea execuției bugetului său operațional, în principal prin CCI-uri, va fi una dintre sarcinile principale ale EIT. Comisia va lua parte la un proces comun de proiectare a tuturor instrumentelor relevante de analiză a impactului și de monitorizare elaborate sau aplicate de EIT pentru a asigura compatibilitatea și coerența cu sistemul global de monitorizare al programului Orizont Europa, inclusiv principalele căi de impact, cadrul de criterii pentru parteneriatele europene și procesul de planificare strategică.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 xml:space="preserve">EIT va avea responsabilitatea de a monitoriza cu regularitate performanța operațională și rezultatele CCI-urilor și de a-și adapta în mod continuu sistemele de monitorizare. Rezultatele acestei monitorizări vor fi luate în considerare în procesele de planificare a activităților CCI-urilor și în procesul decizional al EIT cu privire la alocarea bugetului și la pregătirea acordurilor-cadru de parteneriat și a acordurilor de grant specifice cu CCI-urile în calitate de beneficiari.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2. Monitorizarea activităților proprii ale EIT (realizări, rezultate și impactul activităților) va combina indicatori cantitativi și calitativi într-o perspectivă pe termen mediu. În urma acordării unei autonomii financiare depline EIT în ianuarie 2018, a fost semnat un memorandum de înțelegere între EIT și Comisie (DG EAC). Acest memorandum de înțelegere definește modalitățile de cooperare între acestea și modalitățile detaliate de asigurare a contribuției financiare de la bugetul general al Uniunii Europene către EIT.</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Monitorizarea activităților EIT va urmări gradul de realizare a ASI și a documentului unic de programare prin analiza indicatorilor săi. De asemenea, va măsura, de exemplu, performanța EIT în ceea ce privește furnizarea de sprijin CCI-urilor, gestionarea proiectelor legate de activitățile coordonate de EIT, intensitatea și acoperirea activității de sensibilizare și de informare (numărul de ateliere și de evenimente pe tema celor mai bune practici), diseminarea și activitățile internaționale și impactul EIT asupra agendelor de politici europene mai ample în materie de inovare, cercetare și educație.</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 xml:space="preserve">3.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 xml:space="preserve">Evaluările periodice ale activităților EIT, inclusiv ale celor gestionate prin intermediul CCI-urilor, vor fi efectuate de către Comisie în 2023 și 2026, în conformitate cu Regulamentul EIT și cu Regulamentul privind programul Orizont Europa. Aceste evaluări vor analiza eficacitatea, eficiența, relevanța, coerența și valoarea adăugată europeană a activităților EIT. Ele se vor baza pe evaluări externe independente și vor fi luate în considerare în evaluările intermediare și </w:t>
      </w:r>
      <w:r>
        <w:rPr>
          <w:i/>
          <w:noProof/>
          <w:color w:val="000000"/>
        </w:rPr>
        <w:t>ex post</w:t>
      </w:r>
      <w:r>
        <w:rPr>
          <w:noProof/>
          <w:color w:val="000000"/>
        </w:rPr>
        <w:t xml:space="preserve"> ale întregului program Orizont Europa, în vederea asigurării unor sinergii între EIT și alte părți ale programului. În plus, Comisia poate în orice moment să efectueze evaluări suplimentare pe teme sau subiecte de importanță strategică. Sinergiile activităților planificate ale EIT cu alte programe ale UE ar trebui să fie asigurate prin evaluarea de către Comisie a documentului unic de programare al EIT.</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RAPORTARE</w:t>
      </w:r>
    </w:p>
    <w:p>
      <w:pPr>
        <w:pBdr>
          <w:top w:val="single" w:sz="4" w:space="1" w:color="auto"/>
          <w:left w:val="single" w:sz="4" w:space="0" w:color="auto"/>
          <w:bottom w:val="single" w:sz="4" w:space="1" w:color="auto"/>
          <w:right w:val="single" w:sz="4" w:space="4" w:color="auto"/>
        </w:pBdr>
        <w:ind w:left="850"/>
        <w:rPr>
          <w:rFonts w:eastAsia="Calibri"/>
          <w:noProof/>
        </w:rPr>
      </w:pPr>
      <w:r>
        <w:rPr>
          <w:noProof/>
        </w:rPr>
        <w:t>EIT este un organism al Uniunii care primește o subvenție de la bugetul Uniunii Europene. Din perspectiva gestiunii financiare și a controlului financiar, EIT va fi tratat ca alte organisme instituite în temeiul tratatului. Acest lucru înseamnă că Acordul interinstituțional</w:t>
      </w:r>
      <w:r>
        <w:rPr>
          <w:rStyle w:val="FootnoteReference"/>
          <w:noProof/>
        </w:rPr>
        <w:footnoteReference w:id="11"/>
      </w:r>
      <w:r>
        <w:rPr>
          <w:noProof/>
        </w:rPr>
        <w:t xml:space="preserve"> dintre Parlamentul European, Consiliu și Comisie privind disciplina bugetară, cooperarea în chestiuni bugetare și buna gestiune financiară se aplică EIT.</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 În ceea ce privește raportarea privind punerea în aplicare a sistemului de monitorizare:</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 xml:space="preserve">• </w:t>
      </w:r>
      <w:r>
        <w:rPr>
          <w:i/>
          <w:noProof/>
          <w:color w:val="000000"/>
        </w:rPr>
        <w:t>Documentul unic de programare</w:t>
      </w:r>
      <w:r>
        <w:rPr>
          <w:noProof/>
          <w:color w:val="000000"/>
        </w:rPr>
        <w:t xml:space="preserve"> al EIT adoptat anual conține un program de lucru multianual (n+3) și un program de lucru anual (n+1). Aceste programe de lucru stabilesc programarea strategică globală de la exercițiul financiar n+1 până la exercițiul financiar n+3, inclusiv obiectivele, rezultatele preconizate și indicatorii de performanță pentru a monitoriza îndeplinirea obiectivelor și rezultatele. În plus, documentul unic de programare va conține, printre altele, o estimare a veniturilor și cheltuielilor sale; un document de programare a resurselor; informații privind politica sa imobiliară; strategia de obținere a unei eficiente sporite și a sinergiilor; strategia privind sistemele de gestiune organizațională și de control intern, inclusiv strategia antifraudă a acestora, astfel cum a fost actualizată ultima dată, și o mențiune a măsurilor de prevenire a reapariției cazurilor de conflict de interese, de nereguli și de fraudă. </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 xml:space="preserve">• </w:t>
      </w:r>
      <w:r>
        <w:rPr>
          <w:i/>
          <w:noProof/>
          <w:color w:val="000000"/>
        </w:rPr>
        <w:t>Raportul anual de activitate</w:t>
      </w:r>
      <w:r>
        <w:rPr>
          <w:noProof/>
          <w:color w:val="000000"/>
        </w:rPr>
        <w:t xml:space="preserve"> pentru anul precedent (n-1) va include rezultatele procesului de monitorizare pentru n-1 și va descrie modul și măsura în care au fost atinse obiectivele. Raportul anual de activitate trebuie să țină seama de rapoartele privind costurile și performanța CCI-urilor aferente anului anterior (n-1) al activității lor.</w:t>
      </w:r>
    </w:p>
    <w:p>
      <w:pPr>
        <w:pBdr>
          <w:top w:val="single" w:sz="4" w:space="1" w:color="auto"/>
          <w:left w:val="single" w:sz="4" w:space="0" w:color="auto"/>
          <w:bottom w:val="single" w:sz="4" w:space="1" w:color="auto"/>
          <w:right w:val="single" w:sz="4" w:space="4" w:color="auto"/>
        </w:pBdr>
        <w:ind w:left="850"/>
        <w:rPr>
          <w:rFonts w:eastAsia="Calibri"/>
          <w:noProof/>
          <w:color w:val="000000"/>
        </w:rPr>
      </w:pPr>
      <w:r>
        <w:rPr>
          <w:noProof/>
          <w:color w:val="000000"/>
        </w:rPr>
        <w:t xml:space="preserve">Condițiile de raportare ale CCI-urilor au fost stabilite în temeiul acordului-cadru de parteneriat și al acordurilor de grant (raportare privind performanța și costurile). Pentru a spori eficiența și raportul cost-eficacitate și pe baza experienței dobândite de EIT în timpul punerii în aplicare a acordurilor de grant de către CCI-uri, în procesul de gestionare a granturilor se vor implementa o serie de măsuri de simplificare care vor avea drept obiective principale reducerea volumului de muncă administrativă pentru CCI-uri și creșterea calității datelor colectate. </w:t>
      </w:r>
    </w:p>
    <w:p>
      <w:pPr>
        <w:pBdr>
          <w:top w:val="single" w:sz="4" w:space="1" w:color="auto"/>
          <w:left w:val="single" w:sz="4" w:space="0" w:color="auto"/>
          <w:bottom w:val="single" w:sz="4" w:space="1" w:color="auto"/>
          <w:right w:val="single" w:sz="4" w:space="4" w:color="auto"/>
        </w:pBdr>
        <w:ind w:left="850"/>
        <w:rPr>
          <w:rFonts w:eastAsia="Calibri"/>
          <w:noProof/>
          <w:color w:val="000000"/>
        </w:rPr>
      </w:pPr>
    </w:p>
    <w:p>
      <w:pPr>
        <w:keepNext/>
        <w:outlineLvl w:val="1"/>
        <w:rPr>
          <w:rFonts w:eastAsia="Calibri"/>
          <w:b/>
          <w:noProof/>
        </w:rPr>
      </w:pPr>
      <w:r>
        <w:rPr>
          <w:b/>
          <w:noProof/>
        </w:rPr>
        <w:t>2.2.</w:t>
      </w:r>
      <w:r>
        <w:rPr>
          <w:noProof/>
        </w:rPr>
        <w:tab/>
      </w:r>
      <w:r>
        <w:rPr>
          <w:b/>
          <w:noProof/>
        </w:rPr>
        <w:t>Sistemul (sistemele) de gestiune și de control</w:t>
      </w:r>
    </w:p>
    <w:p>
      <w:pPr>
        <w:keepNext/>
        <w:outlineLvl w:val="1"/>
        <w:rPr>
          <w:rFonts w:eastAsia="Calibri"/>
          <w:b/>
          <w:noProof/>
          <w:color w:val="000000"/>
          <w:szCs w:val="24"/>
        </w:rPr>
      </w:pPr>
      <w:r>
        <w:rPr>
          <w:i/>
          <w:noProof/>
        </w:rPr>
        <w:t>2.2.1.</w:t>
      </w:r>
      <w:r>
        <w:rPr>
          <w:noProof/>
        </w:rPr>
        <w:tab/>
      </w:r>
      <w:r>
        <w:rPr>
          <w:i/>
          <w:noProof/>
        </w:rPr>
        <w:t>Justificarea modului (modurilor) de gestiune, a mecanismului (mecanismelor) de punere în aplicare a finanțării, a modalităților de plată și a strategiei de control propuse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Ca organism integrat pe deplin în programul Orizont Europa, mecanismele de executare a fondurilor, modalitățile de plată și strategia de control propuse sunt aliniate la cele ale programului Orizont Europa pentru a se asigura că beneficiarii și părțile interesate au o abordare coerentă în ceea ce privește normele de eligibilitate și buna gestiune financiară. </w:t>
      </w:r>
    </w:p>
    <w:p>
      <w:pPr>
        <w:pBdr>
          <w:top w:val="single" w:sz="4" w:space="1" w:color="auto"/>
          <w:left w:val="single" w:sz="4" w:space="4" w:color="auto"/>
          <w:bottom w:val="single" w:sz="4" w:space="1" w:color="auto"/>
          <w:right w:val="single" w:sz="4" w:space="4" w:color="auto"/>
        </w:pBdr>
        <w:ind w:left="850"/>
        <w:rPr>
          <w:rFonts w:eastAsia="Calibri"/>
          <w:i/>
          <w:noProof/>
          <w:color w:val="000000"/>
        </w:rPr>
      </w:pPr>
      <w:r>
        <w:rPr>
          <w:noProof/>
          <w:color w:val="000000"/>
        </w:rPr>
        <w:t>Cu o rată de eroare aflată în mod constant sub 2 %, performanța EIT în perioada 2014-2020 este una dintre cele mai bune în familia cercetării și, datorită proiectării specifice, combină ratele de eroare scăzute cu o abordare în materie de control care, prin utilizarea atentă a externalizării, păstrează costurile controlului la un nivel scăzut, menținând în același timp eficacitatea și eficiența.</w:t>
      </w:r>
    </w:p>
    <w:p>
      <w:pPr>
        <w:keepNext/>
        <w:outlineLvl w:val="2"/>
        <w:rPr>
          <w:rFonts w:eastAsia="Calibri"/>
          <w:bCs/>
          <w:i/>
          <w:noProof/>
          <w:color w:val="000000"/>
        </w:rPr>
      </w:pPr>
      <w:r>
        <w:rPr>
          <w:i/>
          <w:noProof/>
        </w:rPr>
        <w:t>2.2.2.</w:t>
      </w:r>
      <w:r>
        <w:rPr>
          <w:noProof/>
        </w:rPr>
        <w:tab/>
      </w:r>
      <w:r>
        <w:rPr>
          <w:i/>
          <w:noProof/>
        </w:rPr>
        <w:t>Informații privind riscurile identificate și sistemul (sistemele) de control intern instituit(e) pentru atenuarea lor</w:t>
      </w:r>
      <w:r>
        <w:rPr>
          <w:noProof/>
          <w:sz w:val="16"/>
        </w:rPr>
        <w:t xml:space="preserv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Ținând seama de necesitatea clară de a gestiona bugetul european într-un mod eficient și eficace și de a asigura o bună gestiune financiară, EIT dispune de un sistem de control intern pentru a oferi o asigurare rezonabilă că, pe parcursul perioadei multianuale de cheltuieli, eroarea este în limitele și chiar sub limitele propuse în programul Orizont Europa. Cadrul de control intern al EIT se va baza, de asemenea, pe: standardele de control intern ale Comisiei, procedurile proprii ale EIT, verificarea </w:t>
      </w:r>
      <w:r>
        <w:rPr>
          <w:i/>
          <w:noProof/>
          <w:color w:val="000000"/>
        </w:rPr>
        <w:t>ex ante</w:t>
      </w:r>
      <w:r>
        <w:rPr>
          <w:noProof/>
          <w:color w:val="000000"/>
        </w:rPr>
        <w:t xml:space="preserve"> a 100 % din cheltuielile declarate ale CCI-urilor finanțate de EIT, certificatele de audit, certificarea </w:t>
      </w:r>
      <w:r>
        <w:rPr>
          <w:i/>
          <w:noProof/>
          <w:color w:val="000000"/>
        </w:rPr>
        <w:t>ex ante</w:t>
      </w:r>
      <w:r>
        <w:rPr>
          <w:noProof/>
          <w:color w:val="000000"/>
        </w:rPr>
        <w:t xml:space="preserve"> a metodologiilor de declarare a costurilor, auditurile </w:t>
      </w:r>
      <w:r>
        <w:rPr>
          <w:i/>
          <w:noProof/>
          <w:color w:val="000000"/>
        </w:rPr>
        <w:t>ex post</w:t>
      </w:r>
      <w:r>
        <w:rPr>
          <w:noProof/>
          <w:color w:val="000000"/>
        </w:rPr>
        <w:t xml:space="preserve"> pe un eșantion de cereri de plată, rezultatele proiectelor și evaluarea externă.</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EIT a instituit structura organizațională și sistemele și procedurile interne de gestiune și de control adecvate pentru îndeplinirea sarcinilor EIT. Acest lucru a fost realizat în conformitate cu standardele adoptate de consiliul de conducere pe baza unor standarde echivalente stabilite de Comisie și ținând seama în mod corespunzător de riscurile asociate mediului de gestionare și de natura acțiunii finanțate.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Exercițiul de gestionare a riscurilor este efectuat în fiecare an pentru a atenua orice risc legat de punerea în aplicare a tuturor activităților EIT. În acest context, EIT ar trebui să țină seama, la stabilirea cadrului de control intern, de riscurile aferente activităților puse în aplicare, de caracteristicile specifice ale populației și de recurența beneficiarilor, de frecvența granturilor acordate și de dimensiunea tranzacțiilor, precum și de evitarea oricărei suprapuneri a finanțării.</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O serie de măsuri de simplificare puse în aplicare începând cu 2014 au condus la reducerea ratelor de eroare. Rata de eroare detectată care rezultă din verificarea</w:t>
      </w:r>
      <w:r>
        <w:rPr>
          <w:i/>
          <w:noProof/>
          <w:color w:val="000000"/>
        </w:rPr>
        <w:t xml:space="preserve"> ex post</w:t>
      </w:r>
      <w:r>
        <w:rPr>
          <w:noProof/>
          <w:color w:val="000000"/>
        </w:rPr>
        <w:t xml:space="preserve"> a granturilor EIT se situează cu mult sub pragul de semnificație de 2 %.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Sistemul de control instituit de EIT oferă o asigurare rezonabilă cu privire la realizarea unei gestionări adecvate a riscurilor legate de eficacitatea și eficiența operațiunilor, asigurând legalitatea și regularitatea tranzacțiilor subiacente și atingând un echilibru între încredere și control. Parte integrantă a sistemului de control pus în aplicare de EIT, strategia de audit se bazează pe auditul financiar al unui eșantion reprezentativ de cheltuieli din întregul buget al EIT, în special prin intermediul granturilor anuale acordate CCI-urilor în fiecare an. Acest eșantion reprezentativ poate fi completat de o selecție bazată pe o evaluare a riscurilor asociate cheltuielilor în timpul verificării </w:t>
      </w:r>
      <w:r>
        <w:rPr>
          <w:i/>
          <w:noProof/>
          <w:color w:val="000000"/>
        </w:rPr>
        <w:t>ex ante</w:t>
      </w:r>
      <w:r>
        <w:rPr>
          <w:noProof/>
          <w:color w:val="000000"/>
        </w:rPr>
        <w:t xml:space="preserve"> a 100 % dintre cererile de plată, iar experiența dobândită va fi utilizată în cadrul evaluării cadrului de control al evaluării riscurilor pentru execuția granturilor. Auditurile cheltuielilor vor continua să se facă coerent, în conformitate cu principiile economisirii, eficienței și eficacității.</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În ceea ce privește cadrul său de control intern, EIT a creat o strategie globală, inclusiv o structură de supraveghere, privind punerea în aplicare a proceselor de control intern care sprijină întregul ciclu de viață al cheltuielilor. Conducerea sa superioară se asigură că această strategie globală este acceptată în mod oficial de consiliul de conducere și că este implementată. Principalele elemente ale acestei strategii sunt exercițiul de planificare și de raportare care respectă standardele Comisiei și care este legat de abordarea gestionării riscurilor. În plus, EIT a elaborat și o serie de proceduri standard de operare (PSO). PSO sunt instrucțiuni detaliate, scrise, menite să asigure uniformitatea performanței unui proces specific; instrucțiunile acoperă de obicei mai multe sarcini sau domenii din cadrul EIT, al unei unități, al unei secțiuni sau al echipelor.</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Certificatele de audit privind situațiile financiare sunt furnizate de CCI-uri și de diferiți parteneri, iar, prin intermediul lor, auditorii independenți subcontractați de EIT certifică legalitatea și conformitatea sumelor declarate în rapoartele financiare.</w:t>
      </w:r>
    </w:p>
    <w:p>
      <w:pPr>
        <w:pBdr>
          <w:top w:val="single" w:sz="4" w:space="1" w:color="auto"/>
          <w:left w:val="single" w:sz="4" w:space="4" w:color="auto"/>
          <w:bottom w:val="single" w:sz="4" w:space="1" w:color="auto"/>
          <w:right w:val="single" w:sz="4" w:space="4" w:color="auto"/>
        </w:pBdr>
        <w:ind w:left="850"/>
        <w:rPr>
          <w:rFonts w:eastAsia="Calibri"/>
          <w:noProof/>
          <w:color w:val="000000"/>
        </w:rPr>
      </w:pPr>
    </w:p>
    <w:p>
      <w:pPr>
        <w:keepNext/>
        <w:outlineLvl w:val="2"/>
        <w:rPr>
          <w:rFonts w:eastAsia="Calibri"/>
          <w:bCs/>
          <w:i/>
          <w:noProof/>
          <w:color w:val="000000"/>
        </w:rPr>
      </w:pPr>
      <w:r>
        <w:rPr>
          <w:i/>
          <w:noProof/>
        </w:rPr>
        <w:t>2.2.3.</w:t>
      </w:r>
      <w:r>
        <w:rPr>
          <w:noProof/>
        </w:rPr>
        <w:tab/>
      </w:r>
      <w:r>
        <w:rPr>
          <w:i/>
          <w:noProof/>
        </w:rPr>
        <w:t>Estimarea și justificarea raportului cost-eficacitate al controalelor (raportul dintre costurile controalelor și valoarea fondurilor aferente gestionate) și evaluarea nivelurilor preconizate ale riscurilor de eroare (la plată și la închidere)</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Pe baza celei mai recente estimări, costul controalelor EIT este sub 3 % din fondurile gestionate, cu un risc de eroare de 1 %. Măsurile corective sunt aplicate în mod normal prin intermediul certificatelor privind situațiile financiare și al auditurilor </w:t>
      </w:r>
      <w:r>
        <w:rPr>
          <w:i/>
          <w:noProof/>
          <w:color w:val="000000"/>
        </w:rPr>
        <w:t>ex post</w:t>
      </w:r>
      <w:r>
        <w:rPr>
          <w:noProof/>
          <w:color w:val="000000"/>
        </w:rPr>
        <w:t>. Combinația dintre dimensiunea redusă și eficacitatea și eficiența externalizării permite menținerea costurilor aferente controalelor la un nivel scăzut și obținerea unui nivel de asigurare suficient, astfel cum o demonstrează recentele declarații de asigurare ale Curții de Conturi Europene.</w:t>
      </w:r>
    </w:p>
    <w:p>
      <w:pPr>
        <w:keepNext/>
        <w:outlineLvl w:val="1"/>
        <w:rPr>
          <w:rFonts w:eastAsia="Calibri"/>
          <w:b/>
          <w:noProof/>
          <w:color w:val="000000"/>
          <w:szCs w:val="24"/>
        </w:rPr>
      </w:pPr>
      <w:r>
        <w:rPr>
          <w:b/>
          <w:noProof/>
        </w:rPr>
        <w:t>2.3.</w:t>
      </w:r>
      <w:r>
        <w:rPr>
          <w:noProof/>
        </w:rPr>
        <w:tab/>
      </w:r>
      <w:r>
        <w:rPr>
          <w:b/>
          <w:noProof/>
        </w:rPr>
        <w:t>Măsuri de prevenire a fraudelor și a neregulilor</w:t>
      </w:r>
      <w:r>
        <w:rPr>
          <w:b/>
          <w:noProof/>
          <w:sz w:val="16"/>
        </w:rPr>
        <w:t xml:space="preserve"> </w:t>
      </w:r>
    </w:p>
    <w:p>
      <w:pPr>
        <w:ind w:left="850"/>
        <w:rPr>
          <w:rFonts w:eastAsia="Calibri"/>
          <w:i/>
          <w:noProof/>
          <w:color w:val="000000"/>
          <w:sz w:val="20"/>
        </w:rPr>
      </w:pPr>
      <w:r>
        <w:rPr>
          <w:i/>
          <w:noProof/>
          <w:color w:val="000000"/>
          <w:sz w:val="20"/>
        </w:rPr>
        <w:t>A se preciza măsurile de prevenire și de protecție existente sau preconizate, de exemplu din strategia antifraudă.</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 xml:space="preserve">EIT ia măsurile corespunzătoare pentru a se asigura că interesele financiare ale Uniunii sunt protejate. </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EIT este hotărât să lupte împotriva fraudei în toate etapele procesului de gestionare a granturilor și ale altor activități puse în aplicare. Toate deciziile adoptate și contractele încheiate de EIT prevăd în mod explicit că Oficiul European de Luptă Antifraudă (OLAF) și Curtea de Conturi pot desfășura inspecții la fața locului ale documentelor tuturor contractanților și subcontractanților care au primit fonduri din partea Uniunii, inclusiv la sediul beneficiarilor finali.</w:t>
      </w:r>
    </w:p>
    <w:p>
      <w:pPr>
        <w:pBdr>
          <w:top w:val="single" w:sz="4" w:space="1" w:color="auto"/>
          <w:left w:val="single" w:sz="4" w:space="4" w:color="auto"/>
          <w:bottom w:val="single" w:sz="4" w:space="1" w:color="auto"/>
          <w:right w:val="single" w:sz="4" w:space="4" w:color="auto"/>
        </w:pBdr>
        <w:ind w:left="850"/>
        <w:rPr>
          <w:rFonts w:eastAsia="Calibri"/>
          <w:noProof/>
          <w:color w:val="000000"/>
        </w:rPr>
      </w:pPr>
      <w:r>
        <w:rPr>
          <w:noProof/>
          <w:color w:val="000000"/>
        </w:rPr>
        <w:t>Din 2015 EIT are o strategie antifraudă în conformitate cu cea a Comisiei și își îmbunătățește în mod continuu măsurile de prevenire și de detectare a fraudei.</w:t>
      </w:r>
    </w:p>
    <w:p>
      <w:pPr>
        <w:rPr>
          <w:rFonts w:eastAsia="Calibri"/>
          <w:noProof/>
        </w:rPr>
        <w:sectPr>
          <w:pgSz w:w="11907" w:h="16840" w:code="9"/>
          <w:pgMar w:top="1134" w:right="1418" w:bottom="1134" w:left="1418" w:header="709" w:footer="709" w:gutter="0"/>
          <w:cols w:space="708"/>
          <w:docGrid w:linePitch="360"/>
        </w:sectPr>
      </w:pPr>
    </w:p>
    <w:p>
      <w:pPr>
        <w:rPr>
          <w:rFonts w:eastAsia="Calibri"/>
          <w:noProof/>
        </w:rPr>
      </w:pPr>
      <w:bookmarkStart w:id="12" w:name="_Toc514941990"/>
      <w:bookmarkStart w:id="13" w:name="_Toc5205297"/>
      <w:r>
        <w:rPr>
          <w:b/>
          <w:smallCaps/>
          <w:noProof/>
        </w:rPr>
        <w:t>3.</w:t>
      </w:r>
      <w:r>
        <w:rPr>
          <w:noProof/>
        </w:rPr>
        <w:tab/>
      </w:r>
      <w:r>
        <w:rPr>
          <w:b/>
          <w:smallCaps/>
          <w:noProof/>
        </w:rPr>
        <w:t>IMPACTUL FINANCIAR ESTIMAT AL PROPUNERII/INIȚIATIVEI</w:t>
      </w:r>
      <w:r>
        <w:rPr>
          <w:noProof/>
        </w:rPr>
        <w:t xml:space="preserve"> </w:t>
      </w:r>
    </w:p>
    <w:bookmarkEnd w:id="12"/>
    <w:bookmarkEnd w:id="13"/>
    <w:p>
      <w:pPr>
        <w:keepNext/>
        <w:outlineLvl w:val="1"/>
        <w:rPr>
          <w:rFonts w:eastAsia="Calibri"/>
          <w:b/>
          <w:bCs/>
          <w:noProof/>
          <w:szCs w:val="26"/>
        </w:rPr>
      </w:pPr>
      <w:r>
        <w:rPr>
          <w:b/>
          <w:noProof/>
        </w:rPr>
        <w:t>3.1.</w:t>
      </w:r>
      <w:r>
        <w:rPr>
          <w:noProof/>
        </w:rPr>
        <w:tab/>
      </w:r>
      <w:r>
        <w:rPr>
          <w:b/>
          <w:noProof/>
        </w:rPr>
        <w:t>Rubrica din cadrul financiar multianual și linia (liniile) bugetară (bugetare) de cheltuieli propusă (propuse)</w:t>
      </w:r>
      <w:r>
        <w:rPr>
          <w:noProof/>
          <w:sz w:val="16"/>
        </w:rPr>
        <w:t xml:space="preserve"> </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1044"/>
        <w:gridCol w:w="1134"/>
        <w:gridCol w:w="814"/>
        <w:gridCol w:w="1448"/>
      </w:tblGrid>
      <w:tr>
        <w:tc>
          <w:tcPr>
            <w:tcW w:w="1080" w:type="dxa"/>
            <w:vMerge w:val="restart"/>
            <w:vAlign w:val="center"/>
          </w:tcPr>
          <w:p>
            <w:pPr>
              <w:spacing w:before="60" w:after="60"/>
              <w:jc w:val="center"/>
              <w:rPr>
                <w:rFonts w:eastAsia="Calibri"/>
                <w:noProof/>
              </w:rPr>
            </w:pPr>
          </w:p>
        </w:tc>
        <w:tc>
          <w:tcPr>
            <w:tcW w:w="3960" w:type="dxa"/>
            <w:vAlign w:val="center"/>
          </w:tcPr>
          <w:p>
            <w:pPr>
              <w:spacing w:before="60" w:after="60"/>
              <w:jc w:val="center"/>
              <w:rPr>
                <w:rFonts w:eastAsia="Calibri"/>
                <w:noProof/>
              </w:rPr>
            </w:pPr>
            <w:r>
              <w:rPr>
                <w:noProof/>
                <w:sz w:val="20"/>
              </w:rPr>
              <w:t>Linia bugetară</w:t>
            </w:r>
          </w:p>
        </w:tc>
        <w:tc>
          <w:tcPr>
            <w:tcW w:w="1080" w:type="dxa"/>
            <w:vAlign w:val="center"/>
          </w:tcPr>
          <w:p>
            <w:pPr>
              <w:spacing w:before="60" w:after="60"/>
              <w:jc w:val="center"/>
              <w:rPr>
                <w:rFonts w:eastAsia="Calibri"/>
                <w:noProof/>
              </w:rPr>
            </w:pPr>
            <w:r>
              <w:rPr>
                <w:noProof/>
                <w:sz w:val="18"/>
              </w:rPr>
              <w:t xml:space="preserve">Tipul </w:t>
            </w:r>
            <w:r>
              <w:rPr>
                <w:rFonts w:eastAsia="Calibri"/>
                <w:noProof/>
                <w:sz w:val="22"/>
              </w:rPr>
              <w:br/>
            </w:r>
            <w:r>
              <w:rPr>
                <w:noProof/>
                <w:sz w:val="18"/>
              </w:rPr>
              <w:t>de cheltuieli</w:t>
            </w:r>
          </w:p>
        </w:tc>
        <w:tc>
          <w:tcPr>
            <w:tcW w:w="4440" w:type="dxa"/>
            <w:gridSpan w:val="4"/>
            <w:vAlign w:val="center"/>
          </w:tcPr>
          <w:p>
            <w:pPr>
              <w:spacing w:before="60" w:after="60"/>
              <w:jc w:val="center"/>
              <w:rPr>
                <w:rFonts w:eastAsia="Calibri"/>
                <w:noProof/>
              </w:rPr>
            </w:pPr>
            <w:r>
              <w:rPr>
                <w:noProof/>
                <w:sz w:val="20"/>
              </w:rPr>
              <w:t xml:space="preserve">Contribuție </w:t>
            </w:r>
          </w:p>
        </w:tc>
      </w:tr>
      <w:tr>
        <w:tc>
          <w:tcPr>
            <w:tcW w:w="1080" w:type="dxa"/>
            <w:vMerge/>
            <w:vAlign w:val="center"/>
          </w:tcPr>
          <w:p>
            <w:pPr>
              <w:jc w:val="center"/>
              <w:rPr>
                <w:rFonts w:eastAsia="Calibri"/>
                <w:noProof/>
              </w:rPr>
            </w:pPr>
          </w:p>
        </w:tc>
        <w:tc>
          <w:tcPr>
            <w:tcW w:w="3960" w:type="dxa"/>
            <w:vAlign w:val="center"/>
          </w:tcPr>
          <w:p>
            <w:pPr>
              <w:spacing w:before="60"/>
              <w:rPr>
                <w:noProof/>
                <w:sz w:val="22"/>
              </w:rPr>
            </w:pPr>
            <w:r>
              <w:rPr>
                <w:noProof/>
                <w:sz w:val="22"/>
              </w:rPr>
              <w:t>01.010101 Cheltuieli legate de funcționarii și agenții temporari care pun în aplicare programe de cercetare și inovare – Orizont Europa</w:t>
            </w:r>
          </w:p>
          <w:p>
            <w:pPr>
              <w:spacing w:before="60"/>
              <w:rPr>
                <w:noProof/>
                <w:sz w:val="22"/>
              </w:rPr>
            </w:pPr>
            <w:r>
              <w:rPr>
                <w:noProof/>
                <w:sz w:val="22"/>
              </w:rPr>
              <w:t>01.010102 Personal extern care pune în aplicare programe de cercetare și inovare – Orizont Europa</w:t>
            </w:r>
          </w:p>
          <w:p>
            <w:pPr>
              <w:spacing w:before="60"/>
              <w:rPr>
                <w:noProof/>
                <w:sz w:val="22"/>
              </w:rPr>
            </w:pPr>
            <w:r>
              <w:rPr>
                <w:noProof/>
                <w:sz w:val="22"/>
              </w:rPr>
              <w:t>01.010103 Alte cheltuieli de gestiune pentru programele de cercetare și inovare – Orizont Europa</w:t>
            </w:r>
          </w:p>
          <w:p>
            <w:pPr>
              <w:rPr>
                <w:rFonts w:eastAsia="Calibri"/>
                <w:noProof/>
                <w:sz w:val="22"/>
              </w:rPr>
            </w:pPr>
          </w:p>
          <w:p>
            <w:pPr>
              <w:rPr>
                <w:rFonts w:eastAsia="Calibri"/>
                <w:noProof/>
              </w:rPr>
            </w:pPr>
            <w:r>
              <w:rPr>
                <w:noProof/>
                <w:sz w:val="22"/>
              </w:rPr>
              <w:t>Rubrica I. Piața unică, inovare și sectorul digital</w:t>
            </w:r>
          </w:p>
        </w:tc>
        <w:tc>
          <w:tcPr>
            <w:tcW w:w="1080" w:type="dxa"/>
            <w:vAlign w:val="center"/>
          </w:tcPr>
          <w:p>
            <w:pPr>
              <w:jc w:val="center"/>
              <w:rPr>
                <w:rFonts w:eastAsia="Calibri"/>
                <w:noProof/>
              </w:rPr>
            </w:pPr>
            <w:r>
              <w:rPr>
                <w:noProof/>
                <w:sz w:val="18"/>
              </w:rPr>
              <w:t>Nedif.</w:t>
            </w:r>
            <w:r>
              <w:rPr>
                <w:rStyle w:val="FootnoteReference"/>
                <w:noProof/>
              </w:rPr>
              <w:footnoteReference w:id="12"/>
            </w:r>
          </w:p>
        </w:tc>
        <w:tc>
          <w:tcPr>
            <w:tcW w:w="1044" w:type="dxa"/>
            <w:vAlign w:val="center"/>
          </w:tcPr>
          <w:p>
            <w:pPr>
              <w:jc w:val="center"/>
              <w:rPr>
                <w:rFonts w:eastAsia="Calibri"/>
                <w:noProof/>
              </w:rPr>
            </w:pPr>
            <w:r>
              <w:rPr>
                <w:noProof/>
                <w:sz w:val="18"/>
              </w:rPr>
              <w:t>din partea țărilor AELS</w:t>
            </w:r>
            <w:r>
              <w:rPr>
                <w:rStyle w:val="FootnoteReference"/>
                <w:noProof/>
              </w:rPr>
              <w:footnoteReference w:id="13"/>
            </w:r>
          </w:p>
          <w:p>
            <w:pPr>
              <w:spacing w:before="0" w:after="0"/>
              <w:jc w:val="center"/>
              <w:rPr>
                <w:rFonts w:eastAsia="Calibri"/>
                <w:b/>
                <w:noProof/>
                <w:sz w:val="18"/>
              </w:rPr>
            </w:pPr>
          </w:p>
        </w:tc>
        <w:tc>
          <w:tcPr>
            <w:tcW w:w="1134" w:type="dxa"/>
            <w:vAlign w:val="center"/>
          </w:tcPr>
          <w:p>
            <w:pPr>
              <w:jc w:val="center"/>
              <w:rPr>
                <w:rFonts w:eastAsia="Calibri"/>
                <w:noProof/>
              </w:rPr>
            </w:pPr>
            <w:r>
              <w:rPr>
                <w:noProof/>
                <w:sz w:val="18"/>
              </w:rPr>
              <w:t>din partea țărilor candidate</w:t>
            </w:r>
            <w:r>
              <w:rPr>
                <w:rStyle w:val="FootnoteReference"/>
                <w:noProof/>
              </w:rPr>
              <w:footnoteReference w:id="14"/>
            </w:r>
          </w:p>
          <w:p>
            <w:pPr>
              <w:spacing w:before="0" w:after="0"/>
              <w:jc w:val="center"/>
              <w:rPr>
                <w:rFonts w:eastAsia="Calibri"/>
                <w:noProof/>
                <w:sz w:val="18"/>
              </w:rPr>
            </w:pPr>
          </w:p>
        </w:tc>
        <w:tc>
          <w:tcPr>
            <w:tcW w:w="814" w:type="dxa"/>
            <w:vAlign w:val="center"/>
          </w:tcPr>
          <w:p>
            <w:pPr>
              <w:jc w:val="center"/>
              <w:rPr>
                <w:rFonts w:eastAsia="Calibri"/>
                <w:noProof/>
                <w:sz w:val="18"/>
              </w:rPr>
            </w:pPr>
            <w:r>
              <w:rPr>
                <w:noProof/>
                <w:sz w:val="18"/>
              </w:rPr>
              <w:t>din partea țărilor terțe</w:t>
            </w:r>
          </w:p>
        </w:tc>
        <w:tc>
          <w:tcPr>
            <w:tcW w:w="1448" w:type="dxa"/>
            <w:vAlign w:val="center"/>
          </w:tcPr>
          <w:p>
            <w:pPr>
              <w:jc w:val="center"/>
              <w:rPr>
                <w:rFonts w:eastAsia="Calibri"/>
                <w:noProof/>
              </w:rPr>
            </w:pPr>
            <w:r>
              <w:rPr>
                <w:noProof/>
                <w:sz w:val="16"/>
              </w:rPr>
              <w:t xml:space="preserve">în sensul articolului 21 alineatul (2) litera (b) din Regulamentul financiar </w:t>
            </w:r>
          </w:p>
        </w:tc>
      </w:tr>
      <w:tr>
        <w:tc>
          <w:tcPr>
            <w:tcW w:w="1080" w:type="dxa"/>
            <w:vAlign w:val="center"/>
          </w:tcPr>
          <w:p>
            <w:pPr>
              <w:jc w:val="center"/>
              <w:rPr>
                <w:rFonts w:eastAsia="Calibri"/>
                <w:noProof/>
                <w:color w:val="0000FF"/>
              </w:rPr>
            </w:pPr>
          </w:p>
        </w:tc>
        <w:tc>
          <w:tcPr>
            <w:tcW w:w="3960" w:type="dxa"/>
            <w:vAlign w:val="center"/>
          </w:tcPr>
          <w:p>
            <w:pPr>
              <w:spacing w:before="60"/>
              <w:rPr>
                <w:rFonts w:eastAsia="Calibri"/>
                <w:noProof/>
                <w:sz w:val="22"/>
              </w:rPr>
            </w:pPr>
            <w:r>
              <w:rPr>
                <w:noProof/>
                <w:sz w:val="22"/>
              </w:rPr>
              <w:t xml:space="preserve">01.02.03.XX Institutul European de Inovare și Tehnologie (EIT) </w:t>
            </w:r>
          </w:p>
        </w:tc>
        <w:tc>
          <w:tcPr>
            <w:tcW w:w="1080" w:type="dxa"/>
            <w:vAlign w:val="center"/>
          </w:tcPr>
          <w:p>
            <w:pPr>
              <w:jc w:val="center"/>
              <w:rPr>
                <w:rFonts w:eastAsia="Calibri"/>
                <w:noProof/>
                <w:color w:val="0000FF"/>
              </w:rPr>
            </w:pPr>
            <w:r>
              <w:rPr>
                <w:noProof/>
                <w:sz w:val="22"/>
              </w:rPr>
              <w:t>Dif.</w:t>
            </w:r>
          </w:p>
        </w:tc>
        <w:tc>
          <w:tcPr>
            <w:tcW w:w="1044" w:type="dxa"/>
            <w:vAlign w:val="center"/>
          </w:tcPr>
          <w:p>
            <w:pPr>
              <w:jc w:val="center"/>
              <w:rPr>
                <w:rFonts w:eastAsia="Calibri"/>
                <w:noProof/>
              </w:rPr>
            </w:pPr>
            <w:r>
              <w:rPr>
                <w:noProof/>
                <w:sz w:val="22"/>
              </w:rPr>
              <w:t>DA</w:t>
            </w:r>
          </w:p>
        </w:tc>
        <w:tc>
          <w:tcPr>
            <w:tcW w:w="1134" w:type="dxa"/>
            <w:vAlign w:val="center"/>
          </w:tcPr>
          <w:p>
            <w:pPr>
              <w:jc w:val="center"/>
              <w:rPr>
                <w:rFonts w:eastAsia="Calibri"/>
                <w:noProof/>
              </w:rPr>
            </w:pPr>
            <w:r>
              <w:rPr>
                <w:noProof/>
                <w:sz w:val="22"/>
              </w:rPr>
              <w:t>DA</w:t>
            </w:r>
          </w:p>
        </w:tc>
        <w:tc>
          <w:tcPr>
            <w:tcW w:w="814" w:type="dxa"/>
            <w:vAlign w:val="center"/>
          </w:tcPr>
          <w:p>
            <w:pPr>
              <w:jc w:val="center"/>
              <w:rPr>
                <w:rFonts w:eastAsia="Calibri"/>
                <w:noProof/>
              </w:rPr>
            </w:pPr>
            <w:r>
              <w:rPr>
                <w:noProof/>
                <w:sz w:val="22"/>
              </w:rPr>
              <w:t>DA</w:t>
            </w:r>
          </w:p>
        </w:tc>
        <w:tc>
          <w:tcPr>
            <w:tcW w:w="1448" w:type="dxa"/>
            <w:vAlign w:val="center"/>
          </w:tcPr>
          <w:p>
            <w:pPr>
              <w:jc w:val="center"/>
              <w:rPr>
                <w:rFonts w:eastAsia="Calibri"/>
                <w:noProof/>
              </w:rPr>
            </w:pPr>
            <w:r>
              <w:rPr>
                <w:noProof/>
                <w:sz w:val="22"/>
              </w:rPr>
              <w:t>NU</w:t>
            </w:r>
          </w:p>
        </w:tc>
      </w:tr>
    </w:tbl>
    <w:p>
      <w:pPr>
        <w:rPr>
          <w:rFonts w:eastAsia="Calibri"/>
          <w:noProof/>
        </w:rPr>
        <w:sectPr>
          <w:pgSz w:w="11907" w:h="16840" w:code="1"/>
          <w:pgMar w:top="1134" w:right="1418" w:bottom="1134" w:left="1418" w:header="709" w:footer="709" w:gutter="0"/>
          <w:cols w:space="708"/>
          <w:docGrid w:linePitch="360"/>
        </w:sectPr>
      </w:pPr>
    </w:p>
    <w:p>
      <w:pPr>
        <w:keepNext/>
        <w:outlineLvl w:val="1"/>
        <w:rPr>
          <w:rFonts w:eastAsia="Calibri"/>
          <w:b/>
          <w:noProof/>
          <w:szCs w:val="24"/>
        </w:rPr>
      </w:pPr>
      <w:r>
        <w:rPr>
          <w:b/>
          <w:noProof/>
        </w:rPr>
        <w:t>3.2.</w:t>
      </w:r>
      <w:r>
        <w:rPr>
          <w:noProof/>
        </w:rPr>
        <w:tab/>
      </w:r>
      <w:r>
        <w:rPr>
          <w:b/>
          <w:noProof/>
        </w:rPr>
        <w:t>Impactul estimat asupra cheltuielilor</w:t>
      </w:r>
      <w:r>
        <w:rPr>
          <w:noProof/>
          <w:sz w:val="16"/>
        </w:rPr>
        <w:t xml:space="preserve"> </w:t>
      </w:r>
    </w:p>
    <w:p>
      <w:pPr>
        <w:keepNext/>
        <w:outlineLvl w:val="2"/>
        <w:rPr>
          <w:rFonts w:eastAsia="Calibri"/>
          <w:bCs/>
          <w:i/>
          <w:noProof/>
          <w:u w:val="single"/>
        </w:rPr>
      </w:pPr>
      <w:r>
        <w:rPr>
          <w:i/>
          <w:noProof/>
        </w:rPr>
        <w:t>3.2.1.</w:t>
      </w:r>
      <w:r>
        <w:rPr>
          <w:noProof/>
        </w:rPr>
        <w:tab/>
      </w:r>
      <w:r>
        <w:rPr>
          <w:i/>
          <w:noProof/>
        </w:rPr>
        <w:t>Sinteza impactului estimat asupra cheltuielilor</w:t>
      </w:r>
    </w:p>
    <w:p>
      <w:pPr>
        <w:jc w:val="right"/>
        <w:rPr>
          <w:rFonts w:eastAsia="Calibri"/>
          <w:noProof/>
          <w:sz w:val="20"/>
        </w:rPr>
      </w:pPr>
      <w:r>
        <w:rPr>
          <w:noProof/>
          <w:sz w:val="20"/>
        </w:rPr>
        <w:t>milioane EUR (cu trei zecimale)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Calibri"/>
                <w:b/>
                <w:noProof/>
              </w:rPr>
            </w:pPr>
            <w:r>
              <w:rPr>
                <w:b/>
                <w:noProof/>
                <w:sz w:val="22"/>
              </w:rPr>
              <w:t>Rubrica din cadrul financiar multianual</w:t>
            </w:r>
            <w:r>
              <w:rPr>
                <w:rFonts w:eastAsia="Calibri"/>
                <w:noProof/>
                <w:sz w:val="22"/>
              </w:rPr>
              <w:br/>
            </w:r>
            <w:r>
              <w:rPr>
                <w:b/>
                <w:noProof/>
                <w:sz w:val="22"/>
              </w:rPr>
              <w:t xml:space="preserve"> </w:t>
            </w:r>
          </w:p>
        </w:tc>
        <w:tc>
          <w:tcPr>
            <w:tcW w:w="1080" w:type="dxa"/>
            <w:vAlign w:val="center"/>
          </w:tcPr>
          <w:p>
            <w:pPr>
              <w:spacing w:before="60" w:after="60"/>
              <w:jc w:val="center"/>
              <w:rPr>
                <w:rFonts w:eastAsia="Calibri"/>
                <w:noProof/>
              </w:rPr>
            </w:pPr>
            <w:r>
              <w:rPr>
                <w:b/>
                <w:noProof/>
                <w:sz w:val="22"/>
              </w:rPr>
              <w:t>I</w:t>
            </w:r>
          </w:p>
        </w:tc>
        <w:tc>
          <w:tcPr>
            <w:tcW w:w="7817" w:type="dxa"/>
            <w:vAlign w:val="center"/>
          </w:tcPr>
          <w:p>
            <w:pPr>
              <w:spacing w:before="60" w:after="60"/>
              <w:rPr>
                <w:rFonts w:eastAsia="Calibri"/>
                <w:noProof/>
              </w:rPr>
            </w:pPr>
            <w:r>
              <w:rPr>
                <w:noProof/>
                <w:sz w:val="22"/>
              </w:rPr>
              <w:t>Rubrica I. Piața unică, inovare și sectorul digital</w:t>
            </w:r>
          </w:p>
        </w:tc>
      </w:tr>
    </w:tbl>
    <w:p>
      <w:pPr>
        <w:rPr>
          <w:rFonts w:eastAsia="Calibri"/>
          <w:noProof/>
          <w:sz w:val="16"/>
        </w:rPr>
      </w:pPr>
    </w:p>
    <w:p>
      <w:pPr>
        <w:rPr>
          <w:b/>
          <w:noProof/>
          <w:sz w:val="16"/>
        </w:rPr>
      </w:pPr>
    </w:p>
    <w:p>
      <w:pPr>
        <w:rPr>
          <w:b/>
          <w:noProof/>
          <w:sz w:val="16"/>
        </w:rPr>
      </w:pPr>
    </w:p>
    <w:tbl>
      <w:tblPr>
        <w:tblW w:w="14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3"/>
        <w:gridCol w:w="1440"/>
        <w:gridCol w:w="654"/>
        <w:gridCol w:w="868"/>
        <w:gridCol w:w="868"/>
        <w:gridCol w:w="868"/>
        <w:gridCol w:w="868"/>
        <w:gridCol w:w="868"/>
        <w:gridCol w:w="868"/>
        <w:gridCol w:w="868"/>
        <w:gridCol w:w="909"/>
        <w:gridCol w:w="1289"/>
      </w:tblGrid>
      <w:tr>
        <w:trPr>
          <w:jc w:val="center"/>
        </w:trPr>
        <w:tc>
          <w:tcPr>
            <w:tcW w:w="6197" w:type="dxa"/>
            <w:gridSpan w:val="3"/>
            <w:tcBorders>
              <w:top w:val="nil"/>
              <w:left w:val="nil"/>
              <w:bottom w:val="nil"/>
              <w:right w:val="single" w:sz="4" w:space="0" w:color="auto"/>
            </w:tcBorders>
            <w:vAlign w:val="center"/>
          </w:tcPr>
          <w:p>
            <w:pPr>
              <w:rPr>
                <w:b/>
                <w:noProof/>
                <w:sz w:val="20"/>
              </w:rPr>
            </w:pP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20"/>
              </w:rPr>
            </w:pPr>
            <w:r>
              <w:rPr>
                <w:b/>
                <w:noProof/>
                <w:sz w:val="20"/>
              </w:rPr>
              <w:t>2021</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20"/>
              </w:rPr>
            </w:pPr>
            <w:r>
              <w:rPr>
                <w:b/>
                <w:noProof/>
                <w:sz w:val="20"/>
              </w:rPr>
              <w:t>2022</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20"/>
              </w:rPr>
            </w:pPr>
            <w:r>
              <w:rPr>
                <w:b/>
                <w:noProof/>
                <w:sz w:val="20"/>
              </w:rPr>
              <w:t>2023</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20"/>
              </w:rPr>
            </w:pPr>
            <w:r>
              <w:rPr>
                <w:b/>
                <w:noProof/>
                <w:sz w:val="20"/>
              </w:rPr>
              <w:t>2024</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18"/>
              </w:rPr>
            </w:pPr>
            <w:r>
              <w:rPr>
                <w:b/>
                <w:noProof/>
                <w:sz w:val="18"/>
              </w:rPr>
              <w:t>2025</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18"/>
              </w:rPr>
            </w:pPr>
            <w:r>
              <w:rPr>
                <w:b/>
                <w:noProof/>
                <w:sz w:val="18"/>
              </w:rPr>
              <w:t>2026</w:t>
            </w:r>
          </w:p>
        </w:tc>
        <w:tc>
          <w:tcPr>
            <w:tcW w:w="868" w:type="dxa"/>
            <w:tcBorders>
              <w:top w:val="single" w:sz="4" w:space="0" w:color="auto"/>
              <w:left w:val="single" w:sz="4" w:space="0" w:color="auto"/>
              <w:bottom w:val="single" w:sz="4" w:space="0" w:color="auto"/>
              <w:right w:val="single" w:sz="4" w:space="0" w:color="auto"/>
            </w:tcBorders>
            <w:vAlign w:val="center"/>
          </w:tcPr>
          <w:p>
            <w:pPr>
              <w:rPr>
                <w:b/>
                <w:noProof/>
                <w:sz w:val="18"/>
              </w:rPr>
            </w:pPr>
            <w:r>
              <w:rPr>
                <w:b/>
                <w:noProof/>
                <w:sz w:val="18"/>
              </w:rPr>
              <w:t>2027</w:t>
            </w:r>
          </w:p>
        </w:tc>
        <w:tc>
          <w:tcPr>
            <w:tcW w:w="909" w:type="dxa"/>
            <w:tcBorders>
              <w:top w:val="single" w:sz="4" w:space="0" w:color="auto"/>
              <w:left w:val="single" w:sz="4" w:space="0" w:color="auto"/>
              <w:bottom w:val="single" w:sz="4" w:space="0" w:color="auto"/>
              <w:right w:val="single" w:sz="4" w:space="0" w:color="auto"/>
            </w:tcBorders>
          </w:tcPr>
          <w:p>
            <w:pPr>
              <w:rPr>
                <w:b/>
                <w:i/>
                <w:noProof/>
                <w:sz w:val="20"/>
              </w:rPr>
            </w:pPr>
            <w:r>
              <w:rPr>
                <w:b/>
                <w:i/>
                <w:noProof/>
                <w:sz w:val="20"/>
              </w:rPr>
              <w:t>După 2027</w:t>
            </w:r>
          </w:p>
        </w:tc>
        <w:tc>
          <w:tcPr>
            <w:tcW w:w="1289" w:type="dxa"/>
            <w:tcBorders>
              <w:top w:val="single" w:sz="4" w:space="0" w:color="auto"/>
              <w:left w:val="single" w:sz="4" w:space="0" w:color="auto"/>
              <w:bottom w:val="single" w:sz="4" w:space="0" w:color="auto"/>
              <w:right w:val="single" w:sz="4" w:space="0" w:color="auto"/>
            </w:tcBorders>
            <w:vAlign w:val="center"/>
          </w:tcPr>
          <w:p>
            <w:pPr>
              <w:rPr>
                <w:b/>
                <w:noProof/>
                <w:sz w:val="20"/>
              </w:rPr>
            </w:pPr>
            <w:r>
              <w:rPr>
                <w:b/>
                <w:noProof/>
                <w:sz w:val="20"/>
              </w:rPr>
              <w:t>TOTAL</w:t>
            </w:r>
          </w:p>
        </w:tc>
      </w:tr>
      <w:tr>
        <w:trPr>
          <w:trHeight w:val="319"/>
          <w:jc w:val="center"/>
        </w:trPr>
        <w:tc>
          <w:tcPr>
            <w:tcW w:w="4103" w:type="dxa"/>
            <w:vAlign w:val="center"/>
          </w:tcPr>
          <w:p>
            <w:pPr>
              <w:rPr>
                <w:noProof/>
                <w:sz w:val="20"/>
              </w:rPr>
            </w:pPr>
            <w:r>
              <w:rPr>
                <w:noProof/>
                <w:sz w:val="20"/>
              </w:rPr>
              <w:t>Titlul I Bugetul EIT (cheltuieli cu personalul)</w:t>
            </w:r>
            <w:r>
              <w:rPr>
                <w:rStyle w:val="FootnoteReference"/>
                <w:noProof/>
              </w:rPr>
              <w:footnoteReference w:id="15"/>
            </w:r>
          </w:p>
          <w:p>
            <w:pPr>
              <w:spacing w:before="20" w:after="20"/>
              <w:rPr>
                <w:noProof/>
                <w:sz w:val="20"/>
              </w:rPr>
            </w:pPr>
          </w:p>
        </w:tc>
        <w:tc>
          <w:tcPr>
            <w:tcW w:w="1440" w:type="dxa"/>
            <w:vAlign w:val="center"/>
          </w:tcPr>
          <w:p>
            <w:pPr>
              <w:spacing w:before="40" w:after="40"/>
              <w:rPr>
                <w:noProof/>
                <w:sz w:val="18"/>
              </w:rPr>
            </w:pPr>
            <w:r>
              <w:rPr>
                <w:noProof/>
                <w:sz w:val="18"/>
              </w:rPr>
              <w:t>Angajamente = Plăți</w:t>
            </w:r>
          </w:p>
        </w:tc>
        <w:tc>
          <w:tcPr>
            <w:tcW w:w="654" w:type="dxa"/>
            <w:vAlign w:val="center"/>
          </w:tcPr>
          <w:p>
            <w:pPr>
              <w:spacing w:before="40" w:after="40"/>
              <w:jc w:val="center"/>
              <w:rPr>
                <w:noProof/>
                <w:sz w:val="14"/>
              </w:rPr>
            </w:pPr>
            <w:r>
              <w:rPr>
                <w:noProof/>
                <w:sz w:val="14"/>
              </w:rPr>
              <w:t>(1)</w:t>
            </w:r>
          </w:p>
        </w:tc>
        <w:tc>
          <w:tcPr>
            <w:tcW w:w="868" w:type="dxa"/>
            <w:vAlign w:val="center"/>
          </w:tcPr>
          <w:p>
            <w:pPr>
              <w:spacing w:before="40" w:after="40"/>
              <w:jc w:val="right"/>
              <w:rPr>
                <w:noProof/>
                <w:sz w:val="20"/>
              </w:rPr>
            </w:pPr>
            <w:r>
              <w:rPr>
                <w:noProof/>
                <w:sz w:val="20"/>
              </w:rPr>
              <w:t>5,413</w:t>
            </w:r>
          </w:p>
        </w:tc>
        <w:tc>
          <w:tcPr>
            <w:tcW w:w="868" w:type="dxa"/>
            <w:vAlign w:val="center"/>
          </w:tcPr>
          <w:p>
            <w:pPr>
              <w:spacing w:before="40" w:after="40"/>
              <w:jc w:val="right"/>
              <w:rPr>
                <w:noProof/>
                <w:sz w:val="20"/>
              </w:rPr>
            </w:pPr>
            <w:r>
              <w:rPr>
                <w:noProof/>
                <w:sz w:val="20"/>
              </w:rPr>
              <w:t>5,588</w:t>
            </w:r>
          </w:p>
        </w:tc>
        <w:tc>
          <w:tcPr>
            <w:tcW w:w="868" w:type="dxa"/>
            <w:vAlign w:val="center"/>
          </w:tcPr>
          <w:p>
            <w:pPr>
              <w:spacing w:before="40" w:after="40"/>
              <w:jc w:val="right"/>
              <w:rPr>
                <w:noProof/>
                <w:sz w:val="20"/>
              </w:rPr>
            </w:pPr>
            <w:r>
              <w:rPr>
                <w:noProof/>
                <w:sz w:val="20"/>
              </w:rPr>
              <w:t>5,768</w:t>
            </w:r>
          </w:p>
        </w:tc>
        <w:tc>
          <w:tcPr>
            <w:tcW w:w="868" w:type="dxa"/>
            <w:vAlign w:val="center"/>
          </w:tcPr>
          <w:p>
            <w:pPr>
              <w:spacing w:before="40" w:after="40"/>
              <w:jc w:val="right"/>
              <w:rPr>
                <w:noProof/>
                <w:sz w:val="20"/>
              </w:rPr>
            </w:pPr>
            <w:r>
              <w:rPr>
                <w:noProof/>
                <w:sz w:val="20"/>
              </w:rPr>
              <w:t>5,954</w:t>
            </w:r>
          </w:p>
        </w:tc>
        <w:tc>
          <w:tcPr>
            <w:tcW w:w="868" w:type="dxa"/>
            <w:vAlign w:val="center"/>
          </w:tcPr>
          <w:p>
            <w:pPr>
              <w:spacing w:before="40" w:after="40"/>
              <w:jc w:val="right"/>
              <w:rPr>
                <w:noProof/>
                <w:sz w:val="20"/>
              </w:rPr>
            </w:pPr>
            <w:r>
              <w:rPr>
                <w:noProof/>
                <w:sz w:val="20"/>
              </w:rPr>
              <w:t>6,147</w:t>
            </w:r>
          </w:p>
        </w:tc>
        <w:tc>
          <w:tcPr>
            <w:tcW w:w="868" w:type="dxa"/>
            <w:vAlign w:val="center"/>
          </w:tcPr>
          <w:p>
            <w:pPr>
              <w:spacing w:before="40" w:after="40"/>
              <w:jc w:val="right"/>
              <w:rPr>
                <w:noProof/>
                <w:sz w:val="20"/>
              </w:rPr>
            </w:pPr>
            <w:r>
              <w:rPr>
                <w:noProof/>
                <w:sz w:val="20"/>
              </w:rPr>
              <w:t>6,346</w:t>
            </w:r>
          </w:p>
        </w:tc>
        <w:tc>
          <w:tcPr>
            <w:tcW w:w="868" w:type="dxa"/>
            <w:vAlign w:val="center"/>
          </w:tcPr>
          <w:p>
            <w:pPr>
              <w:spacing w:before="40" w:after="40"/>
              <w:jc w:val="right"/>
              <w:rPr>
                <w:noProof/>
                <w:sz w:val="20"/>
              </w:rPr>
            </w:pPr>
            <w:r>
              <w:rPr>
                <w:noProof/>
                <w:sz w:val="20"/>
              </w:rPr>
              <w:t>6,551</w:t>
            </w:r>
          </w:p>
        </w:tc>
        <w:tc>
          <w:tcPr>
            <w:tcW w:w="909" w:type="dxa"/>
            <w:shd w:val="clear" w:color="auto" w:fill="A6A6A6"/>
          </w:tcPr>
          <w:p>
            <w:pPr>
              <w:spacing w:before="40" w:after="40"/>
              <w:jc w:val="right"/>
              <w:rPr>
                <w:b/>
                <w:noProof/>
                <w:sz w:val="20"/>
              </w:rPr>
            </w:pPr>
          </w:p>
        </w:tc>
        <w:tc>
          <w:tcPr>
            <w:tcW w:w="1289" w:type="dxa"/>
            <w:vAlign w:val="center"/>
          </w:tcPr>
          <w:p>
            <w:pPr>
              <w:spacing w:before="40" w:after="40"/>
              <w:jc w:val="right"/>
              <w:rPr>
                <w:b/>
                <w:noProof/>
                <w:sz w:val="20"/>
              </w:rPr>
            </w:pPr>
            <w:r>
              <w:rPr>
                <w:b/>
                <w:noProof/>
                <w:sz w:val="20"/>
              </w:rPr>
              <w:t>41,767</w:t>
            </w:r>
          </w:p>
        </w:tc>
      </w:tr>
      <w:tr>
        <w:trPr>
          <w:trHeight w:val="319"/>
          <w:jc w:val="center"/>
        </w:trPr>
        <w:tc>
          <w:tcPr>
            <w:tcW w:w="4103" w:type="dxa"/>
            <w:vAlign w:val="center"/>
          </w:tcPr>
          <w:p>
            <w:pPr>
              <w:rPr>
                <w:noProof/>
                <w:sz w:val="20"/>
              </w:rPr>
            </w:pPr>
            <w:r>
              <w:rPr>
                <w:noProof/>
                <w:sz w:val="20"/>
              </w:rPr>
              <w:t>Titlul II Bugetul EIT (cheltuieli de infrastructură și de funcționare)</w:t>
            </w:r>
          </w:p>
        </w:tc>
        <w:tc>
          <w:tcPr>
            <w:tcW w:w="1440" w:type="dxa"/>
            <w:vAlign w:val="center"/>
          </w:tcPr>
          <w:p>
            <w:pPr>
              <w:spacing w:before="40" w:after="40"/>
              <w:rPr>
                <w:noProof/>
                <w:sz w:val="18"/>
              </w:rPr>
            </w:pPr>
            <w:r>
              <w:rPr>
                <w:noProof/>
                <w:sz w:val="18"/>
              </w:rPr>
              <w:t>Angajamente = Plăți</w:t>
            </w:r>
          </w:p>
        </w:tc>
        <w:tc>
          <w:tcPr>
            <w:tcW w:w="654" w:type="dxa"/>
            <w:vAlign w:val="center"/>
          </w:tcPr>
          <w:p>
            <w:pPr>
              <w:spacing w:before="40" w:after="40"/>
              <w:jc w:val="center"/>
              <w:rPr>
                <w:noProof/>
                <w:sz w:val="14"/>
              </w:rPr>
            </w:pPr>
            <w:r>
              <w:rPr>
                <w:noProof/>
                <w:sz w:val="14"/>
              </w:rPr>
              <w:t>(2)</w:t>
            </w:r>
          </w:p>
        </w:tc>
        <w:tc>
          <w:tcPr>
            <w:tcW w:w="868" w:type="dxa"/>
            <w:vAlign w:val="center"/>
          </w:tcPr>
          <w:p>
            <w:pPr>
              <w:spacing w:before="40" w:after="40"/>
              <w:jc w:val="right"/>
              <w:rPr>
                <w:noProof/>
                <w:sz w:val="20"/>
              </w:rPr>
            </w:pPr>
            <w:r>
              <w:rPr>
                <w:noProof/>
                <w:sz w:val="20"/>
              </w:rPr>
              <w:t>1,309</w:t>
            </w:r>
          </w:p>
        </w:tc>
        <w:tc>
          <w:tcPr>
            <w:tcW w:w="868" w:type="dxa"/>
            <w:vAlign w:val="center"/>
          </w:tcPr>
          <w:p>
            <w:pPr>
              <w:spacing w:before="40" w:after="40"/>
              <w:jc w:val="right"/>
              <w:rPr>
                <w:noProof/>
                <w:sz w:val="20"/>
              </w:rPr>
            </w:pPr>
            <w:r>
              <w:rPr>
                <w:noProof/>
                <w:sz w:val="20"/>
              </w:rPr>
              <w:t>1,335</w:t>
            </w:r>
          </w:p>
        </w:tc>
        <w:tc>
          <w:tcPr>
            <w:tcW w:w="868" w:type="dxa"/>
            <w:vAlign w:val="center"/>
          </w:tcPr>
          <w:p>
            <w:pPr>
              <w:spacing w:before="40" w:after="40"/>
              <w:jc w:val="right"/>
              <w:rPr>
                <w:noProof/>
                <w:sz w:val="20"/>
              </w:rPr>
            </w:pPr>
            <w:r>
              <w:rPr>
                <w:noProof/>
                <w:sz w:val="20"/>
              </w:rPr>
              <w:t>1,362</w:t>
            </w:r>
          </w:p>
        </w:tc>
        <w:tc>
          <w:tcPr>
            <w:tcW w:w="868" w:type="dxa"/>
            <w:vAlign w:val="center"/>
          </w:tcPr>
          <w:p>
            <w:pPr>
              <w:spacing w:before="40" w:after="40"/>
              <w:jc w:val="right"/>
              <w:rPr>
                <w:noProof/>
                <w:sz w:val="20"/>
              </w:rPr>
            </w:pPr>
            <w:r>
              <w:rPr>
                <w:noProof/>
                <w:sz w:val="20"/>
              </w:rPr>
              <w:t>1,389</w:t>
            </w:r>
          </w:p>
        </w:tc>
        <w:tc>
          <w:tcPr>
            <w:tcW w:w="868" w:type="dxa"/>
            <w:vAlign w:val="center"/>
          </w:tcPr>
          <w:p>
            <w:pPr>
              <w:spacing w:before="40" w:after="40"/>
              <w:jc w:val="right"/>
              <w:rPr>
                <w:noProof/>
                <w:sz w:val="20"/>
              </w:rPr>
            </w:pPr>
            <w:r>
              <w:rPr>
                <w:noProof/>
                <w:sz w:val="20"/>
              </w:rPr>
              <w:t>1,417</w:t>
            </w:r>
          </w:p>
        </w:tc>
        <w:tc>
          <w:tcPr>
            <w:tcW w:w="868" w:type="dxa"/>
            <w:vAlign w:val="center"/>
          </w:tcPr>
          <w:p>
            <w:pPr>
              <w:spacing w:before="40" w:after="40"/>
              <w:jc w:val="right"/>
              <w:rPr>
                <w:noProof/>
                <w:sz w:val="20"/>
              </w:rPr>
            </w:pPr>
            <w:r>
              <w:rPr>
                <w:noProof/>
                <w:sz w:val="20"/>
              </w:rPr>
              <w:t>1,445</w:t>
            </w:r>
          </w:p>
        </w:tc>
        <w:tc>
          <w:tcPr>
            <w:tcW w:w="868" w:type="dxa"/>
            <w:vAlign w:val="center"/>
          </w:tcPr>
          <w:p>
            <w:pPr>
              <w:spacing w:before="40" w:after="40"/>
              <w:jc w:val="right"/>
              <w:rPr>
                <w:noProof/>
                <w:sz w:val="20"/>
              </w:rPr>
            </w:pPr>
            <w:r>
              <w:rPr>
                <w:noProof/>
                <w:sz w:val="20"/>
              </w:rPr>
              <w:t>1,474</w:t>
            </w:r>
          </w:p>
        </w:tc>
        <w:tc>
          <w:tcPr>
            <w:tcW w:w="909" w:type="dxa"/>
            <w:shd w:val="clear" w:color="auto" w:fill="A6A6A6"/>
          </w:tcPr>
          <w:p>
            <w:pPr>
              <w:spacing w:before="40" w:after="40"/>
              <w:jc w:val="right"/>
              <w:rPr>
                <w:b/>
                <w:noProof/>
                <w:sz w:val="20"/>
              </w:rPr>
            </w:pPr>
          </w:p>
        </w:tc>
        <w:tc>
          <w:tcPr>
            <w:tcW w:w="1289" w:type="dxa"/>
            <w:vAlign w:val="center"/>
          </w:tcPr>
          <w:p>
            <w:pPr>
              <w:spacing w:before="40" w:after="40"/>
              <w:jc w:val="right"/>
              <w:rPr>
                <w:b/>
                <w:noProof/>
                <w:sz w:val="20"/>
              </w:rPr>
            </w:pPr>
            <w:r>
              <w:rPr>
                <w:b/>
                <w:noProof/>
                <w:sz w:val="20"/>
              </w:rPr>
              <w:t>9,732</w:t>
            </w:r>
          </w:p>
        </w:tc>
      </w:tr>
      <w:tr>
        <w:trPr>
          <w:jc w:val="center"/>
        </w:trPr>
        <w:tc>
          <w:tcPr>
            <w:tcW w:w="4103" w:type="dxa"/>
            <w:vMerge w:val="restart"/>
            <w:vAlign w:val="center"/>
          </w:tcPr>
          <w:p>
            <w:pPr>
              <w:rPr>
                <w:b/>
                <w:noProof/>
              </w:rPr>
            </w:pPr>
            <w:r>
              <w:rPr>
                <w:noProof/>
                <w:sz w:val="20"/>
              </w:rPr>
              <w:t>Titlul III Bugetul EIT (cheltuieli de funcționare). Credite operaționale (repartizate în funcție de liniile bugetare enumerate la punctul 3.1)</w:t>
            </w:r>
          </w:p>
        </w:tc>
        <w:tc>
          <w:tcPr>
            <w:tcW w:w="1440" w:type="dxa"/>
            <w:vAlign w:val="center"/>
          </w:tcPr>
          <w:p>
            <w:pPr>
              <w:rPr>
                <w:noProof/>
                <w:sz w:val="18"/>
              </w:rPr>
            </w:pPr>
            <w:r>
              <w:rPr>
                <w:noProof/>
                <w:sz w:val="18"/>
              </w:rPr>
              <w:t>Angajamente</w:t>
            </w:r>
          </w:p>
        </w:tc>
        <w:tc>
          <w:tcPr>
            <w:tcW w:w="654" w:type="dxa"/>
            <w:vAlign w:val="center"/>
          </w:tcPr>
          <w:p>
            <w:pPr>
              <w:jc w:val="center"/>
              <w:rPr>
                <w:noProof/>
                <w:sz w:val="14"/>
              </w:rPr>
            </w:pPr>
            <w:r>
              <w:rPr>
                <w:noProof/>
                <w:sz w:val="14"/>
              </w:rPr>
              <w:t>(3)</w:t>
            </w:r>
          </w:p>
        </w:tc>
        <w:tc>
          <w:tcPr>
            <w:tcW w:w="868" w:type="dxa"/>
            <w:vAlign w:val="center"/>
          </w:tcPr>
          <w:p>
            <w:pPr>
              <w:spacing w:before="20" w:after="20"/>
              <w:jc w:val="right"/>
              <w:rPr>
                <w:noProof/>
                <w:sz w:val="20"/>
              </w:rPr>
            </w:pPr>
            <w:r>
              <w:rPr>
                <w:noProof/>
                <w:sz w:val="20"/>
              </w:rPr>
              <w:t>386,423</w:t>
            </w:r>
          </w:p>
        </w:tc>
        <w:tc>
          <w:tcPr>
            <w:tcW w:w="868" w:type="dxa"/>
            <w:vAlign w:val="center"/>
          </w:tcPr>
          <w:p>
            <w:pPr>
              <w:spacing w:before="20" w:after="20"/>
              <w:jc w:val="right"/>
              <w:rPr>
                <w:noProof/>
                <w:sz w:val="20"/>
              </w:rPr>
            </w:pPr>
            <w:r>
              <w:rPr>
                <w:noProof/>
                <w:sz w:val="20"/>
              </w:rPr>
              <w:t>394,190</w:t>
            </w:r>
          </w:p>
        </w:tc>
        <w:tc>
          <w:tcPr>
            <w:tcW w:w="868" w:type="dxa"/>
            <w:vAlign w:val="center"/>
          </w:tcPr>
          <w:p>
            <w:pPr>
              <w:spacing w:before="20" w:after="20"/>
              <w:jc w:val="right"/>
              <w:rPr>
                <w:noProof/>
                <w:sz w:val="20"/>
              </w:rPr>
            </w:pPr>
            <w:r>
              <w:rPr>
                <w:noProof/>
                <w:sz w:val="20"/>
              </w:rPr>
              <w:t>402,088</w:t>
            </w:r>
          </w:p>
        </w:tc>
        <w:tc>
          <w:tcPr>
            <w:tcW w:w="868" w:type="dxa"/>
            <w:vAlign w:val="center"/>
          </w:tcPr>
          <w:p>
            <w:pPr>
              <w:spacing w:before="20" w:after="20"/>
              <w:jc w:val="right"/>
              <w:rPr>
                <w:noProof/>
                <w:sz w:val="20"/>
              </w:rPr>
            </w:pPr>
            <w:r>
              <w:rPr>
                <w:noProof/>
                <w:sz w:val="20"/>
              </w:rPr>
              <w:t>410,155</w:t>
            </w:r>
          </w:p>
        </w:tc>
        <w:tc>
          <w:tcPr>
            <w:tcW w:w="868" w:type="dxa"/>
            <w:vAlign w:val="center"/>
          </w:tcPr>
          <w:p>
            <w:pPr>
              <w:spacing w:before="20" w:after="20"/>
              <w:jc w:val="right"/>
              <w:rPr>
                <w:noProof/>
                <w:sz w:val="20"/>
              </w:rPr>
            </w:pPr>
            <w:r>
              <w:rPr>
                <w:noProof/>
                <w:sz w:val="20"/>
              </w:rPr>
              <w:t>418,460</w:t>
            </w:r>
          </w:p>
        </w:tc>
        <w:tc>
          <w:tcPr>
            <w:tcW w:w="868" w:type="dxa"/>
            <w:vAlign w:val="center"/>
          </w:tcPr>
          <w:p>
            <w:pPr>
              <w:spacing w:before="20" w:after="20"/>
              <w:jc w:val="right"/>
              <w:rPr>
                <w:noProof/>
                <w:sz w:val="20"/>
              </w:rPr>
            </w:pPr>
            <w:r>
              <w:rPr>
                <w:noProof/>
                <w:sz w:val="20"/>
              </w:rPr>
              <w:t>426,790</w:t>
            </w:r>
          </w:p>
        </w:tc>
        <w:tc>
          <w:tcPr>
            <w:tcW w:w="868" w:type="dxa"/>
            <w:vAlign w:val="center"/>
          </w:tcPr>
          <w:p>
            <w:pPr>
              <w:spacing w:before="20" w:after="20"/>
              <w:jc w:val="right"/>
              <w:rPr>
                <w:noProof/>
                <w:sz w:val="20"/>
              </w:rPr>
            </w:pPr>
            <w:r>
              <w:rPr>
                <w:noProof/>
                <w:sz w:val="20"/>
              </w:rPr>
              <w:t>435,394</w:t>
            </w:r>
          </w:p>
        </w:tc>
        <w:tc>
          <w:tcPr>
            <w:tcW w:w="909" w:type="dxa"/>
            <w:shd w:val="clear" w:color="auto" w:fill="A6A6A6"/>
          </w:tcPr>
          <w:p>
            <w:pPr>
              <w:spacing w:before="20" w:after="20"/>
              <w:jc w:val="center"/>
              <w:rPr>
                <w:noProof/>
                <w:sz w:val="20"/>
              </w:rPr>
            </w:pPr>
          </w:p>
        </w:tc>
        <w:tc>
          <w:tcPr>
            <w:tcW w:w="1289" w:type="dxa"/>
            <w:vAlign w:val="center"/>
          </w:tcPr>
          <w:p>
            <w:pPr>
              <w:spacing w:before="20" w:after="20"/>
              <w:jc w:val="right"/>
              <w:rPr>
                <w:b/>
                <w:noProof/>
                <w:sz w:val="20"/>
              </w:rPr>
            </w:pPr>
            <w:r>
              <w:rPr>
                <w:b/>
                <w:noProof/>
                <w:sz w:val="20"/>
              </w:rPr>
              <w:t>2 873,500</w:t>
            </w:r>
          </w:p>
        </w:tc>
      </w:tr>
      <w:tr>
        <w:trPr>
          <w:jc w:val="center"/>
        </w:trPr>
        <w:tc>
          <w:tcPr>
            <w:tcW w:w="4103" w:type="dxa"/>
            <w:vMerge/>
            <w:vAlign w:val="center"/>
          </w:tcPr>
          <w:p>
            <w:pPr>
              <w:rPr>
                <w:b/>
                <w:noProof/>
              </w:rPr>
            </w:pPr>
          </w:p>
        </w:tc>
        <w:tc>
          <w:tcPr>
            <w:tcW w:w="1440" w:type="dxa"/>
            <w:vAlign w:val="center"/>
          </w:tcPr>
          <w:p>
            <w:pPr>
              <w:rPr>
                <w:noProof/>
                <w:sz w:val="18"/>
              </w:rPr>
            </w:pPr>
            <w:r>
              <w:rPr>
                <w:noProof/>
                <w:sz w:val="18"/>
              </w:rPr>
              <w:t>Plăți</w:t>
            </w:r>
          </w:p>
        </w:tc>
        <w:tc>
          <w:tcPr>
            <w:tcW w:w="654" w:type="dxa"/>
            <w:vAlign w:val="center"/>
          </w:tcPr>
          <w:p>
            <w:pPr>
              <w:jc w:val="center"/>
              <w:rPr>
                <w:noProof/>
                <w:sz w:val="14"/>
              </w:rPr>
            </w:pPr>
            <w:r>
              <w:rPr>
                <w:noProof/>
                <w:sz w:val="14"/>
              </w:rPr>
              <w:t>(4)</w:t>
            </w:r>
          </w:p>
          <w:p>
            <w:pPr>
              <w:rPr>
                <w:noProof/>
                <w:sz w:val="14"/>
              </w:rPr>
            </w:pPr>
          </w:p>
        </w:tc>
        <w:tc>
          <w:tcPr>
            <w:tcW w:w="868" w:type="dxa"/>
            <w:vAlign w:val="center"/>
          </w:tcPr>
          <w:p>
            <w:pPr>
              <w:spacing w:before="20" w:after="20"/>
              <w:jc w:val="right"/>
              <w:rPr>
                <w:noProof/>
                <w:sz w:val="20"/>
              </w:rPr>
            </w:pPr>
            <w:r>
              <w:rPr>
                <w:noProof/>
                <w:sz w:val="20"/>
              </w:rPr>
              <w:t>270,496</w:t>
            </w:r>
          </w:p>
        </w:tc>
        <w:tc>
          <w:tcPr>
            <w:tcW w:w="868" w:type="dxa"/>
            <w:vAlign w:val="center"/>
          </w:tcPr>
          <w:p>
            <w:pPr>
              <w:spacing w:before="20" w:after="20"/>
              <w:jc w:val="right"/>
              <w:rPr>
                <w:noProof/>
                <w:sz w:val="20"/>
              </w:rPr>
            </w:pPr>
            <w:r>
              <w:rPr>
                <w:noProof/>
                <w:sz w:val="20"/>
              </w:rPr>
              <w:t>391,860</w:t>
            </w:r>
          </w:p>
        </w:tc>
        <w:tc>
          <w:tcPr>
            <w:tcW w:w="868" w:type="dxa"/>
            <w:vAlign w:val="center"/>
          </w:tcPr>
          <w:p>
            <w:pPr>
              <w:spacing w:before="20" w:after="20"/>
              <w:jc w:val="right"/>
              <w:rPr>
                <w:noProof/>
                <w:sz w:val="20"/>
              </w:rPr>
            </w:pPr>
            <w:r>
              <w:rPr>
                <w:noProof/>
                <w:sz w:val="20"/>
              </w:rPr>
              <w:t>399,719</w:t>
            </w:r>
          </w:p>
        </w:tc>
        <w:tc>
          <w:tcPr>
            <w:tcW w:w="868" w:type="dxa"/>
            <w:vAlign w:val="center"/>
          </w:tcPr>
          <w:p>
            <w:pPr>
              <w:spacing w:before="20" w:after="20"/>
              <w:jc w:val="right"/>
              <w:rPr>
                <w:noProof/>
                <w:sz w:val="20"/>
              </w:rPr>
            </w:pPr>
            <w:r>
              <w:rPr>
                <w:noProof/>
                <w:sz w:val="20"/>
              </w:rPr>
              <w:t>407,735</w:t>
            </w:r>
          </w:p>
        </w:tc>
        <w:tc>
          <w:tcPr>
            <w:tcW w:w="868" w:type="dxa"/>
            <w:vAlign w:val="center"/>
          </w:tcPr>
          <w:p>
            <w:pPr>
              <w:spacing w:before="20" w:after="20"/>
              <w:jc w:val="right"/>
              <w:rPr>
                <w:noProof/>
                <w:sz w:val="20"/>
              </w:rPr>
            </w:pPr>
            <w:r>
              <w:rPr>
                <w:noProof/>
                <w:sz w:val="20"/>
              </w:rPr>
              <w:t>415,969</w:t>
            </w:r>
          </w:p>
        </w:tc>
        <w:tc>
          <w:tcPr>
            <w:tcW w:w="868" w:type="dxa"/>
            <w:vAlign w:val="center"/>
          </w:tcPr>
          <w:p>
            <w:pPr>
              <w:spacing w:before="20" w:after="20"/>
              <w:jc w:val="right"/>
              <w:rPr>
                <w:noProof/>
                <w:sz w:val="20"/>
              </w:rPr>
            </w:pPr>
            <w:r>
              <w:rPr>
                <w:noProof/>
                <w:sz w:val="20"/>
              </w:rPr>
              <w:t>424,291</w:t>
            </w:r>
          </w:p>
        </w:tc>
        <w:tc>
          <w:tcPr>
            <w:tcW w:w="868" w:type="dxa"/>
            <w:vAlign w:val="center"/>
          </w:tcPr>
          <w:p>
            <w:pPr>
              <w:spacing w:before="20" w:after="20"/>
              <w:jc w:val="right"/>
              <w:rPr>
                <w:noProof/>
                <w:sz w:val="20"/>
              </w:rPr>
            </w:pPr>
            <w:r>
              <w:rPr>
                <w:noProof/>
                <w:sz w:val="20"/>
              </w:rPr>
              <w:t>432,813</w:t>
            </w:r>
          </w:p>
        </w:tc>
        <w:tc>
          <w:tcPr>
            <w:tcW w:w="909" w:type="dxa"/>
          </w:tcPr>
          <w:p>
            <w:pPr>
              <w:spacing w:before="20" w:after="20"/>
              <w:jc w:val="right"/>
              <w:rPr>
                <w:noProof/>
                <w:sz w:val="20"/>
              </w:rPr>
            </w:pPr>
            <w:r>
              <w:rPr>
                <w:noProof/>
                <w:sz w:val="20"/>
              </w:rPr>
              <w:t>130,618</w:t>
            </w:r>
          </w:p>
        </w:tc>
        <w:tc>
          <w:tcPr>
            <w:tcW w:w="1289" w:type="dxa"/>
            <w:vAlign w:val="center"/>
          </w:tcPr>
          <w:p>
            <w:pPr>
              <w:spacing w:before="20" w:after="20"/>
              <w:jc w:val="right"/>
              <w:rPr>
                <w:b/>
                <w:noProof/>
                <w:sz w:val="20"/>
              </w:rPr>
            </w:pPr>
            <w:r>
              <w:rPr>
                <w:b/>
                <w:noProof/>
                <w:sz w:val="20"/>
              </w:rPr>
              <w:t>2 873,500</w:t>
            </w:r>
          </w:p>
        </w:tc>
      </w:tr>
      <w:tr>
        <w:trPr>
          <w:jc w:val="center"/>
        </w:trPr>
        <w:tc>
          <w:tcPr>
            <w:tcW w:w="4103" w:type="dxa"/>
            <w:vMerge w:val="restart"/>
            <w:vAlign w:val="center"/>
          </w:tcPr>
          <w:p>
            <w:pPr>
              <w:rPr>
                <w:noProof/>
                <w:sz w:val="18"/>
                <w:szCs w:val="18"/>
              </w:rPr>
            </w:pPr>
            <w:r>
              <w:rPr>
                <w:noProof/>
                <w:sz w:val="18"/>
              </w:rPr>
              <w:t>01.02.03.XX Institutul European de Inovare și Tehnologie (EIT) – Credite operaționale</w:t>
            </w:r>
          </w:p>
        </w:tc>
        <w:tc>
          <w:tcPr>
            <w:tcW w:w="1440" w:type="dxa"/>
            <w:vAlign w:val="center"/>
          </w:tcPr>
          <w:p>
            <w:pPr>
              <w:rPr>
                <w:noProof/>
                <w:sz w:val="18"/>
              </w:rPr>
            </w:pPr>
            <w:r>
              <w:rPr>
                <w:noProof/>
                <w:sz w:val="18"/>
              </w:rPr>
              <w:t>Angajamente</w:t>
            </w:r>
          </w:p>
        </w:tc>
        <w:tc>
          <w:tcPr>
            <w:tcW w:w="654" w:type="dxa"/>
            <w:vAlign w:val="center"/>
          </w:tcPr>
          <w:p>
            <w:pPr>
              <w:jc w:val="center"/>
              <w:rPr>
                <w:noProof/>
                <w:sz w:val="14"/>
              </w:rPr>
            </w:pPr>
            <w:r>
              <w:rPr>
                <w:noProof/>
                <w:sz w:val="14"/>
              </w:rPr>
              <w:t>(5)=(1)+ (2) +(3)</w:t>
            </w:r>
          </w:p>
        </w:tc>
        <w:tc>
          <w:tcPr>
            <w:tcW w:w="868" w:type="dxa"/>
            <w:vAlign w:val="center"/>
          </w:tcPr>
          <w:p>
            <w:pPr>
              <w:spacing w:before="20" w:after="20"/>
              <w:jc w:val="right"/>
              <w:rPr>
                <w:noProof/>
                <w:sz w:val="20"/>
              </w:rPr>
            </w:pPr>
            <w:r>
              <w:rPr>
                <w:noProof/>
                <w:sz w:val="20"/>
              </w:rPr>
              <w:t>393,145</w:t>
            </w:r>
          </w:p>
        </w:tc>
        <w:tc>
          <w:tcPr>
            <w:tcW w:w="868" w:type="dxa"/>
            <w:vAlign w:val="center"/>
          </w:tcPr>
          <w:p>
            <w:pPr>
              <w:spacing w:before="20" w:after="20"/>
              <w:jc w:val="right"/>
              <w:rPr>
                <w:noProof/>
                <w:sz w:val="20"/>
              </w:rPr>
            </w:pPr>
            <w:r>
              <w:rPr>
                <w:noProof/>
                <w:sz w:val="20"/>
              </w:rPr>
              <w:t>401,113</w:t>
            </w:r>
          </w:p>
        </w:tc>
        <w:tc>
          <w:tcPr>
            <w:tcW w:w="868" w:type="dxa"/>
            <w:vAlign w:val="center"/>
          </w:tcPr>
          <w:p>
            <w:pPr>
              <w:spacing w:before="20" w:after="20"/>
              <w:jc w:val="right"/>
              <w:rPr>
                <w:noProof/>
                <w:sz w:val="20"/>
              </w:rPr>
            </w:pPr>
            <w:r>
              <w:rPr>
                <w:noProof/>
                <w:sz w:val="20"/>
              </w:rPr>
              <w:t>409,218</w:t>
            </w:r>
          </w:p>
        </w:tc>
        <w:tc>
          <w:tcPr>
            <w:tcW w:w="868" w:type="dxa"/>
            <w:vAlign w:val="center"/>
          </w:tcPr>
          <w:p>
            <w:pPr>
              <w:spacing w:before="20" w:after="20"/>
              <w:jc w:val="right"/>
              <w:rPr>
                <w:noProof/>
                <w:sz w:val="20"/>
              </w:rPr>
            </w:pPr>
            <w:r>
              <w:rPr>
                <w:noProof/>
                <w:sz w:val="20"/>
              </w:rPr>
              <w:t>417,499</w:t>
            </w:r>
          </w:p>
        </w:tc>
        <w:tc>
          <w:tcPr>
            <w:tcW w:w="868" w:type="dxa"/>
            <w:vAlign w:val="center"/>
          </w:tcPr>
          <w:p>
            <w:pPr>
              <w:spacing w:before="20" w:after="20"/>
              <w:jc w:val="right"/>
              <w:rPr>
                <w:noProof/>
                <w:sz w:val="20"/>
              </w:rPr>
            </w:pPr>
            <w:r>
              <w:rPr>
                <w:noProof/>
                <w:sz w:val="20"/>
              </w:rPr>
              <w:t>426,024</w:t>
            </w:r>
          </w:p>
        </w:tc>
        <w:tc>
          <w:tcPr>
            <w:tcW w:w="868" w:type="dxa"/>
            <w:vAlign w:val="center"/>
          </w:tcPr>
          <w:p>
            <w:pPr>
              <w:spacing w:before="20" w:after="20"/>
              <w:jc w:val="right"/>
              <w:rPr>
                <w:noProof/>
                <w:sz w:val="20"/>
              </w:rPr>
            </w:pPr>
            <w:r>
              <w:rPr>
                <w:noProof/>
                <w:sz w:val="20"/>
              </w:rPr>
              <w:t>434,581</w:t>
            </w:r>
          </w:p>
        </w:tc>
        <w:tc>
          <w:tcPr>
            <w:tcW w:w="868" w:type="dxa"/>
            <w:vAlign w:val="center"/>
          </w:tcPr>
          <w:p>
            <w:pPr>
              <w:spacing w:before="20" w:after="20"/>
              <w:jc w:val="right"/>
              <w:rPr>
                <w:noProof/>
                <w:sz w:val="20"/>
              </w:rPr>
            </w:pPr>
            <w:r>
              <w:rPr>
                <w:noProof/>
                <w:sz w:val="20"/>
              </w:rPr>
              <w:t>443,419</w:t>
            </w:r>
          </w:p>
        </w:tc>
        <w:tc>
          <w:tcPr>
            <w:tcW w:w="909" w:type="dxa"/>
            <w:shd w:val="clear" w:color="auto" w:fill="A6A6A6"/>
          </w:tcPr>
          <w:p>
            <w:pPr>
              <w:spacing w:before="20" w:after="20"/>
              <w:jc w:val="right"/>
              <w:rPr>
                <w:noProof/>
                <w:sz w:val="20"/>
              </w:rPr>
            </w:pPr>
          </w:p>
        </w:tc>
        <w:tc>
          <w:tcPr>
            <w:tcW w:w="1289" w:type="dxa"/>
            <w:vAlign w:val="center"/>
          </w:tcPr>
          <w:p>
            <w:pPr>
              <w:spacing w:before="20" w:after="20"/>
              <w:jc w:val="right"/>
              <w:rPr>
                <w:b/>
                <w:noProof/>
                <w:sz w:val="20"/>
              </w:rPr>
            </w:pPr>
            <w:r>
              <w:rPr>
                <w:b/>
                <w:noProof/>
                <w:sz w:val="20"/>
              </w:rPr>
              <w:t xml:space="preserve"> 2 925,000</w:t>
            </w:r>
          </w:p>
        </w:tc>
      </w:tr>
      <w:tr>
        <w:trPr>
          <w:jc w:val="center"/>
        </w:trPr>
        <w:tc>
          <w:tcPr>
            <w:tcW w:w="4103" w:type="dxa"/>
            <w:vMerge/>
          </w:tcPr>
          <w:p>
            <w:pPr>
              <w:rPr>
                <w:noProof/>
                <w:sz w:val="18"/>
                <w:szCs w:val="18"/>
              </w:rPr>
            </w:pPr>
          </w:p>
        </w:tc>
        <w:tc>
          <w:tcPr>
            <w:tcW w:w="1440" w:type="dxa"/>
            <w:vAlign w:val="center"/>
          </w:tcPr>
          <w:p>
            <w:pPr>
              <w:rPr>
                <w:noProof/>
                <w:sz w:val="18"/>
              </w:rPr>
            </w:pPr>
            <w:r>
              <w:rPr>
                <w:noProof/>
                <w:sz w:val="18"/>
              </w:rPr>
              <w:t>Plăți</w:t>
            </w:r>
          </w:p>
        </w:tc>
        <w:tc>
          <w:tcPr>
            <w:tcW w:w="654" w:type="dxa"/>
            <w:vAlign w:val="center"/>
          </w:tcPr>
          <w:p>
            <w:pPr>
              <w:jc w:val="center"/>
              <w:rPr>
                <w:noProof/>
                <w:sz w:val="14"/>
              </w:rPr>
            </w:pPr>
            <w:r>
              <w:rPr>
                <w:noProof/>
                <w:sz w:val="14"/>
              </w:rPr>
              <w:t>(6)=(1)+(2)+(4)</w:t>
            </w:r>
          </w:p>
        </w:tc>
        <w:tc>
          <w:tcPr>
            <w:tcW w:w="868" w:type="dxa"/>
            <w:vAlign w:val="center"/>
          </w:tcPr>
          <w:p>
            <w:pPr>
              <w:spacing w:before="20" w:after="20"/>
              <w:jc w:val="right"/>
              <w:rPr>
                <w:noProof/>
                <w:sz w:val="20"/>
              </w:rPr>
            </w:pPr>
            <w:r>
              <w:rPr>
                <w:noProof/>
                <w:sz w:val="20"/>
              </w:rPr>
              <w:t>277,218</w:t>
            </w:r>
          </w:p>
        </w:tc>
        <w:tc>
          <w:tcPr>
            <w:tcW w:w="868" w:type="dxa"/>
            <w:vAlign w:val="center"/>
          </w:tcPr>
          <w:p>
            <w:pPr>
              <w:spacing w:before="20" w:after="20"/>
              <w:jc w:val="right"/>
              <w:rPr>
                <w:noProof/>
                <w:sz w:val="20"/>
              </w:rPr>
            </w:pPr>
            <w:r>
              <w:rPr>
                <w:noProof/>
                <w:sz w:val="20"/>
              </w:rPr>
              <w:t>398,783</w:t>
            </w:r>
          </w:p>
        </w:tc>
        <w:tc>
          <w:tcPr>
            <w:tcW w:w="868" w:type="dxa"/>
            <w:vAlign w:val="center"/>
          </w:tcPr>
          <w:p>
            <w:pPr>
              <w:spacing w:before="20" w:after="20"/>
              <w:jc w:val="right"/>
              <w:rPr>
                <w:noProof/>
                <w:sz w:val="20"/>
              </w:rPr>
            </w:pPr>
            <w:r>
              <w:rPr>
                <w:noProof/>
                <w:sz w:val="20"/>
              </w:rPr>
              <w:t>406,849</w:t>
            </w:r>
          </w:p>
        </w:tc>
        <w:tc>
          <w:tcPr>
            <w:tcW w:w="868" w:type="dxa"/>
            <w:vAlign w:val="center"/>
          </w:tcPr>
          <w:p>
            <w:pPr>
              <w:spacing w:before="20" w:after="20"/>
              <w:jc w:val="right"/>
              <w:rPr>
                <w:noProof/>
                <w:sz w:val="20"/>
              </w:rPr>
            </w:pPr>
            <w:r>
              <w:rPr>
                <w:noProof/>
                <w:sz w:val="20"/>
              </w:rPr>
              <w:t>415,079</w:t>
            </w:r>
          </w:p>
        </w:tc>
        <w:tc>
          <w:tcPr>
            <w:tcW w:w="868" w:type="dxa"/>
            <w:vAlign w:val="center"/>
          </w:tcPr>
          <w:p>
            <w:pPr>
              <w:spacing w:before="20" w:after="20"/>
              <w:jc w:val="right"/>
              <w:rPr>
                <w:noProof/>
                <w:sz w:val="20"/>
              </w:rPr>
            </w:pPr>
            <w:r>
              <w:rPr>
                <w:noProof/>
                <w:sz w:val="20"/>
              </w:rPr>
              <w:t>423,533</w:t>
            </w:r>
          </w:p>
        </w:tc>
        <w:tc>
          <w:tcPr>
            <w:tcW w:w="868" w:type="dxa"/>
            <w:vAlign w:val="center"/>
          </w:tcPr>
          <w:p>
            <w:pPr>
              <w:spacing w:before="20" w:after="20"/>
              <w:jc w:val="right"/>
              <w:rPr>
                <w:noProof/>
                <w:sz w:val="20"/>
              </w:rPr>
            </w:pPr>
            <w:r>
              <w:rPr>
                <w:noProof/>
                <w:sz w:val="20"/>
              </w:rPr>
              <w:t>432,082</w:t>
            </w:r>
          </w:p>
        </w:tc>
        <w:tc>
          <w:tcPr>
            <w:tcW w:w="868" w:type="dxa"/>
            <w:vAlign w:val="center"/>
          </w:tcPr>
          <w:p>
            <w:pPr>
              <w:spacing w:before="20" w:after="20"/>
              <w:jc w:val="right"/>
              <w:rPr>
                <w:noProof/>
                <w:sz w:val="20"/>
              </w:rPr>
            </w:pPr>
            <w:r>
              <w:rPr>
                <w:noProof/>
                <w:sz w:val="20"/>
              </w:rPr>
              <w:t>440,838</w:t>
            </w:r>
          </w:p>
        </w:tc>
        <w:tc>
          <w:tcPr>
            <w:tcW w:w="909" w:type="dxa"/>
          </w:tcPr>
          <w:p>
            <w:pPr>
              <w:spacing w:before="20" w:after="20"/>
              <w:jc w:val="right"/>
              <w:rPr>
                <w:noProof/>
                <w:sz w:val="20"/>
              </w:rPr>
            </w:pPr>
            <w:r>
              <w:rPr>
                <w:noProof/>
                <w:sz w:val="20"/>
              </w:rPr>
              <w:t>130,618</w:t>
            </w:r>
          </w:p>
        </w:tc>
        <w:tc>
          <w:tcPr>
            <w:tcW w:w="1289" w:type="dxa"/>
            <w:vAlign w:val="center"/>
          </w:tcPr>
          <w:p>
            <w:pPr>
              <w:spacing w:before="20" w:after="20"/>
              <w:jc w:val="right"/>
              <w:rPr>
                <w:b/>
                <w:noProof/>
                <w:sz w:val="20"/>
              </w:rPr>
            </w:pPr>
            <w:r>
              <w:rPr>
                <w:b/>
                <w:noProof/>
                <w:sz w:val="20"/>
              </w:rPr>
              <w:t>2 925,000</w:t>
            </w:r>
          </w:p>
        </w:tc>
      </w:tr>
      <w:tr>
        <w:trPr>
          <w:jc w:val="center"/>
        </w:trPr>
        <w:tc>
          <w:tcPr>
            <w:tcW w:w="4103" w:type="dxa"/>
          </w:tcPr>
          <w:p>
            <w:pPr>
              <w:rPr>
                <w:noProof/>
                <w:sz w:val="18"/>
                <w:szCs w:val="18"/>
              </w:rPr>
            </w:pPr>
            <w:r>
              <w:rPr>
                <w:noProof/>
                <w:sz w:val="18"/>
              </w:rPr>
              <w:t>01.010101 Cheltuieli legate de funcționarii și agenții temporari care pun în aplicare programe de cercetare și inovare – Orizont Europa</w:t>
            </w:r>
          </w:p>
        </w:tc>
        <w:tc>
          <w:tcPr>
            <w:tcW w:w="1440" w:type="dxa"/>
            <w:vAlign w:val="center"/>
          </w:tcPr>
          <w:p>
            <w:pPr>
              <w:rPr>
                <w:noProof/>
                <w:sz w:val="18"/>
              </w:rPr>
            </w:pPr>
            <w:r>
              <w:rPr>
                <w:noProof/>
                <w:sz w:val="18"/>
              </w:rPr>
              <w:t>Angajamente = Plăți</w:t>
            </w:r>
          </w:p>
        </w:tc>
        <w:tc>
          <w:tcPr>
            <w:tcW w:w="654" w:type="dxa"/>
            <w:vAlign w:val="center"/>
          </w:tcPr>
          <w:p>
            <w:pPr>
              <w:jc w:val="center"/>
              <w:rPr>
                <w:noProof/>
                <w:sz w:val="14"/>
              </w:rPr>
            </w:pPr>
            <w:r>
              <w:rPr>
                <w:noProof/>
                <w:sz w:val="14"/>
              </w:rPr>
              <w:t>(7)</w:t>
            </w:r>
          </w:p>
        </w:tc>
        <w:tc>
          <w:tcPr>
            <w:tcW w:w="868" w:type="dxa"/>
            <w:vAlign w:val="center"/>
          </w:tcPr>
          <w:p>
            <w:pPr>
              <w:spacing w:before="20" w:after="20"/>
              <w:jc w:val="right"/>
              <w:rPr>
                <w:noProof/>
                <w:sz w:val="20"/>
              </w:rPr>
            </w:pPr>
            <w:r>
              <w:rPr>
                <w:noProof/>
                <w:sz w:val="20"/>
              </w:rPr>
              <w:t>0,527</w:t>
            </w:r>
          </w:p>
        </w:tc>
        <w:tc>
          <w:tcPr>
            <w:tcW w:w="868" w:type="dxa"/>
            <w:vAlign w:val="center"/>
          </w:tcPr>
          <w:p>
            <w:pPr>
              <w:spacing w:before="20" w:after="20"/>
              <w:jc w:val="right"/>
              <w:rPr>
                <w:noProof/>
                <w:sz w:val="20"/>
              </w:rPr>
            </w:pPr>
            <w:r>
              <w:rPr>
                <w:noProof/>
                <w:sz w:val="20"/>
              </w:rPr>
              <w:t>0,545</w:t>
            </w:r>
          </w:p>
        </w:tc>
        <w:tc>
          <w:tcPr>
            <w:tcW w:w="868" w:type="dxa"/>
            <w:vAlign w:val="center"/>
          </w:tcPr>
          <w:p>
            <w:pPr>
              <w:spacing w:before="20" w:after="20"/>
              <w:jc w:val="right"/>
              <w:rPr>
                <w:noProof/>
                <w:sz w:val="20"/>
              </w:rPr>
            </w:pPr>
            <w:r>
              <w:rPr>
                <w:noProof/>
                <w:sz w:val="20"/>
              </w:rPr>
              <w:t>0,565</w:t>
            </w:r>
          </w:p>
        </w:tc>
        <w:tc>
          <w:tcPr>
            <w:tcW w:w="868" w:type="dxa"/>
            <w:vAlign w:val="center"/>
          </w:tcPr>
          <w:p>
            <w:pPr>
              <w:spacing w:before="20" w:after="20"/>
              <w:jc w:val="right"/>
              <w:rPr>
                <w:noProof/>
                <w:sz w:val="20"/>
              </w:rPr>
            </w:pPr>
            <w:r>
              <w:rPr>
                <w:noProof/>
                <w:sz w:val="20"/>
              </w:rPr>
              <w:t>0,584</w:t>
            </w:r>
          </w:p>
        </w:tc>
        <w:tc>
          <w:tcPr>
            <w:tcW w:w="868" w:type="dxa"/>
            <w:vAlign w:val="center"/>
          </w:tcPr>
          <w:p>
            <w:pPr>
              <w:spacing w:before="20" w:after="20"/>
              <w:jc w:val="right"/>
              <w:rPr>
                <w:noProof/>
                <w:sz w:val="20"/>
              </w:rPr>
            </w:pPr>
            <w:r>
              <w:rPr>
                <w:noProof/>
                <w:sz w:val="20"/>
              </w:rPr>
              <w:t>0,605</w:t>
            </w:r>
          </w:p>
        </w:tc>
        <w:tc>
          <w:tcPr>
            <w:tcW w:w="868" w:type="dxa"/>
            <w:vAlign w:val="center"/>
          </w:tcPr>
          <w:p>
            <w:pPr>
              <w:spacing w:before="20" w:after="20"/>
              <w:jc w:val="right"/>
              <w:rPr>
                <w:noProof/>
                <w:sz w:val="20"/>
              </w:rPr>
            </w:pPr>
            <w:r>
              <w:rPr>
                <w:noProof/>
                <w:sz w:val="20"/>
              </w:rPr>
              <w:t>0,626</w:t>
            </w:r>
          </w:p>
        </w:tc>
        <w:tc>
          <w:tcPr>
            <w:tcW w:w="868" w:type="dxa"/>
            <w:vAlign w:val="center"/>
          </w:tcPr>
          <w:p>
            <w:pPr>
              <w:spacing w:before="20" w:after="20"/>
              <w:jc w:val="right"/>
              <w:rPr>
                <w:noProof/>
                <w:sz w:val="20"/>
              </w:rPr>
            </w:pPr>
            <w:r>
              <w:rPr>
                <w:noProof/>
                <w:sz w:val="20"/>
              </w:rPr>
              <w:t>0,648</w:t>
            </w:r>
          </w:p>
        </w:tc>
        <w:tc>
          <w:tcPr>
            <w:tcW w:w="909" w:type="dxa"/>
          </w:tcPr>
          <w:p>
            <w:pPr>
              <w:spacing w:before="20" w:after="20"/>
              <w:jc w:val="right"/>
              <w:rPr>
                <w:noProof/>
                <w:sz w:val="20"/>
              </w:rPr>
            </w:pPr>
          </w:p>
        </w:tc>
        <w:tc>
          <w:tcPr>
            <w:tcW w:w="1289" w:type="dxa"/>
            <w:vAlign w:val="center"/>
          </w:tcPr>
          <w:p>
            <w:pPr>
              <w:spacing w:before="20" w:after="20"/>
              <w:jc w:val="right"/>
              <w:rPr>
                <w:b/>
                <w:noProof/>
                <w:sz w:val="20"/>
              </w:rPr>
            </w:pPr>
            <w:r>
              <w:rPr>
                <w:b/>
                <w:noProof/>
                <w:sz w:val="20"/>
              </w:rPr>
              <w:t>4,100</w:t>
            </w:r>
          </w:p>
        </w:tc>
      </w:tr>
      <w:tr>
        <w:trPr>
          <w:jc w:val="center"/>
        </w:trPr>
        <w:tc>
          <w:tcPr>
            <w:tcW w:w="4103" w:type="dxa"/>
          </w:tcPr>
          <w:p>
            <w:pPr>
              <w:rPr>
                <w:noProof/>
                <w:sz w:val="18"/>
                <w:szCs w:val="18"/>
              </w:rPr>
            </w:pPr>
            <w:r>
              <w:rPr>
                <w:noProof/>
                <w:sz w:val="18"/>
              </w:rPr>
              <w:t>01.010102 Personal extern care pune în aplicare programe de cercetare și inovare – Orizont Europa</w:t>
            </w:r>
          </w:p>
        </w:tc>
        <w:tc>
          <w:tcPr>
            <w:tcW w:w="1440" w:type="dxa"/>
          </w:tcPr>
          <w:p>
            <w:pPr>
              <w:rPr>
                <w:noProof/>
                <w:sz w:val="18"/>
                <w:szCs w:val="18"/>
              </w:rPr>
            </w:pPr>
            <w:r>
              <w:rPr>
                <w:noProof/>
                <w:sz w:val="18"/>
              </w:rPr>
              <w:t>Angajamente = Plăți</w:t>
            </w:r>
          </w:p>
        </w:tc>
        <w:tc>
          <w:tcPr>
            <w:tcW w:w="654" w:type="dxa"/>
          </w:tcPr>
          <w:p>
            <w:pPr>
              <w:jc w:val="center"/>
              <w:rPr>
                <w:noProof/>
                <w:sz w:val="14"/>
                <w:szCs w:val="14"/>
              </w:rPr>
            </w:pPr>
            <w:r>
              <w:rPr>
                <w:noProof/>
                <w:sz w:val="14"/>
              </w:rPr>
              <w:t>(8)</w:t>
            </w:r>
          </w:p>
        </w:tc>
        <w:tc>
          <w:tcPr>
            <w:tcW w:w="868" w:type="dxa"/>
          </w:tcPr>
          <w:p>
            <w:pPr>
              <w:spacing w:before="20" w:after="20"/>
              <w:jc w:val="right"/>
              <w:rPr>
                <w:noProof/>
                <w:sz w:val="18"/>
                <w:szCs w:val="18"/>
              </w:rPr>
            </w:pPr>
            <w:r>
              <w:rPr>
                <w:noProof/>
                <w:sz w:val="18"/>
              </w:rPr>
              <w:t>0,108</w:t>
            </w:r>
          </w:p>
        </w:tc>
        <w:tc>
          <w:tcPr>
            <w:tcW w:w="868" w:type="dxa"/>
          </w:tcPr>
          <w:p>
            <w:pPr>
              <w:spacing w:before="20" w:after="20"/>
              <w:jc w:val="right"/>
              <w:rPr>
                <w:noProof/>
                <w:sz w:val="18"/>
                <w:szCs w:val="18"/>
              </w:rPr>
            </w:pPr>
            <w:r>
              <w:rPr>
                <w:noProof/>
                <w:sz w:val="18"/>
              </w:rPr>
              <w:t>0,110</w:t>
            </w:r>
          </w:p>
        </w:tc>
        <w:tc>
          <w:tcPr>
            <w:tcW w:w="868" w:type="dxa"/>
          </w:tcPr>
          <w:p>
            <w:pPr>
              <w:spacing w:before="20" w:after="20"/>
              <w:jc w:val="right"/>
              <w:rPr>
                <w:noProof/>
                <w:sz w:val="18"/>
                <w:szCs w:val="18"/>
              </w:rPr>
            </w:pPr>
            <w:r>
              <w:rPr>
                <w:noProof/>
                <w:sz w:val="18"/>
              </w:rPr>
              <w:t>0,113</w:t>
            </w:r>
          </w:p>
        </w:tc>
        <w:tc>
          <w:tcPr>
            <w:tcW w:w="868" w:type="dxa"/>
          </w:tcPr>
          <w:p>
            <w:pPr>
              <w:spacing w:before="20" w:after="20"/>
              <w:jc w:val="right"/>
              <w:rPr>
                <w:noProof/>
                <w:sz w:val="18"/>
                <w:szCs w:val="18"/>
              </w:rPr>
            </w:pPr>
            <w:r>
              <w:rPr>
                <w:noProof/>
                <w:sz w:val="18"/>
              </w:rPr>
              <w:t>0,115</w:t>
            </w:r>
          </w:p>
        </w:tc>
        <w:tc>
          <w:tcPr>
            <w:tcW w:w="868" w:type="dxa"/>
          </w:tcPr>
          <w:p>
            <w:pPr>
              <w:spacing w:before="20" w:after="20"/>
              <w:jc w:val="right"/>
              <w:rPr>
                <w:noProof/>
                <w:sz w:val="18"/>
                <w:szCs w:val="18"/>
              </w:rPr>
            </w:pPr>
            <w:r>
              <w:rPr>
                <w:noProof/>
                <w:sz w:val="18"/>
              </w:rPr>
              <w:t>0,117</w:t>
            </w:r>
          </w:p>
        </w:tc>
        <w:tc>
          <w:tcPr>
            <w:tcW w:w="868" w:type="dxa"/>
          </w:tcPr>
          <w:p>
            <w:pPr>
              <w:spacing w:before="20" w:after="20"/>
              <w:jc w:val="right"/>
              <w:rPr>
                <w:noProof/>
                <w:sz w:val="18"/>
                <w:szCs w:val="18"/>
              </w:rPr>
            </w:pPr>
            <w:r>
              <w:rPr>
                <w:noProof/>
                <w:sz w:val="18"/>
              </w:rPr>
              <w:t>0,119</w:t>
            </w:r>
          </w:p>
        </w:tc>
        <w:tc>
          <w:tcPr>
            <w:tcW w:w="868" w:type="dxa"/>
          </w:tcPr>
          <w:p>
            <w:pPr>
              <w:spacing w:before="20" w:after="20"/>
              <w:jc w:val="right"/>
              <w:rPr>
                <w:noProof/>
                <w:sz w:val="18"/>
                <w:szCs w:val="18"/>
              </w:rPr>
            </w:pPr>
            <w:r>
              <w:rPr>
                <w:noProof/>
                <w:sz w:val="18"/>
              </w:rPr>
              <w:t>0,122</w:t>
            </w:r>
          </w:p>
        </w:tc>
        <w:tc>
          <w:tcPr>
            <w:tcW w:w="909" w:type="dxa"/>
          </w:tcPr>
          <w:p>
            <w:pPr>
              <w:spacing w:before="20" w:after="20"/>
              <w:jc w:val="right"/>
              <w:rPr>
                <w:noProof/>
                <w:sz w:val="18"/>
                <w:szCs w:val="18"/>
              </w:rPr>
            </w:pPr>
          </w:p>
        </w:tc>
        <w:tc>
          <w:tcPr>
            <w:tcW w:w="1289" w:type="dxa"/>
          </w:tcPr>
          <w:p>
            <w:pPr>
              <w:spacing w:before="20" w:after="20"/>
              <w:jc w:val="right"/>
              <w:rPr>
                <w:b/>
                <w:noProof/>
                <w:sz w:val="18"/>
                <w:szCs w:val="18"/>
              </w:rPr>
            </w:pPr>
            <w:r>
              <w:rPr>
                <w:noProof/>
                <w:sz w:val="18"/>
              </w:rPr>
              <w:t>0,804</w:t>
            </w:r>
          </w:p>
        </w:tc>
      </w:tr>
      <w:tr>
        <w:trPr>
          <w:jc w:val="center"/>
        </w:trPr>
        <w:tc>
          <w:tcPr>
            <w:tcW w:w="4103" w:type="dxa"/>
          </w:tcPr>
          <w:p>
            <w:pPr>
              <w:rPr>
                <w:noProof/>
                <w:sz w:val="18"/>
                <w:szCs w:val="18"/>
              </w:rPr>
            </w:pPr>
            <w:r>
              <w:rPr>
                <w:noProof/>
                <w:sz w:val="18"/>
              </w:rPr>
              <w:t>01.010103 Alte cheltuieli de gestiune pentru programele de cercetare și inovare – Orizont Europa</w:t>
            </w:r>
          </w:p>
        </w:tc>
        <w:tc>
          <w:tcPr>
            <w:tcW w:w="1440" w:type="dxa"/>
          </w:tcPr>
          <w:p>
            <w:pPr>
              <w:rPr>
                <w:noProof/>
                <w:sz w:val="18"/>
                <w:szCs w:val="18"/>
              </w:rPr>
            </w:pPr>
            <w:r>
              <w:rPr>
                <w:noProof/>
                <w:sz w:val="18"/>
              </w:rPr>
              <w:t>Angajamente = Plăți</w:t>
            </w:r>
          </w:p>
        </w:tc>
        <w:tc>
          <w:tcPr>
            <w:tcW w:w="654" w:type="dxa"/>
          </w:tcPr>
          <w:p>
            <w:pPr>
              <w:jc w:val="center"/>
              <w:rPr>
                <w:noProof/>
                <w:sz w:val="14"/>
                <w:szCs w:val="14"/>
              </w:rPr>
            </w:pPr>
            <w:r>
              <w:rPr>
                <w:noProof/>
                <w:sz w:val="14"/>
              </w:rPr>
              <w:t>(9)</w:t>
            </w:r>
          </w:p>
        </w:tc>
        <w:tc>
          <w:tcPr>
            <w:tcW w:w="868" w:type="dxa"/>
          </w:tcPr>
          <w:p>
            <w:pPr>
              <w:spacing w:before="20" w:after="20"/>
              <w:jc w:val="right"/>
              <w:rPr>
                <w:noProof/>
                <w:sz w:val="18"/>
                <w:szCs w:val="18"/>
              </w:rPr>
            </w:pPr>
            <w:r>
              <w:rPr>
                <w:noProof/>
                <w:sz w:val="18"/>
              </w:rPr>
              <w:t>9,445</w:t>
            </w:r>
          </w:p>
        </w:tc>
        <w:tc>
          <w:tcPr>
            <w:tcW w:w="868" w:type="dxa"/>
          </w:tcPr>
          <w:p>
            <w:pPr>
              <w:spacing w:before="20" w:after="20"/>
              <w:jc w:val="right"/>
              <w:rPr>
                <w:noProof/>
                <w:sz w:val="18"/>
                <w:szCs w:val="18"/>
              </w:rPr>
            </w:pPr>
            <w:r>
              <w:rPr>
                <w:noProof/>
                <w:sz w:val="18"/>
              </w:rPr>
              <w:t>9,629</w:t>
            </w:r>
          </w:p>
        </w:tc>
        <w:tc>
          <w:tcPr>
            <w:tcW w:w="868" w:type="dxa"/>
          </w:tcPr>
          <w:p>
            <w:pPr>
              <w:spacing w:before="20" w:after="20"/>
              <w:jc w:val="right"/>
              <w:rPr>
                <w:noProof/>
                <w:sz w:val="18"/>
                <w:szCs w:val="18"/>
              </w:rPr>
            </w:pPr>
            <w:r>
              <w:rPr>
                <w:noProof/>
                <w:sz w:val="18"/>
              </w:rPr>
              <w:t>9,816</w:t>
            </w:r>
          </w:p>
        </w:tc>
        <w:tc>
          <w:tcPr>
            <w:tcW w:w="868" w:type="dxa"/>
          </w:tcPr>
          <w:p>
            <w:pPr>
              <w:spacing w:before="20" w:after="20"/>
              <w:jc w:val="right"/>
              <w:rPr>
                <w:noProof/>
                <w:sz w:val="18"/>
                <w:szCs w:val="18"/>
              </w:rPr>
            </w:pPr>
            <w:r>
              <w:rPr>
                <w:noProof/>
                <w:sz w:val="18"/>
              </w:rPr>
              <w:t>10,006</w:t>
            </w:r>
          </w:p>
        </w:tc>
        <w:tc>
          <w:tcPr>
            <w:tcW w:w="868" w:type="dxa"/>
          </w:tcPr>
          <w:p>
            <w:pPr>
              <w:spacing w:before="20" w:after="20"/>
              <w:jc w:val="right"/>
              <w:rPr>
                <w:noProof/>
                <w:sz w:val="18"/>
                <w:szCs w:val="18"/>
              </w:rPr>
            </w:pPr>
            <w:r>
              <w:rPr>
                <w:noProof/>
                <w:sz w:val="18"/>
              </w:rPr>
              <w:t>10,202</w:t>
            </w:r>
          </w:p>
        </w:tc>
        <w:tc>
          <w:tcPr>
            <w:tcW w:w="868" w:type="dxa"/>
          </w:tcPr>
          <w:p>
            <w:pPr>
              <w:spacing w:before="20" w:after="20"/>
              <w:jc w:val="right"/>
              <w:rPr>
                <w:noProof/>
                <w:sz w:val="18"/>
                <w:szCs w:val="18"/>
              </w:rPr>
            </w:pPr>
            <w:r>
              <w:rPr>
                <w:noProof/>
                <w:sz w:val="18"/>
              </w:rPr>
              <w:t>10,398</w:t>
            </w:r>
          </w:p>
        </w:tc>
        <w:tc>
          <w:tcPr>
            <w:tcW w:w="868" w:type="dxa"/>
          </w:tcPr>
          <w:p>
            <w:pPr>
              <w:spacing w:before="20" w:after="20"/>
              <w:jc w:val="right"/>
              <w:rPr>
                <w:noProof/>
                <w:sz w:val="18"/>
                <w:szCs w:val="18"/>
              </w:rPr>
            </w:pPr>
            <w:r>
              <w:rPr>
                <w:noProof/>
                <w:sz w:val="18"/>
              </w:rPr>
              <w:t>10,600</w:t>
            </w:r>
          </w:p>
        </w:tc>
        <w:tc>
          <w:tcPr>
            <w:tcW w:w="909" w:type="dxa"/>
          </w:tcPr>
          <w:p>
            <w:pPr>
              <w:spacing w:before="20" w:after="20"/>
              <w:jc w:val="right"/>
              <w:rPr>
                <w:noProof/>
                <w:sz w:val="18"/>
                <w:szCs w:val="18"/>
              </w:rPr>
            </w:pPr>
          </w:p>
        </w:tc>
        <w:tc>
          <w:tcPr>
            <w:tcW w:w="1289" w:type="dxa"/>
          </w:tcPr>
          <w:p>
            <w:pPr>
              <w:spacing w:before="20" w:after="20"/>
              <w:jc w:val="right"/>
              <w:rPr>
                <w:b/>
                <w:noProof/>
                <w:sz w:val="18"/>
                <w:szCs w:val="18"/>
              </w:rPr>
            </w:pPr>
            <w:r>
              <w:rPr>
                <w:noProof/>
                <w:sz w:val="18"/>
              </w:rPr>
              <w:t>70,096</w:t>
            </w:r>
          </w:p>
        </w:tc>
      </w:tr>
      <w:tr>
        <w:trPr>
          <w:jc w:val="center"/>
        </w:trPr>
        <w:tc>
          <w:tcPr>
            <w:tcW w:w="4103" w:type="dxa"/>
          </w:tcPr>
          <w:p>
            <w:pPr>
              <w:rPr>
                <w:noProof/>
                <w:sz w:val="18"/>
                <w:szCs w:val="18"/>
              </w:rPr>
            </w:pPr>
            <w:r>
              <w:rPr>
                <w:noProof/>
                <w:sz w:val="18"/>
              </w:rPr>
              <w:t>Credite cu caracter administrativ finanțate din bugetul programului</w:t>
            </w:r>
            <w:r>
              <w:rPr>
                <w:rStyle w:val="FootnoteReference"/>
                <w:noProof/>
                <w:sz w:val="18"/>
              </w:rPr>
              <w:footnoteReference w:id="16"/>
            </w:r>
            <w:r>
              <w:rPr>
                <w:noProof/>
                <w:sz w:val="18"/>
              </w:rPr>
              <w:t xml:space="preserve"> </w:t>
            </w:r>
          </w:p>
        </w:tc>
        <w:tc>
          <w:tcPr>
            <w:tcW w:w="1440" w:type="dxa"/>
          </w:tcPr>
          <w:p>
            <w:pPr>
              <w:rPr>
                <w:noProof/>
                <w:sz w:val="18"/>
                <w:szCs w:val="18"/>
              </w:rPr>
            </w:pPr>
            <w:r>
              <w:rPr>
                <w:noProof/>
                <w:sz w:val="18"/>
              </w:rPr>
              <w:t>Angajamente = Plăți</w:t>
            </w:r>
          </w:p>
        </w:tc>
        <w:tc>
          <w:tcPr>
            <w:tcW w:w="654" w:type="dxa"/>
          </w:tcPr>
          <w:p>
            <w:pPr>
              <w:jc w:val="center"/>
              <w:rPr>
                <w:noProof/>
                <w:sz w:val="14"/>
                <w:szCs w:val="14"/>
              </w:rPr>
            </w:pPr>
            <w:r>
              <w:rPr>
                <w:noProof/>
                <w:sz w:val="14"/>
              </w:rPr>
              <w:t>(10)=(7)+ (8) +(9)</w:t>
            </w:r>
          </w:p>
        </w:tc>
        <w:tc>
          <w:tcPr>
            <w:tcW w:w="868" w:type="dxa"/>
          </w:tcPr>
          <w:p>
            <w:pPr>
              <w:spacing w:before="20" w:after="20"/>
              <w:jc w:val="right"/>
              <w:rPr>
                <w:noProof/>
                <w:sz w:val="18"/>
                <w:szCs w:val="18"/>
              </w:rPr>
            </w:pPr>
            <w:r>
              <w:rPr>
                <w:noProof/>
                <w:sz w:val="18"/>
              </w:rPr>
              <w:t>10,081</w:t>
            </w:r>
          </w:p>
        </w:tc>
        <w:tc>
          <w:tcPr>
            <w:tcW w:w="868" w:type="dxa"/>
          </w:tcPr>
          <w:p>
            <w:pPr>
              <w:spacing w:before="20" w:after="20"/>
              <w:jc w:val="right"/>
              <w:rPr>
                <w:noProof/>
                <w:sz w:val="18"/>
                <w:szCs w:val="18"/>
              </w:rPr>
            </w:pPr>
            <w:r>
              <w:rPr>
                <w:noProof/>
                <w:sz w:val="18"/>
              </w:rPr>
              <w:t>10,285</w:t>
            </w:r>
          </w:p>
        </w:tc>
        <w:tc>
          <w:tcPr>
            <w:tcW w:w="868" w:type="dxa"/>
          </w:tcPr>
          <w:p>
            <w:pPr>
              <w:spacing w:before="20" w:after="20"/>
              <w:jc w:val="right"/>
              <w:rPr>
                <w:noProof/>
                <w:sz w:val="18"/>
                <w:szCs w:val="18"/>
              </w:rPr>
            </w:pPr>
            <w:r>
              <w:rPr>
                <w:noProof/>
                <w:sz w:val="18"/>
              </w:rPr>
              <w:t>10,493</w:t>
            </w:r>
          </w:p>
        </w:tc>
        <w:tc>
          <w:tcPr>
            <w:tcW w:w="868" w:type="dxa"/>
          </w:tcPr>
          <w:p>
            <w:pPr>
              <w:spacing w:before="20" w:after="20"/>
              <w:jc w:val="right"/>
              <w:rPr>
                <w:noProof/>
                <w:sz w:val="18"/>
                <w:szCs w:val="18"/>
              </w:rPr>
            </w:pPr>
            <w:r>
              <w:rPr>
                <w:noProof/>
                <w:sz w:val="18"/>
              </w:rPr>
              <w:t>10,705</w:t>
            </w:r>
          </w:p>
        </w:tc>
        <w:tc>
          <w:tcPr>
            <w:tcW w:w="868" w:type="dxa"/>
          </w:tcPr>
          <w:p>
            <w:pPr>
              <w:spacing w:before="20" w:after="20"/>
              <w:jc w:val="right"/>
              <w:rPr>
                <w:noProof/>
                <w:sz w:val="18"/>
                <w:szCs w:val="18"/>
              </w:rPr>
            </w:pPr>
            <w:r>
              <w:rPr>
                <w:noProof/>
                <w:sz w:val="18"/>
              </w:rPr>
              <w:t>10,924</w:t>
            </w:r>
          </w:p>
        </w:tc>
        <w:tc>
          <w:tcPr>
            <w:tcW w:w="868" w:type="dxa"/>
          </w:tcPr>
          <w:p>
            <w:pPr>
              <w:spacing w:before="20" w:after="20"/>
              <w:jc w:val="right"/>
              <w:rPr>
                <w:noProof/>
                <w:sz w:val="18"/>
                <w:szCs w:val="18"/>
              </w:rPr>
            </w:pPr>
            <w:r>
              <w:rPr>
                <w:noProof/>
                <w:sz w:val="18"/>
              </w:rPr>
              <w:t>11,143</w:t>
            </w:r>
          </w:p>
        </w:tc>
        <w:tc>
          <w:tcPr>
            <w:tcW w:w="868" w:type="dxa"/>
          </w:tcPr>
          <w:p>
            <w:pPr>
              <w:spacing w:before="20" w:after="20"/>
              <w:jc w:val="right"/>
              <w:rPr>
                <w:noProof/>
                <w:sz w:val="18"/>
                <w:szCs w:val="18"/>
              </w:rPr>
            </w:pPr>
            <w:r>
              <w:rPr>
                <w:noProof/>
                <w:sz w:val="18"/>
              </w:rPr>
              <w:t>11,370</w:t>
            </w:r>
          </w:p>
        </w:tc>
        <w:tc>
          <w:tcPr>
            <w:tcW w:w="909" w:type="dxa"/>
          </w:tcPr>
          <w:p>
            <w:pPr>
              <w:spacing w:before="20" w:after="20"/>
              <w:jc w:val="right"/>
              <w:rPr>
                <w:noProof/>
                <w:sz w:val="18"/>
                <w:szCs w:val="18"/>
              </w:rPr>
            </w:pPr>
            <w:r>
              <w:rPr>
                <w:noProof/>
                <w:sz w:val="18"/>
              </w:rPr>
              <w:t xml:space="preserve"> </w:t>
            </w:r>
          </w:p>
        </w:tc>
        <w:tc>
          <w:tcPr>
            <w:tcW w:w="1289" w:type="dxa"/>
          </w:tcPr>
          <w:p>
            <w:pPr>
              <w:spacing w:before="20" w:after="20"/>
              <w:jc w:val="right"/>
              <w:rPr>
                <w:b/>
                <w:noProof/>
                <w:sz w:val="18"/>
                <w:szCs w:val="18"/>
              </w:rPr>
            </w:pPr>
            <w:r>
              <w:rPr>
                <w:noProof/>
                <w:sz w:val="18"/>
              </w:rPr>
              <w:t xml:space="preserve">75,000 </w:t>
            </w:r>
          </w:p>
        </w:tc>
      </w:tr>
      <w:tr>
        <w:trPr>
          <w:jc w:val="center"/>
        </w:trPr>
        <w:tc>
          <w:tcPr>
            <w:tcW w:w="4103" w:type="dxa"/>
            <w:vMerge w:val="restart"/>
          </w:tcPr>
          <w:p>
            <w:pPr>
              <w:rPr>
                <w:b/>
                <w:noProof/>
                <w:sz w:val="18"/>
                <w:szCs w:val="18"/>
              </w:rPr>
            </w:pPr>
            <w:r>
              <w:rPr>
                <w:b/>
                <w:noProof/>
                <w:sz w:val="18"/>
              </w:rPr>
              <w:t>TOTAL credite la RUBRICA 1 din cadrul financiar multianual pentru EIT</w:t>
            </w:r>
          </w:p>
        </w:tc>
        <w:tc>
          <w:tcPr>
            <w:tcW w:w="1440" w:type="dxa"/>
          </w:tcPr>
          <w:p>
            <w:pPr>
              <w:rPr>
                <w:noProof/>
                <w:sz w:val="18"/>
                <w:szCs w:val="18"/>
              </w:rPr>
            </w:pPr>
            <w:r>
              <w:rPr>
                <w:noProof/>
                <w:sz w:val="18"/>
              </w:rPr>
              <w:t>Angajamente</w:t>
            </w:r>
          </w:p>
        </w:tc>
        <w:tc>
          <w:tcPr>
            <w:tcW w:w="654" w:type="dxa"/>
          </w:tcPr>
          <w:p>
            <w:pPr>
              <w:jc w:val="center"/>
              <w:rPr>
                <w:noProof/>
                <w:sz w:val="14"/>
                <w:szCs w:val="14"/>
              </w:rPr>
            </w:pPr>
            <w:r>
              <w:rPr>
                <w:noProof/>
                <w:sz w:val="14"/>
              </w:rPr>
              <w:t>(11) =(5)+(10)</w:t>
            </w:r>
          </w:p>
        </w:tc>
        <w:tc>
          <w:tcPr>
            <w:tcW w:w="868" w:type="dxa"/>
          </w:tcPr>
          <w:p>
            <w:pPr>
              <w:spacing w:before="20" w:after="20"/>
              <w:jc w:val="right"/>
              <w:rPr>
                <w:noProof/>
                <w:sz w:val="18"/>
                <w:szCs w:val="18"/>
              </w:rPr>
            </w:pPr>
            <w:r>
              <w:rPr>
                <w:noProof/>
                <w:sz w:val="18"/>
              </w:rPr>
              <w:t>403,226</w:t>
            </w:r>
          </w:p>
        </w:tc>
        <w:tc>
          <w:tcPr>
            <w:tcW w:w="868" w:type="dxa"/>
          </w:tcPr>
          <w:p>
            <w:pPr>
              <w:spacing w:before="20" w:after="20"/>
              <w:jc w:val="right"/>
              <w:rPr>
                <w:noProof/>
                <w:sz w:val="18"/>
                <w:szCs w:val="18"/>
              </w:rPr>
            </w:pPr>
            <w:r>
              <w:rPr>
                <w:noProof/>
                <w:sz w:val="18"/>
              </w:rPr>
              <w:t>411,398</w:t>
            </w:r>
          </w:p>
        </w:tc>
        <w:tc>
          <w:tcPr>
            <w:tcW w:w="868" w:type="dxa"/>
          </w:tcPr>
          <w:p>
            <w:pPr>
              <w:spacing w:before="20" w:after="20"/>
              <w:jc w:val="right"/>
              <w:rPr>
                <w:noProof/>
                <w:sz w:val="18"/>
                <w:szCs w:val="18"/>
              </w:rPr>
            </w:pPr>
            <w:r>
              <w:rPr>
                <w:noProof/>
                <w:sz w:val="18"/>
              </w:rPr>
              <w:t>419,711</w:t>
            </w:r>
          </w:p>
        </w:tc>
        <w:tc>
          <w:tcPr>
            <w:tcW w:w="868" w:type="dxa"/>
          </w:tcPr>
          <w:p>
            <w:pPr>
              <w:spacing w:before="20" w:after="20"/>
              <w:jc w:val="right"/>
              <w:rPr>
                <w:noProof/>
                <w:sz w:val="18"/>
                <w:szCs w:val="18"/>
              </w:rPr>
            </w:pPr>
            <w:r>
              <w:rPr>
                <w:noProof/>
                <w:sz w:val="18"/>
              </w:rPr>
              <w:t>428,204</w:t>
            </w:r>
          </w:p>
        </w:tc>
        <w:tc>
          <w:tcPr>
            <w:tcW w:w="868" w:type="dxa"/>
          </w:tcPr>
          <w:p>
            <w:pPr>
              <w:spacing w:before="20" w:after="20"/>
              <w:jc w:val="right"/>
              <w:rPr>
                <w:noProof/>
                <w:sz w:val="18"/>
                <w:szCs w:val="18"/>
              </w:rPr>
            </w:pPr>
            <w:r>
              <w:rPr>
                <w:noProof/>
                <w:sz w:val="18"/>
              </w:rPr>
              <w:t>436,948</w:t>
            </w:r>
          </w:p>
        </w:tc>
        <w:tc>
          <w:tcPr>
            <w:tcW w:w="868" w:type="dxa"/>
          </w:tcPr>
          <w:p>
            <w:pPr>
              <w:spacing w:before="20" w:after="20"/>
              <w:jc w:val="right"/>
              <w:rPr>
                <w:noProof/>
                <w:sz w:val="18"/>
                <w:szCs w:val="18"/>
              </w:rPr>
            </w:pPr>
            <w:r>
              <w:rPr>
                <w:noProof/>
                <w:sz w:val="18"/>
              </w:rPr>
              <w:t>445,724</w:t>
            </w:r>
          </w:p>
        </w:tc>
        <w:tc>
          <w:tcPr>
            <w:tcW w:w="868" w:type="dxa"/>
          </w:tcPr>
          <w:p>
            <w:pPr>
              <w:spacing w:before="20" w:after="20"/>
              <w:jc w:val="right"/>
              <w:rPr>
                <w:noProof/>
                <w:sz w:val="18"/>
                <w:szCs w:val="18"/>
              </w:rPr>
            </w:pPr>
            <w:r>
              <w:rPr>
                <w:noProof/>
                <w:sz w:val="18"/>
              </w:rPr>
              <w:t>454,789</w:t>
            </w:r>
          </w:p>
        </w:tc>
        <w:tc>
          <w:tcPr>
            <w:tcW w:w="909" w:type="dxa"/>
          </w:tcPr>
          <w:p>
            <w:pPr>
              <w:spacing w:before="20" w:after="20"/>
              <w:jc w:val="right"/>
              <w:rPr>
                <w:noProof/>
                <w:sz w:val="18"/>
                <w:szCs w:val="18"/>
              </w:rPr>
            </w:pPr>
          </w:p>
        </w:tc>
        <w:tc>
          <w:tcPr>
            <w:tcW w:w="1289" w:type="dxa"/>
          </w:tcPr>
          <w:p>
            <w:pPr>
              <w:spacing w:before="20" w:after="20"/>
              <w:jc w:val="right"/>
              <w:rPr>
                <w:b/>
                <w:noProof/>
                <w:sz w:val="18"/>
                <w:szCs w:val="18"/>
              </w:rPr>
            </w:pPr>
            <w:r>
              <w:rPr>
                <w:noProof/>
                <w:sz w:val="18"/>
              </w:rPr>
              <w:t>3 000,000</w:t>
            </w:r>
          </w:p>
        </w:tc>
      </w:tr>
      <w:tr>
        <w:trPr>
          <w:jc w:val="center"/>
        </w:trPr>
        <w:tc>
          <w:tcPr>
            <w:tcW w:w="4103" w:type="dxa"/>
            <w:vMerge/>
          </w:tcPr>
          <w:p>
            <w:pPr>
              <w:rPr>
                <w:b/>
                <w:noProof/>
              </w:rPr>
            </w:pPr>
          </w:p>
        </w:tc>
        <w:tc>
          <w:tcPr>
            <w:tcW w:w="1440" w:type="dxa"/>
          </w:tcPr>
          <w:p>
            <w:pPr>
              <w:rPr>
                <w:noProof/>
                <w:sz w:val="18"/>
                <w:szCs w:val="18"/>
                <w:highlight w:val="yellow"/>
              </w:rPr>
            </w:pPr>
            <w:r>
              <w:rPr>
                <w:noProof/>
                <w:sz w:val="18"/>
              </w:rPr>
              <w:t>Plăți</w:t>
            </w:r>
          </w:p>
        </w:tc>
        <w:tc>
          <w:tcPr>
            <w:tcW w:w="654" w:type="dxa"/>
          </w:tcPr>
          <w:p>
            <w:pPr>
              <w:jc w:val="center"/>
              <w:rPr>
                <w:noProof/>
                <w:sz w:val="14"/>
                <w:szCs w:val="14"/>
              </w:rPr>
            </w:pPr>
            <w:r>
              <w:rPr>
                <w:noProof/>
                <w:sz w:val="14"/>
              </w:rPr>
              <w:t>(12)=(6)+(10)</w:t>
            </w:r>
          </w:p>
        </w:tc>
        <w:tc>
          <w:tcPr>
            <w:tcW w:w="868" w:type="dxa"/>
          </w:tcPr>
          <w:p>
            <w:pPr>
              <w:spacing w:before="20" w:after="20"/>
              <w:jc w:val="right"/>
              <w:rPr>
                <w:noProof/>
                <w:sz w:val="18"/>
                <w:szCs w:val="18"/>
              </w:rPr>
            </w:pPr>
            <w:r>
              <w:rPr>
                <w:noProof/>
                <w:sz w:val="18"/>
              </w:rPr>
              <w:t>287,299</w:t>
            </w:r>
          </w:p>
        </w:tc>
        <w:tc>
          <w:tcPr>
            <w:tcW w:w="868" w:type="dxa"/>
          </w:tcPr>
          <w:p>
            <w:pPr>
              <w:spacing w:before="20" w:after="20"/>
              <w:jc w:val="right"/>
              <w:rPr>
                <w:noProof/>
                <w:sz w:val="18"/>
                <w:szCs w:val="18"/>
              </w:rPr>
            </w:pPr>
            <w:r>
              <w:rPr>
                <w:noProof/>
                <w:sz w:val="18"/>
              </w:rPr>
              <w:t>409,068</w:t>
            </w:r>
          </w:p>
        </w:tc>
        <w:tc>
          <w:tcPr>
            <w:tcW w:w="868" w:type="dxa"/>
          </w:tcPr>
          <w:p>
            <w:pPr>
              <w:spacing w:before="20" w:after="20"/>
              <w:jc w:val="right"/>
              <w:rPr>
                <w:noProof/>
                <w:sz w:val="18"/>
                <w:szCs w:val="18"/>
              </w:rPr>
            </w:pPr>
            <w:r>
              <w:rPr>
                <w:noProof/>
                <w:sz w:val="18"/>
              </w:rPr>
              <w:t>417,342</w:t>
            </w:r>
          </w:p>
        </w:tc>
        <w:tc>
          <w:tcPr>
            <w:tcW w:w="868" w:type="dxa"/>
          </w:tcPr>
          <w:p>
            <w:pPr>
              <w:spacing w:before="20" w:after="20"/>
              <w:jc w:val="right"/>
              <w:rPr>
                <w:noProof/>
                <w:sz w:val="18"/>
                <w:szCs w:val="18"/>
              </w:rPr>
            </w:pPr>
            <w:r>
              <w:rPr>
                <w:noProof/>
                <w:sz w:val="18"/>
              </w:rPr>
              <w:t>425,784</w:t>
            </w:r>
          </w:p>
        </w:tc>
        <w:tc>
          <w:tcPr>
            <w:tcW w:w="868" w:type="dxa"/>
          </w:tcPr>
          <w:p>
            <w:pPr>
              <w:spacing w:before="20" w:after="20"/>
              <w:jc w:val="right"/>
              <w:rPr>
                <w:noProof/>
                <w:sz w:val="18"/>
                <w:szCs w:val="18"/>
              </w:rPr>
            </w:pPr>
            <w:r>
              <w:rPr>
                <w:noProof/>
                <w:sz w:val="18"/>
              </w:rPr>
              <w:t>434,456</w:t>
            </w:r>
          </w:p>
        </w:tc>
        <w:tc>
          <w:tcPr>
            <w:tcW w:w="868" w:type="dxa"/>
          </w:tcPr>
          <w:p>
            <w:pPr>
              <w:spacing w:before="20" w:after="20"/>
              <w:jc w:val="right"/>
              <w:rPr>
                <w:noProof/>
                <w:sz w:val="18"/>
                <w:szCs w:val="18"/>
              </w:rPr>
            </w:pPr>
            <w:r>
              <w:rPr>
                <w:noProof/>
                <w:sz w:val="18"/>
              </w:rPr>
              <w:t>443,225</w:t>
            </w:r>
          </w:p>
        </w:tc>
        <w:tc>
          <w:tcPr>
            <w:tcW w:w="868" w:type="dxa"/>
          </w:tcPr>
          <w:p>
            <w:pPr>
              <w:spacing w:before="20" w:after="20"/>
              <w:jc w:val="right"/>
              <w:rPr>
                <w:noProof/>
                <w:sz w:val="18"/>
                <w:szCs w:val="18"/>
              </w:rPr>
            </w:pPr>
            <w:r>
              <w:rPr>
                <w:noProof/>
                <w:sz w:val="18"/>
              </w:rPr>
              <w:t>452,208</w:t>
            </w:r>
          </w:p>
        </w:tc>
        <w:tc>
          <w:tcPr>
            <w:tcW w:w="909" w:type="dxa"/>
          </w:tcPr>
          <w:p>
            <w:pPr>
              <w:spacing w:before="20" w:after="20"/>
              <w:jc w:val="right"/>
              <w:rPr>
                <w:noProof/>
                <w:sz w:val="18"/>
                <w:szCs w:val="18"/>
              </w:rPr>
            </w:pPr>
            <w:r>
              <w:rPr>
                <w:noProof/>
                <w:sz w:val="18"/>
              </w:rPr>
              <w:t>130,618</w:t>
            </w:r>
          </w:p>
        </w:tc>
        <w:tc>
          <w:tcPr>
            <w:tcW w:w="1289" w:type="dxa"/>
          </w:tcPr>
          <w:p>
            <w:pPr>
              <w:spacing w:before="20" w:after="20"/>
              <w:jc w:val="right"/>
              <w:rPr>
                <w:noProof/>
                <w:sz w:val="18"/>
                <w:szCs w:val="18"/>
              </w:rPr>
            </w:pPr>
            <w:r>
              <w:rPr>
                <w:noProof/>
                <w:sz w:val="18"/>
              </w:rPr>
              <w:t>3 000,000</w:t>
            </w:r>
          </w:p>
        </w:tc>
      </w:tr>
    </w:tbl>
    <w:p>
      <w:pPr>
        <w:rPr>
          <w:noProof/>
        </w:rPr>
      </w:pPr>
    </w:p>
    <w:p>
      <w:pPr>
        <w:rPr>
          <w:rFonts w:eastAsia="Calibri"/>
          <w:noProof/>
          <w:sz w:val="16"/>
        </w:rPr>
      </w:pPr>
    </w:p>
    <w:p>
      <w:pPr>
        <w:rPr>
          <w:rFonts w:eastAsia="Calibri"/>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Calibri"/>
                <w:b/>
                <w:noProof/>
              </w:rPr>
            </w:pPr>
            <w:r>
              <w:rPr>
                <w:noProof/>
              </w:rPr>
              <w:br w:type="page"/>
            </w:r>
            <w:r>
              <w:rPr>
                <w:b/>
                <w:noProof/>
                <w:sz w:val="22"/>
              </w:rPr>
              <w:t>Rubrica din cadrul financiar multianual</w:t>
            </w:r>
            <w:r>
              <w:rPr>
                <w:rFonts w:eastAsia="Calibri"/>
                <w:noProof/>
                <w:sz w:val="22"/>
              </w:rPr>
              <w:br/>
            </w:r>
            <w:r>
              <w:rPr>
                <w:b/>
                <w:noProof/>
                <w:sz w:val="22"/>
              </w:rPr>
              <w:t xml:space="preserve"> </w:t>
            </w:r>
          </w:p>
        </w:tc>
        <w:tc>
          <w:tcPr>
            <w:tcW w:w="1080" w:type="dxa"/>
            <w:shd w:val="thinDiagStripe" w:color="C0C0C0" w:fill="auto"/>
            <w:vAlign w:val="center"/>
          </w:tcPr>
          <w:p>
            <w:pPr>
              <w:spacing w:before="60" w:after="60"/>
              <w:jc w:val="center"/>
              <w:rPr>
                <w:rFonts w:eastAsia="Calibri"/>
                <w:noProof/>
              </w:rPr>
            </w:pPr>
            <w:r>
              <w:rPr>
                <w:noProof/>
              </w:rPr>
              <w:t>7</w:t>
            </w:r>
          </w:p>
        </w:tc>
        <w:tc>
          <w:tcPr>
            <w:tcW w:w="7817" w:type="dxa"/>
            <w:vAlign w:val="center"/>
          </w:tcPr>
          <w:p>
            <w:pPr>
              <w:spacing w:before="60" w:after="60"/>
              <w:rPr>
                <w:rFonts w:eastAsia="Calibri"/>
                <w:noProof/>
              </w:rPr>
            </w:pPr>
            <w:r>
              <w:rPr>
                <w:noProof/>
                <w:sz w:val="22"/>
              </w:rPr>
              <w:t>„Cheltuieli administrative”</w:t>
            </w:r>
          </w:p>
        </w:tc>
      </w:tr>
    </w:tbl>
    <w:p>
      <w:pPr>
        <w:jc w:val="left"/>
        <w:rPr>
          <w:rFonts w:eastAsia="Calibri"/>
          <w:noProof/>
        </w:rPr>
      </w:pPr>
      <w:r>
        <w:rPr>
          <w:noProof/>
        </w:rPr>
        <w:t xml:space="preserve">Această secțiune ar trebui completată utilizând „datele din buget care au caracter administrativ” care trebuie introduse mai întâi în </w:t>
      </w:r>
      <w:hyperlink r:id="rId21">
        <w:r>
          <w:rPr>
            <w:noProof/>
            <w:u w:val="single"/>
          </w:rPr>
          <w:t>anexa la fișă financiară legislativă</w:t>
        </w:r>
      </w:hyperlink>
      <w:r>
        <w:rPr>
          <w:noProof/>
        </w:rPr>
        <w:t>, încărcată în DECIDE pentru consultarea interservicii.</w:t>
      </w:r>
    </w:p>
    <w:p>
      <w:pPr>
        <w:jc w:val="left"/>
        <w:rPr>
          <w:rFonts w:eastAsia="Calibri"/>
          <w:noProof/>
          <w:color w:val="0000FF"/>
        </w:rPr>
      </w:pPr>
      <w:r>
        <w:rPr>
          <w:noProof/>
        </w:rPr>
        <w:br w:type="page"/>
      </w:r>
    </w:p>
    <w:p>
      <w:pPr>
        <w:jc w:val="right"/>
        <w:rPr>
          <w:noProof/>
          <w:sz w:val="20"/>
        </w:rPr>
      </w:pPr>
      <w:r>
        <w:rPr>
          <w:noProof/>
          <w:sz w:val="20"/>
        </w:rPr>
        <w:t>milioane EUR (cu trei zecimale)</w:t>
      </w:r>
    </w:p>
    <w:tbl>
      <w:tblPr>
        <w:tblW w:w="14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9"/>
        <w:gridCol w:w="2046"/>
        <w:gridCol w:w="868"/>
        <w:gridCol w:w="790"/>
        <w:gridCol w:w="946"/>
        <w:gridCol w:w="868"/>
        <w:gridCol w:w="868"/>
        <w:gridCol w:w="868"/>
        <w:gridCol w:w="868"/>
        <w:gridCol w:w="887"/>
        <w:gridCol w:w="1291"/>
      </w:tblGrid>
      <w:tr>
        <w:trPr>
          <w:jc w:val="center"/>
        </w:trPr>
        <w:tc>
          <w:tcPr>
            <w:tcW w:w="6245" w:type="dxa"/>
            <w:gridSpan w:val="2"/>
            <w:tcBorders>
              <w:top w:val="nil"/>
              <w:left w:val="nil"/>
            </w:tcBorders>
            <w:vAlign w:val="center"/>
          </w:tcPr>
          <w:p>
            <w:pPr>
              <w:jc w:val="center"/>
              <w:rPr>
                <w:noProof/>
                <w:sz w:val="20"/>
              </w:rPr>
            </w:pPr>
            <w:r>
              <w:rPr>
                <w:noProof/>
                <w:sz w:val="20"/>
              </w:rPr>
              <w:t xml:space="preserve">Comisia Europeană </w:t>
            </w:r>
          </w:p>
        </w:tc>
        <w:tc>
          <w:tcPr>
            <w:tcW w:w="868" w:type="dxa"/>
            <w:vAlign w:val="center"/>
          </w:tcPr>
          <w:p>
            <w:pPr>
              <w:jc w:val="center"/>
              <w:rPr>
                <w:b/>
                <w:noProof/>
                <w:sz w:val="20"/>
              </w:rPr>
            </w:pPr>
            <w:r>
              <w:rPr>
                <w:b/>
                <w:noProof/>
                <w:sz w:val="20"/>
              </w:rPr>
              <w:t>2021</w:t>
            </w:r>
          </w:p>
        </w:tc>
        <w:tc>
          <w:tcPr>
            <w:tcW w:w="790" w:type="dxa"/>
            <w:vAlign w:val="center"/>
          </w:tcPr>
          <w:p>
            <w:pPr>
              <w:jc w:val="center"/>
              <w:rPr>
                <w:b/>
                <w:noProof/>
                <w:sz w:val="20"/>
              </w:rPr>
            </w:pPr>
            <w:r>
              <w:rPr>
                <w:b/>
                <w:noProof/>
                <w:sz w:val="20"/>
              </w:rPr>
              <w:t>2022</w:t>
            </w:r>
          </w:p>
        </w:tc>
        <w:tc>
          <w:tcPr>
            <w:tcW w:w="946" w:type="dxa"/>
            <w:vAlign w:val="center"/>
          </w:tcPr>
          <w:p>
            <w:pPr>
              <w:jc w:val="center"/>
              <w:rPr>
                <w:b/>
                <w:noProof/>
                <w:sz w:val="20"/>
              </w:rPr>
            </w:pPr>
            <w:r>
              <w:rPr>
                <w:b/>
                <w:noProof/>
                <w:sz w:val="20"/>
              </w:rPr>
              <w:t>2023</w:t>
            </w:r>
          </w:p>
        </w:tc>
        <w:tc>
          <w:tcPr>
            <w:tcW w:w="868" w:type="dxa"/>
            <w:vAlign w:val="center"/>
          </w:tcPr>
          <w:p>
            <w:pPr>
              <w:jc w:val="center"/>
              <w:rPr>
                <w:b/>
                <w:noProof/>
                <w:sz w:val="20"/>
              </w:rPr>
            </w:pPr>
            <w:r>
              <w:rPr>
                <w:b/>
                <w:noProof/>
                <w:sz w:val="20"/>
              </w:rPr>
              <w:t>2024</w:t>
            </w:r>
          </w:p>
        </w:tc>
        <w:tc>
          <w:tcPr>
            <w:tcW w:w="868" w:type="dxa"/>
            <w:vAlign w:val="center"/>
          </w:tcPr>
          <w:p>
            <w:pPr>
              <w:jc w:val="center"/>
              <w:rPr>
                <w:b/>
                <w:noProof/>
                <w:sz w:val="18"/>
              </w:rPr>
            </w:pPr>
            <w:r>
              <w:rPr>
                <w:b/>
                <w:noProof/>
                <w:sz w:val="18"/>
              </w:rPr>
              <w:t>2025</w:t>
            </w:r>
          </w:p>
        </w:tc>
        <w:tc>
          <w:tcPr>
            <w:tcW w:w="868" w:type="dxa"/>
            <w:vAlign w:val="center"/>
          </w:tcPr>
          <w:p>
            <w:pPr>
              <w:jc w:val="center"/>
              <w:rPr>
                <w:b/>
                <w:noProof/>
                <w:sz w:val="18"/>
              </w:rPr>
            </w:pPr>
            <w:r>
              <w:rPr>
                <w:b/>
                <w:noProof/>
                <w:sz w:val="18"/>
              </w:rPr>
              <w:t>2026</w:t>
            </w:r>
          </w:p>
        </w:tc>
        <w:tc>
          <w:tcPr>
            <w:tcW w:w="868" w:type="dxa"/>
            <w:vAlign w:val="center"/>
          </w:tcPr>
          <w:p>
            <w:pPr>
              <w:jc w:val="center"/>
              <w:rPr>
                <w:b/>
                <w:noProof/>
                <w:sz w:val="18"/>
              </w:rPr>
            </w:pPr>
            <w:r>
              <w:rPr>
                <w:b/>
                <w:noProof/>
                <w:sz w:val="18"/>
              </w:rPr>
              <w:t>2027</w:t>
            </w:r>
          </w:p>
        </w:tc>
        <w:tc>
          <w:tcPr>
            <w:tcW w:w="887" w:type="dxa"/>
          </w:tcPr>
          <w:p>
            <w:pPr>
              <w:jc w:val="center"/>
              <w:rPr>
                <w:b/>
                <w:noProof/>
                <w:sz w:val="20"/>
              </w:rPr>
            </w:pPr>
            <w:r>
              <w:rPr>
                <w:b/>
                <w:i/>
                <w:noProof/>
                <w:sz w:val="20"/>
              </w:rPr>
              <w:t>După 2027</w:t>
            </w:r>
          </w:p>
        </w:tc>
        <w:tc>
          <w:tcPr>
            <w:tcW w:w="1291" w:type="dxa"/>
            <w:vAlign w:val="center"/>
          </w:tcPr>
          <w:p>
            <w:pPr>
              <w:jc w:val="center"/>
              <w:rPr>
                <w:b/>
                <w:noProof/>
                <w:sz w:val="20"/>
              </w:rPr>
            </w:pPr>
            <w:r>
              <w:rPr>
                <w:b/>
                <w:noProof/>
                <w:sz w:val="20"/>
              </w:rPr>
              <w:t>TOTAL</w:t>
            </w:r>
          </w:p>
        </w:tc>
      </w:tr>
      <w:tr>
        <w:trPr>
          <w:trHeight w:val="313"/>
          <w:jc w:val="center"/>
        </w:trPr>
        <w:tc>
          <w:tcPr>
            <w:tcW w:w="6245" w:type="dxa"/>
            <w:gridSpan w:val="2"/>
            <w:vAlign w:val="center"/>
          </w:tcPr>
          <w:p>
            <w:pPr>
              <w:spacing w:before="20" w:after="20"/>
              <w:rPr>
                <w:noProof/>
              </w:rPr>
            </w:pPr>
          </w:p>
        </w:tc>
        <w:tc>
          <w:tcPr>
            <w:tcW w:w="868" w:type="dxa"/>
            <w:vAlign w:val="center"/>
          </w:tcPr>
          <w:p>
            <w:pPr>
              <w:spacing w:before="20" w:after="20"/>
              <w:jc w:val="right"/>
              <w:rPr>
                <w:noProof/>
                <w:sz w:val="20"/>
              </w:rPr>
            </w:pPr>
          </w:p>
        </w:tc>
        <w:tc>
          <w:tcPr>
            <w:tcW w:w="790" w:type="dxa"/>
            <w:vAlign w:val="center"/>
          </w:tcPr>
          <w:p>
            <w:pPr>
              <w:spacing w:before="20" w:after="20"/>
              <w:jc w:val="center"/>
              <w:rPr>
                <w:noProof/>
                <w:sz w:val="20"/>
              </w:rPr>
            </w:pPr>
          </w:p>
        </w:tc>
        <w:tc>
          <w:tcPr>
            <w:tcW w:w="946"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87" w:type="dxa"/>
            <w:shd w:val="clear" w:color="auto" w:fill="A6A6A6"/>
          </w:tcPr>
          <w:p>
            <w:pPr>
              <w:spacing w:before="20" w:after="20"/>
              <w:jc w:val="right"/>
              <w:rPr>
                <w:b/>
                <w:noProof/>
                <w:sz w:val="20"/>
              </w:rPr>
            </w:pPr>
          </w:p>
        </w:tc>
        <w:tc>
          <w:tcPr>
            <w:tcW w:w="1291" w:type="dxa"/>
            <w:vAlign w:val="center"/>
          </w:tcPr>
          <w:p>
            <w:pPr>
              <w:spacing w:before="20" w:after="20"/>
              <w:jc w:val="right"/>
              <w:rPr>
                <w:b/>
                <w:noProof/>
                <w:sz w:val="20"/>
              </w:rPr>
            </w:pPr>
          </w:p>
        </w:tc>
      </w:tr>
      <w:tr>
        <w:trPr>
          <w:trHeight w:val="313"/>
          <w:jc w:val="center"/>
        </w:trPr>
        <w:tc>
          <w:tcPr>
            <w:tcW w:w="6245" w:type="dxa"/>
            <w:gridSpan w:val="2"/>
            <w:vAlign w:val="center"/>
          </w:tcPr>
          <w:p>
            <w:pPr>
              <w:spacing w:before="20" w:after="20"/>
              <w:rPr>
                <w:noProof/>
              </w:rPr>
            </w:pPr>
          </w:p>
        </w:tc>
        <w:tc>
          <w:tcPr>
            <w:tcW w:w="868" w:type="dxa"/>
            <w:vAlign w:val="center"/>
          </w:tcPr>
          <w:p>
            <w:pPr>
              <w:spacing w:before="20" w:after="20"/>
              <w:jc w:val="right"/>
              <w:rPr>
                <w:noProof/>
                <w:sz w:val="20"/>
              </w:rPr>
            </w:pPr>
          </w:p>
        </w:tc>
        <w:tc>
          <w:tcPr>
            <w:tcW w:w="790" w:type="dxa"/>
          </w:tcPr>
          <w:p>
            <w:pPr>
              <w:spacing w:before="20" w:after="20"/>
              <w:rPr>
                <w:noProof/>
                <w:sz w:val="20"/>
              </w:rPr>
            </w:pPr>
          </w:p>
        </w:tc>
        <w:tc>
          <w:tcPr>
            <w:tcW w:w="946"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87" w:type="dxa"/>
            <w:shd w:val="clear" w:color="auto" w:fill="A6A6A6"/>
          </w:tcPr>
          <w:p>
            <w:pPr>
              <w:spacing w:before="20" w:after="20"/>
              <w:jc w:val="right"/>
              <w:rPr>
                <w:b/>
                <w:noProof/>
                <w:sz w:val="20"/>
              </w:rPr>
            </w:pPr>
          </w:p>
        </w:tc>
        <w:tc>
          <w:tcPr>
            <w:tcW w:w="1291" w:type="dxa"/>
            <w:vAlign w:val="center"/>
          </w:tcPr>
          <w:p>
            <w:pPr>
              <w:spacing w:before="20" w:after="20"/>
              <w:jc w:val="right"/>
              <w:rPr>
                <w:b/>
                <w:noProof/>
                <w:sz w:val="20"/>
              </w:rPr>
            </w:pPr>
          </w:p>
        </w:tc>
      </w:tr>
      <w:tr>
        <w:trPr>
          <w:trHeight w:val="351"/>
          <w:jc w:val="center"/>
        </w:trPr>
        <w:tc>
          <w:tcPr>
            <w:tcW w:w="6245" w:type="dxa"/>
            <w:gridSpan w:val="2"/>
            <w:vAlign w:val="center"/>
          </w:tcPr>
          <w:p>
            <w:pPr>
              <w:spacing w:before="20" w:after="20"/>
              <w:rPr>
                <w:noProof/>
              </w:rPr>
            </w:pPr>
          </w:p>
        </w:tc>
        <w:tc>
          <w:tcPr>
            <w:tcW w:w="868" w:type="dxa"/>
            <w:vAlign w:val="center"/>
          </w:tcPr>
          <w:p>
            <w:pPr>
              <w:spacing w:before="20" w:after="20"/>
              <w:jc w:val="right"/>
              <w:rPr>
                <w:noProof/>
                <w:sz w:val="20"/>
              </w:rPr>
            </w:pPr>
          </w:p>
        </w:tc>
        <w:tc>
          <w:tcPr>
            <w:tcW w:w="790" w:type="dxa"/>
            <w:vAlign w:val="center"/>
          </w:tcPr>
          <w:p>
            <w:pPr>
              <w:spacing w:before="20" w:after="20"/>
              <w:jc w:val="center"/>
              <w:rPr>
                <w:noProof/>
                <w:sz w:val="20"/>
              </w:rPr>
            </w:pPr>
          </w:p>
        </w:tc>
        <w:tc>
          <w:tcPr>
            <w:tcW w:w="946"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87" w:type="dxa"/>
            <w:shd w:val="clear" w:color="auto" w:fill="A6A6A6"/>
          </w:tcPr>
          <w:p>
            <w:pPr>
              <w:spacing w:before="20" w:after="20"/>
              <w:jc w:val="right"/>
              <w:rPr>
                <w:b/>
                <w:noProof/>
                <w:sz w:val="20"/>
              </w:rPr>
            </w:pPr>
          </w:p>
        </w:tc>
        <w:tc>
          <w:tcPr>
            <w:tcW w:w="1291" w:type="dxa"/>
            <w:vAlign w:val="center"/>
          </w:tcPr>
          <w:p>
            <w:pPr>
              <w:spacing w:before="20" w:after="20"/>
              <w:jc w:val="right"/>
              <w:rPr>
                <w:b/>
                <w:noProof/>
                <w:sz w:val="20"/>
              </w:rPr>
            </w:pPr>
          </w:p>
        </w:tc>
      </w:tr>
      <w:tr>
        <w:trPr>
          <w:trHeight w:val="351"/>
          <w:jc w:val="center"/>
        </w:trPr>
        <w:tc>
          <w:tcPr>
            <w:tcW w:w="4199" w:type="dxa"/>
            <w:vAlign w:val="center"/>
          </w:tcPr>
          <w:p>
            <w:pPr>
              <w:spacing w:before="20" w:after="20"/>
              <w:jc w:val="left"/>
              <w:rPr>
                <w:b/>
                <w:noProof/>
              </w:rPr>
            </w:pPr>
            <w:r>
              <w:rPr>
                <w:b/>
                <w:noProof/>
                <w:sz w:val="22"/>
              </w:rPr>
              <w:t>TOTAL credite la RUBRICA 7 din cadrul financiar multianual pentru EIT</w:t>
            </w:r>
          </w:p>
        </w:tc>
        <w:tc>
          <w:tcPr>
            <w:tcW w:w="2046" w:type="dxa"/>
            <w:vAlign w:val="center"/>
          </w:tcPr>
          <w:p>
            <w:pPr>
              <w:spacing w:before="20" w:after="20"/>
              <w:rPr>
                <w:noProof/>
              </w:rPr>
            </w:pPr>
            <w:r>
              <w:rPr>
                <w:noProof/>
                <w:sz w:val="18"/>
              </w:rPr>
              <w:t>(Total angajamente = Total plăți)</w:t>
            </w:r>
          </w:p>
        </w:tc>
        <w:tc>
          <w:tcPr>
            <w:tcW w:w="868" w:type="dxa"/>
            <w:vAlign w:val="center"/>
          </w:tcPr>
          <w:p>
            <w:pPr>
              <w:spacing w:before="20" w:after="20"/>
              <w:jc w:val="right"/>
              <w:rPr>
                <w:noProof/>
                <w:sz w:val="20"/>
              </w:rPr>
            </w:pPr>
          </w:p>
        </w:tc>
        <w:tc>
          <w:tcPr>
            <w:tcW w:w="790" w:type="dxa"/>
          </w:tcPr>
          <w:p>
            <w:pPr>
              <w:spacing w:before="20" w:after="20"/>
              <w:jc w:val="center"/>
              <w:rPr>
                <w:noProof/>
                <w:sz w:val="20"/>
              </w:rPr>
            </w:pPr>
          </w:p>
        </w:tc>
        <w:tc>
          <w:tcPr>
            <w:tcW w:w="946"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68" w:type="dxa"/>
          </w:tcPr>
          <w:p>
            <w:pPr>
              <w:spacing w:before="20" w:after="20"/>
              <w:jc w:val="center"/>
              <w:rPr>
                <w:noProof/>
                <w:sz w:val="20"/>
              </w:rPr>
            </w:pPr>
          </w:p>
        </w:tc>
        <w:tc>
          <w:tcPr>
            <w:tcW w:w="887" w:type="dxa"/>
            <w:shd w:val="clear" w:color="auto" w:fill="A6A6A6"/>
          </w:tcPr>
          <w:p>
            <w:pPr>
              <w:spacing w:before="20" w:after="20"/>
              <w:jc w:val="right"/>
              <w:rPr>
                <w:b/>
                <w:noProof/>
                <w:sz w:val="20"/>
              </w:rPr>
            </w:pPr>
          </w:p>
        </w:tc>
        <w:tc>
          <w:tcPr>
            <w:tcW w:w="1291" w:type="dxa"/>
            <w:vAlign w:val="center"/>
          </w:tcPr>
          <w:p>
            <w:pPr>
              <w:spacing w:before="20" w:after="20"/>
              <w:jc w:val="right"/>
              <w:rPr>
                <w:b/>
                <w:noProof/>
                <w:sz w:val="20"/>
              </w:rPr>
            </w:pPr>
          </w:p>
        </w:tc>
      </w:tr>
    </w:tbl>
    <w:p>
      <w:pPr>
        <w:jc w:val="right"/>
        <w:rPr>
          <w:noProof/>
          <w:sz w:val="20"/>
        </w:rPr>
      </w:pPr>
      <w:r>
        <w:rPr>
          <w:noProof/>
          <w:sz w:val="20"/>
        </w:rPr>
        <w:t>milioane EUR (cu trei zecimale)</w:t>
      </w:r>
    </w:p>
    <w:tbl>
      <w:tblPr>
        <w:tblW w:w="14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3"/>
        <w:gridCol w:w="1560"/>
        <w:gridCol w:w="534"/>
        <w:gridCol w:w="868"/>
        <w:gridCol w:w="868"/>
        <w:gridCol w:w="868"/>
        <w:gridCol w:w="868"/>
        <w:gridCol w:w="868"/>
        <w:gridCol w:w="868"/>
        <w:gridCol w:w="868"/>
        <w:gridCol w:w="877"/>
        <w:gridCol w:w="1292"/>
      </w:tblGrid>
      <w:tr>
        <w:trPr>
          <w:jc w:val="center"/>
        </w:trPr>
        <w:tc>
          <w:tcPr>
            <w:tcW w:w="4173"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b/>
                <w:noProof/>
                <w:sz w:val="20"/>
              </w:rPr>
              <w:t>2021</w:t>
            </w:r>
          </w:p>
        </w:tc>
        <w:tc>
          <w:tcPr>
            <w:tcW w:w="868" w:type="dxa"/>
            <w:vAlign w:val="center"/>
          </w:tcPr>
          <w:p>
            <w:pPr>
              <w:jc w:val="center"/>
              <w:rPr>
                <w:noProof/>
                <w:sz w:val="20"/>
              </w:rPr>
            </w:pPr>
            <w:r>
              <w:rPr>
                <w:b/>
                <w:noProof/>
                <w:sz w:val="20"/>
              </w:rPr>
              <w:t>2022</w:t>
            </w:r>
          </w:p>
        </w:tc>
        <w:tc>
          <w:tcPr>
            <w:tcW w:w="868" w:type="dxa"/>
            <w:vAlign w:val="center"/>
          </w:tcPr>
          <w:p>
            <w:pPr>
              <w:jc w:val="center"/>
              <w:rPr>
                <w:noProof/>
                <w:sz w:val="20"/>
              </w:rPr>
            </w:pPr>
            <w:r>
              <w:rPr>
                <w:b/>
                <w:noProof/>
                <w:sz w:val="20"/>
              </w:rPr>
              <w:t>2023</w:t>
            </w:r>
          </w:p>
        </w:tc>
        <w:tc>
          <w:tcPr>
            <w:tcW w:w="868" w:type="dxa"/>
            <w:vAlign w:val="center"/>
          </w:tcPr>
          <w:p>
            <w:pPr>
              <w:jc w:val="center"/>
              <w:rPr>
                <w:noProof/>
                <w:sz w:val="20"/>
              </w:rPr>
            </w:pPr>
            <w:r>
              <w:rPr>
                <w:b/>
                <w:noProof/>
                <w:sz w:val="20"/>
              </w:rPr>
              <w:t>2024</w:t>
            </w:r>
          </w:p>
        </w:tc>
        <w:tc>
          <w:tcPr>
            <w:tcW w:w="868" w:type="dxa"/>
            <w:vAlign w:val="center"/>
          </w:tcPr>
          <w:p>
            <w:pPr>
              <w:jc w:val="center"/>
              <w:rPr>
                <w:b/>
                <w:noProof/>
                <w:sz w:val="18"/>
              </w:rPr>
            </w:pPr>
            <w:r>
              <w:rPr>
                <w:b/>
                <w:noProof/>
                <w:sz w:val="18"/>
              </w:rPr>
              <w:t>2025</w:t>
            </w:r>
          </w:p>
        </w:tc>
        <w:tc>
          <w:tcPr>
            <w:tcW w:w="868" w:type="dxa"/>
            <w:vAlign w:val="center"/>
          </w:tcPr>
          <w:p>
            <w:pPr>
              <w:jc w:val="center"/>
              <w:rPr>
                <w:b/>
                <w:noProof/>
                <w:sz w:val="18"/>
              </w:rPr>
            </w:pPr>
            <w:r>
              <w:rPr>
                <w:b/>
                <w:noProof/>
                <w:sz w:val="18"/>
              </w:rPr>
              <w:t>2026</w:t>
            </w:r>
          </w:p>
        </w:tc>
        <w:tc>
          <w:tcPr>
            <w:tcW w:w="868" w:type="dxa"/>
            <w:vAlign w:val="center"/>
          </w:tcPr>
          <w:p>
            <w:pPr>
              <w:jc w:val="center"/>
              <w:rPr>
                <w:b/>
                <w:noProof/>
                <w:sz w:val="18"/>
              </w:rPr>
            </w:pPr>
            <w:r>
              <w:rPr>
                <w:b/>
                <w:noProof/>
                <w:sz w:val="18"/>
              </w:rPr>
              <w:t>2027</w:t>
            </w:r>
          </w:p>
        </w:tc>
        <w:tc>
          <w:tcPr>
            <w:tcW w:w="877" w:type="dxa"/>
          </w:tcPr>
          <w:p>
            <w:pPr>
              <w:jc w:val="center"/>
              <w:rPr>
                <w:b/>
                <w:noProof/>
                <w:sz w:val="20"/>
              </w:rPr>
            </w:pPr>
            <w:r>
              <w:rPr>
                <w:b/>
                <w:i/>
                <w:noProof/>
                <w:sz w:val="20"/>
              </w:rPr>
              <w:t>După 2027</w:t>
            </w:r>
          </w:p>
        </w:tc>
        <w:tc>
          <w:tcPr>
            <w:tcW w:w="1292" w:type="dxa"/>
            <w:vAlign w:val="center"/>
          </w:tcPr>
          <w:p>
            <w:pPr>
              <w:jc w:val="center"/>
              <w:rPr>
                <w:b/>
                <w:noProof/>
                <w:sz w:val="20"/>
              </w:rPr>
            </w:pPr>
            <w:r>
              <w:rPr>
                <w:b/>
                <w:noProof/>
                <w:sz w:val="20"/>
              </w:rPr>
              <w:t>TOTAL</w:t>
            </w:r>
          </w:p>
        </w:tc>
      </w:tr>
      <w:tr>
        <w:trPr>
          <w:jc w:val="center"/>
        </w:trPr>
        <w:tc>
          <w:tcPr>
            <w:tcW w:w="4173" w:type="dxa"/>
            <w:vMerge w:val="restart"/>
            <w:shd w:val="clear" w:color="auto" w:fill="C0C0C0"/>
            <w:vAlign w:val="center"/>
          </w:tcPr>
          <w:p>
            <w:pPr>
              <w:jc w:val="center"/>
              <w:rPr>
                <w:b/>
                <w:noProof/>
              </w:rPr>
            </w:pPr>
            <w:r>
              <w:rPr>
                <w:b/>
                <w:noProof/>
                <w:sz w:val="22"/>
              </w:rPr>
              <w:t>TOTAL credite</w:t>
            </w:r>
            <w:r>
              <w:rPr>
                <w:noProof/>
                <w:sz w:val="22"/>
              </w:rPr>
              <w:br/>
            </w:r>
            <w:r>
              <w:rPr>
                <w:b/>
                <w:noProof/>
                <w:sz w:val="22"/>
              </w:rPr>
              <w:t xml:space="preserve"> în cadrul RUBRICILOR</w:t>
            </w:r>
            <w:r>
              <w:rPr>
                <w:noProof/>
                <w:sz w:val="22"/>
              </w:rPr>
              <w:br/>
              <w:t xml:space="preserve"> din cadrul financiar multianual pentru EIT</w:t>
            </w:r>
          </w:p>
        </w:tc>
        <w:tc>
          <w:tcPr>
            <w:tcW w:w="2094" w:type="dxa"/>
            <w:gridSpan w:val="2"/>
            <w:vAlign w:val="center"/>
          </w:tcPr>
          <w:p>
            <w:pPr>
              <w:rPr>
                <w:noProof/>
                <w:sz w:val="14"/>
              </w:rPr>
            </w:pPr>
            <w:r>
              <w:rPr>
                <w:noProof/>
                <w:sz w:val="18"/>
              </w:rPr>
              <w:t>Angajamente</w:t>
            </w:r>
          </w:p>
        </w:tc>
        <w:tc>
          <w:tcPr>
            <w:tcW w:w="868" w:type="dxa"/>
            <w:vAlign w:val="center"/>
          </w:tcPr>
          <w:p>
            <w:pPr>
              <w:spacing w:before="60" w:after="60"/>
              <w:jc w:val="right"/>
              <w:rPr>
                <w:noProof/>
                <w:sz w:val="20"/>
              </w:rPr>
            </w:pPr>
            <w:r>
              <w:rPr>
                <w:b/>
                <w:noProof/>
                <w:sz w:val="18"/>
              </w:rPr>
              <w:t>403,226</w:t>
            </w:r>
          </w:p>
        </w:tc>
        <w:tc>
          <w:tcPr>
            <w:tcW w:w="868" w:type="dxa"/>
            <w:vAlign w:val="center"/>
          </w:tcPr>
          <w:p>
            <w:pPr>
              <w:spacing w:before="60" w:after="60"/>
              <w:jc w:val="right"/>
              <w:rPr>
                <w:noProof/>
                <w:sz w:val="20"/>
              </w:rPr>
            </w:pPr>
            <w:r>
              <w:rPr>
                <w:b/>
                <w:noProof/>
                <w:sz w:val="18"/>
              </w:rPr>
              <w:t>411,398</w:t>
            </w:r>
          </w:p>
        </w:tc>
        <w:tc>
          <w:tcPr>
            <w:tcW w:w="868" w:type="dxa"/>
            <w:vAlign w:val="center"/>
          </w:tcPr>
          <w:p>
            <w:pPr>
              <w:spacing w:before="60" w:after="60"/>
              <w:jc w:val="right"/>
              <w:rPr>
                <w:noProof/>
                <w:sz w:val="20"/>
              </w:rPr>
            </w:pPr>
            <w:r>
              <w:rPr>
                <w:b/>
                <w:noProof/>
                <w:sz w:val="18"/>
              </w:rPr>
              <w:t>419,711</w:t>
            </w:r>
          </w:p>
        </w:tc>
        <w:tc>
          <w:tcPr>
            <w:tcW w:w="868" w:type="dxa"/>
            <w:vAlign w:val="center"/>
          </w:tcPr>
          <w:p>
            <w:pPr>
              <w:spacing w:before="60" w:after="60"/>
              <w:jc w:val="right"/>
              <w:rPr>
                <w:noProof/>
                <w:sz w:val="20"/>
              </w:rPr>
            </w:pPr>
            <w:r>
              <w:rPr>
                <w:b/>
                <w:noProof/>
                <w:sz w:val="18"/>
              </w:rPr>
              <w:t>428,204</w:t>
            </w:r>
          </w:p>
        </w:tc>
        <w:tc>
          <w:tcPr>
            <w:tcW w:w="868" w:type="dxa"/>
            <w:vAlign w:val="center"/>
          </w:tcPr>
          <w:p>
            <w:pPr>
              <w:spacing w:before="60" w:after="60"/>
              <w:jc w:val="right"/>
              <w:rPr>
                <w:noProof/>
                <w:sz w:val="20"/>
              </w:rPr>
            </w:pPr>
            <w:r>
              <w:rPr>
                <w:b/>
                <w:noProof/>
                <w:sz w:val="18"/>
              </w:rPr>
              <w:t>436,948</w:t>
            </w:r>
          </w:p>
        </w:tc>
        <w:tc>
          <w:tcPr>
            <w:tcW w:w="868" w:type="dxa"/>
            <w:vAlign w:val="center"/>
          </w:tcPr>
          <w:p>
            <w:pPr>
              <w:spacing w:before="60" w:after="60"/>
              <w:jc w:val="right"/>
              <w:rPr>
                <w:noProof/>
                <w:sz w:val="20"/>
              </w:rPr>
            </w:pPr>
            <w:r>
              <w:rPr>
                <w:b/>
                <w:noProof/>
                <w:sz w:val="18"/>
              </w:rPr>
              <w:t>445,724</w:t>
            </w:r>
          </w:p>
        </w:tc>
        <w:tc>
          <w:tcPr>
            <w:tcW w:w="868" w:type="dxa"/>
            <w:vAlign w:val="center"/>
          </w:tcPr>
          <w:p>
            <w:pPr>
              <w:spacing w:before="60" w:after="60"/>
              <w:jc w:val="right"/>
              <w:rPr>
                <w:noProof/>
                <w:sz w:val="20"/>
              </w:rPr>
            </w:pPr>
            <w:r>
              <w:rPr>
                <w:b/>
                <w:noProof/>
                <w:sz w:val="18"/>
              </w:rPr>
              <w:t>454,789</w:t>
            </w:r>
          </w:p>
        </w:tc>
        <w:tc>
          <w:tcPr>
            <w:tcW w:w="877" w:type="dxa"/>
            <w:shd w:val="clear" w:color="auto" w:fill="A6A6A6"/>
          </w:tcPr>
          <w:p>
            <w:pPr>
              <w:spacing w:before="60" w:after="60"/>
              <w:jc w:val="right"/>
              <w:rPr>
                <w:noProof/>
                <w:sz w:val="20"/>
              </w:rPr>
            </w:pPr>
          </w:p>
        </w:tc>
        <w:tc>
          <w:tcPr>
            <w:tcW w:w="1292" w:type="dxa"/>
            <w:vAlign w:val="center"/>
          </w:tcPr>
          <w:p>
            <w:pPr>
              <w:spacing w:before="60" w:after="60"/>
              <w:jc w:val="right"/>
              <w:rPr>
                <w:b/>
                <w:noProof/>
                <w:sz w:val="20"/>
              </w:rPr>
            </w:pPr>
            <w:r>
              <w:rPr>
                <w:b/>
                <w:noProof/>
                <w:sz w:val="18"/>
              </w:rPr>
              <w:t>3 000,000</w:t>
            </w:r>
          </w:p>
        </w:tc>
      </w:tr>
      <w:tr>
        <w:trPr>
          <w:jc w:val="center"/>
        </w:trPr>
        <w:tc>
          <w:tcPr>
            <w:tcW w:w="4173" w:type="dxa"/>
            <w:vMerge/>
            <w:shd w:val="clear" w:color="auto" w:fill="C0C0C0"/>
          </w:tcPr>
          <w:p>
            <w:pPr>
              <w:rPr>
                <w:noProof/>
                <w:sz w:val="20"/>
              </w:rPr>
            </w:pPr>
          </w:p>
        </w:tc>
        <w:tc>
          <w:tcPr>
            <w:tcW w:w="2094" w:type="dxa"/>
            <w:gridSpan w:val="2"/>
            <w:vAlign w:val="center"/>
          </w:tcPr>
          <w:p>
            <w:pPr>
              <w:rPr>
                <w:noProof/>
                <w:sz w:val="14"/>
              </w:rPr>
            </w:pPr>
            <w:r>
              <w:rPr>
                <w:noProof/>
                <w:sz w:val="18"/>
              </w:rPr>
              <w:t>Plăți</w:t>
            </w:r>
          </w:p>
        </w:tc>
        <w:tc>
          <w:tcPr>
            <w:tcW w:w="868" w:type="dxa"/>
            <w:vAlign w:val="center"/>
          </w:tcPr>
          <w:p>
            <w:pPr>
              <w:spacing w:before="60" w:after="60"/>
              <w:jc w:val="right"/>
              <w:rPr>
                <w:b/>
                <w:noProof/>
                <w:sz w:val="18"/>
              </w:rPr>
            </w:pPr>
            <w:r>
              <w:rPr>
                <w:b/>
                <w:noProof/>
                <w:sz w:val="18"/>
              </w:rPr>
              <w:t>287,299</w:t>
            </w:r>
          </w:p>
        </w:tc>
        <w:tc>
          <w:tcPr>
            <w:tcW w:w="868" w:type="dxa"/>
            <w:vAlign w:val="center"/>
          </w:tcPr>
          <w:p>
            <w:pPr>
              <w:spacing w:before="60" w:after="60"/>
              <w:jc w:val="right"/>
              <w:rPr>
                <w:b/>
                <w:noProof/>
                <w:sz w:val="18"/>
              </w:rPr>
            </w:pPr>
            <w:r>
              <w:rPr>
                <w:b/>
                <w:noProof/>
                <w:sz w:val="18"/>
              </w:rPr>
              <w:t>409,068</w:t>
            </w:r>
          </w:p>
        </w:tc>
        <w:tc>
          <w:tcPr>
            <w:tcW w:w="868" w:type="dxa"/>
            <w:vAlign w:val="center"/>
          </w:tcPr>
          <w:p>
            <w:pPr>
              <w:spacing w:before="60" w:after="60"/>
              <w:jc w:val="right"/>
              <w:rPr>
                <w:b/>
                <w:noProof/>
                <w:sz w:val="18"/>
              </w:rPr>
            </w:pPr>
            <w:r>
              <w:rPr>
                <w:b/>
                <w:noProof/>
                <w:sz w:val="18"/>
              </w:rPr>
              <w:t>417,342</w:t>
            </w:r>
          </w:p>
        </w:tc>
        <w:tc>
          <w:tcPr>
            <w:tcW w:w="868" w:type="dxa"/>
            <w:vAlign w:val="center"/>
          </w:tcPr>
          <w:p>
            <w:pPr>
              <w:spacing w:before="60" w:after="60"/>
              <w:jc w:val="right"/>
              <w:rPr>
                <w:b/>
                <w:noProof/>
                <w:sz w:val="18"/>
              </w:rPr>
            </w:pPr>
            <w:r>
              <w:rPr>
                <w:b/>
                <w:noProof/>
                <w:sz w:val="18"/>
              </w:rPr>
              <w:t>425,784</w:t>
            </w:r>
          </w:p>
        </w:tc>
        <w:tc>
          <w:tcPr>
            <w:tcW w:w="868" w:type="dxa"/>
            <w:vAlign w:val="center"/>
          </w:tcPr>
          <w:p>
            <w:pPr>
              <w:spacing w:before="60" w:after="60"/>
              <w:jc w:val="right"/>
              <w:rPr>
                <w:b/>
                <w:noProof/>
                <w:sz w:val="18"/>
              </w:rPr>
            </w:pPr>
            <w:r>
              <w:rPr>
                <w:b/>
                <w:noProof/>
                <w:sz w:val="18"/>
              </w:rPr>
              <w:t>434,456</w:t>
            </w:r>
          </w:p>
        </w:tc>
        <w:tc>
          <w:tcPr>
            <w:tcW w:w="868" w:type="dxa"/>
            <w:vAlign w:val="center"/>
          </w:tcPr>
          <w:p>
            <w:pPr>
              <w:spacing w:before="60" w:after="60"/>
              <w:jc w:val="right"/>
              <w:rPr>
                <w:b/>
                <w:noProof/>
                <w:sz w:val="18"/>
              </w:rPr>
            </w:pPr>
            <w:r>
              <w:rPr>
                <w:b/>
                <w:noProof/>
                <w:sz w:val="18"/>
              </w:rPr>
              <w:t>443,225</w:t>
            </w:r>
          </w:p>
        </w:tc>
        <w:tc>
          <w:tcPr>
            <w:tcW w:w="868" w:type="dxa"/>
            <w:vAlign w:val="center"/>
          </w:tcPr>
          <w:p>
            <w:pPr>
              <w:spacing w:before="60" w:after="60"/>
              <w:jc w:val="right"/>
              <w:rPr>
                <w:b/>
                <w:noProof/>
                <w:sz w:val="18"/>
              </w:rPr>
            </w:pPr>
            <w:r>
              <w:rPr>
                <w:b/>
                <w:noProof/>
                <w:sz w:val="18"/>
              </w:rPr>
              <w:t>452,208</w:t>
            </w:r>
          </w:p>
        </w:tc>
        <w:tc>
          <w:tcPr>
            <w:tcW w:w="877" w:type="dxa"/>
          </w:tcPr>
          <w:p>
            <w:pPr>
              <w:spacing w:before="60" w:after="60"/>
              <w:rPr>
                <w:b/>
                <w:noProof/>
                <w:sz w:val="18"/>
              </w:rPr>
            </w:pPr>
            <w:r>
              <w:rPr>
                <w:b/>
                <w:noProof/>
                <w:sz w:val="18"/>
              </w:rPr>
              <w:t>130,618</w:t>
            </w:r>
          </w:p>
        </w:tc>
        <w:tc>
          <w:tcPr>
            <w:tcW w:w="1292" w:type="dxa"/>
            <w:vAlign w:val="center"/>
          </w:tcPr>
          <w:p>
            <w:pPr>
              <w:spacing w:before="60" w:after="60"/>
              <w:jc w:val="center"/>
              <w:rPr>
                <w:b/>
                <w:noProof/>
                <w:sz w:val="18"/>
              </w:rPr>
            </w:pPr>
            <w:r>
              <w:rPr>
                <w:b/>
                <w:noProof/>
                <w:sz w:val="18"/>
              </w:rPr>
              <w:t>3 000,000</w:t>
            </w:r>
          </w:p>
        </w:tc>
      </w:tr>
    </w:tbl>
    <w:p>
      <w:pPr>
        <w:rPr>
          <w:noProof/>
        </w:rPr>
        <w:sectPr>
          <w:headerReference w:type="default" r:id="rId22"/>
          <w:footerReference w:type="default" r:id="rId23"/>
          <w:headerReference w:type="first" r:id="rId24"/>
          <w:footerReference w:type="first" r:id="rId25"/>
          <w:pgSz w:w="16840" w:h="11907" w:orient="landscape" w:code="9"/>
          <w:pgMar w:top="1134" w:right="1418" w:bottom="1134" w:left="1418" w:header="709" w:footer="709" w:gutter="0"/>
          <w:cols w:space="708"/>
          <w:docGrid w:linePitch="360"/>
        </w:sectPr>
      </w:pPr>
    </w:p>
    <w:p>
      <w:pPr>
        <w:keepNext/>
        <w:tabs>
          <w:tab w:val="left" w:pos="850"/>
        </w:tabs>
        <w:ind w:left="850" w:hanging="850"/>
        <w:outlineLvl w:val="2"/>
        <w:rPr>
          <w:i/>
          <w:noProof/>
        </w:rPr>
      </w:pPr>
      <w:r>
        <w:rPr>
          <w:i/>
          <w:noProof/>
        </w:rPr>
        <w:t>3.2.2.</w:t>
      </w:r>
      <w:r>
        <w:rPr>
          <w:noProof/>
        </w:rPr>
        <w:tab/>
      </w:r>
      <w:r>
        <w:rPr>
          <w:i/>
          <w:noProof/>
        </w:rPr>
        <w:t>Sinteza impactului estimat asupra creditelor cu caracter administrativ</w:t>
      </w:r>
    </w:p>
    <w:p>
      <w:pPr>
        <w:tabs>
          <w:tab w:val="num" w:pos="1134"/>
        </w:tabs>
        <w:ind w:left="1134" w:hanging="283"/>
        <w:rPr>
          <w:noProof/>
        </w:rPr>
      </w:pPr>
      <w:r>
        <w:rPr>
          <w:noProof/>
        </w:rPr>
        <w:sym w:font="Wingdings" w:char="F0A8"/>
      </w:r>
      <w:r>
        <w:rPr>
          <w:noProof/>
        </w:rPr>
        <w:tab/>
        <w:t xml:space="preserve">Propunerea/inițiativa nu implică utilizarea de credite cu caracter administrativ </w:t>
      </w:r>
    </w:p>
    <w:p>
      <w:pPr>
        <w:tabs>
          <w:tab w:val="num" w:pos="1134"/>
        </w:tabs>
        <w:ind w:left="1134" w:hanging="283"/>
        <w:rPr>
          <w:noProof/>
        </w:rPr>
      </w:pPr>
      <w:r>
        <w:rPr>
          <w:noProof/>
        </w:rPr>
        <w:t>X</w:t>
      </w:r>
      <w:r>
        <w:rPr>
          <w:noProof/>
        </w:rPr>
        <w:tab/>
        <w:t>Propunerea/inițiativa implică utilizarea de credite cu caracter administrativ, conform explicațiilor de mai jos:</w:t>
      </w:r>
    </w:p>
    <w:p>
      <w:pPr>
        <w:rPr>
          <w:noProof/>
          <w:sz w:val="20"/>
        </w:rPr>
      </w:pPr>
      <w:r>
        <w:rPr>
          <w:noProof/>
          <w:sz w:val="20"/>
        </w:rPr>
        <w:t>milioane EUR (cu trei zecimale)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line="200" w:lineRule="exact"/>
              <w:jc w:val="center"/>
              <w:rPr>
                <w:b/>
                <w:noProof/>
                <w:sz w:val="16"/>
                <w:szCs w:val="16"/>
              </w:rPr>
            </w:pPr>
            <w:r>
              <w:rPr>
                <w:b/>
                <w:noProof/>
                <w:sz w:val="16"/>
              </w:rPr>
              <w:t>Ani</w:t>
            </w:r>
          </w:p>
        </w:tc>
        <w:tc>
          <w:tcPr>
            <w:tcW w:w="1080" w:type="dxa"/>
            <w:vAlign w:val="center"/>
          </w:tcPr>
          <w:p>
            <w:pPr>
              <w:spacing w:before="60" w:after="60" w:line="200" w:lineRule="exact"/>
              <w:jc w:val="center"/>
              <w:rPr>
                <w:noProof/>
                <w:sz w:val="16"/>
                <w:szCs w:val="16"/>
              </w:rPr>
            </w:pPr>
            <w:r>
              <w:rPr>
                <w:b/>
                <w:noProof/>
                <w:sz w:val="20"/>
              </w:rPr>
              <w:t>2021</w:t>
            </w:r>
          </w:p>
        </w:tc>
        <w:tc>
          <w:tcPr>
            <w:tcW w:w="1080" w:type="dxa"/>
            <w:vAlign w:val="center"/>
          </w:tcPr>
          <w:p>
            <w:pPr>
              <w:spacing w:before="60" w:after="60" w:line="200" w:lineRule="exact"/>
              <w:jc w:val="center"/>
              <w:rPr>
                <w:noProof/>
                <w:sz w:val="16"/>
                <w:szCs w:val="16"/>
              </w:rPr>
            </w:pPr>
            <w:r>
              <w:rPr>
                <w:b/>
                <w:noProof/>
                <w:sz w:val="20"/>
              </w:rPr>
              <w:t>2022</w:t>
            </w:r>
          </w:p>
        </w:tc>
        <w:tc>
          <w:tcPr>
            <w:tcW w:w="1080" w:type="dxa"/>
            <w:vAlign w:val="center"/>
          </w:tcPr>
          <w:p>
            <w:pPr>
              <w:spacing w:before="60" w:after="60" w:line="200" w:lineRule="exact"/>
              <w:jc w:val="center"/>
              <w:rPr>
                <w:noProof/>
                <w:sz w:val="16"/>
                <w:szCs w:val="16"/>
              </w:rPr>
            </w:pPr>
            <w:r>
              <w:rPr>
                <w:b/>
                <w:noProof/>
                <w:sz w:val="20"/>
              </w:rPr>
              <w:t>2023</w:t>
            </w:r>
          </w:p>
        </w:tc>
        <w:tc>
          <w:tcPr>
            <w:tcW w:w="1080" w:type="dxa"/>
            <w:vAlign w:val="center"/>
          </w:tcPr>
          <w:p>
            <w:pPr>
              <w:spacing w:before="60" w:after="60" w:line="200" w:lineRule="exact"/>
              <w:jc w:val="center"/>
              <w:rPr>
                <w:noProof/>
                <w:sz w:val="16"/>
                <w:szCs w:val="16"/>
              </w:rPr>
            </w:pPr>
            <w:r>
              <w:rPr>
                <w:b/>
                <w:noProof/>
                <w:sz w:val="20"/>
              </w:rPr>
              <w:t>2024</w:t>
            </w:r>
          </w:p>
        </w:tc>
        <w:tc>
          <w:tcPr>
            <w:tcW w:w="1080" w:type="dxa"/>
            <w:vAlign w:val="center"/>
          </w:tcPr>
          <w:p>
            <w:pPr>
              <w:spacing w:line="200" w:lineRule="exact"/>
              <w:jc w:val="center"/>
              <w:rPr>
                <w:b/>
                <w:noProof/>
                <w:sz w:val="16"/>
                <w:szCs w:val="16"/>
              </w:rPr>
            </w:pPr>
            <w:r>
              <w:rPr>
                <w:b/>
                <w:noProof/>
                <w:sz w:val="18"/>
              </w:rPr>
              <w:t>2025</w:t>
            </w:r>
          </w:p>
        </w:tc>
        <w:tc>
          <w:tcPr>
            <w:tcW w:w="1080" w:type="dxa"/>
            <w:vAlign w:val="center"/>
          </w:tcPr>
          <w:p>
            <w:pPr>
              <w:spacing w:line="200" w:lineRule="exact"/>
              <w:jc w:val="center"/>
              <w:rPr>
                <w:b/>
                <w:noProof/>
                <w:sz w:val="16"/>
                <w:szCs w:val="16"/>
              </w:rPr>
            </w:pPr>
            <w:r>
              <w:rPr>
                <w:b/>
                <w:noProof/>
                <w:sz w:val="18"/>
              </w:rPr>
              <w:t>2026</w:t>
            </w:r>
          </w:p>
        </w:tc>
        <w:tc>
          <w:tcPr>
            <w:tcW w:w="1080" w:type="dxa"/>
            <w:vAlign w:val="center"/>
          </w:tcPr>
          <w:p>
            <w:pPr>
              <w:spacing w:line="200" w:lineRule="exact"/>
              <w:jc w:val="center"/>
              <w:rPr>
                <w:b/>
                <w:noProof/>
                <w:sz w:val="16"/>
                <w:szCs w:val="16"/>
              </w:rPr>
            </w:pPr>
            <w:r>
              <w:rPr>
                <w:b/>
                <w:noProof/>
                <w:sz w:val="18"/>
              </w:rPr>
              <w:t>2027</w:t>
            </w:r>
          </w:p>
        </w:tc>
        <w:tc>
          <w:tcPr>
            <w:tcW w:w="1080" w:type="dxa"/>
            <w:vAlign w:val="center"/>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RUBRICA 7</w:t>
            </w:r>
            <w:r>
              <w:rPr>
                <w:noProof/>
              </w:rPr>
              <w:br/>
            </w:r>
            <w:r>
              <w:rPr>
                <w:b/>
                <w:noProof/>
                <w:sz w:val="16"/>
              </w:rPr>
              <w:t xml:space="preserve"> din cadrul financiar multianual</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Resurse umane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Alte cheltuieli administrative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Subtotal RUBRICA 7 </w:t>
            </w:r>
            <w:r>
              <w:rPr>
                <w:noProof/>
                <w:sz w:val="22"/>
              </w:rPr>
              <w:br/>
            </w:r>
            <w:r>
              <w:rPr>
                <w:b/>
                <w:noProof/>
                <w:sz w:val="16"/>
              </w:rPr>
              <w:t xml:space="preserve">din cadrul financiar multianual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16"/>
                <w:szCs w:val="16"/>
              </w:rPr>
            </w:pPr>
            <w:r>
              <w:rPr>
                <w:b/>
                <w:noProof/>
                <w:sz w:val="16"/>
              </w:rPr>
              <w:t xml:space="preserve">În afara RUBRICII 7 </w:t>
            </w:r>
            <w:r>
              <w:rPr>
                <w:noProof/>
              </w:rPr>
              <w:br/>
            </w:r>
            <w:r>
              <w:rPr>
                <w:b/>
                <w:noProof/>
                <w:sz w:val="16"/>
              </w:rPr>
              <w:t xml:space="preserve">din cadrul financiar multianual </w:t>
            </w:r>
          </w:p>
          <w:p>
            <w:pPr>
              <w:spacing w:before="0" w:after="0" w:line="200" w:lineRule="exact"/>
              <w:jc w:val="center"/>
              <w:rPr>
                <w:b/>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Resurse umane. Linia 01.010101 Funcționari și agenți temporari care pun în aplicare programe de cercetare și inovare – Orizont Europa</w:t>
            </w:r>
          </w:p>
        </w:tc>
        <w:tc>
          <w:tcPr>
            <w:tcW w:w="1080" w:type="dxa"/>
            <w:vAlign w:val="center"/>
          </w:tcPr>
          <w:p>
            <w:pPr>
              <w:spacing w:before="60" w:after="60" w:line="200" w:lineRule="exact"/>
              <w:jc w:val="right"/>
              <w:rPr>
                <w:noProof/>
                <w:sz w:val="16"/>
                <w:szCs w:val="16"/>
              </w:rPr>
            </w:pPr>
            <w:r>
              <w:rPr>
                <w:noProof/>
                <w:sz w:val="16"/>
              </w:rPr>
              <w:t>0,527</w:t>
            </w:r>
          </w:p>
        </w:tc>
        <w:tc>
          <w:tcPr>
            <w:tcW w:w="1080" w:type="dxa"/>
            <w:vAlign w:val="center"/>
          </w:tcPr>
          <w:p>
            <w:pPr>
              <w:spacing w:before="60" w:after="60" w:line="200" w:lineRule="exact"/>
              <w:jc w:val="right"/>
              <w:rPr>
                <w:noProof/>
                <w:sz w:val="16"/>
                <w:szCs w:val="16"/>
              </w:rPr>
            </w:pPr>
            <w:r>
              <w:rPr>
                <w:noProof/>
                <w:sz w:val="16"/>
              </w:rPr>
              <w:t>0,545</w:t>
            </w:r>
          </w:p>
        </w:tc>
        <w:tc>
          <w:tcPr>
            <w:tcW w:w="1080" w:type="dxa"/>
            <w:vAlign w:val="center"/>
          </w:tcPr>
          <w:p>
            <w:pPr>
              <w:spacing w:before="60" w:after="60" w:line="200" w:lineRule="exact"/>
              <w:jc w:val="right"/>
              <w:rPr>
                <w:noProof/>
                <w:sz w:val="16"/>
                <w:szCs w:val="16"/>
              </w:rPr>
            </w:pPr>
            <w:r>
              <w:rPr>
                <w:noProof/>
                <w:sz w:val="16"/>
              </w:rPr>
              <w:t>0,565</w:t>
            </w:r>
          </w:p>
        </w:tc>
        <w:tc>
          <w:tcPr>
            <w:tcW w:w="1080" w:type="dxa"/>
            <w:vAlign w:val="center"/>
          </w:tcPr>
          <w:p>
            <w:pPr>
              <w:spacing w:before="60" w:after="60" w:line="200" w:lineRule="exact"/>
              <w:jc w:val="right"/>
              <w:rPr>
                <w:noProof/>
                <w:sz w:val="16"/>
                <w:szCs w:val="16"/>
              </w:rPr>
            </w:pPr>
            <w:r>
              <w:rPr>
                <w:noProof/>
                <w:sz w:val="16"/>
              </w:rPr>
              <w:t>0,584</w:t>
            </w:r>
          </w:p>
        </w:tc>
        <w:tc>
          <w:tcPr>
            <w:tcW w:w="1080" w:type="dxa"/>
            <w:vAlign w:val="center"/>
          </w:tcPr>
          <w:p>
            <w:pPr>
              <w:spacing w:before="60" w:after="60" w:line="200" w:lineRule="exact"/>
              <w:jc w:val="right"/>
              <w:rPr>
                <w:noProof/>
                <w:sz w:val="16"/>
                <w:szCs w:val="16"/>
              </w:rPr>
            </w:pPr>
            <w:r>
              <w:rPr>
                <w:noProof/>
                <w:sz w:val="16"/>
              </w:rPr>
              <w:t>0,605</w:t>
            </w:r>
          </w:p>
        </w:tc>
        <w:tc>
          <w:tcPr>
            <w:tcW w:w="1080" w:type="dxa"/>
            <w:vAlign w:val="center"/>
          </w:tcPr>
          <w:p>
            <w:pPr>
              <w:spacing w:before="60" w:after="60" w:line="200" w:lineRule="exact"/>
              <w:jc w:val="right"/>
              <w:rPr>
                <w:noProof/>
                <w:sz w:val="16"/>
                <w:szCs w:val="16"/>
              </w:rPr>
            </w:pPr>
            <w:r>
              <w:rPr>
                <w:noProof/>
                <w:sz w:val="16"/>
              </w:rPr>
              <w:t>0,626</w:t>
            </w:r>
          </w:p>
        </w:tc>
        <w:tc>
          <w:tcPr>
            <w:tcW w:w="1080" w:type="dxa"/>
            <w:vAlign w:val="center"/>
          </w:tcPr>
          <w:p>
            <w:pPr>
              <w:spacing w:before="60" w:after="60" w:line="200" w:lineRule="exact"/>
              <w:jc w:val="right"/>
              <w:rPr>
                <w:noProof/>
                <w:sz w:val="16"/>
                <w:szCs w:val="16"/>
              </w:rPr>
            </w:pPr>
            <w:r>
              <w:rPr>
                <w:noProof/>
                <w:sz w:val="16"/>
              </w:rPr>
              <w:t>0,648</w:t>
            </w:r>
          </w:p>
        </w:tc>
        <w:tc>
          <w:tcPr>
            <w:tcW w:w="1080" w:type="dxa"/>
            <w:vAlign w:val="center"/>
          </w:tcPr>
          <w:p>
            <w:pPr>
              <w:spacing w:before="60" w:after="60" w:line="200" w:lineRule="exact"/>
              <w:jc w:val="right"/>
              <w:rPr>
                <w:b/>
                <w:noProof/>
                <w:sz w:val="16"/>
                <w:szCs w:val="16"/>
              </w:rPr>
            </w:pPr>
            <w:r>
              <w:rPr>
                <w:b/>
                <w:noProof/>
                <w:sz w:val="20"/>
              </w:rPr>
              <w:t>4,100</w:t>
            </w:r>
          </w:p>
        </w:tc>
      </w:tr>
      <w:tr>
        <w:trPr>
          <w:trHeight w:val="585"/>
        </w:trPr>
        <w:tc>
          <w:tcPr>
            <w:tcW w:w="1980" w:type="dxa"/>
            <w:vAlign w:val="center"/>
          </w:tcPr>
          <w:p>
            <w:pPr>
              <w:spacing w:before="60" w:after="60" w:line="200" w:lineRule="exact"/>
              <w:ind w:left="72"/>
              <w:jc w:val="left"/>
              <w:rPr>
                <w:noProof/>
                <w:sz w:val="16"/>
              </w:rPr>
            </w:pPr>
            <w:r>
              <w:rPr>
                <w:noProof/>
                <w:sz w:val="16"/>
              </w:rPr>
              <w:t>Resurse umane. Linia 01.010102 Personal extern care pune în aplicare programe de cercetare și inovare – Orizont Europa</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0,108</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0,110</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0,113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0,115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0,117</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0,119</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0,122</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b/>
                <w:noProof/>
                <w:sz w:val="16"/>
                <w:szCs w:val="16"/>
              </w:rPr>
            </w:pPr>
            <w:r>
              <w:rPr>
                <w:b/>
                <w:noProof/>
                <w:sz w:val="20"/>
              </w:rPr>
              <w:t>0,804</w:t>
            </w:r>
          </w:p>
        </w:tc>
      </w:tr>
      <w:tr>
        <w:trPr>
          <w:trHeight w:val="585"/>
        </w:trPr>
        <w:tc>
          <w:tcPr>
            <w:tcW w:w="1980" w:type="dxa"/>
            <w:vAlign w:val="center"/>
          </w:tcPr>
          <w:p>
            <w:pPr>
              <w:spacing w:before="60" w:after="60" w:line="200" w:lineRule="exact"/>
              <w:ind w:left="72"/>
              <w:jc w:val="left"/>
              <w:rPr>
                <w:noProof/>
                <w:sz w:val="16"/>
                <w:szCs w:val="16"/>
              </w:rPr>
            </w:pPr>
            <w:r>
              <w:rPr>
                <w:noProof/>
                <w:sz w:val="16"/>
              </w:rPr>
              <w:t>Linia 01.010103 Alte cheltuieli de gestiune pentru programele de cercetare și inovare –Orizont Europa</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9,445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9,629</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9,816</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10,006</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10,202</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10,398</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10,600</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b/>
                <w:noProof/>
                <w:sz w:val="16"/>
                <w:szCs w:val="16"/>
              </w:rPr>
            </w:pPr>
            <w:r>
              <w:rPr>
                <w:b/>
                <w:noProof/>
                <w:sz w:val="20"/>
              </w:rPr>
              <w:t>70,096</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Subtotal</w:t>
            </w:r>
            <w:r>
              <w:rPr>
                <w:noProof/>
              </w:rPr>
              <w:br/>
            </w:r>
            <w:r>
              <w:rPr>
                <w:b/>
                <w:noProof/>
                <w:sz w:val="16"/>
              </w:rPr>
              <w:t xml:space="preserve"> în afara RUBRICII 7</w:t>
            </w:r>
            <w:r>
              <w:rPr>
                <w:noProof/>
              </w:rPr>
              <w:br/>
            </w:r>
            <w:r>
              <w:rPr>
                <w:b/>
                <w:noProof/>
                <w:sz w:val="16"/>
              </w:rPr>
              <w:t xml:space="preserve"> din cadrul financiar multianual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10,081</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10,285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10,493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10,705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10,924</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11,143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noProof/>
                <w:sz w:val="16"/>
                <w:szCs w:val="16"/>
              </w:rPr>
            </w:pPr>
            <w:r>
              <w:rPr>
                <w:noProof/>
                <w:sz w:val="16"/>
              </w:rPr>
              <w:t>11,370</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b/>
                <w:noProof/>
                <w:sz w:val="16"/>
                <w:szCs w:val="16"/>
              </w:rPr>
            </w:pPr>
            <w:r>
              <w:rPr>
                <w:b/>
                <w:noProof/>
                <w:sz w:val="20"/>
              </w:rPr>
              <w:t>75,000</w:t>
            </w:r>
          </w:p>
        </w:tc>
      </w:tr>
    </w:tbl>
    <w:p>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TOTAL</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color w:val="000000"/>
                <w:sz w:val="20"/>
              </w:rPr>
              <w:t>10,081</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10,285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10,493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10,705</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10,924</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11,143</w:t>
            </w:r>
          </w:p>
        </w:tc>
        <w:tc>
          <w:tcPr>
            <w:tcW w:w="1080" w:type="dxa"/>
            <w:tcBorders>
              <w:top w:val="single" w:sz="4" w:space="0" w:color="auto"/>
              <w:left w:val="nil"/>
              <w:bottom w:val="single" w:sz="4" w:space="0" w:color="auto"/>
              <w:right w:val="single" w:sz="4" w:space="0" w:color="auto"/>
            </w:tcBorders>
            <w:shd w:val="clear" w:color="auto" w:fill="auto"/>
            <w:vAlign w:val="center"/>
          </w:tcPr>
          <w:p>
            <w:pPr>
              <w:spacing w:before="60" w:after="60" w:line="200" w:lineRule="exact"/>
              <w:jc w:val="right"/>
              <w:rPr>
                <w:b/>
                <w:noProof/>
                <w:sz w:val="16"/>
                <w:szCs w:val="16"/>
              </w:rPr>
            </w:pPr>
            <w:r>
              <w:rPr>
                <w:b/>
                <w:noProof/>
                <w:sz w:val="20"/>
              </w:rPr>
              <w:t>11,370</w:t>
            </w:r>
          </w:p>
        </w:tc>
        <w:tc>
          <w:tcPr>
            <w:tcW w:w="1080" w:type="dxa"/>
            <w:tcBorders>
              <w:top w:val="single" w:sz="4" w:space="0" w:color="auto"/>
              <w:left w:val="nil"/>
              <w:bottom w:val="single" w:sz="4" w:space="0" w:color="auto"/>
              <w:right w:val="single" w:sz="8" w:space="0" w:color="auto"/>
            </w:tcBorders>
            <w:shd w:val="clear" w:color="auto" w:fill="auto"/>
            <w:vAlign w:val="center"/>
          </w:tcPr>
          <w:p>
            <w:pPr>
              <w:spacing w:before="60" w:after="60" w:line="200" w:lineRule="exact"/>
              <w:jc w:val="right"/>
              <w:rPr>
                <w:b/>
                <w:noProof/>
                <w:sz w:val="16"/>
                <w:szCs w:val="16"/>
              </w:rPr>
            </w:pPr>
            <w:r>
              <w:rPr>
                <w:b/>
                <w:noProof/>
                <w:sz w:val="20"/>
              </w:rPr>
              <w:t>75,000</w:t>
            </w:r>
          </w:p>
        </w:tc>
      </w:tr>
    </w:tbl>
    <w:p>
      <w:pPr>
        <w:rPr>
          <w:noProof/>
          <w:sz w:val="18"/>
        </w:rPr>
      </w:pPr>
      <w:r>
        <w:rPr>
          <w:noProof/>
          <w:sz w:val="18"/>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pPr>
        <w:spacing w:before="0" w:after="200" w:line="276" w:lineRule="auto"/>
        <w:jc w:val="left"/>
        <w:rPr>
          <w:noProof/>
          <w:sz w:val="18"/>
        </w:rPr>
      </w:pPr>
      <w:r>
        <w:rPr>
          <w:noProof/>
        </w:rPr>
        <w:br w:type="page"/>
      </w:r>
    </w:p>
    <w:p>
      <w:pPr>
        <w:keepNext/>
        <w:outlineLvl w:val="3"/>
        <w:rPr>
          <w:iCs/>
          <w:noProof/>
          <w:szCs w:val="24"/>
        </w:rPr>
      </w:pPr>
      <w:r>
        <w:rPr>
          <w:noProof/>
        </w:rPr>
        <w:t>3.2.2.1</w:t>
      </w:r>
      <w:r>
        <w:rPr>
          <w:noProof/>
        </w:rPr>
        <w:tab/>
        <w:t>Necesarul de resurse umane estimat</w:t>
      </w:r>
      <w:r>
        <w:rPr>
          <w:rStyle w:val="FootnoteReference"/>
          <w:noProof/>
        </w:rPr>
        <w:footnoteReference w:id="17"/>
      </w:r>
    </w:p>
    <w:p>
      <w:pPr>
        <w:tabs>
          <w:tab w:val="num" w:pos="1134"/>
        </w:tabs>
        <w:ind w:left="1134" w:hanging="283"/>
        <w:rPr>
          <w:noProof/>
        </w:rPr>
      </w:pPr>
      <w:r>
        <w:rPr>
          <w:noProof/>
        </w:rPr>
        <w:sym w:font="Wingdings" w:char="F0A8"/>
      </w:r>
      <w:r>
        <w:rPr>
          <w:noProof/>
        </w:rPr>
        <w:tab/>
        <w:t xml:space="preserve">Propunerea/inițiativa nu implică utilizarea de resurse umane. </w:t>
      </w:r>
    </w:p>
    <w:p>
      <w:pPr>
        <w:tabs>
          <w:tab w:val="num" w:pos="1134"/>
        </w:tabs>
        <w:ind w:left="1134" w:hanging="283"/>
        <w:rPr>
          <w:noProof/>
        </w:rPr>
      </w:pPr>
      <w:r>
        <w:rPr>
          <w:noProof/>
        </w:rPr>
        <w:t>X</w:t>
      </w:r>
      <w:r>
        <w:rPr>
          <w:noProof/>
        </w:rPr>
        <w:tab/>
        <w:t>Propunerea/inițiativa implică utilizarea de resurse umane, conform explicațiilor de mai jos:</w:t>
      </w:r>
    </w:p>
    <w:p>
      <w:pPr>
        <w:spacing w:after="60"/>
        <w:jc w:val="right"/>
        <w:rPr>
          <w:i/>
          <w:noProof/>
          <w:sz w:val="20"/>
        </w:rPr>
      </w:pPr>
      <w:r>
        <w:rPr>
          <w:i/>
          <w:noProof/>
          <w:sz w:val="20"/>
        </w:rPr>
        <w:t>Estimări în echivalent normă întreagă</w:t>
      </w:r>
    </w:p>
    <w:tbl>
      <w:tblPr>
        <w:tblW w:w="5717" w:type="pct"/>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1"/>
        <w:gridCol w:w="1565"/>
        <w:gridCol w:w="990"/>
        <w:gridCol w:w="1134"/>
        <w:gridCol w:w="990"/>
        <w:gridCol w:w="1134"/>
        <w:gridCol w:w="1132"/>
        <w:gridCol w:w="994"/>
        <w:gridCol w:w="1119"/>
      </w:tblGrid>
      <w:tr>
        <w:trPr>
          <w:trHeight w:val="289"/>
        </w:trPr>
        <w:tc>
          <w:tcPr>
            <w:tcW w:w="1472" w:type="pct"/>
            <w:gridSpan w:val="2"/>
            <w:vAlign w:val="center"/>
          </w:tcPr>
          <w:p>
            <w:pPr>
              <w:spacing w:before="40" w:after="40"/>
              <w:jc w:val="center"/>
              <w:rPr>
                <w:i/>
                <w:noProof/>
                <w:sz w:val="16"/>
                <w:szCs w:val="16"/>
              </w:rPr>
            </w:pPr>
            <w:r>
              <w:rPr>
                <w:b/>
                <w:noProof/>
                <w:sz w:val="16"/>
              </w:rPr>
              <w:t>Ani</w:t>
            </w:r>
          </w:p>
        </w:tc>
        <w:tc>
          <w:tcPr>
            <w:tcW w:w="466" w:type="pct"/>
            <w:shd w:val="clear" w:color="auto" w:fill="auto"/>
            <w:vAlign w:val="center"/>
          </w:tcPr>
          <w:p>
            <w:pPr>
              <w:spacing w:before="20" w:after="20"/>
              <w:jc w:val="center"/>
              <w:rPr>
                <w:b/>
                <w:noProof/>
                <w:sz w:val="16"/>
                <w:szCs w:val="16"/>
              </w:rPr>
            </w:pPr>
            <w:r>
              <w:rPr>
                <w:b/>
                <w:noProof/>
                <w:sz w:val="20"/>
              </w:rPr>
              <w:t>2021</w:t>
            </w:r>
          </w:p>
        </w:tc>
        <w:tc>
          <w:tcPr>
            <w:tcW w:w="534" w:type="pct"/>
            <w:shd w:val="clear" w:color="auto" w:fill="auto"/>
            <w:vAlign w:val="center"/>
          </w:tcPr>
          <w:p>
            <w:pPr>
              <w:spacing w:before="20" w:after="20"/>
              <w:jc w:val="center"/>
              <w:rPr>
                <w:b/>
                <w:noProof/>
                <w:sz w:val="20"/>
              </w:rPr>
            </w:pPr>
            <w:r>
              <w:rPr>
                <w:b/>
                <w:noProof/>
                <w:sz w:val="20"/>
              </w:rPr>
              <w:t>2022</w:t>
            </w:r>
          </w:p>
        </w:tc>
        <w:tc>
          <w:tcPr>
            <w:tcW w:w="466" w:type="pct"/>
            <w:shd w:val="clear" w:color="auto" w:fill="auto"/>
            <w:vAlign w:val="center"/>
          </w:tcPr>
          <w:p>
            <w:pPr>
              <w:spacing w:before="20" w:after="20"/>
              <w:jc w:val="center"/>
              <w:rPr>
                <w:b/>
                <w:noProof/>
                <w:sz w:val="20"/>
              </w:rPr>
            </w:pPr>
            <w:r>
              <w:rPr>
                <w:b/>
                <w:noProof/>
                <w:sz w:val="20"/>
              </w:rPr>
              <w:t>2023</w:t>
            </w:r>
          </w:p>
        </w:tc>
        <w:tc>
          <w:tcPr>
            <w:tcW w:w="534" w:type="pct"/>
            <w:shd w:val="clear" w:color="auto" w:fill="auto"/>
            <w:vAlign w:val="center"/>
          </w:tcPr>
          <w:p>
            <w:pPr>
              <w:spacing w:before="20" w:after="20"/>
              <w:jc w:val="center"/>
              <w:rPr>
                <w:b/>
                <w:noProof/>
                <w:sz w:val="20"/>
              </w:rPr>
            </w:pPr>
            <w:r>
              <w:rPr>
                <w:b/>
                <w:noProof/>
                <w:sz w:val="20"/>
              </w:rPr>
              <w:t>2024</w:t>
            </w:r>
          </w:p>
        </w:tc>
        <w:tc>
          <w:tcPr>
            <w:tcW w:w="533" w:type="pct"/>
            <w:shd w:val="clear" w:color="auto" w:fill="auto"/>
            <w:vAlign w:val="center"/>
          </w:tcPr>
          <w:p>
            <w:pPr>
              <w:jc w:val="center"/>
              <w:rPr>
                <w:b/>
                <w:noProof/>
                <w:sz w:val="20"/>
              </w:rPr>
            </w:pPr>
            <w:r>
              <w:rPr>
                <w:b/>
                <w:noProof/>
                <w:sz w:val="20"/>
              </w:rPr>
              <w:t>2025</w:t>
            </w:r>
          </w:p>
        </w:tc>
        <w:tc>
          <w:tcPr>
            <w:tcW w:w="468" w:type="pct"/>
            <w:shd w:val="clear" w:color="auto" w:fill="auto"/>
            <w:vAlign w:val="center"/>
          </w:tcPr>
          <w:p>
            <w:pPr>
              <w:jc w:val="center"/>
              <w:rPr>
                <w:b/>
                <w:noProof/>
                <w:sz w:val="20"/>
              </w:rPr>
            </w:pPr>
            <w:r>
              <w:rPr>
                <w:b/>
                <w:noProof/>
                <w:sz w:val="20"/>
              </w:rPr>
              <w:t>2026</w:t>
            </w:r>
          </w:p>
        </w:tc>
        <w:tc>
          <w:tcPr>
            <w:tcW w:w="527" w:type="pct"/>
            <w:shd w:val="clear" w:color="auto" w:fill="auto"/>
            <w:vAlign w:val="center"/>
          </w:tcPr>
          <w:p>
            <w:pPr>
              <w:jc w:val="center"/>
              <w:rPr>
                <w:b/>
                <w:noProof/>
                <w:sz w:val="20"/>
              </w:rPr>
            </w:pPr>
            <w:r>
              <w:rPr>
                <w:b/>
                <w:noProof/>
                <w:sz w:val="20"/>
              </w:rPr>
              <w:t>2027</w:t>
            </w:r>
          </w:p>
        </w:tc>
      </w:tr>
      <w:tr>
        <w:trPr>
          <w:trHeight w:val="289"/>
        </w:trPr>
        <w:tc>
          <w:tcPr>
            <w:tcW w:w="5000" w:type="pct"/>
            <w:gridSpan w:val="9"/>
          </w:tcPr>
          <w:p>
            <w:pPr>
              <w:jc w:val="left"/>
              <w:rPr>
                <w:noProof/>
                <w:sz w:val="16"/>
                <w:szCs w:val="16"/>
              </w:rPr>
            </w:pPr>
            <w:r>
              <w:rPr>
                <w:b/>
                <w:noProof/>
                <w:sz w:val="16"/>
              </w:rPr>
              <w:sym w:font="Wingdings" w:char="F09F"/>
            </w:r>
            <w:r>
              <w:rPr>
                <w:b/>
                <w:noProof/>
                <w:sz w:val="16"/>
              </w:rPr>
              <w:t>Posturi din schema de personal (funcționari și agenți temporari)</w:t>
            </w:r>
          </w:p>
        </w:tc>
      </w:tr>
      <w:tr>
        <w:trPr>
          <w:trHeight w:val="289"/>
        </w:trPr>
        <w:tc>
          <w:tcPr>
            <w:tcW w:w="1472" w:type="pct"/>
            <w:gridSpan w:val="2"/>
          </w:tcPr>
          <w:p>
            <w:pPr>
              <w:spacing w:beforeLines="20" w:before="48" w:afterLines="20" w:after="48"/>
              <w:ind w:left="134"/>
              <w:jc w:val="left"/>
              <w:rPr>
                <w:b/>
                <w:noProof/>
                <w:sz w:val="16"/>
                <w:szCs w:val="16"/>
              </w:rPr>
            </w:pPr>
            <w:r>
              <w:rPr>
                <w:noProof/>
                <w:sz w:val="16"/>
              </w:rPr>
              <w:t>La sediu și în reprezentanțele Comisiei</w:t>
            </w:r>
          </w:p>
        </w:tc>
        <w:tc>
          <w:tcPr>
            <w:tcW w:w="466" w:type="pct"/>
            <w:shd w:val="clear" w:color="auto" w:fill="auto"/>
            <w:vAlign w:val="center"/>
          </w:tcPr>
          <w:p>
            <w:pPr>
              <w:spacing w:beforeLines="20" w:before="48" w:afterLines="20" w:after="48"/>
              <w:jc w:val="center"/>
              <w:rPr>
                <w:noProof/>
                <w:sz w:val="16"/>
                <w:szCs w:val="16"/>
              </w:rPr>
            </w:pPr>
            <w:r>
              <w:rPr>
                <w:noProof/>
                <w:sz w:val="16"/>
              </w:rPr>
              <w:t>4</w:t>
            </w:r>
          </w:p>
        </w:tc>
        <w:tc>
          <w:tcPr>
            <w:tcW w:w="534" w:type="pct"/>
            <w:shd w:val="clear" w:color="auto" w:fill="auto"/>
            <w:vAlign w:val="center"/>
          </w:tcPr>
          <w:p>
            <w:pPr>
              <w:spacing w:beforeLines="20" w:before="48" w:afterLines="20" w:after="48"/>
              <w:jc w:val="center"/>
              <w:rPr>
                <w:noProof/>
                <w:sz w:val="16"/>
                <w:szCs w:val="16"/>
              </w:rPr>
            </w:pPr>
            <w:r>
              <w:rPr>
                <w:noProof/>
                <w:sz w:val="16"/>
              </w:rPr>
              <w:t>4</w:t>
            </w:r>
          </w:p>
        </w:tc>
        <w:tc>
          <w:tcPr>
            <w:tcW w:w="466" w:type="pct"/>
            <w:shd w:val="clear" w:color="auto" w:fill="auto"/>
            <w:vAlign w:val="center"/>
          </w:tcPr>
          <w:p>
            <w:pPr>
              <w:spacing w:beforeLines="20" w:before="48" w:afterLines="20" w:after="48"/>
              <w:jc w:val="center"/>
              <w:rPr>
                <w:noProof/>
                <w:sz w:val="16"/>
                <w:szCs w:val="16"/>
              </w:rPr>
            </w:pPr>
            <w:r>
              <w:rPr>
                <w:noProof/>
                <w:sz w:val="16"/>
              </w:rPr>
              <w:t>4</w:t>
            </w:r>
          </w:p>
        </w:tc>
        <w:tc>
          <w:tcPr>
            <w:tcW w:w="534" w:type="pct"/>
            <w:shd w:val="clear" w:color="auto" w:fill="auto"/>
            <w:vAlign w:val="center"/>
          </w:tcPr>
          <w:p>
            <w:pPr>
              <w:spacing w:beforeLines="20" w:before="48" w:afterLines="20" w:after="48"/>
              <w:jc w:val="center"/>
              <w:rPr>
                <w:noProof/>
                <w:sz w:val="16"/>
                <w:szCs w:val="16"/>
              </w:rPr>
            </w:pPr>
            <w:r>
              <w:rPr>
                <w:noProof/>
                <w:sz w:val="16"/>
              </w:rPr>
              <w:t>4</w:t>
            </w:r>
          </w:p>
        </w:tc>
        <w:tc>
          <w:tcPr>
            <w:tcW w:w="533" w:type="pct"/>
            <w:shd w:val="clear" w:color="auto" w:fill="auto"/>
            <w:vAlign w:val="center"/>
          </w:tcPr>
          <w:p>
            <w:pPr>
              <w:spacing w:beforeLines="20" w:before="48" w:afterLines="20" w:after="48"/>
              <w:jc w:val="center"/>
              <w:rPr>
                <w:noProof/>
                <w:sz w:val="16"/>
                <w:szCs w:val="16"/>
              </w:rPr>
            </w:pPr>
            <w:r>
              <w:rPr>
                <w:noProof/>
                <w:sz w:val="16"/>
              </w:rPr>
              <w:t>4</w:t>
            </w:r>
          </w:p>
        </w:tc>
        <w:tc>
          <w:tcPr>
            <w:tcW w:w="468" w:type="pct"/>
            <w:shd w:val="clear" w:color="auto" w:fill="auto"/>
            <w:vAlign w:val="center"/>
          </w:tcPr>
          <w:p>
            <w:pPr>
              <w:spacing w:beforeLines="20" w:before="48" w:afterLines="20" w:after="48"/>
              <w:jc w:val="center"/>
              <w:rPr>
                <w:noProof/>
                <w:sz w:val="16"/>
                <w:szCs w:val="16"/>
              </w:rPr>
            </w:pPr>
            <w:r>
              <w:rPr>
                <w:noProof/>
                <w:sz w:val="16"/>
              </w:rPr>
              <w:t>4</w:t>
            </w:r>
          </w:p>
        </w:tc>
        <w:tc>
          <w:tcPr>
            <w:tcW w:w="527" w:type="pct"/>
            <w:shd w:val="clear" w:color="auto" w:fill="auto"/>
            <w:vAlign w:val="center"/>
          </w:tcPr>
          <w:p>
            <w:pPr>
              <w:spacing w:beforeLines="20" w:before="48" w:afterLines="20" w:after="48"/>
              <w:jc w:val="center"/>
              <w:rPr>
                <w:noProof/>
                <w:sz w:val="16"/>
                <w:szCs w:val="16"/>
              </w:rPr>
            </w:pPr>
            <w:r>
              <w:rPr>
                <w:noProof/>
                <w:sz w:val="16"/>
              </w:rPr>
              <w:t>4</w:t>
            </w:r>
          </w:p>
        </w:tc>
      </w:tr>
      <w:tr>
        <w:trPr>
          <w:trHeight w:val="289"/>
        </w:trPr>
        <w:tc>
          <w:tcPr>
            <w:tcW w:w="1472" w:type="pct"/>
            <w:gridSpan w:val="2"/>
          </w:tcPr>
          <w:p>
            <w:pPr>
              <w:spacing w:beforeLines="20" w:before="48" w:afterLines="20" w:after="48"/>
              <w:ind w:left="134"/>
              <w:jc w:val="left"/>
              <w:rPr>
                <w:noProof/>
                <w:sz w:val="16"/>
                <w:szCs w:val="16"/>
              </w:rPr>
            </w:pPr>
            <w:r>
              <w:rPr>
                <w:noProof/>
                <w:sz w:val="16"/>
              </w:rPr>
              <w:t>În delegații</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Pr>
          <w:p>
            <w:pPr>
              <w:spacing w:beforeLines="20" w:before="48" w:afterLines="20" w:after="48"/>
              <w:ind w:left="134"/>
              <w:jc w:val="left"/>
              <w:rPr>
                <w:noProof/>
                <w:sz w:val="16"/>
                <w:szCs w:val="16"/>
              </w:rPr>
            </w:pPr>
            <w:r>
              <w:rPr>
                <w:noProof/>
                <w:sz w:val="16"/>
              </w:rPr>
              <w:t>Cercetare</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93"/>
        </w:trPr>
        <w:tc>
          <w:tcPr>
            <w:tcW w:w="5000" w:type="pct"/>
            <w:gridSpan w:val="9"/>
          </w:tcPr>
          <w:p>
            <w:pPr>
              <w:spacing w:before="60" w:after="60"/>
              <w:jc w:val="left"/>
              <w:rPr>
                <w:b/>
                <w:noProof/>
                <w:sz w:val="16"/>
                <w:szCs w:val="16"/>
              </w:rPr>
            </w:pPr>
            <w:r>
              <w:rPr>
                <w:b/>
                <w:noProof/>
                <w:sz w:val="16"/>
              </w:rPr>
              <w:sym w:font="Wingdings" w:char="F09F"/>
            </w:r>
            <w:r>
              <w:rPr>
                <w:b/>
                <w:noProof/>
                <w:sz w:val="16"/>
              </w:rPr>
              <w:t>Personal extern (în echivalent normă întreagă: ENI) - AC, AL, END, INT și JED</w:t>
            </w:r>
            <w:r>
              <w:rPr>
                <w:noProof/>
                <w:sz w:val="16"/>
              </w:rPr>
              <w:t xml:space="preserve"> </w:t>
            </w:r>
            <w:r>
              <w:rPr>
                <w:rStyle w:val="FootnoteReference"/>
                <w:noProof/>
              </w:rPr>
              <w:footnoteReference w:id="18"/>
            </w:r>
          </w:p>
          <w:p>
            <w:pPr>
              <w:spacing w:before="0" w:after="0"/>
              <w:jc w:val="left"/>
              <w:rPr>
                <w:noProof/>
                <w:sz w:val="16"/>
                <w:szCs w:val="16"/>
              </w:rPr>
            </w:pPr>
            <w:r>
              <w:rPr>
                <w:noProof/>
                <w:sz w:val="16"/>
              </w:rPr>
              <w:t>Rubrica 7</w:t>
            </w:r>
          </w:p>
        </w:tc>
      </w:tr>
      <w:tr>
        <w:trPr>
          <w:trHeight w:val="485"/>
        </w:trPr>
        <w:tc>
          <w:tcPr>
            <w:tcW w:w="735" w:type="pct"/>
            <w:vMerge w:val="restart"/>
            <w:vAlign w:val="center"/>
          </w:tcPr>
          <w:p>
            <w:pPr>
              <w:spacing w:beforeLines="20" w:before="48" w:afterLines="20" w:after="48"/>
              <w:ind w:left="136"/>
              <w:jc w:val="left"/>
              <w:rPr>
                <w:b/>
                <w:noProof/>
                <w:sz w:val="16"/>
                <w:szCs w:val="16"/>
              </w:rPr>
            </w:pPr>
            <w:r>
              <w:rPr>
                <w:noProof/>
                <w:sz w:val="16"/>
              </w:rPr>
              <w:t>Finanțare de la RUBRICA 7 din cadrul financiar multianual</w:t>
            </w:r>
            <w:r>
              <w:rPr>
                <w:b/>
                <w:noProof/>
                <w:sz w:val="16"/>
              </w:rPr>
              <w:t xml:space="preserve"> </w:t>
            </w:r>
          </w:p>
        </w:tc>
        <w:tc>
          <w:tcPr>
            <w:tcW w:w="737" w:type="pct"/>
            <w:vAlign w:val="center"/>
          </w:tcPr>
          <w:p>
            <w:pPr>
              <w:spacing w:beforeLines="20" w:before="48" w:afterLines="20" w:after="48"/>
              <w:ind w:left="136"/>
              <w:jc w:val="left"/>
              <w:rPr>
                <w:b/>
                <w:noProof/>
                <w:sz w:val="16"/>
                <w:szCs w:val="16"/>
              </w:rPr>
            </w:pPr>
            <w:r>
              <w:rPr>
                <w:noProof/>
                <w:sz w:val="16"/>
              </w:rPr>
              <w:t>- la sediu</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735" w:type="pct"/>
            <w:vMerge/>
            <w:vAlign w:val="center"/>
          </w:tcPr>
          <w:p>
            <w:pPr>
              <w:spacing w:beforeLines="20" w:before="48" w:afterLines="20" w:after="48"/>
              <w:ind w:left="136"/>
              <w:jc w:val="left"/>
              <w:rPr>
                <w:noProof/>
                <w:sz w:val="16"/>
                <w:szCs w:val="16"/>
              </w:rPr>
            </w:pPr>
          </w:p>
        </w:tc>
        <w:tc>
          <w:tcPr>
            <w:tcW w:w="737" w:type="pct"/>
            <w:vAlign w:val="center"/>
          </w:tcPr>
          <w:p>
            <w:pPr>
              <w:spacing w:beforeLines="20" w:before="48" w:afterLines="20" w:after="48"/>
              <w:ind w:left="136"/>
              <w:jc w:val="left"/>
              <w:rPr>
                <w:noProof/>
                <w:sz w:val="16"/>
                <w:szCs w:val="16"/>
              </w:rPr>
            </w:pPr>
            <w:r>
              <w:rPr>
                <w:noProof/>
                <w:sz w:val="16"/>
              </w:rPr>
              <w:t xml:space="preserve">- în delegații </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370"/>
        </w:trPr>
        <w:tc>
          <w:tcPr>
            <w:tcW w:w="735" w:type="pct"/>
            <w:vMerge w:val="restart"/>
            <w:vAlign w:val="center"/>
          </w:tcPr>
          <w:p>
            <w:pPr>
              <w:spacing w:beforeLines="20" w:before="48" w:afterLines="20" w:after="48"/>
              <w:ind w:left="136"/>
              <w:jc w:val="left"/>
              <w:rPr>
                <w:b/>
                <w:noProof/>
                <w:sz w:val="16"/>
                <w:szCs w:val="16"/>
              </w:rPr>
            </w:pPr>
            <w:r>
              <w:rPr>
                <w:noProof/>
                <w:sz w:val="16"/>
              </w:rPr>
              <w:t>Finanțare din pachetul financiar al programului</w:t>
            </w:r>
            <w:r>
              <w:rPr>
                <w:b/>
                <w:noProof/>
                <w:sz w:val="16"/>
              </w:rPr>
              <w:t xml:space="preserve"> </w:t>
            </w:r>
            <w:r>
              <w:rPr>
                <w:rStyle w:val="FootnoteReference"/>
                <w:noProof/>
              </w:rPr>
              <w:footnoteReference w:id="19"/>
            </w:r>
          </w:p>
        </w:tc>
        <w:tc>
          <w:tcPr>
            <w:tcW w:w="737" w:type="pct"/>
            <w:shd w:val="clear" w:color="auto" w:fill="auto"/>
            <w:vAlign w:val="center"/>
          </w:tcPr>
          <w:p>
            <w:pPr>
              <w:spacing w:beforeLines="20" w:before="48" w:afterLines="20" w:after="48"/>
              <w:ind w:left="136"/>
              <w:jc w:val="left"/>
              <w:rPr>
                <w:b/>
                <w:noProof/>
                <w:sz w:val="16"/>
                <w:szCs w:val="16"/>
              </w:rPr>
            </w:pPr>
            <w:r>
              <w:rPr>
                <w:noProof/>
                <w:sz w:val="16"/>
              </w:rPr>
              <w:t>- la sediu</w:t>
            </w:r>
          </w:p>
        </w:tc>
        <w:tc>
          <w:tcPr>
            <w:tcW w:w="466" w:type="pct"/>
            <w:shd w:val="clear" w:color="auto" w:fill="auto"/>
            <w:vAlign w:val="center"/>
          </w:tcPr>
          <w:p>
            <w:pPr>
              <w:spacing w:beforeLines="20" w:before="48" w:afterLines="20" w:after="48"/>
              <w:jc w:val="center"/>
              <w:rPr>
                <w:noProof/>
                <w:sz w:val="16"/>
                <w:szCs w:val="16"/>
              </w:rPr>
            </w:pPr>
            <w:r>
              <w:rPr>
                <w:noProof/>
                <w:sz w:val="16"/>
              </w:rPr>
              <w:t>2</w:t>
            </w:r>
          </w:p>
        </w:tc>
        <w:tc>
          <w:tcPr>
            <w:tcW w:w="534" w:type="pct"/>
            <w:shd w:val="clear" w:color="auto" w:fill="auto"/>
            <w:vAlign w:val="center"/>
          </w:tcPr>
          <w:p>
            <w:pPr>
              <w:spacing w:beforeLines="20" w:before="48" w:afterLines="20" w:after="48"/>
              <w:jc w:val="center"/>
              <w:rPr>
                <w:noProof/>
                <w:sz w:val="16"/>
                <w:szCs w:val="16"/>
              </w:rPr>
            </w:pPr>
            <w:r>
              <w:rPr>
                <w:noProof/>
                <w:sz w:val="16"/>
              </w:rPr>
              <w:t>2</w:t>
            </w:r>
          </w:p>
        </w:tc>
        <w:tc>
          <w:tcPr>
            <w:tcW w:w="466" w:type="pct"/>
            <w:shd w:val="clear" w:color="auto" w:fill="auto"/>
            <w:vAlign w:val="center"/>
          </w:tcPr>
          <w:p>
            <w:pPr>
              <w:spacing w:beforeLines="20" w:before="48" w:afterLines="20" w:after="48"/>
              <w:jc w:val="center"/>
              <w:rPr>
                <w:noProof/>
                <w:sz w:val="16"/>
                <w:szCs w:val="16"/>
              </w:rPr>
            </w:pPr>
            <w:r>
              <w:rPr>
                <w:noProof/>
                <w:sz w:val="16"/>
              </w:rPr>
              <w:t>2</w:t>
            </w:r>
          </w:p>
        </w:tc>
        <w:tc>
          <w:tcPr>
            <w:tcW w:w="534" w:type="pct"/>
            <w:shd w:val="clear" w:color="auto" w:fill="auto"/>
            <w:vAlign w:val="center"/>
          </w:tcPr>
          <w:p>
            <w:pPr>
              <w:spacing w:beforeLines="20" w:before="48" w:afterLines="20" w:after="48"/>
              <w:jc w:val="center"/>
              <w:rPr>
                <w:noProof/>
                <w:sz w:val="16"/>
                <w:szCs w:val="16"/>
              </w:rPr>
            </w:pPr>
            <w:r>
              <w:rPr>
                <w:noProof/>
                <w:sz w:val="16"/>
              </w:rPr>
              <w:t>2</w:t>
            </w:r>
          </w:p>
        </w:tc>
        <w:tc>
          <w:tcPr>
            <w:tcW w:w="533" w:type="pct"/>
            <w:shd w:val="clear" w:color="auto" w:fill="auto"/>
            <w:vAlign w:val="center"/>
          </w:tcPr>
          <w:p>
            <w:pPr>
              <w:spacing w:beforeLines="20" w:before="48" w:afterLines="20" w:after="48"/>
              <w:jc w:val="center"/>
              <w:rPr>
                <w:noProof/>
                <w:sz w:val="16"/>
                <w:szCs w:val="16"/>
              </w:rPr>
            </w:pPr>
            <w:r>
              <w:rPr>
                <w:noProof/>
                <w:sz w:val="16"/>
              </w:rPr>
              <w:t>2</w:t>
            </w:r>
          </w:p>
        </w:tc>
        <w:tc>
          <w:tcPr>
            <w:tcW w:w="468" w:type="pct"/>
            <w:shd w:val="clear" w:color="auto" w:fill="auto"/>
            <w:vAlign w:val="center"/>
          </w:tcPr>
          <w:p>
            <w:pPr>
              <w:spacing w:beforeLines="20" w:before="48" w:afterLines="20" w:after="48"/>
              <w:jc w:val="center"/>
              <w:rPr>
                <w:noProof/>
                <w:sz w:val="16"/>
                <w:szCs w:val="16"/>
              </w:rPr>
            </w:pPr>
            <w:r>
              <w:rPr>
                <w:noProof/>
                <w:sz w:val="16"/>
              </w:rPr>
              <w:t>2</w:t>
            </w:r>
          </w:p>
        </w:tc>
        <w:tc>
          <w:tcPr>
            <w:tcW w:w="527" w:type="pct"/>
            <w:shd w:val="clear" w:color="auto" w:fill="auto"/>
            <w:vAlign w:val="center"/>
          </w:tcPr>
          <w:p>
            <w:pPr>
              <w:spacing w:beforeLines="20" w:before="48" w:afterLines="20" w:after="48"/>
              <w:jc w:val="center"/>
              <w:rPr>
                <w:noProof/>
                <w:sz w:val="16"/>
                <w:szCs w:val="16"/>
              </w:rPr>
            </w:pPr>
            <w:r>
              <w:rPr>
                <w:noProof/>
                <w:sz w:val="16"/>
              </w:rPr>
              <w:t>2</w:t>
            </w:r>
          </w:p>
        </w:tc>
      </w:tr>
      <w:tr>
        <w:trPr>
          <w:trHeight w:val="289"/>
        </w:trPr>
        <w:tc>
          <w:tcPr>
            <w:tcW w:w="735" w:type="pct"/>
            <w:vMerge/>
          </w:tcPr>
          <w:p>
            <w:pPr>
              <w:spacing w:beforeLines="20" w:before="48" w:afterLines="20" w:after="48"/>
              <w:ind w:left="136"/>
              <w:jc w:val="left"/>
              <w:rPr>
                <w:b/>
                <w:noProof/>
                <w:sz w:val="16"/>
                <w:szCs w:val="16"/>
              </w:rPr>
            </w:pPr>
          </w:p>
        </w:tc>
        <w:tc>
          <w:tcPr>
            <w:tcW w:w="737" w:type="pct"/>
            <w:shd w:val="clear" w:color="auto" w:fill="auto"/>
            <w:vAlign w:val="center"/>
          </w:tcPr>
          <w:p>
            <w:pPr>
              <w:spacing w:beforeLines="20" w:before="48" w:afterLines="20" w:after="48"/>
              <w:ind w:left="136"/>
              <w:jc w:val="left"/>
              <w:rPr>
                <w:b/>
                <w:noProof/>
                <w:sz w:val="16"/>
                <w:szCs w:val="16"/>
              </w:rPr>
            </w:pPr>
            <w:r>
              <w:rPr>
                <w:noProof/>
                <w:sz w:val="16"/>
              </w:rPr>
              <w:t xml:space="preserve">- în delegații </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Pr>
          <w:p>
            <w:pPr>
              <w:spacing w:beforeLines="20" w:before="48" w:afterLines="20" w:after="48"/>
              <w:ind w:left="136"/>
              <w:jc w:val="left"/>
              <w:rPr>
                <w:noProof/>
                <w:sz w:val="16"/>
                <w:szCs w:val="16"/>
              </w:rPr>
            </w:pPr>
            <w:r>
              <w:rPr>
                <w:noProof/>
                <w:sz w:val="16"/>
              </w:rPr>
              <w:t>Cercetare</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Borders>
              <w:bottom w:val="double" w:sz="4" w:space="0" w:color="auto"/>
            </w:tcBorders>
          </w:tcPr>
          <w:p>
            <w:pPr>
              <w:spacing w:beforeLines="20" w:before="48" w:afterLines="20" w:after="48"/>
              <w:ind w:left="134"/>
              <w:jc w:val="left"/>
              <w:rPr>
                <w:noProof/>
                <w:sz w:val="16"/>
                <w:szCs w:val="16"/>
              </w:rPr>
            </w:pPr>
            <w:r>
              <w:rPr>
                <w:noProof/>
                <w:sz w:val="16"/>
              </w:rPr>
              <w:t>Altele (a se preciza)</w:t>
            </w:r>
          </w:p>
        </w:tc>
        <w:tc>
          <w:tcPr>
            <w:tcW w:w="46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6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3"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6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27" w:type="pct"/>
            <w:tcBorders>
              <w:bottom w:val="double" w:sz="4" w:space="0" w:color="auto"/>
            </w:tcBorders>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Borders>
              <w:top w:val="double" w:sz="4" w:space="0" w:color="auto"/>
            </w:tcBorders>
          </w:tcPr>
          <w:p>
            <w:pPr>
              <w:spacing w:beforeLines="20" w:before="48" w:afterLines="20" w:after="48"/>
              <w:ind w:left="136"/>
              <w:jc w:val="left"/>
              <w:rPr>
                <w:noProof/>
                <w:sz w:val="16"/>
                <w:szCs w:val="16"/>
              </w:rPr>
            </w:pPr>
            <w:r>
              <w:rPr>
                <w:b/>
                <w:noProof/>
                <w:sz w:val="16"/>
              </w:rPr>
              <w:t>TOTAL</w:t>
            </w:r>
          </w:p>
        </w:tc>
        <w:tc>
          <w:tcPr>
            <w:tcW w:w="466"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6</w:t>
            </w:r>
          </w:p>
        </w:tc>
        <w:tc>
          <w:tcPr>
            <w:tcW w:w="534"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6</w:t>
            </w:r>
          </w:p>
        </w:tc>
        <w:tc>
          <w:tcPr>
            <w:tcW w:w="466"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6</w:t>
            </w:r>
          </w:p>
        </w:tc>
        <w:tc>
          <w:tcPr>
            <w:tcW w:w="534"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6</w:t>
            </w:r>
          </w:p>
        </w:tc>
        <w:tc>
          <w:tcPr>
            <w:tcW w:w="533"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6</w:t>
            </w:r>
          </w:p>
        </w:tc>
        <w:tc>
          <w:tcPr>
            <w:tcW w:w="46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6</w:t>
            </w:r>
          </w:p>
        </w:tc>
        <w:tc>
          <w:tcPr>
            <w:tcW w:w="527"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6</w:t>
            </w:r>
          </w:p>
        </w:tc>
      </w:tr>
    </w:tbl>
    <w:p>
      <w:pPr>
        <w:ind w:left="850"/>
        <w:rPr>
          <w:noProof/>
          <w:sz w:val="18"/>
          <w:szCs w:val="18"/>
        </w:rPr>
      </w:pPr>
      <w:r>
        <w:rPr>
          <w:noProof/>
          <w:sz w:val="18"/>
        </w:rPr>
        <w:t>Necesarul de resurse umane va fi asigurat din efectivele de personal ale DG-ului în cauză alocate deja pentru gestionarea acțiunii și/sau redistribuite intern în cadrul DG-ului, completate, după caz, cu resurse suplimentare ce ar putea fi acordate DG-ului care gestionează acțiunea în cadrul procedurii anuale de alocare și ținând seama de constrângerile bugetare.</w:t>
      </w:r>
    </w:p>
    <w:p>
      <w:pPr>
        <w:rPr>
          <w:rFonts w:eastAsia="Calibri"/>
          <w:noProof/>
          <w:sz w:val="20"/>
        </w:rPr>
      </w:pPr>
      <w:r>
        <w:rPr>
          <w:noProof/>
          <w:sz w:val="20"/>
        </w:rPr>
        <w:t>Descrierea sarcinilor care trebuie efectuate:</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tc>
          <w:tcPr>
            <w:tcW w:w="3240" w:type="dxa"/>
          </w:tcPr>
          <w:p>
            <w:pPr>
              <w:rPr>
                <w:rFonts w:eastAsia="Calibri"/>
                <w:noProof/>
                <w:sz w:val="20"/>
              </w:rPr>
            </w:pPr>
            <w:r>
              <w:rPr>
                <w:noProof/>
                <w:sz w:val="20"/>
              </w:rPr>
              <w:t>Funcționari și personal temporar</w:t>
            </w:r>
          </w:p>
        </w:tc>
        <w:tc>
          <w:tcPr>
            <w:tcW w:w="7392" w:type="dxa"/>
          </w:tcPr>
          <w:p>
            <w:pPr>
              <w:autoSpaceDE w:val="0"/>
              <w:autoSpaceDN w:val="0"/>
              <w:adjustRightInd w:val="0"/>
              <w:spacing w:before="0" w:after="0"/>
              <w:jc w:val="left"/>
              <w:rPr>
                <w:rFonts w:eastAsia="Calibri"/>
                <w:noProof/>
                <w:sz w:val="20"/>
              </w:rPr>
            </w:pPr>
            <w:r>
              <w:rPr>
                <w:noProof/>
                <w:sz w:val="20"/>
              </w:rPr>
              <w:t>- Pregătirea avizului Comisiei cu privire la documentul unic de programare;</w:t>
            </w:r>
          </w:p>
          <w:p>
            <w:pPr>
              <w:autoSpaceDE w:val="0"/>
              <w:autoSpaceDN w:val="0"/>
              <w:adjustRightInd w:val="0"/>
              <w:spacing w:before="0" w:after="0"/>
              <w:jc w:val="left"/>
              <w:rPr>
                <w:rFonts w:eastAsia="Calibri"/>
                <w:noProof/>
                <w:sz w:val="20"/>
              </w:rPr>
            </w:pPr>
            <w:r>
              <w:rPr>
                <w:noProof/>
                <w:sz w:val="20"/>
              </w:rPr>
              <w:t>- Pregătirea poziției observatorului Comisiei la reuniunile consiliului de conducere al EIT;</w:t>
            </w:r>
          </w:p>
          <w:p>
            <w:pPr>
              <w:autoSpaceDE w:val="0"/>
              <w:autoSpaceDN w:val="0"/>
              <w:adjustRightInd w:val="0"/>
              <w:spacing w:before="0" w:after="0"/>
              <w:jc w:val="left"/>
              <w:rPr>
                <w:rFonts w:eastAsia="Calibri"/>
                <w:noProof/>
                <w:sz w:val="20"/>
              </w:rPr>
            </w:pPr>
            <w:r>
              <w:rPr>
                <w:noProof/>
                <w:sz w:val="20"/>
              </w:rPr>
              <w:t>- Pregătirea deciziei Comisiei de numire a membrilor consiliului de conducere al EIT;</w:t>
            </w:r>
          </w:p>
          <w:p>
            <w:pPr>
              <w:autoSpaceDE w:val="0"/>
              <w:autoSpaceDN w:val="0"/>
              <w:adjustRightInd w:val="0"/>
              <w:spacing w:before="0" w:after="0"/>
              <w:jc w:val="left"/>
              <w:rPr>
                <w:rFonts w:eastAsia="Calibri"/>
                <w:noProof/>
                <w:sz w:val="20"/>
              </w:rPr>
            </w:pPr>
            <w:r>
              <w:rPr>
                <w:noProof/>
                <w:sz w:val="20"/>
              </w:rPr>
              <w:t>- Coordonarea generală cu alte servicii ale Comisiei și coordonarea și alinierea la alte inițiative ale UE, în special la programul Orizont Europa;</w:t>
            </w:r>
          </w:p>
          <w:p>
            <w:pPr>
              <w:autoSpaceDE w:val="0"/>
              <w:autoSpaceDN w:val="0"/>
              <w:adjustRightInd w:val="0"/>
              <w:spacing w:before="0" w:after="0"/>
              <w:jc w:val="left"/>
              <w:rPr>
                <w:rFonts w:eastAsia="Calibri"/>
                <w:noProof/>
                <w:sz w:val="20"/>
              </w:rPr>
            </w:pPr>
            <w:r>
              <w:rPr>
                <w:noProof/>
                <w:sz w:val="20"/>
              </w:rPr>
              <w:t>- Pregătirea poziției Comisiei în cadrul platformei părților interesate ale EIT;</w:t>
            </w:r>
          </w:p>
          <w:p>
            <w:pPr>
              <w:autoSpaceDE w:val="0"/>
              <w:autoSpaceDN w:val="0"/>
              <w:adjustRightInd w:val="0"/>
              <w:spacing w:before="0" w:after="0"/>
              <w:jc w:val="left"/>
              <w:rPr>
                <w:rFonts w:eastAsia="Calibri"/>
                <w:noProof/>
                <w:sz w:val="20"/>
              </w:rPr>
            </w:pPr>
            <w:r>
              <w:rPr>
                <w:noProof/>
                <w:sz w:val="20"/>
              </w:rPr>
              <w:t>- Pregătirea poziției Comisiei în cadrul „grupului de reprezentanți ai statelor membre”;</w:t>
            </w:r>
          </w:p>
          <w:p>
            <w:pPr>
              <w:autoSpaceDE w:val="0"/>
              <w:autoSpaceDN w:val="0"/>
              <w:adjustRightInd w:val="0"/>
              <w:spacing w:before="0" w:after="0"/>
              <w:jc w:val="left"/>
              <w:rPr>
                <w:rFonts w:eastAsia="Calibri"/>
                <w:noProof/>
                <w:sz w:val="20"/>
              </w:rPr>
            </w:pPr>
            <w:r>
              <w:rPr>
                <w:noProof/>
                <w:sz w:val="20"/>
              </w:rPr>
              <w:t>- Organizarea reuniunilor anuale între CCI-urile EIT și serviciile Comisiei;</w:t>
            </w:r>
          </w:p>
          <w:p>
            <w:pPr>
              <w:autoSpaceDE w:val="0"/>
              <w:autoSpaceDN w:val="0"/>
              <w:adjustRightInd w:val="0"/>
              <w:spacing w:before="0" w:after="0"/>
              <w:jc w:val="left"/>
              <w:rPr>
                <w:rFonts w:eastAsia="Calibri"/>
                <w:noProof/>
                <w:sz w:val="20"/>
              </w:rPr>
            </w:pPr>
            <w:r>
              <w:rPr>
                <w:noProof/>
                <w:sz w:val="20"/>
              </w:rPr>
              <w:t>- Acțiuni întreprinse ca urmare a cererilor de propuneri pentru noi CCI-uri;</w:t>
            </w:r>
          </w:p>
          <w:p>
            <w:pPr>
              <w:autoSpaceDE w:val="0"/>
              <w:autoSpaceDN w:val="0"/>
              <w:adjustRightInd w:val="0"/>
              <w:spacing w:before="0" w:after="0"/>
              <w:jc w:val="left"/>
              <w:rPr>
                <w:rFonts w:eastAsia="Calibri"/>
                <w:noProof/>
                <w:sz w:val="20"/>
              </w:rPr>
            </w:pPr>
            <w:r>
              <w:rPr>
                <w:noProof/>
                <w:sz w:val="20"/>
              </w:rPr>
              <w:t>- Monitorizarea și evaluarea EIT;</w:t>
            </w:r>
          </w:p>
          <w:p>
            <w:pPr>
              <w:autoSpaceDE w:val="0"/>
              <w:autoSpaceDN w:val="0"/>
              <w:adjustRightInd w:val="0"/>
              <w:spacing w:before="0" w:after="0"/>
              <w:jc w:val="left"/>
              <w:rPr>
                <w:rFonts w:eastAsia="Calibri"/>
                <w:noProof/>
                <w:sz w:val="20"/>
              </w:rPr>
            </w:pPr>
            <w:r>
              <w:rPr>
                <w:noProof/>
                <w:sz w:val="20"/>
              </w:rPr>
              <w:t>- Asigurarea conformității diplomelor cu eticheta EIT cu acțiunile întreprinse în contextul Spațiului învățământului superior;</w:t>
            </w:r>
          </w:p>
          <w:p>
            <w:pPr>
              <w:autoSpaceDE w:val="0"/>
              <w:autoSpaceDN w:val="0"/>
              <w:adjustRightInd w:val="0"/>
              <w:spacing w:before="0" w:after="0"/>
              <w:jc w:val="left"/>
              <w:rPr>
                <w:rFonts w:eastAsia="Calibri"/>
                <w:noProof/>
                <w:sz w:val="20"/>
              </w:rPr>
            </w:pPr>
            <w:r>
              <w:rPr>
                <w:noProof/>
                <w:sz w:val="20"/>
              </w:rPr>
              <w:t>- Sarcini legate de pregătirea proceselor Comisiei referitoare la ciclul de planificare strategică și de programare (RAA ...) și la gestionarea bugetului;</w:t>
            </w:r>
          </w:p>
          <w:p>
            <w:pPr>
              <w:autoSpaceDE w:val="0"/>
              <w:autoSpaceDN w:val="0"/>
              <w:adjustRightInd w:val="0"/>
              <w:spacing w:before="0" w:after="0"/>
              <w:jc w:val="left"/>
              <w:rPr>
                <w:rFonts w:eastAsia="Calibri"/>
                <w:noProof/>
                <w:sz w:val="20"/>
              </w:rPr>
            </w:pPr>
            <w:r>
              <w:rPr>
                <w:noProof/>
                <w:sz w:val="20"/>
              </w:rPr>
              <w:t>- Acțiuni întreprinse ca urmare a auditurilor efectuate de Structura de Audit Intern (IAC) și de Serviciul de Audit Intern (IAS), precum și de Curtea de Conturi Europeană (CCE).</w:t>
            </w:r>
          </w:p>
          <w:p>
            <w:pPr>
              <w:autoSpaceDE w:val="0"/>
              <w:autoSpaceDN w:val="0"/>
              <w:adjustRightInd w:val="0"/>
              <w:spacing w:before="0" w:after="0"/>
              <w:jc w:val="left"/>
              <w:rPr>
                <w:rFonts w:eastAsia="Calibri"/>
                <w:noProof/>
                <w:sz w:val="20"/>
              </w:rPr>
            </w:pPr>
          </w:p>
        </w:tc>
      </w:tr>
      <w:tr>
        <w:tc>
          <w:tcPr>
            <w:tcW w:w="3240" w:type="dxa"/>
          </w:tcPr>
          <w:p>
            <w:pPr>
              <w:spacing w:before="60" w:after="60"/>
              <w:rPr>
                <w:rFonts w:eastAsia="Calibri"/>
                <w:noProof/>
                <w:sz w:val="20"/>
              </w:rPr>
            </w:pPr>
            <w:r>
              <w:rPr>
                <w:noProof/>
                <w:sz w:val="20"/>
              </w:rPr>
              <w:t>Personal extern</w:t>
            </w:r>
          </w:p>
        </w:tc>
        <w:tc>
          <w:tcPr>
            <w:tcW w:w="7392" w:type="dxa"/>
          </w:tcPr>
          <w:p>
            <w:pPr>
              <w:autoSpaceDE w:val="0"/>
              <w:autoSpaceDN w:val="0"/>
              <w:adjustRightInd w:val="0"/>
              <w:spacing w:before="0" w:after="0"/>
              <w:jc w:val="left"/>
              <w:rPr>
                <w:rFonts w:eastAsia="Calibri"/>
                <w:noProof/>
                <w:sz w:val="20"/>
              </w:rPr>
            </w:pPr>
            <w:r>
              <w:rPr>
                <w:noProof/>
                <w:sz w:val="20"/>
              </w:rPr>
              <w:t>- Contribuție la pregătirea avizului Comisiei cu privire la documentul unic de programare;</w:t>
            </w:r>
          </w:p>
          <w:p>
            <w:pPr>
              <w:autoSpaceDE w:val="0"/>
              <w:autoSpaceDN w:val="0"/>
              <w:adjustRightInd w:val="0"/>
              <w:spacing w:before="0" w:after="0"/>
              <w:jc w:val="left"/>
              <w:rPr>
                <w:rFonts w:eastAsia="Calibri"/>
                <w:noProof/>
                <w:sz w:val="20"/>
              </w:rPr>
            </w:pPr>
            <w:r>
              <w:rPr>
                <w:noProof/>
                <w:sz w:val="20"/>
              </w:rPr>
              <w:t>- Contribuția la coordonarea generală cu alte servicii ale Comisiei și coordonarea și alinierea la alte inițiative ale UE, în special la programul Orizont Europa;</w:t>
            </w:r>
          </w:p>
          <w:p>
            <w:pPr>
              <w:autoSpaceDE w:val="0"/>
              <w:autoSpaceDN w:val="0"/>
              <w:adjustRightInd w:val="0"/>
              <w:spacing w:before="0" w:after="0"/>
              <w:jc w:val="left"/>
              <w:rPr>
                <w:rFonts w:eastAsia="Calibri"/>
                <w:noProof/>
                <w:sz w:val="20"/>
              </w:rPr>
            </w:pPr>
            <w:r>
              <w:rPr>
                <w:noProof/>
                <w:sz w:val="20"/>
              </w:rPr>
              <w:t>- Contribuția poziției Comisiei în cadrul platformei părților interesate ale EIT;</w:t>
            </w:r>
          </w:p>
          <w:p>
            <w:pPr>
              <w:autoSpaceDE w:val="0"/>
              <w:autoSpaceDN w:val="0"/>
              <w:adjustRightInd w:val="0"/>
              <w:spacing w:before="0" w:after="0"/>
              <w:jc w:val="left"/>
              <w:rPr>
                <w:rFonts w:eastAsia="Calibri"/>
                <w:noProof/>
                <w:sz w:val="20"/>
              </w:rPr>
            </w:pPr>
            <w:r>
              <w:rPr>
                <w:noProof/>
                <w:sz w:val="20"/>
              </w:rPr>
              <w:t>- Contribuția poziției Comisiei în cadrul „grupului de reprezentanți ai statelor membre”;</w:t>
            </w:r>
          </w:p>
          <w:p>
            <w:pPr>
              <w:autoSpaceDE w:val="0"/>
              <w:autoSpaceDN w:val="0"/>
              <w:adjustRightInd w:val="0"/>
              <w:spacing w:before="0" w:after="0"/>
              <w:jc w:val="left"/>
              <w:rPr>
                <w:rFonts w:eastAsia="Calibri"/>
                <w:noProof/>
                <w:sz w:val="20"/>
              </w:rPr>
            </w:pPr>
            <w:r>
              <w:rPr>
                <w:noProof/>
                <w:sz w:val="20"/>
              </w:rPr>
              <w:t>- Contribuția la organizarea reuniunilor anuale între CCI-urile EIT și serviciile Comisiei;</w:t>
            </w:r>
          </w:p>
          <w:p>
            <w:pPr>
              <w:autoSpaceDE w:val="0"/>
              <w:autoSpaceDN w:val="0"/>
              <w:adjustRightInd w:val="0"/>
              <w:spacing w:before="0" w:after="0"/>
              <w:jc w:val="left"/>
              <w:rPr>
                <w:rFonts w:eastAsia="Calibri"/>
                <w:noProof/>
                <w:sz w:val="20"/>
              </w:rPr>
            </w:pPr>
            <w:r>
              <w:rPr>
                <w:noProof/>
                <w:sz w:val="20"/>
              </w:rPr>
              <w:t>- Acțiuni întreprinse ca urmare a cererilor de propuneri pentru noi CCI-uri;</w:t>
            </w:r>
          </w:p>
          <w:p>
            <w:pPr>
              <w:autoSpaceDE w:val="0"/>
              <w:autoSpaceDN w:val="0"/>
              <w:adjustRightInd w:val="0"/>
              <w:spacing w:before="0" w:after="0"/>
              <w:jc w:val="left"/>
              <w:rPr>
                <w:rFonts w:eastAsia="Calibri"/>
                <w:noProof/>
                <w:sz w:val="20"/>
              </w:rPr>
            </w:pPr>
            <w:r>
              <w:rPr>
                <w:noProof/>
                <w:sz w:val="20"/>
              </w:rPr>
              <w:t>- Contribuția la asigurarea conformității diplomelor cu eticheta EIT cu acțiunile întreprinse în contextul Spațiului învățământului superior;</w:t>
            </w:r>
          </w:p>
          <w:p>
            <w:pPr>
              <w:autoSpaceDE w:val="0"/>
              <w:autoSpaceDN w:val="0"/>
              <w:adjustRightInd w:val="0"/>
              <w:spacing w:before="0" w:after="0"/>
              <w:jc w:val="left"/>
              <w:rPr>
                <w:rFonts w:eastAsia="Calibri"/>
                <w:noProof/>
                <w:sz w:val="20"/>
              </w:rPr>
            </w:pPr>
            <w:r>
              <w:rPr>
                <w:noProof/>
                <w:sz w:val="20"/>
              </w:rPr>
              <w:t>- Contribuția la pregătirea proceselor Comisiei referitoare la ciclul de planificare strategică și de programare (RAA) și la buget;</w:t>
            </w:r>
          </w:p>
          <w:p>
            <w:pPr>
              <w:autoSpaceDE w:val="0"/>
              <w:autoSpaceDN w:val="0"/>
              <w:adjustRightInd w:val="0"/>
              <w:spacing w:before="0" w:after="0"/>
              <w:jc w:val="left"/>
              <w:rPr>
                <w:rFonts w:eastAsia="Calibri"/>
                <w:noProof/>
                <w:sz w:val="20"/>
              </w:rPr>
            </w:pPr>
            <w:r>
              <w:rPr>
                <w:noProof/>
                <w:sz w:val="20"/>
              </w:rPr>
              <w:t>- Contribuția la acțiunile întreprinse ca urmare a auditurilor (IAC, IAS și CCE).</w:t>
            </w:r>
          </w:p>
          <w:p>
            <w:pPr>
              <w:rPr>
                <w:rFonts w:eastAsia="Calibri"/>
                <w:noProof/>
                <w:sz w:val="20"/>
              </w:rPr>
            </w:pPr>
          </w:p>
        </w:tc>
      </w:tr>
    </w:tbl>
    <w:p>
      <w:pPr>
        <w:keepNext/>
        <w:tabs>
          <w:tab w:val="num" w:pos="3118"/>
        </w:tabs>
        <w:ind w:left="851" w:hanging="851"/>
        <w:outlineLvl w:val="3"/>
        <w:rPr>
          <w:rFonts w:eastAsia="Calibri"/>
          <w:bCs/>
          <w:iCs/>
          <w:noProof/>
        </w:rPr>
      </w:pPr>
      <w:r>
        <w:rPr>
          <w:noProof/>
        </w:rPr>
        <w:t>3.2.2.2</w:t>
      </w:r>
      <w:r>
        <w:rPr>
          <w:noProof/>
        </w:rPr>
        <w:tab/>
        <w:t>Cerințe privind necesarul estimat de resurse umane în Institutul European de Inovare și Tehnologie (EIT)</w:t>
      </w:r>
    </w:p>
    <w:p>
      <w:pPr>
        <w:spacing w:after="60"/>
        <w:jc w:val="right"/>
        <w:rPr>
          <w:rFonts w:eastAsia="Calibri"/>
          <w:i/>
          <w:noProof/>
          <w:sz w:val="20"/>
        </w:rPr>
      </w:pPr>
      <w:r>
        <w:rPr>
          <w:i/>
          <w:noProof/>
          <w:sz w:val="20"/>
        </w:rPr>
        <w:t>Estimări în echivalent normă întreagă</w:t>
      </w:r>
    </w:p>
    <w:tbl>
      <w:tblPr>
        <w:tblW w:w="8599" w:type="dxa"/>
        <w:jc w:val="center"/>
        <w:tblCellMar>
          <w:left w:w="0" w:type="dxa"/>
          <w:right w:w="0" w:type="dxa"/>
        </w:tblCellMar>
        <w:tblLook w:val="04A0" w:firstRow="1" w:lastRow="0" w:firstColumn="1" w:lastColumn="0" w:noHBand="0" w:noVBand="1"/>
      </w:tblPr>
      <w:tblGrid>
        <w:gridCol w:w="2474"/>
        <w:gridCol w:w="875"/>
        <w:gridCol w:w="875"/>
        <w:gridCol w:w="875"/>
        <w:gridCol w:w="875"/>
        <w:gridCol w:w="875"/>
        <w:gridCol w:w="875"/>
        <w:gridCol w:w="875"/>
      </w:tblGrid>
      <w:tr>
        <w:trPr>
          <w:trHeight w:val="277"/>
          <w:jc w:val="center"/>
        </w:trPr>
        <w:tc>
          <w:tcPr>
            <w:tcW w:w="247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rPr>
            </w:pPr>
            <w:r>
              <w:rPr>
                <w:noProof/>
                <w:color w:val="000000"/>
              </w:rPr>
              <w:t>EIT (la Budapesta)</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2021</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2022</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2023</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2024</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2025</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2026</w:t>
            </w:r>
          </w:p>
        </w:tc>
        <w:tc>
          <w:tcPr>
            <w:tcW w:w="8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noProof/>
                <w:color w:val="000000"/>
                <w:sz w:val="20"/>
                <w:szCs w:val="20"/>
              </w:rPr>
            </w:pPr>
            <w:r>
              <w:rPr>
                <w:noProof/>
                <w:color w:val="000000"/>
                <w:sz w:val="20"/>
              </w:rPr>
              <w:t>2027</w:t>
            </w:r>
          </w:p>
        </w:tc>
      </w:tr>
      <w:tr>
        <w:trPr>
          <w:trHeight w:val="542"/>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rPr>
            </w:pPr>
            <w:r>
              <w:rPr>
                <w:noProof/>
                <w:color w:val="000000"/>
                <w:sz w:val="20"/>
              </w:rPr>
              <w:t>Funcționari ai Comisiei</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Cs w:val="24"/>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din care AD</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din care AST</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din care AST-SC</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rPr>
            </w:pPr>
            <w:r>
              <w:rPr>
                <w:noProof/>
                <w:color w:val="000000"/>
                <w:sz w:val="20"/>
              </w:rPr>
              <w:t>Agenți temporari</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Cs w:val="24"/>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din care AD</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40</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din care AST</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5</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right"/>
              <w:rPr>
                <w:rFonts w:eastAsia="Calibri"/>
                <w:noProof/>
                <w:color w:val="000000"/>
                <w:sz w:val="20"/>
                <w:szCs w:val="20"/>
              </w:rPr>
            </w:pPr>
            <w:r>
              <w:rPr>
                <w:noProof/>
                <w:color w:val="000000"/>
                <w:sz w:val="20"/>
              </w:rPr>
              <w:t>din care AST-SC</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rPr>
            </w:pPr>
            <w:r>
              <w:rPr>
                <w:noProof/>
                <w:color w:val="000000"/>
                <w:sz w:val="20"/>
              </w:rPr>
              <w:t>Agenți contractuali</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23</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rPr>
                <w:rFonts w:eastAsia="Calibri"/>
                <w:noProof/>
                <w:color w:val="000000"/>
                <w:sz w:val="20"/>
                <w:szCs w:val="20"/>
              </w:rPr>
            </w:pPr>
            <w:r>
              <w:rPr>
                <w:noProof/>
                <w:color w:val="000000"/>
                <w:sz w:val="20"/>
              </w:rPr>
              <w:t>Experți naționali detașați</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beforeLines="20" w:before="48" w:afterLines="20" w:after="48" w:line="276" w:lineRule="auto"/>
              <w:jc w:val="center"/>
              <w:rPr>
                <w:rFonts w:eastAsia="Calibri"/>
                <w:noProof/>
                <w:sz w:val="20"/>
                <w:szCs w:val="20"/>
              </w:rPr>
            </w:pPr>
            <w:r>
              <w:rPr>
                <w:noProof/>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noProof/>
                <w:color w:val="000000"/>
                <w:sz w:val="20"/>
                <w:szCs w:val="20"/>
              </w:rPr>
            </w:pPr>
            <w:r>
              <w:rPr>
                <w:noProof/>
                <w:color w:val="000000"/>
                <w:sz w:val="20"/>
              </w:rPr>
              <w:t>2</w:t>
            </w:r>
          </w:p>
        </w:tc>
      </w:tr>
      <w:tr>
        <w:trPr>
          <w:trHeight w:val="277"/>
          <w:jc w:val="center"/>
        </w:trPr>
        <w:tc>
          <w:tcPr>
            <w:tcW w:w="24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spacing w:line="276" w:lineRule="auto"/>
              <w:jc w:val="center"/>
              <w:rPr>
                <w:rFonts w:eastAsia="Calibri"/>
                <w:b/>
                <w:bCs/>
                <w:noProof/>
                <w:color w:val="000000"/>
                <w:sz w:val="20"/>
                <w:szCs w:val="20"/>
              </w:rPr>
            </w:pPr>
            <w:r>
              <w:rPr>
                <w:b/>
                <w:noProof/>
                <w:color w:val="000000"/>
                <w:sz w:val="20"/>
              </w:rPr>
              <w:t>Total</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c>
          <w:tcPr>
            <w:tcW w:w="875" w:type="dxa"/>
            <w:tcBorders>
              <w:top w:val="nil"/>
              <w:left w:val="nil"/>
              <w:bottom w:val="single" w:sz="8" w:space="0" w:color="auto"/>
              <w:right w:val="single" w:sz="8" w:space="0" w:color="auto"/>
            </w:tcBorders>
            <w:tcMar>
              <w:top w:w="0" w:type="dxa"/>
              <w:left w:w="108" w:type="dxa"/>
              <w:bottom w:w="0" w:type="dxa"/>
              <w:right w:w="108" w:type="dxa"/>
            </w:tcMar>
            <w:vAlign w:val="center"/>
          </w:tcPr>
          <w:p>
            <w:pPr>
              <w:spacing w:line="276" w:lineRule="auto"/>
              <w:jc w:val="center"/>
              <w:rPr>
                <w:rFonts w:eastAsia="Calibri"/>
                <w:b/>
                <w:bCs/>
                <w:noProof/>
                <w:color w:val="000000"/>
                <w:sz w:val="20"/>
                <w:szCs w:val="20"/>
              </w:rPr>
            </w:pPr>
            <w:r>
              <w:rPr>
                <w:b/>
                <w:noProof/>
                <w:color w:val="000000"/>
                <w:sz w:val="20"/>
              </w:rPr>
              <w:t>70</w:t>
            </w:r>
          </w:p>
        </w:tc>
      </w:tr>
    </w:tbl>
    <w:p>
      <w:pPr>
        <w:rPr>
          <w:rFonts w:eastAsia="Calibri"/>
          <w:noProof/>
          <w:sz w:val="20"/>
        </w:rPr>
      </w:pPr>
      <w:r>
        <w:rPr>
          <w:noProof/>
          <w:sz w:val="20"/>
        </w:rPr>
        <w:t>Descrierea sarcinilor care trebuie efectuate:</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tc>
          <w:tcPr>
            <w:tcW w:w="3240" w:type="dxa"/>
          </w:tcPr>
          <w:p>
            <w:pPr>
              <w:rPr>
                <w:rFonts w:eastAsia="Calibri"/>
                <w:noProof/>
                <w:sz w:val="20"/>
              </w:rPr>
            </w:pPr>
            <w:r>
              <w:rPr>
                <w:noProof/>
                <w:sz w:val="20"/>
              </w:rPr>
              <w:t>Funcționari și personal temporar</w:t>
            </w:r>
          </w:p>
        </w:tc>
        <w:tc>
          <w:tcPr>
            <w:tcW w:w="7392" w:type="dxa"/>
          </w:tcPr>
          <w:p>
            <w:pPr>
              <w:autoSpaceDE w:val="0"/>
              <w:autoSpaceDN w:val="0"/>
              <w:adjustRightInd w:val="0"/>
              <w:spacing w:before="0" w:after="0"/>
              <w:jc w:val="left"/>
              <w:rPr>
                <w:rFonts w:eastAsia="Calibri"/>
                <w:noProof/>
                <w:sz w:val="20"/>
              </w:rPr>
            </w:pPr>
            <w:r>
              <w:rPr>
                <w:noProof/>
                <w:sz w:val="20"/>
              </w:rPr>
              <w:t>- Bugetul EIT, planificare și raportare;</w:t>
            </w:r>
          </w:p>
          <w:p>
            <w:pPr>
              <w:autoSpaceDE w:val="0"/>
              <w:autoSpaceDN w:val="0"/>
              <w:adjustRightInd w:val="0"/>
              <w:spacing w:before="0" w:after="0"/>
              <w:jc w:val="left"/>
              <w:rPr>
                <w:rFonts w:eastAsia="Calibri"/>
                <w:noProof/>
                <w:sz w:val="20"/>
              </w:rPr>
            </w:pPr>
            <w:r>
              <w:rPr>
                <w:noProof/>
                <w:sz w:val="20"/>
              </w:rPr>
              <w:t>- Agenda de simplificare a EIT;</w:t>
            </w:r>
          </w:p>
          <w:p>
            <w:pPr>
              <w:autoSpaceDE w:val="0"/>
              <w:autoSpaceDN w:val="0"/>
              <w:adjustRightInd w:val="0"/>
              <w:spacing w:before="0" w:after="0"/>
              <w:jc w:val="left"/>
              <w:rPr>
                <w:rFonts w:eastAsia="Calibri"/>
                <w:noProof/>
                <w:sz w:val="20"/>
              </w:rPr>
            </w:pPr>
            <w:r>
              <w:rPr>
                <w:noProof/>
                <w:sz w:val="20"/>
              </w:rPr>
              <w:t>- Pregătirea noilor valuri de desemnare și selectare a CCI-urilor;</w:t>
            </w:r>
          </w:p>
          <w:p>
            <w:pPr>
              <w:autoSpaceDE w:val="0"/>
              <w:autoSpaceDN w:val="0"/>
              <w:adjustRightInd w:val="0"/>
              <w:spacing w:before="0" w:after="0"/>
              <w:jc w:val="left"/>
              <w:rPr>
                <w:rFonts w:eastAsia="Calibri"/>
                <w:noProof/>
                <w:sz w:val="20"/>
              </w:rPr>
            </w:pPr>
            <w:r>
              <w:rPr>
                <w:noProof/>
                <w:sz w:val="20"/>
              </w:rPr>
              <w:t>- Coordonarea și alinierea la alte inițiative ale UE, în special la programul Orizont Europa;</w:t>
            </w:r>
          </w:p>
          <w:p>
            <w:pPr>
              <w:autoSpaceDE w:val="0"/>
              <w:autoSpaceDN w:val="0"/>
              <w:adjustRightInd w:val="0"/>
              <w:spacing w:before="0" w:after="0"/>
              <w:jc w:val="left"/>
              <w:rPr>
                <w:rFonts w:eastAsia="Calibri"/>
                <w:noProof/>
                <w:sz w:val="20"/>
              </w:rPr>
            </w:pPr>
            <w:r>
              <w:rPr>
                <w:noProof/>
                <w:sz w:val="20"/>
              </w:rPr>
              <w:t>- Platforma părților interesate ale EIT;</w:t>
            </w:r>
          </w:p>
          <w:p>
            <w:pPr>
              <w:autoSpaceDE w:val="0"/>
              <w:autoSpaceDN w:val="0"/>
              <w:adjustRightInd w:val="0"/>
              <w:spacing w:before="0" w:after="0"/>
              <w:jc w:val="left"/>
              <w:rPr>
                <w:rFonts w:eastAsia="Calibri"/>
                <w:noProof/>
                <w:sz w:val="20"/>
              </w:rPr>
            </w:pPr>
            <w:r>
              <w:rPr>
                <w:noProof/>
                <w:sz w:val="20"/>
              </w:rPr>
              <w:t>- „Grupul de reprezentanți ai statelor membre”;</w:t>
            </w:r>
          </w:p>
          <w:p>
            <w:pPr>
              <w:autoSpaceDE w:val="0"/>
              <w:autoSpaceDN w:val="0"/>
              <w:adjustRightInd w:val="0"/>
              <w:spacing w:before="0" w:after="0"/>
              <w:jc w:val="left"/>
              <w:rPr>
                <w:rFonts w:eastAsia="Calibri"/>
                <w:noProof/>
                <w:sz w:val="20"/>
              </w:rPr>
            </w:pPr>
            <w:r>
              <w:rPr>
                <w:noProof/>
                <w:sz w:val="20"/>
              </w:rPr>
              <w:t>- Pregătirea reuniunilor consiliului de conducere al EIT și ale comitetului executiv al EIT;</w:t>
            </w:r>
          </w:p>
          <w:p>
            <w:pPr>
              <w:autoSpaceDE w:val="0"/>
              <w:autoSpaceDN w:val="0"/>
              <w:adjustRightInd w:val="0"/>
              <w:spacing w:before="0" w:after="0"/>
              <w:jc w:val="left"/>
              <w:rPr>
                <w:rFonts w:eastAsia="Calibri"/>
                <w:noProof/>
                <w:sz w:val="20"/>
              </w:rPr>
            </w:pPr>
            <w:r>
              <w:rPr>
                <w:noProof/>
                <w:sz w:val="20"/>
              </w:rPr>
              <w:t xml:space="preserve">- Organizarea de reuniuni și audieri între EIT și CCI-uri; </w:t>
            </w:r>
          </w:p>
          <w:p>
            <w:pPr>
              <w:autoSpaceDE w:val="0"/>
              <w:autoSpaceDN w:val="0"/>
              <w:adjustRightInd w:val="0"/>
              <w:spacing w:before="0" w:after="0"/>
              <w:jc w:val="left"/>
              <w:rPr>
                <w:rFonts w:eastAsia="Calibri"/>
                <w:noProof/>
                <w:sz w:val="20"/>
              </w:rPr>
            </w:pPr>
            <w:r>
              <w:rPr>
                <w:noProof/>
                <w:sz w:val="20"/>
              </w:rPr>
              <w:t xml:space="preserve">- Consolidarea CCI-urilor existente; </w:t>
            </w:r>
          </w:p>
          <w:p>
            <w:pPr>
              <w:autoSpaceDE w:val="0"/>
              <w:autoSpaceDN w:val="0"/>
              <w:adjustRightInd w:val="0"/>
              <w:spacing w:before="0" w:after="0"/>
              <w:jc w:val="left"/>
              <w:rPr>
                <w:rFonts w:eastAsia="Calibri"/>
                <w:noProof/>
                <w:sz w:val="20"/>
              </w:rPr>
            </w:pPr>
            <w:r>
              <w:rPr>
                <w:noProof/>
                <w:sz w:val="20"/>
              </w:rPr>
              <w:t xml:space="preserve">- Monitorizarea și evaluarea CCI-urilor și a activităților coordonate de EIT; </w:t>
            </w:r>
          </w:p>
          <w:p>
            <w:pPr>
              <w:autoSpaceDE w:val="0"/>
              <w:autoSpaceDN w:val="0"/>
              <w:adjustRightInd w:val="0"/>
              <w:spacing w:before="0" w:after="0"/>
              <w:jc w:val="left"/>
              <w:rPr>
                <w:rFonts w:eastAsia="Calibri"/>
                <w:noProof/>
                <w:sz w:val="20"/>
              </w:rPr>
            </w:pPr>
            <w:r>
              <w:rPr>
                <w:noProof/>
                <w:sz w:val="20"/>
              </w:rPr>
              <w:t>- Impactul EIT prin schimb de cunoștințe, diseminare, comunicare și expunere internațională;</w:t>
            </w:r>
          </w:p>
          <w:p>
            <w:pPr>
              <w:autoSpaceDE w:val="0"/>
              <w:autoSpaceDN w:val="0"/>
              <w:adjustRightInd w:val="0"/>
              <w:spacing w:before="0" w:after="0"/>
              <w:jc w:val="left"/>
              <w:rPr>
                <w:rFonts w:eastAsia="Calibri"/>
                <w:noProof/>
                <w:sz w:val="20"/>
              </w:rPr>
            </w:pPr>
            <w:r>
              <w:rPr>
                <w:noProof/>
                <w:sz w:val="20"/>
              </w:rPr>
              <w:t>- Conceperea și gestionarea activităților coordonate de EIT;</w:t>
            </w:r>
          </w:p>
          <w:p>
            <w:pPr>
              <w:autoSpaceDE w:val="0"/>
              <w:autoSpaceDN w:val="0"/>
              <w:adjustRightInd w:val="0"/>
              <w:spacing w:before="0" w:after="0"/>
              <w:jc w:val="left"/>
              <w:rPr>
                <w:rFonts w:eastAsia="Calibri"/>
                <w:noProof/>
                <w:sz w:val="20"/>
              </w:rPr>
            </w:pPr>
            <w:r>
              <w:rPr>
                <w:noProof/>
                <w:sz w:val="20"/>
              </w:rPr>
              <w:t>- Promovarea cooperării și a sinergiilor între CCI-uri;</w:t>
            </w:r>
          </w:p>
          <w:p>
            <w:pPr>
              <w:autoSpaceDE w:val="0"/>
              <w:autoSpaceDN w:val="0"/>
              <w:adjustRightInd w:val="0"/>
              <w:spacing w:before="0" w:after="0"/>
              <w:jc w:val="left"/>
              <w:rPr>
                <w:rFonts w:eastAsia="Calibri"/>
                <w:noProof/>
                <w:sz w:val="20"/>
              </w:rPr>
            </w:pPr>
            <w:r>
              <w:rPr>
                <w:noProof/>
                <w:sz w:val="20"/>
              </w:rPr>
              <w:t>- Conceperea și coordonarea activităților de învățământ întreprinse de CCI-uri;</w:t>
            </w:r>
          </w:p>
          <w:p>
            <w:pPr>
              <w:autoSpaceDE w:val="0"/>
              <w:autoSpaceDN w:val="0"/>
              <w:adjustRightInd w:val="0"/>
              <w:spacing w:before="0" w:after="0"/>
              <w:jc w:val="left"/>
              <w:rPr>
                <w:rFonts w:eastAsia="Calibri"/>
                <w:noProof/>
                <w:sz w:val="20"/>
              </w:rPr>
            </w:pPr>
            <w:r>
              <w:rPr>
                <w:noProof/>
                <w:sz w:val="20"/>
              </w:rPr>
              <w:t>- Implementarea comunicării EIT;</w:t>
            </w:r>
          </w:p>
          <w:p>
            <w:pPr>
              <w:autoSpaceDE w:val="0"/>
              <w:autoSpaceDN w:val="0"/>
              <w:adjustRightInd w:val="0"/>
              <w:spacing w:before="0" w:after="0"/>
              <w:jc w:val="left"/>
              <w:rPr>
                <w:rFonts w:eastAsia="Calibri"/>
                <w:noProof/>
                <w:sz w:val="20"/>
              </w:rPr>
            </w:pPr>
            <w:r>
              <w:rPr>
                <w:noProof/>
                <w:sz w:val="20"/>
              </w:rPr>
              <w:t>- Lansarea și monitorizarea cererilor de propuneri pentru CCI-uri;</w:t>
            </w:r>
          </w:p>
          <w:p>
            <w:pPr>
              <w:autoSpaceDE w:val="0"/>
              <w:autoSpaceDN w:val="0"/>
              <w:adjustRightInd w:val="0"/>
              <w:spacing w:before="0" w:after="0"/>
              <w:jc w:val="left"/>
              <w:rPr>
                <w:rFonts w:eastAsia="Calibri"/>
                <w:noProof/>
                <w:sz w:val="20"/>
              </w:rPr>
            </w:pPr>
            <w:r>
              <w:rPr>
                <w:noProof/>
                <w:sz w:val="20"/>
              </w:rPr>
              <w:t>- Gestionarea auditurilor (serviciul de audit intern, structura de audit intern și Curtea de Conturi Europeană).</w:t>
            </w:r>
          </w:p>
          <w:p>
            <w:pPr>
              <w:autoSpaceDE w:val="0"/>
              <w:autoSpaceDN w:val="0"/>
              <w:adjustRightInd w:val="0"/>
              <w:spacing w:before="0" w:after="0"/>
              <w:jc w:val="left"/>
              <w:rPr>
                <w:rFonts w:eastAsia="Calibri"/>
                <w:noProof/>
                <w:sz w:val="20"/>
              </w:rPr>
            </w:pPr>
          </w:p>
        </w:tc>
      </w:tr>
      <w:tr>
        <w:tc>
          <w:tcPr>
            <w:tcW w:w="3240" w:type="dxa"/>
          </w:tcPr>
          <w:p>
            <w:pPr>
              <w:spacing w:before="60" w:after="60"/>
              <w:rPr>
                <w:rFonts w:eastAsia="Calibri"/>
                <w:noProof/>
                <w:sz w:val="20"/>
              </w:rPr>
            </w:pPr>
            <w:r>
              <w:rPr>
                <w:noProof/>
                <w:sz w:val="20"/>
              </w:rPr>
              <w:t>Personal extern</w:t>
            </w:r>
          </w:p>
        </w:tc>
        <w:tc>
          <w:tcPr>
            <w:tcW w:w="7392" w:type="dxa"/>
          </w:tcPr>
          <w:p>
            <w:pPr>
              <w:autoSpaceDE w:val="0"/>
              <w:autoSpaceDN w:val="0"/>
              <w:adjustRightInd w:val="0"/>
              <w:spacing w:before="0" w:after="0"/>
              <w:jc w:val="left"/>
              <w:rPr>
                <w:rFonts w:eastAsia="Calibri"/>
                <w:noProof/>
                <w:sz w:val="20"/>
              </w:rPr>
            </w:pPr>
            <w:r>
              <w:rPr>
                <w:noProof/>
                <w:sz w:val="20"/>
              </w:rPr>
              <w:t xml:space="preserve">- Contribuția la pregătirea noilor valuri de desemnare și selectare a unor noi CCI-uri; </w:t>
            </w:r>
          </w:p>
          <w:p>
            <w:pPr>
              <w:autoSpaceDE w:val="0"/>
              <w:autoSpaceDN w:val="0"/>
              <w:adjustRightInd w:val="0"/>
              <w:spacing w:before="0" w:after="0"/>
              <w:jc w:val="left"/>
              <w:rPr>
                <w:rFonts w:eastAsia="Calibri"/>
                <w:noProof/>
                <w:sz w:val="20"/>
              </w:rPr>
            </w:pPr>
            <w:r>
              <w:rPr>
                <w:noProof/>
                <w:sz w:val="20"/>
              </w:rPr>
              <w:t xml:space="preserve">- Contribuția la agenda antreprenorială și de educație a EIT; </w:t>
            </w:r>
          </w:p>
          <w:p>
            <w:pPr>
              <w:autoSpaceDE w:val="0"/>
              <w:autoSpaceDN w:val="0"/>
              <w:adjustRightInd w:val="0"/>
              <w:spacing w:before="0" w:after="0"/>
              <w:jc w:val="left"/>
              <w:rPr>
                <w:rFonts w:eastAsia="Calibri"/>
                <w:noProof/>
                <w:sz w:val="20"/>
              </w:rPr>
            </w:pPr>
            <w:r>
              <w:rPr>
                <w:noProof/>
                <w:sz w:val="20"/>
              </w:rPr>
              <w:t>- Contribuția la platforma părților interesate ale EIT;</w:t>
            </w:r>
          </w:p>
          <w:p>
            <w:pPr>
              <w:autoSpaceDE w:val="0"/>
              <w:autoSpaceDN w:val="0"/>
              <w:adjustRightInd w:val="0"/>
              <w:spacing w:before="0" w:after="0"/>
              <w:jc w:val="left"/>
              <w:rPr>
                <w:rFonts w:eastAsia="Calibri"/>
                <w:noProof/>
                <w:sz w:val="20"/>
              </w:rPr>
            </w:pPr>
            <w:r>
              <w:rPr>
                <w:noProof/>
                <w:sz w:val="20"/>
              </w:rPr>
              <w:t>- Contribuția la „grupul de reprezentanți ai statelor membre”;</w:t>
            </w:r>
          </w:p>
          <w:p>
            <w:pPr>
              <w:autoSpaceDE w:val="0"/>
              <w:autoSpaceDN w:val="0"/>
              <w:adjustRightInd w:val="0"/>
              <w:spacing w:before="0" w:after="0"/>
              <w:jc w:val="left"/>
              <w:rPr>
                <w:rFonts w:eastAsia="Calibri"/>
                <w:noProof/>
                <w:sz w:val="20"/>
              </w:rPr>
            </w:pPr>
            <w:r>
              <w:rPr>
                <w:noProof/>
                <w:sz w:val="20"/>
              </w:rPr>
              <w:t>- Contribuția la pregătirea reuniunilor consiliului de conducere al EIT și ale comitetului executiv al EIT;</w:t>
            </w:r>
          </w:p>
          <w:p>
            <w:pPr>
              <w:autoSpaceDE w:val="0"/>
              <w:autoSpaceDN w:val="0"/>
              <w:adjustRightInd w:val="0"/>
              <w:spacing w:before="0" w:after="0"/>
              <w:jc w:val="left"/>
              <w:rPr>
                <w:rFonts w:eastAsia="Calibri"/>
                <w:noProof/>
                <w:sz w:val="20"/>
              </w:rPr>
            </w:pPr>
            <w:r>
              <w:rPr>
                <w:noProof/>
                <w:sz w:val="20"/>
              </w:rPr>
              <w:t>- Contribuția la asigurarea conformității diplomelor cu eticheta EIT cu acțiunile întreprinse în contextul Spațiului învățământului superior;</w:t>
            </w:r>
          </w:p>
          <w:p>
            <w:pPr>
              <w:autoSpaceDE w:val="0"/>
              <w:autoSpaceDN w:val="0"/>
              <w:adjustRightInd w:val="0"/>
              <w:spacing w:before="0" w:after="0"/>
              <w:jc w:val="left"/>
              <w:rPr>
                <w:rFonts w:eastAsia="Calibri"/>
                <w:noProof/>
                <w:sz w:val="20"/>
              </w:rPr>
            </w:pPr>
            <w:r>
              <w:rPr>
                <w:noProof/>
                <w:sz w:val="20"/>
              </w:rPr>
              <w:t>- Contribuția la implementarea comunicării EIT;- Contribuția la gestionarea activităților coordonate de EIT;</w:t>
            </w:r>
          </w:p>
          <w:p>
            <w:pPr>
              <w:autoSpaceDE w:val="0"/>
              <w:autoSpaceDN w:val="0"/>
              <w:adjustRightInd w:val="0"/>
              <w:spacing w:before="0" w:after="0"/>
              <w:jc w:val="left"/>
              <w:rPr>
                <w:rFonts w:eastAsia="Calibri"/>
                <w:noProof/>
                <w:sz w:val="20"/>
              </w:rPr>
            </w:pPr>
            <w:r>
              <w:rPr>
                <w:noProof/>
                <w:sz w:val="20"/>
              </w:rPr>
              <w:t>- Contribuția la monitorizarea și evaluarea CCI-urilor și a activităților coordonate de EIT.</w:t>
            </w:r>
          </w:p>
          <w:p>
            <w:pPr>
              <w:autoSpaceDE w:val="0"/>
              <w:autoSpaceDN w:val="0"/>
              <w:adjustRightInd w:val="0"/>
              <w:spacing w:before="0" w:after="0"/>
              <w:jc w:val="left"/>
              <w:rPr>
                <w:rFonts w:eastAsia="Calibri"/>
                <w:noProof/>
                <w:sz w:val="20"/>
              </w:rPr>
            </w:pPr>
          </w:p>
        </w:tc>
      </w:tr>
    </w:tbl>
    <w:p>
      <w:pPr>
        <w:rPr>
          <w:rFonts w:eastAsia="Calibri"/>
          <w:noProof/>
        </w:rPr>
        <w:sectPr>
          <w:headerReference w:type="default" r:id="rId26"/>
          <w:footerReference w:type="default" r:id="rId27"/>
          <w:headerReference w:type="first" r:id="rId28"/>
          <w:footerReference w:type="first" r:id="rId29"/>
          <w:pgSz w:w="11907" w:h="16840"/>
          <w:pgMar w:top="1134" w:right="1418" w:bottom="1134" w:left="1418" w:header="709" w:footer="709" w:gutter="0"/>
          <w:cols w:space="708"/>
          <w:docGrid w:linePitch="360"/>
        </w:sectPr>
      </w:pPr>
    </w:p>
    <w:p>
      <w:pPr>
        <w:keepNext/>
        <w:outlineLvl w:val="2"/>
        <w:rPr>
          <w:rFonts w:eastAsia="Calibri"/>
          <w:i/>
          <w:noProof/>
          <w:szCs w:val="24"/>
        </w:rPr>
      </w:pPr>
      <w:r>
        <w:rPr>
          <w:i/>
          <w:noProof/>
        </w:rPr>
        <w:t>3.2.3.</w:t>
      </w:r>
      <w:r>
        <w:rPr>
          <w:noProof/>
        </w:rPr>
        <w:tab/>
      </w:r>
      <w:r>
        <w:rPr>
          <w:i/>
          <w:noProof/>
        </w:rPr>
        <w:t>Contribuțiile terților</w:t>
      </w:r>
      <w:r>
        <w:rPr>
          <w:noProof/>
          <w:sz w:val="16"/>
        </w:rPr>
        <w:t xml:space="preserve"> </w:t>
      </w:r>
    </w:p>
    <w:p>
      <w:pPr>
        <w:ind w:left="850"/>
        <w:rPr>
          <w:noProof/>
        </w:rPr>
      </w:pPr>
      <w:r>
        <w:rPr>
          <w:noProof/>
        </w:rPr>
        <w:t>Propunerea/inițiativa:</w:t>
      </w:r>
    </w:p>
    <w:p>
      <w:pPr>
        <w:tabs>
          <w:tab w:val="num" w:pos="1134"/>
        </w:tabs>
        <w:ind w:left="1134" w:hanging="283"/>
        <w:rPr>
          <w:noProof/>
        </w:rPr>
      </w:pPr>
      <w:r>
        <w:rPr>
          <w:noProof/>
        </w:rPr>
        <w:sym w:font="Wingdings" w:char="F0A8"/>
      </w:r>
      <w:r>
        <w:rPr>
          <w:noProof/>
        </w:rPr>
        <w:tab/>
        <w:t>nu prevede cofinanțare din partea terților</w:t>
      </w:r>
    </w:p>
    <w:p>
      <w:pPr>
        <w:tabs>
          <w:tab w:val="num" w:pos="1134"/>
        </w:tabs>
        <w:ind w:left="1134" w:hanging="283"/>
        <w:rPr>
          <w:noProof/>
        </w:rPr>
      </w:pPr>
      <w:r>
        <w:rPr>
          <w:noProof/>
        </w:rPr>
        <w:t xml:space="preserve"> X prevede cofinanțare din partea terților, estimată mai jos:</w:t>
      </w:r>
    </w:p>
    <w:p>
      <w:pPr>
        <w:jc w:val="right"/>
        <w:rPr>
          <w:noProof/>
          <w:sz w:val="20"/>
        </w:rPr>
      </w:pPr>
      <w:r>
        <w:rPr>
          <w:noProof/>
          <w:sz w:val="20"/>
        </w:rPr>
        <w:t>Credite în milioane EUR (cu trei zecimale)</w:t>
      </w:r>
    </w:p>
    <w:tbl>
      <w:tblPr>
        <w:tblW w:w="102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jc w:val="center"/>
        </w:trPr>
        <w:tc>
          <w:tcPr>
            <w:tcW w:w="2340" w:type="dxa"/>
            <w:vAlign w:val="center"/>
          </w:tcPr>
          <w:p>
            <w:pPr>
              <w:spacing w:before="60" w:after="60"/>
              <w:jc w:val="center"/>
              <w:rPr>
                <w:b/>
                <w:noProof/>
                <w:sz w:val="20"/>
              </w:rPr>
            </w:pPr>
            <w:r>
              <w:rPr>
                <w:b/>
                <w:noProof/>
                <w:sz w:val="20"/>
              </w:rPr>
              <w:t>Ani</w:t>
            </w:r>
          </w:p>
        </w:tc>
        <w:tc>
          <w:tcPr>
            <w:tcW w:w="964" w:type="dxa"/>
            <w:vAlign w:val="center"/>
          </w:tcPr>
          <w:p>
            <w:pPr>
              <w:jc w:val="center"/>
              <w:rPr>
                <w:noProof/>
                <w:sz w:val="20"/>
              </w:rPr>
            </w:pPr>
            <w:r>
              <w:rPr>
                <w:b/>
                <w:noProof/>
                <w:sz w:val="20"/>
              </w:rPr>
              <w:t>2021</w:t>
            </w:r>
          </w:p>
        </w:tc>
        <w:tc>
          <w:tcPr>
            <w:tcW w:w="964" w:type="dxa"/>
            <w:vAlign w:val="center"/>
          </w:tcPr>
          <w:p>
            <w:pPr>
              <w:jc w:val="center"/>
              <w:rPr>
                <w:b/>
                <w:noProof/>
                <w:sz w:val="20"/>
              </w:rPr>
            </w:pPr>
            <w:r>
              <w:rPr>
                <w:b/>
                <w:noProof/>
                <w:sz w:val="20"/>
              </w:rPr>
              <w:t>2022</w:t>
            </w:r>
          </w:p>
        </w:tc>
        <w:tc>
          <w:tcPr>
            <w:tcW w:w="964" w:type="dxa"/>
            <w:vAlign w:val="center"/>
          </w:tcPr>
          <w:p>
            <w:pPr>
              <w:jc w:val="center"/>
              <w:rPr>
                <w:b/>
                <w:noProof/>
                <w:sz w:val="20"/>
              </w:rPr>
            </w:pPr>
            <w:r>
              <w:rPr>
                <w:b/>
                <w:noProof/>
                <w:sz w:val="20"/>
              </w:rPr>
              <w:t>2023</w:t>
            </w:r>
          </w:p>
        </w:tc>
        <w:tc>
          <w:tcPr>
            <w:tcW w:w="964" w:type="dxa"/>
            <w:vAlign w:val="center"/>
          </w:tcPr>
          <w:p>
            <w:pPr>
              <w:jc w:val="center"/>
              <w:rPr>
                <w:b/>
                <w:noProof/>
                <w:sz w:val="20"/>
              </w:rPr>
            </w:pPr>
            <w:r>
              <w:rPr>
                <w:b/>
                <w:noProof/>
                <w:sz w:val="20"/>
              </w:rPr>
              <w:t>2024</w:t>
            </w:r>
          </w:p>
        </w:tc>
        <w:tc>
          <w:tcPr>
            <w:tcW w:w="964" w:type="dxa"/>
            <w:vAlign w:val="center"/>
          </w:tcPr>
          <w:p>
            <w:pPr>
              <w:jc w:val="center"/>
              <w:rPr>
                <w:b/>
                <w:noProof/>
                <w:sz w:val="20"/>
              </w:rPr>
            </w:pPr>
            <w:r>
              <w:rPr>
                <w:b/>
                <w:noProof/>
                <w:sz w:val="20"/>
              </w:rPr>
              <w:t>2025</w:t>
            </w:r>
          </w:p>
        </w:tc>
        <w:tc>
          <w:tcPr>
            <w:tcW w:w="964" w:type="dxa"/>
            <w:vAlign w:val="center"/>
          </w:tcPr>
          <w:p>
            <w:pPr>
              <w:jc w:val="center"/>
              <w:rPr>
                <w:b/>
                <w:noProof/>
                <w:sz w:val="20"/>
              </w:rPr>
            </w:pPr>
            <w:r>
              <w:rPr>
                <w:b/>
                <w:noProof/>
                <w:sz w:val="20"/>
              </w:rPr>
              <w:t>2026</w:t>
            </w:r>
          </w:p>
        </w:tc>
        <w:tc>
          <w:tcPr>
            <w:tcW w:w="964" w:type="dxa"/>
            <w:vAlign w:val="center"/>
          </w:tcPr>
          <w:p>
            <w:pPr>
              <w:jc w:val="center"/>
              <w:rPr>
                <w:b/>
                <w:noProof/>
                <w:sz w:val="20"/>
              </w:rPr>
            </w:pPr>
            <w:r>
              <w:rPr>
                <w:b/>
                <w:noProof/>
                <w:sz w:val="20"/>
              </w:rPr>
              <w:t>2027</w:t>
            </w:r>
          </w:p>
        </w:tc>
        <w:tc>
          <w:tcPr>
            <w:tcW w:w="1158" w:type="dxa"/>
            <w:vAlign w:val="center"/>
          </w:tcPr>
          <w:p>
            <w:pPr>
              <w:spacing w:before="60" w:after="60"/>
              <w:jc w:val="center"/>
              <w:rPr>
                <w:b/>
                <w:noProof/>
                <w:sz w:val="20"/>
              </w:rPr>
            </w:pPr>
            <w:r>
              <w:rPr>
                <w:b/>
                <w:noProof/>
                <w:sz w:val="20"/>
              </w:rPr>
              <w:t>TOTAL</w:t>
            </w:r>
          </w:p>
        </w:tc>
      </w:tr>
      <w:tr>
        <w:trPr>
          <w:cantSplit/>
          <w:jc w:val="center"/>
        </w:trPr>
        <w:tc>
          <w:tcPr>
            <w:tcW w:w="2340" w:type="dxa"/>
          </w:tcPr>
          <w:p>
            <w:pPr>
              <w:rPr>
                <w:noProof/>
              </w:rPr>
            </w:pPr>
            <w:r>
              <w:rPr>
                <w:noProof/>
                <w:sz w:val="20"/>
              </w:rPr>
              <w:t>A se preciza organismul care asigură cofinanțarea</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jc w:val="center"/>
        </w:trPr>
        <w:tc>
          <w:tcPr>
            <w:tcW w:w="2340" w:type="dxa"/>
          </w:tcPr>
          <w:p>
            <w:pPr>
              <w:spacing w:before="60" w:after="60"/>
              <w:jc w:val="left"/>
              <w:rPr>
                <w:noProof/>
                <w:sz w:val="20"/>
              </w:rPr>
            </w:pPr>
            <w:r>
              <w:rPr>
                <w:noProof/>
                <w:sz w:val="20"/>
              </w:rPr>
              <w:t>TOTAL credite cofinanțate</w:t>
            </w:r>
            <w:r>
              <w:rPr>
                <w:rStyle w:val="FootnoteReference"/>
                <w:noProof/>
                <w:sz w:val="20"/>
              </w:rPr>
              <w:footnoteReference w:id="20"/>
            </w:r>
            <w:r>
              <w:rPr>
                <w:noProof/>
                <w:sz w:val="20"/>
              </w:rPr>
              <w:t xml:space="preserve"> </w:t>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964" w:type="dxa"/>
            <w:vAlign w:val="center"/>
          </w:tcPr>
          <w:p>
            <w:pPr>
              <w:spacing w:before="60" w:after="60"/>
              <w:jc w:val="center"/>
              <w:rPr>
                <w:noProof/>
                <w:sz w:val="20"/>
              </w:rPr>
            </w:pPr>
            <w:r>
              <w:rPr>
                <w:noProof/>
                <w:sz w:val="20"/>
              </w:rPr>
              <w:t>p.m.</w:t>
            </w:r>
          </w:p>
        </w:tc>
        <w:tc>
          <w:tcPr>
            <w:tcW w:w="1158" w:type="dxa"/>
            <w:vAlign w:val="center"/>
          </w:tcPr>
          <w:p>
            <w:pPr>
              <w:spacing w:before="60" w:after="60"/>
              <w:jc w:val="center"/>
              <w:rPr>
                <w:noProof/>
                <w:sz w:val="20"/>
              </w:rPr>
            </w:pPr>
            <w:r>
              <w:rPr>
                <w:noProof/>
                <w:sz w:val="20"/>
              </w:rPr>
              <w:t>p.m.</w:t>
            </w:r>
          </w:p>
        </w:tc>
      </w:tr>
    </w:tbl>
    <w:p>
      <w:pPr>
        <w:rPr>
          <w:noProof/>
        </w:rPr>
      </w:pPr>
    </w:p>
    <w:p>
      <w:pPr>
        <w:keepNext/>
        <w:outlineLvl w:val="1"/>
        <w:rPr>
          <w:b/>
          <w:noProof/>
          <w:szCs w:val="24"/>
        </w:rPr>
      </w:pPr>
      <w:r>
        <w:rPr>
          <w:b/>
          <w:noProof/>
        </w:rPr>
        <w:t>3.3.</w:t>
      </w:r>
      <w:r>
        <w:rPr>
          <w:noProof/>
        </w:rPr>
        <w:tab/>
      </w:r>
      <w:r>
        <w:rPr>
          <w:b/>
          <w:noProof/>
        </w:rPr>
        <w:t>Impactul estimat asupra veniturilor</w:t>
      </w:r>
      <w:r>
        <w:rPr>
          <w:noProof/>
          <w:sz w:val="16"/>
        </w:rPr>
        <w:t xml:space="preserve"> </w:t>
      </w:r>
    </w:p>
    <w:p>
      <w:pPr>
        <w:tabs>
          <w:tab w:val="num" w:pos="1134"/>
        </w:tabs>
        <w:ind w:left="1134" w:hanging="283"/>
        <w:rPr>
          <w:noProof/>
        </w:rPr>
      </w:pPr>
      <w:r>
        <w:rPr>
          <w:noProof/>
        </w:rPr>
        <w:sym w:font="Wingdings" w:char="F0A8"/>
      </w:r>
      <w:r>
        <w:rPr>
          <w:noProof/>
        </w:rPr>
        <w:tab/>
        <w:t>Propunerea/inițiativa nu are impact financiar asupra veniturilor.</w:t>
      </w:r>
    </w:p>
    <w:p>
      <w:pPr>
        <w:tabs>
          <w:tab w:val="num" w:pos="1134"/>
        </w:tabs>
        <w:ind w:left="1134" w:hanging="283"/>
        <w:rPr>
          <w:noProof/>
        </w:rPr>
      </w:pPr>
      <w:r>
        <w:rPr>
          <w:noProof/>
        </w:rPr>
        <w:t>X</w:t>
      </w:r>
      <w:r>
        <w:rPr>
          <w:noProof/>
        </w:rPr>
        <w:tab/>
        <w:t>Propunerea/inițiativa are următorul impact financiar:</w:t>
      </w:r>
    </w:p>
    <w:p>
      <w:pPr>
        <w:numPr>
          <w:ilvl w:val="2"/>
          <w:numId w:val="0"/>
        </w:numPr>
        <w:tabs>
          <w:tab w:val="num" w:pos="2126"/>
        </w:tabs>
        <w:ind w:left="2126" w:hanging="709"/>
        <w:rPr>
          <w:noProof/>
        </w:rPr>
      </w:pPr>
      <w:r>
        <w:rPr>
          <w:noProof/>
        </w:rPr>
        <w:sym w:font="Wingdings" w:char="F0A8"/>
      </w:r>
      <w:r>
        <w:rPr>
          <w:noProof/>
        </w:rPr>
        <w:tab/>
        <w:t xml:space="preserve">asupra resurselor proprii </w:t>
      </w:r>
    </w:p>
    <w:p>
      <w:pPr>
        <w:numPr>
          <w:ilvl w:val="2"/>
          <w:numId w:val="0"/>
        </w:numPr>
        <w:tabs>
          <w:tab w:val="num" w:pos="2126"/>
        </w:tabs>
        <w:ind w:left="2126" w:hanging="709"/>
        <w:rPr>
          <w:noProof/>
        </w:rPr>
      </w:pPr>
      <w:r>
        <w:rPr>
          <w:noProof/>
        </w:rPr>
        <w:t>X</w:t>
      </w:r>
      <w:r>
        <w:rPr>
          <w:noProof/>
        </w:rPr>
        <w:tab/>
        <w:t>asupra altor venituri</w:t>
      </w:r>
    </w:p>
    <w:p>
      <w:pPr>
        <w:rPr>
          <w:noProof/>
        </w:rPr>
      </w:pPr>
      <w:r>
        <w:rPr>
          <w:noProof/>
        </w:rPr>
        <w:t xml:space="preserve">vă rugăm să precizați dacă veniturile sunt alocate unor linii de cheltuieli </w:t>
      </w:r>
      <w:r>
        <w:rPr>
          <w:noProof/>
        </w:rPr>
        <w:sym w:font="Wingdings" w:char="F0A8"/>
      </w:r>
      <w:r>
        <w:rPr>
          <w:noProof/>
        </w:rPr>
        <w:tab/>
      </w:r>
    </w:p>
    <w:p>
      <w:pPr>
        <w:jc w:val="right"/>
        <w:rPr>
          <w:i/>
          <w:noProof/>
          <w:sz w:val="20"/>
        </w:rPr>
      </w:pPr>
      <w:r>
        <w:rPr>
          <w:noProof/>
        </w:rPr>
        <w:t>milioane EUR (cu trei zecimale)</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080"/>
        <w:gridCol w:w="900"/>
        <w:gridCol w:w="900"/>
        <w:gridCol w:w="1080"/>
        <w:gridCol w:w="1080"/>
        <w:gridCol w:w="1080"/>
        <w:gridCol w:w="1080"/>
      </w:tblGrid>
      <w:tr>
        <w:trPr>
          <w:trHeight w:val="388"/>
          <w:jc w:val="center"/>
        </w:trPr>
        <w:tc>
          <w:tcPr>
            <w:tcW w:w="2144" w:type="dxa"/>
            <w:vMerge w:val="restart"/>
            <w:vAlign w:val="center"/>
          </w:tcPr>
          <w:p>
            <w:pPr>
              <w:spacing w:before="40" w:after="40"/>
              <w:rPr>
                <w:noProof/>
                <w:sz w:val="18"/>
              </w:rPr>
            </w:pPr>
            <w:r>
              <w:rPr>
                <w:noProof/>
                <w:sz w:val="18"/>
              </w:rPr>
              <w:t>Linia bugetară pentru venituri:</w:t>
            </w:r>
          </w:p>
        </w:tc>
        <w:tc>
          <w:tcPr>
            <w:tcW w:w="7200" w:type="dxa"/>
            <w:gridSpan w:val="7"/>
            <w:vAlign w:val="center"/>
          </w:tcPr>
          <w:p>
            <w:pPr>
              <w:jc w:val="center"/>
              <w:rPr>
                <w:noProof/>
                <w:sz w:val="18"/>
              </w:rPr>
            </w:pPr>
            <w:r>
              <w:rPr>
                <w:noProof/>
                <w:sz w:val="18"/>
              </w:rPr>
              <w:t>Impactul propunerii/inițiativei</w:t>
            </w:r>
          </w:p>
        </w:tc>
      </w:tr>
      <w:tr>
        <w:trPr>
          <w:trHeight w:val="388"/>
          <w:jc w:val="center"/>
        </w:trPr>
        <w:tc>
          <w:tcPr>
            <w:tcW w:w="2144" w:type="dxa"/>
            <w:vMerge/>
          </w:tcPr>
          <w:p>
            <w:pPr>
              <w:spacing w:before="40" w:after="40"/>
              <w:rPr>
                <w:noProof/>
                <w:sz w:val="18"/>
              </w:rPr>
            </w:pPr>
          </w:p>
        </w:tc>
        <w:tc>
          <w:tcPr>
            <w:tcW w:w="1080" w:type="dxa"/>
            <w:vAlign w:val="center"/>
          </w:tcPr>
          <w:p>
            <w:pPr>
              <w:jc w:val="center"/>
              <w:rPr>
                <w:noProof/>
                <w:sz w:val="18"/>
              </w:rPr>
            </w:pPr>
            <w:r>
              <w:rPr>
                <w:b/>
                <w:noProof/>
                <w:sz w:val="20"/>
              </w:rPr>
              <w:t>2021</w:t>
            </w:r>
          </w:p>
        </w:tc>
        <w:tc>
          <w:tcPr>
            <w:tcW w:w="900" w:type="dxa"/>
            <w:vAlign w:val="center"/>
          </w:tcPr>
          <w:p>
            <w:pPr>
              <w:jc w:val="center"/>
              <w:rPr>
                <w:b/>
                <w:noProof/>
                <w:sz w:val="20"/>
              </w:rPr>
            </w:pPr>
            <w:r>
              <w:rPr>
                <w:b/>
                <w:noProof/>
                <w:sz w:val="20"/>
              </w:rPr>
              <w:t>2022</w:t>
            </w:r>
          </w:p>
        </w:tc>
        <w:tc>
          <w:tcPr>
            <w:tcW w:w="900" w:type="dxa"/>
            <w:vAlign w:val="center"/>
          </w:tcPr>
          <w:p>
            <w:pPr>
              <w:jc w:val="center"/>
              <w:rPr>
                <w:b/>
                <w:noProof/>
                <w:sz w:val="20"/>
              </w:rPr>
            </w:pPr>
            <w:r>
              <w:rPr>
                <w:b/>
                <w:noProof/>
                <w:sz w:val="20"/>
              </w:rPr>
              <w:t>2023</w:t>
            </w:r>
          </w:p>
        </w:tc>
        <w:tc>
          <w:tcPr>
            <w:tcW w:w="1080" w:type="dxa"/>
            <w:vAlign w:val="center"/>
          </w:tcPr>
          <w:p>
            <w:pPr>
              <w:jc w:val="center"/>
              <w:rPr>
                <w:b/>
                <w:noProof/>
                <w:sz w:val="20"/>
              </w:rPr>
            </w:pPr>
            <w:r>
              <w:rPr>
                <w:b/>
                <w:noProof/>
                <w:sz w:val="20"/>
              </w:rPr>
              <w:t>2024</w:t>
            </w:r>
          </w:p>
        </w:tc>
        <w:tc>
          <w:tcPr>
            <w:tcW w:w="1080" w:type="dxa"/>
            <w:vAlign w:val="center"/>
          </w:tcPr>
          <w:p>
            <w:pPr>
              <w:jc w:val="center"/>
              <w:rPr>
                <w:b/>
                <w:noProof/>
                <w:sz w:val="20"/>
              </w:rPr>
            </w:pPr>
            <w:r>
              <w:rPr>
                <w:b/>
                <w:noProof/>
                <w:sz w:val="20"/>
              </w:rPr>
              <w:t>2025</w:t>
            </w:r>
          </w:p>
        </w:tc>
        <w:tc>
          <w:tcPr>
            <w:tcW w:w="1080" w:type="dxa"/>
            <w:vAlign w:val="center"/>
          </w:tcPr>
          <w:p>
            <w:pPr>
              <w:jc w:val="center"/>
              <w:rPr>
                <w:b/>
                <w:noProof/>
                <w:sz w:val="20"/>
              </w:rPr>
            </w:pPr>
            <w:r>
              <w:rPr>
                <w:b/>
                <w:noProof/>
                <w:sz w:val="20"/>
              </w:rPr>
              <w:t>2026</w:t>
            </w:r>
          </w:p>
        </w:tc>
        <w:tc>
          <w:tcPr>
            <w:tcW w:w="1080" w:type="dxa"/>
            <w:vAlign w:val="center"/>
          </w:tcPr>
          <w:p>
            <w:pPr>
              <w:jc w:val="center"/>
              <w:rPr>
                <w:b/>
                <w:noProof/>
                <w:sz w:val="20"/>
              </w:rPr>
            </w:pPr>
            <w:r>
              <w:rPr>
                <w:b/>
                <w:noProof/>
                <w:sz w:val="20"/>
              </w:rPr>
              <w:t>2027</w:t>
            </w:r>
          </w:p>
        </w:tc>
      </w:tr>
      <w:tr>
        <w:trPr>
          <w:trHeight w:val="388"/>
          <w:jc w:val="center"/>
        </w:trPr>
        <w:tc>
          <w:tcPr>
            <w:tcW w:w="2144" w:type="dxa"/>
            <w:vAlign w:val="center"/>
          </w:tcPr>
          <w:p>
            <w:pPr>
              <w:spacing w:before="40" w:after="40"/>
              <w:rPr>
                <w:noProof/>
                <w:sz w:val="18"/>
              </w:rPr>
            </w:pPr>
            <w:r>
              <w:rPr>
                <w:noProof/>
                <w:sz w:val="18"/>
              </w:rPr>
              <w:t>Postul 6013</w:t>
            </w:r>
          </w:p>
        </w:tc>
        <w:tc>
          <w:tcPr>
            <w:tcW w:w="1080" w:type="dxa"/>
          </w:tcPr>
          <w:p>
            <w:pPr>
              <w:spacing w:beforeLines="40" w:before="96" w:afterLines="40" w:after="96"/>
              <w:jc w:val="center"/>
              <w:rPr>
                <w:noProof/>
                <w:sz w:val="18"/>
              </w:rPr>
            </w:pPr>
            <w:r>
              <w:rPr>
                <w:noProof/>
                <w:sz w:val="18"/>
              </w:rPr>
              <w:t>p.m.</w:t>
            </w:r>
          </w:p>
        </w:tc>
        <w:tc>
          <w:tcPr>
            <w:tcW w:w="900" w:type="dxa"/>
          </w:tcPr>
          <w:p>
            <w:pPr>
              <w:spacing w:beforeLines="40" w:before="96" w:afterLines="40" w:after="96"/>
              <w:jc w:val="center"/>
              <w:rPr>
                <w:noProof/>
                <w:sz w:val="18"/>
              </w:rPr>
            </w:pPr>
            <w:r>
              <w:rPr>
                <w:noProof/>
                <w:sz w:val="18"/>
              </w:rPr>
              <w:t>p.m.</w:t>
            </w:r>
          </w:p>
        </w:tc>
        <w:tc>
          <w:tcPr>
            <w:tcW w:w="900" w:type="dxa"/>
          </w:tcPr>
          <w:p>
            <w:pPr>
              <w:spacing w:beforeLines="40" w:before="96" w:afterLines="40" w:after="96"/>
              <w:jc w:val="center"/>
              <w:rPr>
                <w:noProof/>
                <w:sz w:val="18"/>
              </w:rPr>
            </w:pPr>
            <w:r>
              <w:rPr>
                <w:noProof/>
                <w:sz w:val="18"/>
              </w:rPr>
              <w:t>p.m.</w:t>
            </w:r>
          </w:p>
        </w:tc>
        <w:tc>
          <w:tcPr>
            <w:tcW w:w="1080" w:type="dxa"/>
          </w:tcPr>
          <w:p>
            <w:pPr>
              <w:spacing w:beforeLines="40" w:before="96" w:afterLines="40" w:after="96"/>
              <w:jc w:val="center"/>
              <w:rPr>
                <w:noProof/>
                <w:sz w:val="18"/>
              </w:rPr>
            </w:pPr>
            <w:r>
              <w:rPr>
                <w:noProof/>
                <w:sz w:val="18"/>
              </w:rPr>
              <w:t>p.m.</w:t>
            </w:r>
          </w:p>
        </w:tc>
        <w:tc>
          <w:tcPr>
            <w:tcW w:w="1080" w:type="dxa"/>
          </w:tcPr>
          <w:p>
            <w:pPr>
              <w:spacing w:beforeLines="40" w:before="96" w:afterLines="40" w:after="96"/>
              <w:jc w:val="center"/>
              <w:rPr>
                <w:noProof/>
                <w:sz w:val="18"/>
              </w:rPr>
            </w:pPr>
            <w:r>
              <w:rPr>
                <w:noProof/>
                <w:sz w:val="18"/>
              </w:rPr>
              <w:t>p.m.</w:t>
            </w:r>
          </w:p>
        </w:tc>
        <w:tc>
          <w:tcPr>
            <w:tcW w:w="1080" w:type="dxa"/>
          </w:tcPr>
          <w:p>
            <w:pPr>
              <w:spacing w:beforeLines="40" w:before="96" w:afterLines="40" w:after="96"/>
              <w:jc w:val="center"/>
              <w:rPr>
                <w:noProof/>
                <w:sz w:val="18"/>
              </w:rPr>
            </w:pPr>
            <w:r>
              <w:rPr>
                <w:noProof/>
                <w:sz w:val="18"/>
              </w:rPr>
              <w:t>p.m.</w:t>
            </w:r>
          </w:p>
        </w:tc>
        <w:tc>
          <w:tcPr>
            <w:tcW w:w="1080" w:type="dxa"/>
          </w:tcPr>
          <w:p>
            <w:pPr>
              <w:spacing w:beforeLines="40" w:before="96" w:afterLines="40" w:after="96"/>
              <w:jc w:val="center"/>
              <w:rPr>
                <w:noProof/>
                <w:sz w:val="18"/>
              </w:rPr>
            </w:pPr>
            <w:r>
              <w:rPr>
                <w:noProof/>
                <w:sz w:val="18"/>
              </w:rPr>
              <w:t>p.m.</w:t>
            </w:r>
          </w:p>
        </w:tc>
      </w:tr>
    </w:tbl>
    <w:p>
      <w:pPr>
        <w:ind w:left="850"/>
        <w:rPr>
          <w:noProof/>
          <w:sz w:val="20"/>
        </w:rPr>
      </w:pPr>
      <w:r>
        <w:rPr>
          <w:noProof/>
          <w:sz w:val="20"/>
        </w:rPr>
        <w:t>Pentru veniturile alocate, a se preciza linia (liniile) bugetară (bugetare) de cheltuieli afectată (afectate).</w:t>
      </w:r>
    </w:p>
    <w:p>
      <w:pPr>
        <w:pStyle w:val="Text1"/>
        <w:pBdr>
          <w:top w:val="single" w:sz="4" w:space="1" w:color="auto"/>
          <w:left w:val="single" w:sz="4" w:space="4" w:color="auto"/>
          <w:bottom w:val="single" w:sz="4" w:space="1" w:color="auto"/>
          <w:right w:val="single" w:sz="4" w:space="4" w:color="auto"/>
        </w:pBdr>
        <w:tabs>
          <w:tab w:val="left" w:pos="2016"/>
        </w:tabs>
        <w:rPr>
          <w:noProof/>
          <w:sz w:val="22"/>
        </w:rPr>
      </w:pPr>
      <w:r>
        <w:rPr>
          <w:noProof/>
          <w:sz w:val="22"/>
        </w:rPr>
        <w:t>01.02XX Credite care provin din contribuții ale unor terți</w:t>
      </w:r>
    </w:p>
    <w:p>
      <w:pPr>
        <w:ind w:left="850"/>
        <w:rPr>
          <w:noProof/>
          <w:sz w:val="20"/>
        </w:rPr>
      </w:pPr>
    </w:p>
    <w:p>
      <w:pPr>
        <w:ind w:left="850"/>
        <w:rPr>
          <w:noProof/>
          <w:sz w:val="20"/>
        </w:rPr>
      </w:pPr>
      <w:r>
        <w:rPr>
          <w:noProof/>
          <w:sz w:val="20"/>
        </w:rPr>
        <w:t>Alte observații (de exemplu, metoda/formula utilizată pentru calcularea impactului asupra veniturilor sau orice alte informații).</w:t>
      </w:r>
    </w:p>
    <w:p>
      <w:pPr>
        <w:pBdr>
          <w:top w:val="single" w:sz="4" w:space="1" w:color="auto"/>
          <w:left w:val="single" w:sz="4" w:space="4" w:color="auto"/>
          <w:bottom w:val="single" w:sz="4" w:space="1" w:color="auto"/>
          <w:right w:val="single" w:sz="4" w:space="4" w:color="auto"/>
        </w:pBdr>
        <w:ind w:left="850"/>
        <w:rPr>
          <w:noProof/>
          <w:sz w:val="22"/>
        </w:rPr>
      </w:pPr>
      <w:r>
        <w:rPr>
          <w:noProof/>
          <w:sz w:val="22"/>
        </w:rPr>
        <w:t>Țările terțe pot contribui la program prin intermediul unor acorduri de asociere. Condițiile care determină nivelul contribuției financiare vor fi stabilite în acordurile de asociere încheiate cu fiecare țară și vor asigura o corecție automată a oricărui dezechilibru semnificativ comparativ cu suma pe care entitățile stabilite în țara asociată o primesc prin participarea la program, ținând seama de costurile de gestionare a programului.</w:t>
      </w:r>
    </w:p>
    <w:p>
      <w:pPr>
        <w:rPr>
          <w:rFonts w:eastAsia="Calibri"/>
          <w:noProof/>
          <w:sz w:val="16"/>
          <w:szCs w:val="16"/>
        </w:rPr>
      </w:pPr>
    </w:p>
    <w:sectPr>
      <w:pgSz w:w="12240" w:h="15840"/>
      <w:pgMar w:top="1440" w:right="1440" w:bottom="1440" w:left="1440" w:header="709" w:footer="709" w:gutter="0"/>
      <w:cols w:space="709"/>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8</w:t>
    </w:r>
    <w:r>
      <w:fldChar w:fldCharType="end"/>
    </w:r>
    <w:r>
      <w:tab/>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24</w:t>
    </w:r>
    <w:r>
      <w:fldChar w:fldCharType="end"/>
    </w:r>
    <w:r>
      <w:tab/>
    </w:r>
    <w:r>
      <w:tab/>
    </w:r>
    <w:r>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29</w:t>
    </w:r>
    <w:r>
      <w:fldChar w:fldCharType="end"/>
    </w:r>
    <w:r>
      <w:tab/>
    </w:r>
    <w:r>
      <w:tab/>
    </w:r>
    <w:r>
      <w:rPr>
        <w:rFonts w:ascii="Arial" w:hAnsi="Arial" w:cs="Arial"/>
        <w:b/>
        <w:sz w:val="48"/>
      </w:rPr>
      <w:t>RO</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Regulamentul (CE) nr. 294/2008 al Parlamentului European și al Consiliului din 11 martie 2008 de înființare a Institutului European de Inovare și Tehnologie (JO L 97, 9.4.2008, p. 1). Modificat prin Regulamentul (UE) nr. 1292/2013 al Parlamentului European și al Consiliului din 11 decembrie 2013 (JO L 347, 11.12.2013, p. 174).</w:t>
      </w:r>
    </w:p>
  </w:footnote>
  <w:footnote w:id="2">
    <w:p>
      <w:pPr>
        <w:pStyle w:val="FootnoteText"/>
      </w:pPr>
      <w:r>
        <w:rPr>
          <w:rStyle w:val="FootnoteReference"/>
        </w:rPr>
        <w:footnoteRef/>
      </w:r>
      <w:r>
        <w:tab/>
        <w:t>Propunere de regulament al Parlamentului European și al Consiliului de instituire a programului-cadru pentru cercetare și inovare Orizont Europa și de stabilire a normelor sale de participare și de diseminare. COM(2018) 435 final.</w:t>
      </w:r>
    </w:p>
  </w:footnote>
  <w:footnote w:id="3">
    <w:p>
      <w:pPr>
        <w:pStyle w:val="FootnoteText"/>
      </w:pPr>
      <w:r>
        <w:rPr>
          <w:rStyle w:val="FootnoteReference"/>
        </w:rPr>
        <w:footnoteRef/>
      </w:r>
      <w:r>
        <w:tab/>
        <w:t>Actuala ASI acoperă perioada 2014-2020.</w:t>
      </w:r>
    </w:p>
  </w:footnote>
  <w:footnote w:id="4">
    <w:p>
      <w:pPr>
        <w:pStyle w:val="FootnoteText"/>
        <w:rPr>
          <w:sz w:val="16"/>
          <w:szCs w:val="16"/>
        </w:rPr>
      </w:pPr>
      <w:r>
        <w:rPr>
          <w:rStyle w:val="FootnoteReference"/>
        </w:rPr>
        <w:footnoteRef/>
      </w:r>
      <w:r>
        <w:tab/>
        <w:t xml:space="preserve">ICF (2017), Evaluare, p. 36. </w:t>
      </w:r>
    </w:p>
  </w:footnote>
  <w:footnote w:id="5">
    <w:p>
      <w:pPr>
        <w:pStyle w:val="FootnoteText"/>
      </w:pPr>
      <w:r>
        <w:rPr>
          <w:rStyle w:val="FootnoteReference"/>
        </w:rPr>
        <w:footnoteRef/>
      </w:r>
      <w:r>
        <w:tab/>
        <w:t>JO L 97, 9.4.2008, p. 1.</w:t>
      </w:r>
    </w:p>
  </w:footnote>
  <w:footnote w:id="6">
    <w:p>
      <w:pPr>
        <w:pStyle w:val="FootnoteText"/>
      </w:pPr>
      <w:r>
        <w:rPr>
          <w:rStyle w:val="FootnoteReference"/>
        </w:rPr>
        <w:footnoteRef/>
      </w:r>
      <w:r>
        <w:tab/>
        <w:t>Trimitere la Regulamentul EIT reformat adoptat. </w:t>
      </w:r>
    </w:p>
  </w:footnote>
  <w:footnote w:id="7">
    <w:p>
      <w:pPr>
        <w:pStyle w:val="FootnoteText"/>
        <w:rPr>
          <w:szCs w:val="24"/>
        </w:rPr>
      </w:pPr>
      <w:r>
        <w:rPr>
          <w:rStyle w:val="FootnoteReference"/>
        </w:rPr>
        <w:footnoteRef/>
      </w:r>
      <w:r>
        <w:tab/>
        <w:t>Astfel cum se menționează la articolul 58 alineatul (2) litera (a) sau (b) din Regulamentul financiar.</w:t>
      </w:r>
    </w:p>
  </w:footnote>
  <w:footnote w:id="8">
    <w:p>
      <w:pPr>
        <w:pStyle w:val="FootnoteText"/>
      </w:pPr>
      <w:r>
        <w:rPr>
          <w:rStyle w:val="FootnoteReference"/>
        </w:rPr>
        <w:footnoteRef/>
      </w:r>
      <w:r>
        <w:tab/>
        <w:t xml:space="preserve">COM(2018) 435 final. </w:t>
      </w:r>
    </w:p>
  </w:footnote>
  <w:footnote w:id="9">
    <w:p>
      <w:pPr>
        <w:pStyle w:val="FootnoteText"/>
      </w:pPr>
      <w:r>
        <w:rPr>
          <w:rStyle w:val="FootnoteReference"/>
        </w:rPr>
        <w:footnoteRef/>
      </w:r>
      <w:r>
        <w:tab/>
        <w:t>Articolul 9 alineatul (2) litera (c) punctul (2).</w:t>
      </w:r>
    </w:p>
  </w:footnote>
  <w:footnote w:id="10">
    <w:p>
      <w:pPr>
        <w:pStyle w:val="FootnoteText"/>
        <w:jc w:val="left"/>
        <w:rPr>
          <w:szCs w:val="24"/>
        </w:rPr>
      </w:pPr>
      <w:r>
        <w:rPr>
          <w:rStyle w:val="FootnoteReference"/>
        </w:rPr>
        <w:footnoteRef/>
      </w:r>
      <w:r>
        <w:tab/>
        <w:t xml:space="preserve">Explicații detaliate privind modurile de gestiune, precum și trimiterile la Regulamentul financiar sunt disponibile pe site-ul BudgWeb: </w:t>
      </w:r>
      <w:hyperlink r:id="rId1">
        <w:r>
          <w:rPr>
            <w:rStyle w:val="Hyperlink"/>
          </w:rPr>
          <w:t>https://myintracomm.ec.europa.eu/budgweb/EN/man/budgmanag/Pages/budgmanag.aspx</w:t>
        </w:r>
      </w:hyperlink>
      <w:r>
        <w:t xml:space="preserve"> </w:t>
      </w:r>
    </w:p>
  </w:footnote>
  <w:footnote w:id="11">
    <w:p>
      <w:pPr>
        <w:pStyle w:val="FootnoteText"/>
      </w:pPr>
      <w:r>
        <w:rPr>
          <w:rStyle w:val="FootnoteReference"/>
        </w:rPr>
        <w:footnoteRef/>
      </w:r>
      <w:r>
        <w:tab/>
        <w:t>COM (2018) 323 final, 2.5.2018</w:t>
      </w:r>
    </w:p>
  </w:footnote>
  <w:footnote w:id="12">
    <w:p>
      <w:pPr>
        <w:pStyle w:val="FootnoteText"/>
        <w:rPr>
          <w:szCs w:val="24"/>
        </w:rPr>
      </w:pPr>
      <w:r>
        <w:rPr>
          <w:rStyle w:val="FootnoteReference"/>
        </w:rPr>
        <w:footnoteRef/>
      </w:r>
      <w:r>
        <w:tab/>
        <w:t>Dif. = credite diferențiate / Nedif. = credite nediferențiate.</w:t>
      </w:r>
    </w:p>
  </w:footnote>
  <w:footnote w:id="13">
    <w:p>
      <w:pPr>
        <w:pStyle w:val="FootnoteText"/>
        <w:rPr>
          <w:szCs w:val="24"/>
        </w:rPr>
      </w:pPr>
      <w:r>
        <w:rPr>
          <w:rStyle w:val="FootnoteReference"/>
        </w:rPr>
        <w:footnoteRef/>
      </w:r>
      <w:r>
        <w:tab/>
        <w:t xml:space="preserve">AELS: Asociația Europeană a Liberului Schimb. </w:t>
      </w:r>
    </w:p>
  </w:footnote>
  <w:footnote w:id="14">
    <w:p>
      <w:pPr>
        <w:pStyle w:val="FootnoteText"/>
      </w:pPr>
      <w:r>
        <w:rPr>
          <w:rStyle w:val="FootnoteReference"/>
        </w:rPr>
        <w:footnoteRef/>
      </w:r>
      <w:r>
        <w:tab/>
        <w:t>Țările candidate și, după caz, candidații potențiali din Balcanii de Vest.</w:t>
      </w:r>
    </w:p>
  </w:footnote>
  <w:footnote w:id="15">
    <w:p>
      <w:pPr>
        <w:pStyle w:val="CommentText"/>
        <w:rPr>
          <w:color w:val="1F497D"/>
        </w:rPr>
      </w:pPr>
      <w:r>
        <w:rPr>
          <w:rStyle w:val="FootnoteReference"/>
        </w:rPr>
        <w:footnoteRef/>
      </w:r>
      <w:r>
        <w:tab/>
        <w:t xml:space="preserve">Costurile aferente personalului EIT și titlului II au fost calculate aplicând coeficientul de corecție pentru HU (71,9), astfel cum se indică la pagina 16, tabelul 5 din </w:t>
      </w:r>
      <w:hyperlink r:id="rId2">
        <w:r>
          <w:rPr>
            <w:rStyle w:val="Hyperlink"/>
          </w:rPr>
          <w:t>https://ec.europa.eu/eurostat/documents/6939681/7070380/Annualreport2018.pdf/97053a94-29eb-4e93-8883-e826426e3d55</w:t>
        </w:r>
      </w:hyperlink>
      <w:r>
        <w:rPr>
          <w:color w:val="1F497D"/>
        </w:rPr>
        <w:t> </w:t>
      </w:r>
    </w:p>
    <w:p>
      <w:pPr>
        <w:pStyle w:val="FootnoteText"/>
      </w:pPr>
    </w:p>
  </w:footnote>
  <w:footnote w:id="16">
    <w:p>
      <w:pPr>
        <w:pStyle w:val="FootnoteText"/>
      </w:pPr>
      <w:r>
        <w:rPr>
          <w:rStyle w:val="FootnoteReference"/>
        </w:rPr>
        <w:footnoteRef/>
      </w:r>
      <w:r>
        <w:tab/>
        <w:t>Asistență tehnică și/sau administrativă și cheltuieli de sprijin pentru punerea în aplicare a programelor și/sau a acțiunilor UE (fostele linii „BA”), cercetare indirectă și cercetare directă. Aceasta reprezintă valoarea maximă din suma alocată EIT în cadrul programului, care urmează să fie destinată cheltuielilor administrative ale Comisiei.</w:t>
      </w:r>
    </w:p>
  </w:footnote>
  <w:footnote w:id="17">
    <w:p>
      <w:pPr>
        <w:pStyle w:val="FootnoteText"/>
      </w:pPr>
      <w:r>
        <w:rPr>
          <w:rStyle w:val="FootnoteReference"/>
        </w:rPr>
        <w:footnoteRef/>
      </w:r>
      <w:r>
        <w:tab/>
        <w:t>Aceste cifre sunt aliniate la situația financiară legislativă globală a programului Orizont Europa, care include numai personalul autorizat efectiv în 2020 în cadrul direcțiilor generale, dar nu aduce atingere eventualelor necesități specifice ale personalului care lucrează pentru EIT pentru perioada 2021-2027.</w:t>
      </w:r>
    </w:p>
  </w:footnote>
  <w:footnote w:id="18">
    <w:p>
      <w:pPr>
        <w:pStyle w:val="FootnoteText"/>
        <w:rPr>
          <w:szCs w:val="24"/>
        </w:rPr>
      </w:pPr>
      <w:r>
        <w:rPr>
          <w:rStyle w:val="FootnoteReference"/>
        </w:rPr>
        <w:footnoteRef/>
      </w:r>
      <w:r>
        <w:tab/>
        <w:t xml:space="preserve">AC= agent contractual; AL= agent local; END = expert național detașat; INT = personal pus la dispoziție de agenți de muncă temporară; JPD = tânăr profesionist în delegații. </w:t>
      </w:r>
    </w:p>
  </w:footnote>
  <w:footnote w:id="19">
    <w:p>
      <w:pPr>
        <w:pStyle w:val="FootnoteText"/>
        <w:rPr>
          <w:szCs w:val="24"/>
        </w:rPr>
      </w:pPr>
      <w:r>
        <w:rPr>
          <w:rStyle w:val="FootnoteReference"/>
        </w:rPr>
        <w:footnoteRef/>
      </w:r>
      <w:r>
        <w:tab/>
        <w:t>Subplafonul pentru personal extern acoperit din creditele operaționale (fostele linii „BA”).</w:t>
      </w:r>
    </w:p>
  </w:footnote>
  <w:footnote w:id="20">
    <w:p>
      <w:pPr>
        <w:pStyle w:val="FootnoteText"/>
      </w:pPr>
      <w:r>
        <w:rPr>
          <w:rStyle w:val="FootnoteReference"/>
        </w:rPr>
        <w:footnoteRef/>
      </w:r>
      <w:r>
        <w:tab/>
        <w:t>Acordurile bilaterale de asociere nu sunt încă stabilite. Contribuțiile din partea țărilor asociate se vor adăuga la sumele prezentate în prezenta fișă financiară legislativă.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972277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F3E43334"/>
    <w:lvl w:ilvl="0">
      <w:start w:val="1"/>
      <w:numFmt w:val="decimal"/>
      <w:pStyle w:val="ListNumber3"/>
      <w:lvlText w:val="%1."/>
      <w:lvlJc w:val="left"/>
      <w:pPr>
        <w:tabs>
          <w:tab w:val="num" w:pos="926"/>
        </w:tabs>
        <w:ind w:left="926" w:hanging="360"/>
      </w:pPr>
    </w:lvl>
  </w:abstractNum>
  <w:abstractNum w:abstractNumId="2">
    <w:nsid w:val="FFFFFF7F"/>
    <w:multiLevelType w:val="singleLevel"/>
    <w:tmpl w:val="C99AC13C"/>
    <w:lvl w:ilvl="0">
      <w:start w:val="1"/>
      <w:numFmt w:val="decimal"/>
      <w:pStyle w:val="ListNumber2"/>
      <w:lvlText w:val="%1."/>
      <w:lvlJc w:val="left"/>
      <w:pPr>
        <w:tabs>
          <w:tab w:val="num" w:pos="643"/>
        </w:tabs>
        <w:ind w:left="643" w:hanging="360"/>
      </w:pPr>
    </w:lvl>
  </w:abstractNum>
  <w:abstractNum w:abstractNumId="3">
    <w:nsid w:val="FFFFFF81"/>
    <w:multiLevelType w:val="singleLevel"/>
    <w:tmpl w:val="C6DC6AD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F60E90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D82EFFC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A4A016A6"/>
    <w:lvl w:ilvl="0">
      <w:start w:val="1"/>
      <w:numFmt w:val="decimal"/>
      <w:pStyle w:val="ListNumber"/>
      <w:lvlText w:val="%1."/>
      <w:lvlJc w:val="left"/>
      <w:pPr>
        <w:tabs>
          <w:tab w:val="num" w:pos="360"/>
        </w:tabs>
        <w:ind w:left="360" w:hanging="360"/>
      </w:pPr>
    </w:lvl>
  </w:abstractNum>
  <w:abstractNum w:abstractNumId="7">
    <w:nsid w:val="FFFFFF89"/>
    <w:multiLevelType w:val="singleLevel"/>
    <w:tmpl w:val="3FC02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3"/>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6"/>
  </w:num>
  <w:num w:numId="11">
    <w:abstractNumId w:val="15"/>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2"/>
  </w:num>
  <w:num w:numId="15">
    <w:abstractNumId w:val="22"/>
  </w:num>
  <w:num w:numId="16">
    <w:abstractNumId w:val="11"/>
  </w:num>
  <w:num w:numId="17">
    <w:abstractNumId w:val="13"/>
  </w:num>
  <w:num w:numId="18">
    <w:abstractNumId w:val="9"/>
  </w:num>
  <w:num w:numId="19">
    <w:abstractNumId w:val="21"/>
  </w:num>
  <w:num w:numId="20">
    <w:abstractNumId w:val="8"/>
  </w:num>
  <w:num w:numId="21">
    <w:abstractNumId w:val="14"/>
  </w:num>
  <w:num w:numId="22">
    <w:abstractNumId w:val="18"/>
  </w:num>
  <w:num w:numId="23">
    <w:abstractNumId w:val="19"/>
  </w:num>
  <w:num w:numId="24">
    <w:abstractNumId w:val="10"/>
  </w:num>
  <w:num w:numId="25">
    <w:abstractNumId w:val="17"/>
  </w:num>
  <w:num w:numId="26">
    <w:abstractNumId w:val="23"/>
  </w:num>
  <w:num w:numId="27">
    <w:abstractNumId w:val="20"/>
  </w:num>
  <w:num w:numId="28">
    <w:abstractNumId w:val="12"/>
  </w:num>
  <w:num w:numId="29">
    <w:abstractNumId w:val="22"/>
  </w:num>
  <w:num w:numId="30">
    <w:abstractNumId w:val="11"/>
  </w:num>
  <w:num w:numId="31">
    <w:abstractNumId w:val="13"/>
  </w:num>
  <w:num w:numId="32">
    <w:abstractNumId w:val="9"/>
  </w:num>
  <w:num w:numId="33">
    <w:abstractNumId w:val="21"/>
  </w:num>
  <w:num w:numId="34">
    <w:abstractNumId w:val="8"/>
  </w:num>
  <w:num w:numId="35">
    <w:abstractNumId w:val="14"/>
  </w:num>
  <w:num w:numId="36">
    <w:abstractNumId w:val="18"/>
  </w:num>
  <w:num w:numId="37">
    <w:abstractNumId w:val="19"/>
  </w:num>
  <w:num w:numId="38">
    <w:abstractNumId w:val="10"/>
  </w:num>
  <w:num w:numId="39">
    <w:abstractNumId w:val="17"/>
  </w:num>
  <w:num w:numId="40">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hideSpellingErrors/>
  <w:hideGrammaticalErrors/>
  <w:attachedTemplate r:id="rId1"/>
  <w:revisionView w:markup="0"/>
  <w:defaultTabStop w:val="720"/>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19-07-10 13:14:08"/>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162"/>
    <w:docVar w:name="DQCResult_ModifiedMarkers" w:val="0;0"/>
    <w:docVar w:name="DQCResult_ModifiedNumbering" w:val="0;0"/>
    <w:docVar w:name="DQCResult_Objects" w:val="0;0"/>
    <w:docVar w:name="DQCResult_Sections" w:val="0;0"/>
    <w:docVar w:name="DQCResult_StructureCheck" w:val="0;0"/>
    <w:docVar w:name="DQCResult_SuperfluousWhitespace" w:val="0;14"/>
    <w:docVar w:name="DQCResult_UnknownFonts" w:val="0;0"/>
    <w:docVar w:name="DQCResult_UnknownStyles" w:val="0;1"/>
    <w:docVar w:name="DQCStatus" w:val="Green"/>
    <w:docVar w:name="DQCVersion" w:val="3"/>
    <w:docVar w:name="DQCWithWarnings" w:val="0"/>
    <w:docVar w:name="LW_CORRIGENDUM" w:val="&lt;UNUSED&gt;"/>
    <w:docVar w:name="LW_COVERPAGE_EXISTS" w:val="True"/>
    <w:docVar w:name="LW_COVERPAGE_GUID" w:val="68C4B8F6-1884-4EDA-A4B2-86FAC6B1F350"/>
    <w:docVar w:name="LW_COVERPAGE_TYPE" w:val="1"/>
    <w:docVar w:name="LW_CROSSREFERENCE" w:val="{SEC(2019) 275 final} - {SWD(2019) 330 final} - {SWD(2019) 331 final}"/>
    <w:docVar w:name="LW_DocType" w:val="COM"/>
    <w:docVar w:name="LW_EMISSION" w:val="11.7.2019"/>
    <w:docVar w:name="LW_EMISSION_ISODATE" w:val="2019-07-11"/>
    <w:docVar w:name="LW_EMISSION_LOCATION" w:val="BRX"/>
    <w:docVar w:name="LW_EMISSION_PREFIX" w:val="Bruxelles,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52"/>
    <w:docVar w:name="LW_REF.II.NEW.CP_YEAR" w:val="2019"/>
    <w:docVar w:name="LW_REF.INST.NEW" w:val="COM"/>
    <w:docVar w:name="LW_REF.INST.NEW_ADOPTED" w:val="final"/>
    <w:docVar w:name="LW_REF.INST.NEW_TEXT" w:val="(2019) 3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unere de"/>
    <w:docVar w:name="LW_SUPERTITRE" w:val="&lt;UNUSED&gt;"/>
    <w:docVar w:name="LW_TITRE.OBJ.CP" w:val="privind Agenda strategic\u259? de inovare a Institutului European _x000b_de Inovare \u537?i Tehnologie (EIT) 2021-2027: _x000b_stimularea talentului \u537?i a capacit\u259?\u539?ii de inovare a Europei"/>
    <w:docVar w:name="LW_TYPE.DOC.CP" w:val="DECIZIE A PARLAMENTULUI EUROPEAN \u536?I A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hAnsi="Arial" w:cs="Arial"/>
      <w:sz w:val="22"/>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hAnsi="Arial" w:cs="Arial"/>
      <w:i/>
      <w:iCs/>
      <w:sz w:val="22"/>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hAnsi="Arial" w:cs="Arial"/>
      <w:sz w:val="20"/>
      <w:szCs w:val="20"/>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hAnsi="Arial" w:cs="Arial"/>
      <w:i/>
      <w:iCs/>
      <w:sz w:val="20"/>
      <w:szCs w:val="20"/>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hAnsi="Arial" w:cs="Arial"/>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character" w:customStyle="1" w:styleId="Heading5Char">
    <w:name w:val="Heading 5 Char"/>
    <w:basedOn w:val="DefaultParagraphFont"/>
    <w:link w:val="Heading5"/>
    <w:uiPriority w:val="99"/>
    <w:rPr>
      <w:rFonts w:ascii="Arial" w:hAnsi="Arial" w:cs="Arial"/>
      <w:lang w:val="ro-RO" w:eastAsia="ro-RO"/>
    </w:rPr>
  </w:style>
  <w:style w:type="character" w:customStyle="1" w:styleId="Heading6Char">
    <w:name w:val="Heading 6 Char"/>
    <w:basedOn w:val="DefaultParagraphFont"/>
    <w:link w:val="Heading6"/>
    <w:uiPriority w:val="99"/>
    <w:rPr>
      <w:rFonts w:ascii="Arial" w:hAnsi="Arial" w:cs="Arial"/>
      <w:i/>
      <w:iCs/>
      <w:lang w:val="ro-RO" w:eastAsia="ro-RO"/>
    </w:rPr>
  </w:style>
  <w:style w:type="character" w:customStyle="1" w:styleId="Heading7Char">
    <w:name w:val="Heading 7 Char"/>
    <w:basedOn w:val="DefaultParagraphFont"/>
    <w:link w:val="Heading7"/>
    <w:uiPriority w:val="99"/>
    <w:rPr>
      <w:rFonts w:ascii="Arial" w:hAnsi="Arial" w:cs="Arial"/>
      <w:sz w:val="20"/>
      <w:szCs w:val="20"/>
      <w:lang w:val="ro-RO" w:eastAsia="ro-RO"/>
    </w:rPr>
  </w:style>
  <w:style w:type="character" w:customStyle="1" w:styleId="Heading8Char">
    <w:name w:val="Heading 8 Char"/>
    <w:basedOn w:val="DefaultParagraphFont"/>
    <w:link w:val="Heading8"/>
    <w:uiPriority w:val="9"/>
    <w:rPr>
      <w:rFonts w:ascii="Arial" w:hAnsi="Arial" w:cs="Arial"/>
      <w:i/>
      <w:iCs/>
      <w:sz w:val="20"/>
      <w:szCs w:val="20"/>
      <w:lang w:val="ro-RO" w:eastAsia="ro-RO"/>
    </w:rPr>
  </w:style>
  <w:style w:type="character" w:customStyle="1" w:styleId="Heading9Char">
    <w:name w:val="Heading 9 Char"/>
    <w:basedOn w:val="DefaultParagraphFont"/>
    <w:link w:val="Heading9"/>
    <w:uiPriority w:val="99"/>
    <w:rPr>
      <w:rFonts w:ascii="Arial" w:hAnsi="Arial" w:cs="Arial"/>
      <w:i/>
      <w:iCs/>
      <w:sz w:val="18"/>
      <w:szCs w:val="18"/>
      <w:lang w:val="ro-RO" w:eastAsia="ro-RO"/>
    </w:rPr>
  </w:style>
  <w:style w:type="paragraph" w:customStyle="1" w:styleId="Sous-titreobjet">
    <w:name w:val="Sous-titre objet"/>
    <w:basedOn w:val="Titreobjet"/>
    <w:uiPriority w:val="99"/>
    <w:pPr>
      <w:autoSpaceDE w:val="0"/>
      <w:autoSpaceDN w:val="0"/>
      <w:spacing w:before="0" w:after="0"/>
    </w:pPr>
    <w:rPr>
      <w:bCs/>
      <w:szCs w:val="24"/>
    </w:rPr>
  </w:style>
  <w:style w:type="paragraph" w:customStyle="1" w:styleId="FichedimpactPMEtitre">
    <w:name w:val="Fiche d'impact PME titre"/>
    <w:basedOn w:val="Normal"/>
    <w:next w:val="Normal"/>
    <w:uiPriority w:val="99"/>
    <w:pPr>
      <w:autoSpaceDE w:val="0"/>
      <w:autoSpaceDN w:val="0"/>
      <w:jc w:val="center"/>
    </w:pPr>
    <w:rPr>
      <w:b/>
      <w:bCs/>
      <w:szCs w:val="24"/>
    </w:rPr>
  </w:style>
  <w:style w:type="paragraph" w:customStyle="1" w:styleId="Fichefinanciretextetable">
    <w:name w:val="Fiche financière texte (table)"/>
    <w:basedOn w:val="Normal"/>
    <w:uiPriority w:val="99"/>
    <w:pPr>
      <w:autoSpaceDE w:val="0"/>
      <w:autoSpaceDN w:val="0"/>
      <w:spacing w:before="0" w:after="0"/>
      <w:jc w:val="left"/>
    </w:pPr>
    <w:rPr>
      <w:sz w:val="20"/>
      <w:szCs w:val="20"/>
    </w:rPr>
  </w:style>
  <w:style w:type="paragraph" w:customStyle="1" w:styleId="Fichefinanciretitreactetable">
    <w:name w:val="Fiche financière titre (acte table)"/>
    <w:basedOn w:val="Normal"/>
    <w:next w:val="Normal"/>
    <w:uiPriority w:val="99"/>
    <w:pPr>
      <w:autoSpaceDE w:val="0"/>
      <w:autoSpaceDN w:val="0"/>
      <w:jc w:val="center"/>
    </w:pPr>
    <w:rPr>
      <w:b/>
      <w:bCs/>
      <w:sz w:val="40"/>
      <w:szCs w:val="40"/>
    </w:rPr>
  </w:style>
  <w:style w:type="paragraph" w:customStyle="1" w:styleId="Fichefinanciretitretable">
    <w:name w:val="Fiche financière titre (table)"/>
    <w:basedOn w:val="Normal"/>
    <w:uiPriority w:val="99"/>
    <w:pPr>
      <w:autoSpaceDE w:val="0"/>
      <w:autoSpaceDN w:val="0"/>
      <w:jc w:val="center"/>
    </w:pPr>
    <w:rPr>
      <w:b/>
      <w:bCs/>
      <w:sz w:val="40"/>
      <w:szCs w:val="40"/>
    </w:rPr>
  </w:style>
  <w:style w:type="character" w:styleId="PageNumber">
    <w:name w:val="page number"/>
    <w:uiPriority w:val="99"/>
  </w:style>
  <w:style w:type="paragraph" w:styleId="TOAHeading">
    <w:name w:val="toa heading"/>
    <w:basedOn w:val="Normal"/>
    <w:next w:val="Normal"/>
    <w:uiPriority w:val="99"/>
    <w:pPr>
      <w:autoSpaceDE w:val="0"/>
      <w:autoSpaceDN w:val="0"/>
    </w:pPr>
    <w:rPr>
      <w:rFonts w:ascii="Arial" w:hAnsi="Arial" w:cs="Arial"/>
      <w:b/>
      <w:bCs/>
      <w:szCs w:val="24"/>
    </w:rPr>
  </w:style>
  <w:style w:type="character" w:customStyle="1" w:styleId="CRMarker">
    <w:name w:val="CR Marker"/>
    <w:uiPriority w:val="99"/>
    <w:rPr>
      <w:rFonts w:ascii="Wingdings" w:hAnsi="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szCs w:val="24"/>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szCs w:val="24"/>
    </w:r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pPr>
      <w:autoSpaceDE w:val="0"/>
      <w:autoSpaceDN w:val="0"/>
    </w:pPr>
    <w:rPr>
      <w:szCs w:val="24"/>
    </w:rPr>
  </w:style>
  <w:style w:type="character" w:customStyle="1" w:styleId="CRTextDeleted">
    <w:name w:val="CR TextDeleted"/>
    <w:uiPriority w:val="99"/>
  </w:style>
  <w:style w:type="paragraph" w:customStyle="1" w:styleId="Titredumodificateur">
    <w:name w:val="Titre du modificateur"/>
    <w:basedOn w:val="Normal"/>
    <w:next w:val="Normal"/>
    <w:uiPriority w:val="99"/>
    <w:pPr>
      <w:autoSpaceDE w:val="0"/>
      <w:autoSpaceDN w:val="0"/>
      <w:spacing w:before="240" w:after="60"/>
      <w:jc w:val="left"/>
    </w:pPr>
    <w:rPr>
      <w:b/>
      <w:bCs/>
      <w:szCs w:val="24"/>
    </w:rPr>
  </w:style>
  <w:style w:type="paragraph" w:customStyle="1" w:styleId="Referencedumodificateur">
    <w:name w:val="Reference du modificateur"/>
    <w:basedOn w:val="Normal"/>
    <w:next w:val="Normal"/>
    <w:uiPriority w:val="99"/>
    <w:pPr>
      <w:autoSpaceDE w:val="0"/>
      <w:autoSpaceDN w:val="0"/>
      <w:spacing w:before="0"/>
      <w:jc w:val="left"/>
    </w:pPr>
    <w:rPr>
      <w:szCs w:val="24"/>
    </w:rPr>
  </w:style>
  <w:style w:type="character" w:customStyle="1" w:styleId="CRDeleted">
    <w:name w:val="CR Deleted"/>
    <w:rPr>
      <w:dstrike/>
      <w:lang w:val="ro-RO" w:eastAsia="ro-RO"/>
    </w:rPr>
  </w:style>
  <w:style w:type="character" w:customStyle="1" w:styleId="CRRefonteDeleted">
    <w:name w:val="CR Refonte Deleted"/>
    <w:rPr>
      <w:dstrike/>
      <w:lang w:val="ro-RO" w:eastAsia="ro-RO"/>
    </w:rPr>
  </w:style>
  <w:style w:type="character" w:customStyle="1" w:styleId="CRMinorChangeDeleted">
    <w:name w:val="CR Minor Change Deleted"/>
    <w:rPr>
      <w:dstrike/>
      <w:u w:val="double"/>
      <w:lang w:val="ro-RO" w:eastAsia="ro-RO"/>
    </w:rPr>
  </w:style>
  <w:style w:type="character" w:customStyle="1" w:styleId="CRMinorChangeAdded">
    <w:name w:val="CR Minor Change Added"/>
    <w:rPr>
      <w:u w:val="double"/>
      <w:lang w:val="ro-RO" w:eastAsia="ro-RO"/>
    </w:rPr>
  </w:style>
  <w:style w:type="paragraph" w:styleId="ListParagraph">
    <w:name w:val="List Paragraph"/>
    <w:basedOn w:val="Normal"/>
    <w:uiPriority w:val="34"/>
    <w:qFormat/>
    <w:pPr>
      <w:spacing w:before="0" w:after="200" w:line="276" w:lineRule="auto"/>
      <w:ind w:left="720"/>
      <w:contextualSpacing/>
      <w:jc w:val="left"/>
    </w:pPr>
    <w:rPr>
      <w:rFonts w:ascii="Calibri" w:hAnsi="Calibri"/>
      <w:sz w:val="22"/>
    </w:rPr>
  </w:style>
  <w:style w:type="paragraph" w:styleId="Revision">
    <w:name w:val="Revision"/>
    <w:hidden/>
    <w:uiPriority w:val="99"/>
    <w:semiHidden/>
    <w:rPr>
      <w:rFonts w:ascii="Times New Roman" w:hAnsi="Times New Roman"/>
      <w:sz w:val="24"/>
      <w:szCs w:val="24"/>
    </w:rPr>
  </w:style>
  <w:style w:type="numbering" w:customStyle="1" w:styleId="NoList1">
    <w:name w:val="No List1"/>
    <w:next w:val="NoList"/>
    <w:uiPriority w:val="99"/>
    <w:semiHidden/>
    <w:unhideWhenUsed/>
  </w:style>
  <w:style w:type="paragraph" w:customStyle="1" w:styleId="ListDash1">
    <w:name w:val="List Dash 1"/>
    <w:basedOn w:val="Normal"/>
    <w:pPr>
      <w:numPr>
        <w:numId w:val="10"/>
      </w:numPr>
      <w:tabs>
        <w:tab w:val="clear" w:pos="1134"/>
        <w:tab w:val="num" w:pos="1417"/>
      </w:tabs>
      <w:ind w:left="1417" w:hanging="567"/>
    </w:pPr>
  </w:style>
  <w:style w:type="paragraph" w:customStyle="1" w:styleId="ListDash2">
    <w:name w:val="List Dash 2"/>
    <w:basedOn w:val="Normal"/>
    <w:pPr>
      <w:numPr>
        <w:numId w:val="11"/>
      </w:numPr>
      <w:tabs>
        <w:tab w:val="clear" w:pos="1134"/>
        <w:tab w:val="num" w:pos="1984"/>
      </w:tabs>
      <w:ind w:left="1984" w:hanging="567"/>
    </w:pPr>
  </w:style>
  <w:style w:type="paragraph" w:customStyle="1" w:styleId="ListNumberLevel2">
    <w:name w:val="List Number (Level 2)"/>
    <w:basedOn w:val="Normal"/>
    <w:pPr>
      <w:tabs>
        <w:tab w:val="num" w:pos="1417"/>
      </w:tabs>
      <w:ind w:left="1417" w:hanging="708"/>
    </w:pPr>
  </w:style>
  <w:style w:type="paragraph" w:customStyle="1" w:styleId="ListNumberLevel3">
    <w:name w:val="List Number (Level 3)"/>
    <w:basedOn w:val="Normal"/>
    <w:pPr>
      <w:tabs>
        <w:tab w:val="num" w:pos="2126"/>
      </w:tabs>
      <w:ind w:left="2126" w:hanging="709"/>
    </w:pPr>
  </w:style>
  <w:style w:type="paragraph" w:customStyle="1" w:styleId="ListNumberLevel4">
    <w:name w:val="List Number (Level 4)"/>
    <w:basedOn w:val="Normal"/>
    <w:pPr>
      <w:tabs>
        <w:tab w:val="num" w:pos="2835"/>
      </w:tabs>
      <w:ind w:left="2835" w:hanging="709"/>
    </w:p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rFonts w:ascii="Times New Roman" w:hAnsi="Times New Roman" w:cs="Times New Roman"/>
      <w:sz w:val="24"/>
      <w:lang w:val="ro-RO"/>
    </w:rPr>
  </w:style>
  <w:style w:type="character" w:customStyle="1" w:styleId="FooterSensitivityChar">
    <w:name w:val="Footer Sensitivity Char"/>
    <w:rPr>
      <w:rFonts w:ascii="Times New Roman" w:eastAsia="Calibri" w:hAnsi="Times New Roman"/>
      <w:b/>
      <w:sz w:val="32"/>
      <w:szCs w:val="22"/>
      <w:lang w:eastAsia="ro-RO"/>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rFonts w:ascii="Times New Roman" w:hAnsi="Times New Roman" w:cs="Times New Roman"/>
      <w:sz w:val="24"/>
      <w:lang w:val="ro-RO"/>
    </w:rPr>
  </w:style>
  <w:style w:type="character" w:customStyle="1" w:styleId="HeaderSensitivityChar">
    <w:name w:val="Header Sensitivity Char"/>
    <w:rPr>
      <w:rFonts w:ascii="Times New Roman" w:eastAsia="Calibri" w:hAnsi="Times New Roman"/>
      <w:b/>
      <w:sz w:val="32"/>
      <w:szCs w:val="22"/>
      <w:lang w:eastAsia="ro-RO"/>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ro-RO"/>
    </w:rPr>
  </w:style>
  <w:style w:type="character" w:styleId="EndnoteReference">
    <w:name w:val="endnote reference"/>
    <w:uiPriority w:val="99"/>
    <w:semiHidden/>
    <w:unhideWhenUsed/>
    <w:rPr>
      <w:vertAlign w:val="superscript"/>
    </w:rPr>
  </w:style>
  <w:style w:type="numbering" w:customStyle="1" w:styleId="NoList2">
    <w:name w:val="No List2"/>
    <w:next w:val="NoList"/>
    <w:uiPriority w:val="99"/>
    <w:semiHidden/>
    <w:unhideWhenUsed/>
  </w:style>
  <w:style w:type="numbering" w:customStyle="1" w:styleId="NoList11">
    <w:name w:val="No List11"/>
    <w:next w:val="NoList"/>
    <w:uiPriority w:val="99"/>
    <w:semiHidden/>
    <w:unhideWhenUsed/>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hAnsi="Arial" w:cs="Arial"/>
      <w:sz w:val="22"/>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hAnsi="Arial" w:cs="Arial"/>
      <w:i/>
      <w:iCs/>
      <w:sz w:val="22"/>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hAnsi="Arial" w:cs="Arial"/>
      <w:sz w:val="20"/>
      <w:szCs w:val="20"/>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hAnsi="Arial" w:cs="Arial"/>
      <w:i/>
      <w:iCs/>
      <w:sz w:val="20"/>
      <w:szCs w:val="20"/>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hAnsi="Arial" w:cs="Arial"/>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character" w:customStyle="1" w:styleId="Heading5Char">
    <w:name w:val="Heading 5 Char"/>
    <w:basedOn w:val="DefaultParagraphFont"/>
    <w:link w:val="Heading5"/>
    <w:uiPriority w:val="99"/>
    <w:rPr>
      <w:rFonts w:ascii="Arial" w:hAnsi="Arial" w:cs="Arial"/>
      <w:lang w:val="ro-RO" w:eastAsia="ro-RO"/>
    </w:rPr>
  </w:style>
  <w:style w:type="character" w:customStyle="1" w:styleId="Heading6Char">
    <w:name w:val="Heading 6 Char"/>
    <w:basedOn w:val="DefaultParagraphFont"/>
    <w:link w:val="Heading6"/>
    <w:uiPriority w:val="99"/>
    <w:rPr>
      <w:rFonts w:ascii="Arial" w:hAnsi="Arial" w:cs="Arial"/>
      <w:i/>
      <w:iCs/>
      <w:lang w:val="ro-RO" w:eastAsia="ro-RO"/>
    </w:rPr>
  </w:style>
  <w:style w:type="character" w:customStyle="1" w:styleId="Heading7Char">
    <w:name w:val="Heading 7 Char"/>
    <w:basedOn w:val="DefaultParagraphFont"/>
    <w:link w:val="Heading7"/>
    <w:uiPriority w:val="99"/>
    <w:rPr>
      <w:rFonts w:ascii="Arial" w:hAnsi="Arial" w:cs="Arial"/>
      <w:sz w:val="20"/>
      <w:szCs w:val="20"/>
      <w:lang w:val="ro-RO" w:eastAsia="ro-RO"/>
    </w:rPr>
  </w:style>
  <w:style w:type="character" w:customStyle="1" w:styleId="Heading8Char">
    <w:name w:val="Heading 8 Char"/>
    <w:basedOn w:val="DefaultParagraphFont"/>
    <w:link w:val="Heading8"/>
    <w:uiPriority w:val="9"/>
    <w:rPr>
      <w:rFonts w:ascii="Arial" w:hAnsi="Arial" w:cs="Arial"/>
      <w:i/>
      <w:iCs/>
      <w:sz w:val="20"/>
      <w:szCs w:val="20"/>
      <w:lang w:val="ro-RO" w:eastAsia="ro-RO"/>
    </w:rPr>
  </w:style>
  <w:style w:type="character" w:customStyle="1" w:styleId="Heading9Char">
    <w:name w:val="Heading 9 Char"/>
    <w:basedOn w:val="DefaultParagraphFont"/>
    <w:link w:val="Heading9"/>
    <w:uiPriority w:val="99"/>
    <w:rPr>
      <w:rFonts w:ascii="Arial" w:hAnsi="Arial" w:cs="Arial"/>
      <w:i/>
      <w:iCs/>
      <w:sz w:val="18"/>
      <w:szCs w:val="18"/>
      <w:lang w:val="ro-RO" w:eastAsia="ro-RO"/>
    </w:rPr>
  </w:style>
  <w:style w:type="paragraph" w:customStyle="1" w:styleId="Sous-titreobjet">
    <w:name w:val="Sous-titre objet"/>
    <w:basedOn w:val="Titreobjet"/>
    <w:uiPriority w:val="99"/>
    <w:pPr>
      <w:autoSpaceDE w:val="0"/>
      <w:autoSpaceDN w:val="0"/>
      <w:spacing w:before="0" w:after="0"/>
    </w:pPr>
    <w:rPr>
      <w:bCs/>
      <w:szCs w:val="24"/>
    </w:rPr>
  </w:style>
  <w:style w:type="paragraph" w:customStyle="1" w:styleId="FichedimpactPMEtitre">
    <w:name w:val="Fiche d'impact PME titre"/>
    <w:basedOn w:val="Normal"/>
    <w:next w:val="Normal"/>
    <w:uiPriority w:val="99"/>
    <w:pPr>
      <w:autoSpaceDE w:val="0"/>
      <w:autoSpaceDN w:val="0"/>
      <w:jc w:val="center"/>
    </w:pPr>
    <w:rPr>
      <w:b/>
      <w:bCs/>
      <w:szCs w:val="24"/>
    </w:rPr>
  </w:style>
  <w:style w:type="paragraph" w:customStyle="1" w:styleId="Fichefinanciretextetable">
    <w:name w:val="Fiche financière texte (table)"/>
    <w:basedOn w:val="Normal"/>
    <w:uiPriority w:val="99"/>
    <w:pPr>
      <w:autoSpaceDE w:val="0"/>
      <w:autoSpaceDN w:val="0"/>
      <w:spacing w:before="0" w:after="0"/>
      <w:jc w:val="left"/>
    </w:pPr>
    <w:rPr>
      <w:sz w:val="20"/>
      <w:szCs w:val="20"/>
    </w:rPr>
  </w:style>
  <w:style w:type="paragraph" w:customStyle="1" w:styleId="Fichefinanciretitreactetable">
    <w:name w:val="Fiche financière titre (acte table)"/>
    <w:basedOn w:val="Normal"/>
    <w:next w:val="Normal"/>
    <w:uiPriority w:val="99"/>
    <w:pPr>
      <w:autoSpaceDE w:val="0"/>
      <w:autoSpaceDN w:val="0"/>
      <w:jc w:val="center"/>
    </w:pPr>
    <w:rPr>
      <w:b/>
      <w:bCs/>
      <w:sz w:val="40"/>
      <w:szCs w:val="40"/>
    </w:rPr>
  </w:style>
  <w:style w:type="paragraph" w:customStyle="1" w:styleId="Fichefinanciretitretable">
    <w:name w:val="Fiche financière titre (table)"/>
    <w:basedOn w:val="Normal"/>
    <w:uiPriority w:val="99"/>
    <w:pPr>
      <w:autoSpaceDE w:val="0"/>
      <w:autoSpaceDN w:val="0"/>
      <w:jc w:val="center"/>
    </w:pPr>
    <w:rPr>
      <w:b/>
      <w:bCs/>
      <w:sz w:val="40"/>
      <w:szCs w:val="40"/>
    </w:rPr>
  </w:style>
  <w:style w:type="character" w:styleId="PageNumber">
    <w:name w:val="page number"/>
    <w:uiPriority w:val="99"/>
  </w:style>
  <w:style w:type="paragraph" w:styleId="TOAHeading">
    <w:name w:val="toa heading"/>
    <w:basedOn w:val="Normal"/>
    <w:next w:val="Normal"/>
    <w:uiPriority w:val="99"/>
    <w:pPr>
      <w:autoSpaceDE w:val="0"/>
      <w:autoSpaceDN w:val="0"/>
    </w:pPr>
    <w:rPr>
      <w:rFonts w:ascii="Arial" w:hAnsi="Arial" w:cs="Arial"/>
      <w:b/>
      <w:bCs/>
      <w:szCs w:val="24"/>
    </w:rPr>
  </w:style>
  <w:style w:type="character" w:customStyle="1" w:styleId="CRMarker">
    <w:name w:val="CR Marker"/>
    <w:uiPriority w:val="99"/>
    <w:rPr>
      <w:rFonts w:ascii="Wingdings" w:hAnsi="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szCs w:val="24"/>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szCs w:val="24"/>
    </w:r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pPr>
      <w:autoSpaceDE w:val="0"/>
      <w:autoSpaceDN w:val="0"/>
    </w:pPr>
    <w:rPr>
      <w:szCs w:val="24"/>
    </w:rPr>
  </w:style>
  <w:style w:type="character" w:customStyle="1" w:styleId="CRTextDeleted">
    <w:name w:val="CR TextDeleted"/>
    <w:uiPriority w:val="99"/>
  </w:style>
  <w:style w:type="paragraph" w:customStyle="1" w:styleId="Titredumodificateur">
    <w:name w:val="Titre du modificateur"/>
    <w:basedOn w:val="Normal"/>
    <w:next w:val="Normal"/>
    <w:uiPriority w:val="99"/>
    <w:pPr>
      <w:autoSpaceDE w:val="0"/>
      <w:autoSpaceDN w:val="0"/>
      <w:spacing w:before="240" w:after="60"/>
      <w:jc w:val="left"/>
    </w:pPr>
    <w:rPr>
      <w:b/>
      <w:bCs/>
      <w:szCs w:val="24"/>
    </w:rPr>
  </w:style>
  <w:style w:type="paragraph" w:customStyle="1" w:styleId="Referencedumodificateur">
    <w:name w:val="Reference du modificateur"/>
    <w:basedOn w:val="Normal"/>
    <w:next w:val="Normal"/>
    <w:uiPriority w:val="99"/>
    <w:pPr>
      <w:autoSpaceDE w:val="0"/>
      <w:autoSpaceDN w:val="0"/>
      <w:spacing w:before="0"/>
      <w:jc w:val="left"/>
    </w:pPr>
    <w:rPr>
      <w:szCs w:val="24"/>
    </w:rPr>
  </w:style>
  <w:style w:type="character" w:customStyle="1" w:styleId="CRDeleted">
    <w:name w:val="CR Deleted"/>
    <w:rPr>
      <w:dstrike/>
      <w:lang w:val="ro-RO" w:eastAsia="ro-RO"/>
    </w:rPr>
  </w:style>
  <w:style w:type="character" w:customStyle="1" w:styleId="CRRefonteDeleted">
    <w:name w:val="CR Refonte Deleted"/>
    <w:rPr>
      <w:dstrike/>
      <w:lang w:val="ro-RO" w:eastAsia="ro-RO"/>
    </w:rPr>
  </w:style>
  <w:style w:type="character" w:customStyle="1" w:styleId="CRMinorChangeDeleted">
    <w:name w:val="CR Minor Change Deleted"/>
    <w:rPr>
      <w:dstrike/>
      <w:u w:val="double"/>
      <w:lang w:val="ro-RO" w:eastAsia="ro-RO"/>
    </w:rPr>
  </w:style>
  <w:style w:type="character" w:customStyle="1" w:styleId="CRMinorChangeAdded">
    <w:name w:val="CR Minor Change Added"/>
    <w:rPr>
      <w:u w:val="double"/>
      <w:lang w:val="ro-RO" w:eastAsia="ro-RO"/>
    </w:rPr>
  </w:style>
  <w:style w:type="paragraph" w:styleId="ListParagraph">
    <w:name w:val="List Paragraph"/>
    <w:basedOn w:val="Normal"/>
    <w:uiPriority w:val="34"/>
    <w:qFormat/>
    <w:pPr>
      <w:spacing w:before="0" w:after="200" w:line="276" w:lineRule="auto"/>
      <w:ind w:left="720"/>
      <w:contextualSpacing/>
      <w:jc w:val="left"/>
    </w:pPr>
    <w:rPr>
      <w:rFonts w:ascii="Calibri" w:hAnsi="Calibri"/>
      <w:sz w:val="22"/>
    </w:rPr>
  </w:style>
  <w:style w:type="paragraph" w:styleId="Revision">
    <w:name w:val="Revision"/>
    <w:hidden/>
    <w:uiPriority w:val="99"/>
    <w:semiHidden/>
    <w:rPr>
      <w:rFonts w:ascii="Times New Roman" w:hAnsi="Times New Roman"/>
      <w:sz w:val="24"/>
      <w:szCs w:val="24"/>
    </w:rPr>
  </w:style>
  <w:style w:type="numbering" w:customStyle="1" w:styleId="NoList1">
    <w:name w:val="No List1"/>
    <w:next w:val="NoList"/>
    <w:uiPriority w:val="99"/>
    <w:semiHidden/>
    <w:unhideWhenUsed/>
  </w:style>
  <w:style w:type="paragraph" w:customStyle="1" w:styleId="ListDash1">
    <w:name w:val="List Dash 1"/>
    <w:basedOn w:val="Normal"/>
    <w:pPr>
      <w:numPr>
        <w:numId w:val="10"/>
      </w:numPr>
      <w:tabs>
        <w:tab w:val="clear" w:pos="1134"/>
        <w:tab w:val="num" w:pos="1417"/>
      </w:tabs>
      <w:ind w:left="1417" w:hanging="567"/>
    </w:pPr>
  </w:style>
  <w:style w:type="paragraph" w:customStyle="1" w:styleId="ListDash2">
    <w:name w:val="List Dash 2"/>
    <w:basedOn w:val="Normal"/>
    <w:pPr>
      <w:numPr>
        <w:numId w:val="11"/>
      </w:numPr>
      <w:tabs>
        <w:tab w:val="clear" w:pos="1134"/>
        <w:tab w:val="num" w:pos="1984"/>
      </w:tabs>
      <w:ind w:left="1984" w:hanging="567"/>
    </w:pPr>
  </w:style>
  <w:style w:type="paragraph" w:customStyle="1" w:styleId="ListNumberLevel2">
    <w:name w:val="List Number (Level 2)"/>
    <w:basedOn w:val="Normal"/>
    <w:pPr>
      <w:tabs>
        <w:tab w:val="num" w:pos="1417"/>
      </w:tabs>
      <w:ind w:left="1417" w:hanging="708"/>
    </w:pPr>
  </w:style>
  <w:style w:type="paragraph" w:customStyle="1" w:styleId="ListNumberLevel3">
    <w:name w:val="List Number (Level 3)"/>
    <w:basedOn w:val="Normal"/>
    <w:pPr>
      <w:tabs>
        <w:tab w:val="num" w:pos="2126"/>
      </w:tabs>
      <w:ind w:left="2126" w:hanging="709"/>
    </w:pPr>
  </w:style>
  <w:style w:type="paragraph" w:customStyle="1" w:styleId="ListNumberLevel4">
    <w:name w:val="List Number (Level 4)"/>
    <w:basedOn w:val="Normal"/>
    <w:pPr>
      <w:tabs>
        <w:tab w:val="num" w:pos="2835"/>
      </w:tabs>
      <w:ind w:left="2835" w:hanging="709"/>
    </w:p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rFonts w:ascii="Times New Roman" w:hAnsi="Times New Roman" w:cs="Times New Roman"/>
      <w:sz w:val="24"/>
      <w:lang w:val="ro-RO"/>
    </w:rPr>
  </w:style>
  <w:style w:type="character" w:customStyle="1" w:styleId="FooterSensitivityChar">
    <w:name w:val="Footer Sensitivity Char"/>
    <w:rPr>
      <w:rFonts w:ascii="Times New Roman" w:eastAsia="Calibri" w:hAnsi="Times New Roman"/>
      <w:b/>
      <w:sz w:val="32"/>
      <w:szCs w:val="22"/>
      <w:lang w:eastAsia="ro-RO"/>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rFonts w:ascii="Times New Roman" w:hAnsi="Times New Roman" w:cs="Times New Roman"/>
      <w:sz w:val="24"/>
      <w:lang w:val="ro-RO"/>
    </w:rPr>
  </w:style>
  <w:style w:type="character" w:customStyle="1" w:styleId="HeaderSensitivityChar">
    <w:name w:val="Header Sensitivity Char"/>
    <w:rPr>
      <w:rFonts w:ascii="Times New Roman" w:eastAsia="Calibri" w:hAnsi="Times New Roman"/>
      <w:b/>
      <w:sz w:val="32"/>
      <w:szCs w:val="22"/>
      <w:lang w:eastAsia="ro-RO"/>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ro-RO"/>
    </w:rPr>
  </w:style>
  <w:style w:type="character" w:styleId="EndnoteReference">
    <w:name w:val="endnote reference"/>
    <w:uiPriority w:val="99"/>
    <w:semiHidden/>
    <w:unhideWhenUsed/>
    <w:rPr>
      <w:vertAlign w:val="superscript"/>
    </w:rPr>
  </w:style>
  <w:style w:type="numbering" w:customStyle="1" w:styleId="NoList2">
    <w:name w:val="No List2"/>
    <w:next w:val="NoList"/>
    <w:uiPriority w:val="99"/>
    <w:semiHidden/>
    <w:unhideWhenUsed/>
  </w:style>
  <w:style w:type="numbering" w:customStyle="1" w:styleId="NoList11">
    <w:name w:val="No List11"/>
    <w:next w:val="NoList"/>
    <w:uiPriority w:val="99"/>
    <w:semiHidden/>
    <w:unhideWhenUsed/>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82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myintracomm.ec.europa.eu/budgweb/EN/bud/mff/Pages/mff-post-2020.aspx"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8.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urostat/documents/6939681/7070380/Annualreport2018.pdf/97053a94-29eb-4e93-8883-e826426e3d55" TargetMode="External"/><Relationship Id="rId1" Type="http://schemas.openxmlformats.org/officeDocument/2006/relationships/hyperlink" Target="https://myintracomm.ec.europa.eu/budgweb/EN/man/budgmanag/Pages/budgmanag.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19a48bd3-01e5-4b0a-ab1b-5f44f21a8f26">EN</EC_Collab_DocumentLanguage>
    <EC_Collab_Reference xmlns="19a48bd3-01e5-4b0a-ab1b-5f44f21a8f26" xsi:nil="true"/>
    <EC_Collab_Status xmlns="19a48bd3-01e5-4b0a-ab1b-5f44f21a8f26">Not Started</EC_Collab_Status>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6A1ACB337097EF419828F048E067D9D0" ma:contentTypeVersion="8" ma:contentTypeDescription="Create a new document in this library." ma:contentTypeScope="" ma:versionID="913699de4daf75befea73083541c3fb8">
  <xsd:schema xmlns:xsd="http://www.w3.org/2001/XMLSchema" xmlns:xs="http://www.w3.org/2001/XMLSchema" xmlns:p="http://schemas.microsoft.com/office/2006/metadata/properties" xmlns:ns3="19a48bd3-01e5-4b0a-ab1b-5f44f21a8f26" targetNamespace="http://schemas.microsoft.com/office/2006/metadata/properties" ma:root="true" ma:fieldsID="86ea05015fc907d0770a3dd85998b828" ns3:_="">
    <xsd:import namespace="19a48bd3-01e5-4b0a-ab1b-5f44f21a8f26"/>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a48bd3-01e5-4b0a-ab1b-5f44f21a8f2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14929F1-3722-4A03-A4D9-AC202D0DA9C7}">
  <ds:schemaRefs>
    <ds:schemaRef ds:uri="19a48bd3-01e5-4b0a-ab1b-5f44f21a8f26"/>
    <ds:schemaRef ds:uri="http://purl.org/dc/terms/"/>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schemas.microsoft.com/office/2006/documentManagement/types"/>
    <ds:schemaRef ds:uri="http://www.w3.org/XML/1998/namespace"/>
    <ds:schemaRef ds:uri="http://purl.org/dc/elements/1.1/"/>
  </ds:schemaRefs>
</ds:datastoreItem>
</file>

<file path=customXml/itemProps2.xml><?xml version="1.0" encoding="utf-8"?>
<ds:datastoreItem xmlns:ds="http://schemas.openxmlformats.org/officeDocument/2006/customXml" ds:itemID="{0E6956C5-40C6-45F2-A8CA-4AEAA3BDD5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a48bd3-01e5-4b0a-ab1b-5f44f21a8f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979A64-4AE3-4076-B211-52DBDA0DFAAF}">
  <ds:schemaRefs>
    <ds:schemaRef ds:uri="http://schemas.microsoft.com/sharepoint/v3/contenttype/forms"/>
  </ds:schemaRefs>
</ds:datastoreItem>
</file>

<file path=customXml/itemProps4.xml><?xml version="1.0" encoding="utf-8"?>
<ds:datastoreItem xmlns:ds="http://schemas.openxmlformats.org/officeDocument/2006/customXml" ds:itemID="{73EF12D1-C42A-427B-835F-FEDF3C275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30</Pages>
  <Words>9148</Words>
  <Characters>54891</Characters>
  <Application>Microsoft Office Word</Application>
  <DocSecurity>0</DocSecurity>
  <Lines>1568</Lines>
  <Paragraphs>842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WES PDFC Administrator</cp:lastModifiedBy>
  <cp:revision>19</cp:revision>
  <dcterms:created xsi:type="dcterms:W3CDTF">2019-07-05T14:06:00Z</dcterms:created>
  <dcterms:modified xsi:type="dcterms:W3CDTF">2019-07-10T11:14:00Z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ContentTypeId">
    <vt:lpwstr>0x010100258AA79CEB83498886A3A08681123250006A1ACB337097EF419828F048E067D9D0</vt:lpwstr>
  </property>
  <property fmtid="{D5CDD505-2E9C-101B-9397-08002B2CF9AE}" pid="11" name="DQCStatus">
    <vt:lpwstr>Green (DQC version 03)</vt:lpwstr>
  </property>
</Properties>
</file>