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91C" w:rsidRDefault="00851248" w:rsidP="00851248">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766AA55-E423-487F-9E87-859607D16AC8" style="width:450.4pt;height:348.3pt">
            <v:imagedata r:id="rId8" o:title=""/>
          </v:shape>
        </w:pict>
      </w:r>
    </w:p>
    <w:bookmarkEnd w:id="0"/>
    <w:p w:rsidR="0012591C" w:rsidRDefault="0012591C">
      <w:pPr>
        <w:pStyle w:val="Pagedecouverture"/>
        <w:rPr>
          <w:noProof/>
        </w:rPr>
        <w:sectPr w:rsidR="0012591C" w:rsidSect="0085124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600" w:charSpace="36864"/>
        </w:sectPr>
      </w:pPr>
    </w:p>
    <w:p w:rsidR="0012591C" w:rsidRDefault="00851248">
      <w:pPr>
        <w:spacing w:after="0" w:line="100" w:lineRule="atLeast"/>
        <w:jc w:val="right"/>
        <w:rPr>
          <w:rFonts w:ascii="Times New Roman" w:hAnsi="Times New Roman" w:cs="Times New Roman"/>
          <w:noProof/>
          <w:sz w:val="24"/>
          <w:szCs w:val="24"/>
        </w:rPr>
      </w:pPr>
      <w:r>
        <w:rPr>
          <w:rFonts w:ascii="Times New Roman" w:hAnsi="Times New Roman"/>
          <w:noProof/>
          <w:sz w:val="24"/>
          <w:szCs w:val="24"/>
        </w:rPr>
        <w:lastRenderedPageBreak/>
        <w:t>«Je veux une Europe plus ambitieuse en matière d’équité sociale</w:t>
      </w:r>
    </w:p>
    <w:p w:rsidR="0012591C" w:rsidRDefault="00851248">
      <w:pPr>
        <w:spacing w:after="0" w:line="100" w:lineRule="atLeast"/>
        <w:jc w:val="right"/>
        <w:rPr>
          <w:rFonts w:ascii="Times New Roman" w:hAnsi="Times New Roman" w:cs="Times New Roman"/>
          <w:bCs/>
          <w:noProof/>
          <w:sz w:val="24"/>
          <w:szCs w:val="24"/>
        </w:rPr>
      </w:pPr>
      <w:r>
        <w:rPr>
          <w:rFonts w:ascii="Times New Roman" w:hAnsi="Times New Roman"/>
          <w:noProof/>
          <w:sz w:val="24"/>
          <w:szCs w:val="24"/>
        </w:rPr>
        <w:t xml:space="preserve">  et de prospérité. C’est en effet la promesse fondatrice de notre Union.»</w:t>
      </w:r>
    </w:p>
    <w:p w:rsidR="0012591C" w:rsidRDefault="00851248">
      <w:pPr>
        <w:spacing w:after="0" w:line="100" w:lineRule="atLeast"/>
        <w:jc w:val="right"/>
        <w:rPr>
          <w:rFonts w:ascii="Times New Roman" w:hAnsi="Times New Roman" w:cs="Times New Roman"/>
          <w:b/>
          <w:bCs/>
          <w:smallCaps/>
          <w:noProof/>
          <w:sz w:val="24"/>
          <w:szCs w:val="24"/>
        </w:rPr>
      </w:pPr>
      <w:r>
        <w:rPr>
          <w:rFonts w:ascii="Times New Roman" w:hAnsi="Times New Roman"/>
          <w:bCs/>
          <w:noProof/>
          <w:sz w:val="24"/>
          <w:szCs w:val="24"/>
        </w:rPr>
        <w:t>Ursula</w:t>
      </w:r>
      <w:r>
        <w:rPr>
          <w:rFonts w:ascii="Times New Roman" w:hAnsi="Times New Roman"/>
          <w:bCs/>
          <w:noProof/>
          <w:sz w:val="24"/>
          <w:szCs w:val="24"/>
        </w:rPr>
        <w:t xml:space="preserve"> von der Leyen, 16 juillet 2019</w:t>
      </w:r>
    </w:p>
    <w:p w:rsidR="0012591C" w:rsidRDefault="0012591C">
      <w:pPr>
        <w:jc w:val="both"/>
        <w:rPr>
          <w:rFonts w:ascii="Times New Roman" w:hAnsi="Times New Roman" w:cs="Times New Roman"/>
          <w:b/>
          <w:bCs/>
          <w:smallCaps/>
          <w:noProof/>
          <w:sz w:val="24"/>
          <w:szCs w:val="24"/>
        </w:rPr>
      </w:pPr>
    </w:p>
    <w:p w:rsidR="0012591C" w:rsidRDefault="00851248">
      <w:pPr>
        <w:jc w:val="both"/>
        <w:rPr>
          <w:rFonts w:ascii="Times New Roman" w:hAnsi="Times New Roman"/>
          <w:b/>
          <w:bCs/>
          <w:noProof/>
          <w:sz w:val="24"/>
          <w:szCs w:val="24"/>
        </w:rPr>
      </w:pPr>
      <w:r>
        <w:rPr>
          <w:rFonts w:ascii="Times New Roman" w:hAnsi="Times New Roman"/>
          <w:b/>
          <w:bCs/>
          <w:smallCaps/>
          <w:noProof/>
          <w:sz w:val="24"/>
          <w:szCs w:val="24"/>
        </w:rPr>
        <w:t>Introduction</w:t>
      </w:r>
    </w:p>
    <w:p w:rsidR="0012591C" w:rsidRDefault="00851248">
      <w:pPr>
        <w:jc w:val="both"/>
        <w:rPr>
          <w:rFonts w:ascii="Times New Roman" w:hAnsi="Times New Roman" w:cs="Times New Roman"/>
          <w:b/>
          <w:noProof/>
          <w:color w:val="000000"/>
          <w:sz w:val="24"/>
          <w:szCs w:val="24"/>
        </w:rPr>
      </w:pPr>
      <w:r>
        <w:rPr>
          <w:rFonts w:ascii="Times New Roman" w:hAnsi="Times New Roman"/>
          <w:b/>
          <w:bCs/>
          <w:noProof/>
          <w:sz w:val="24"/>
          <w:szCs w:val="24"/>
        </w:rPr>
        <w:t>La croissance économique n’est pas une fin en soi. Une économie doit être au service des citoyens et de la planète.</w:t>
      </w:r>
      <w:r>
        <w:rPr>
          <w:rFonts w:ascii="Times New Roman" w:hAnsi="Times New Roman"/>
          <w:noProof/>
          <w:sz w:val="24"/>
          <w:szCs w:val="24"/>
        </w:rPr>
        <w:t xml:space="preserve"> Les préoccupations climatiques et environnementales, le progrès technologique et le changement démographique sont appelés à transformer nos sociétés en profondeur. L’Union européenne et ses États membres doivent maintenant réagir à ces mutations structure</w:t>
      </w:r>
      <w:r>
        <w:rPr>
          <w:rFonts w:ascii="Times New Roman" w:hAnsi="Times New Roman"/>
          <w:noProof/>
          <w:sz w:val="24"/>
          <w:szCs w:val="24"/>
        </w:rPr>
        <w:t xml:space="preserve">lles en proposant un nouveau modèle de croissance, qui respectera les restrictions d’utilisation de nos ressources naturelles et garantira la création d’emplois et une prospérité durable pour l’avenir. </w:t>
      </w:r>
    </w:p>
    <w:p w:rsidR="0012591C" w:rsidRDefault="00851248">
      <w:pPr>
        <w:jc w:val="both"/>
        <w:rPr>
          <w:rFonts w:ascii="Times New Roman" w:hAnsi="Times New Roman" w:cs="Times New Roman"/>
          <w:noProof/>
          <w:color w:val="000000"/>
          <w:sz w:val="24"/>
          <w:szCs w:val="24"/>
        </w:rPr>
      </w:pPr>
      <w:r>
        <w:rPr>
          <w:rFonts w:ascii="Times New Roman" w:hAnsi="Times New Roman"/>
          <w:b/>
          <w:noProof/>
          <w:sz w:val="24"/>
          <w:szCs w:val="24"/>
        </w:rPr>
        <w:t xml:space="preserve">L’économie européenne a passé avec succès les années </w:t>
      </w:r>
      <w:r>
        <w:rPr>
          <w:rFonts w:ascii="Times New Roman" w:hAnsi="Times New Roman"/>
          <w:b/>
          <w:noProof/>
          <w:sz w:val="24"/>
          <w:szCs w:val="24"/>
        </w:rPr>
        <w:t xml:space="preserve">de gestion de la crise financière. </w:t>
      </w:r>
      <w:r>
        <w:rPr>
          <w:rFonts w:ascii="Times New Roman" w:hAnsi="Times New Roman"/>
          <w:noProof/>
          <w:sz w:val="24"/>
          <w:szCs w:val="24"/>
        </w:rPr>
        <w:t>Alors qu’elle se trouve aujourd’hui dans sa septième année de croissance consécutive, les perspectives extérieures et géopolitiques s’assombrissent, les incertitudes sont grandes et l’Europe semble se diriger vers une pér</w:t>
      </w:r>
      <w:r>
        <w:rPr>
          <w:rFonts w:ascii="Times New Roman" w:hAnsi="Times New Roman"/>
          <w:noProof/>
          <w:sz w:val="24"/>
          <w:szCs w:val="24"/>
        </w:rPr>
        <w:t xml:space="preserve">iode de croissance modérée et de faible inflation. </w:t>
      </w:r>
    </w:p>
    <w:p w:rsidR="0012591C" w:rsidRDefault="00851248">
      <w:pPr>
        <w:jc w:val="both"/>
        <w:rPr>
          <w:rFonts w:ascii="Times New Roman" w:hAnsi="Times New Roman" w:cs="Times New Roman"/>
          <w:bCs/>
          <w:noProof/>
          <w:color w:val="000000"/>
          <w:sz w:val="24"/>
          <w:szCs w:val="24"/>
        </w:rPr>
      </w:pPr>
      <w:r>
        <w:rPr>
          <w:rFonts w:ascii="Times New Roman" w:hAnsi="Times New Roman"/>
          <w:b/>
          <w:noProof/>
          <w:sz w:val="24"/>
          <w:szCs w:val="24"/>
        </w:rPr>
        <w:t>Pour rester compétitifs dans le monde de demain et atteindre l’objectif de neutralité climatique que l’Europe s'est fixé, nous devons à présent nous atteler à relever les défis qui se poseront à l’économi</w:t>
      </w:r>
      <w:r>
        <w:rPr>
          <w:rFonts w:ascii="Times New Roman" w:hAnsi="Times New Roman"/>
          <w:b/>
          <w:noProof/>
          <w:sz w:val="24"/>
          <w:szCs w:val="24"/>
        </w:rPr>
        <w:t xml:space="preserve">e à plus long terme. </w:t>
      </w:r>
      <w:r>
        <w:rPr>
          <w:rFonts w:ascii="Times New Roman" w:hAnsi="Times New Roman"/>
          <w:bCs/>
          <w:noProof/>
          <w:sz w:val="24"/>
          <w:szCs w:val="24"/>
        </w:rPr>
        <w:t>L’entrée en fonction d’une nouvelle Commission proposant un ambitieux pacte vert pour l’Europe et fixant ses priorités sur une Europe au service des personnes et une Europe adaptée à l’ère du numérique est un moment propice à un nouvea</w:t>
      </w:r>
      <w:r>
        <w:rPr>
          <w:rFonts w:ascii="Times New Roman" w:hAnsi="Times New Roman"/>
          <w:bCs/>
          <w:noProof/>
          <w:sz w:val="24"/>
          <w:szCs w:val="24"/>
        </w:rPr>
        <w:t xml:space="preserve">u départ vers ce nouveau modèle de croissance durable. </w:t>
      </w:r>
    </w:p>
    <w:p w:rsidR="0012591C" w:rsidRDefault="00851248">
      <w:pPr>
        <w:jc w:val="both"/>
        <w:rPr>
          <w:rFonts w:ascii="Times New Roman" w:hAnsi="Times New Roman" w:cs="Times New Roman"/>
          <w:noProof/>
          <w:color w:val="000000"/>
          <w:sz w:val="24"/>
          <w:szCs w:val="24"/>
        </w:rPr>
      </w:pPr>
      <w:r>
        <w:rPr>
          <w:rFonts w:ascii="Times New Roman" w:hAnsi="Times New Roman"/>
          <w:b/>
          <w:noProof/>
          <w:sz w:val="24"/>
          <w:szCs w:val="24"/>
        </w:rPr>
        <w:t>Ce programme économique doit transformer l’Union en une économie durable, aidant cette dernière et ses États membres à atteindre les objectifs de développement durable des Nations unies qu’ils se sont</w:t>
      </w:r>
      <w:r>
        <w:rPr>
          <w:rFonts w:ascii="Times New Roman" w:hAnsi="Times New Roman"/>
          <w:b/>
          <w:noProof/>
          <w:sz w:val="24"/>
          <w:szCs w:val="24"/>
        </w:rPr>
        <w:t xml:space="preserve"> engagés à respecter</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Il doit stimuler et accompagner la transition à la fois numérique et climatique, transformant notre économie sociale de marché pour permettre à l’Europe de continuer de disposer des systèmes de protection sociale les plus avancés au m</w:t>
      </w:r>
      <w:r>
        <w:rPr>
          <w:rFonts w:ascii="Times New Roman" w:hAnsi="Times New Roman"/>
          <w:noProof/>
          <w:sz w:val="24"/>
          <w:szCs w:val="24"/>
        </w:rPr>
        <w:t xml:space="preserve">onde et d’être un pôle dynamique d’innovation et d’entrepreneuriat compétitif. </w:t>
      </w:r>
    </w:p>
    <w:p w:rsidR="0012591C" w:rsidRDefault="00851248">
      <w:pPr>
        <w:jc w:val="both"/>
        <w:rPr>
          <w:rFonts w:ascii="Times New Roman" w:hAnsi="Times New Roman" w:cs="Times New Roman"/>
          <w:noProof/>
          <w:color w:val="000000"/>
          <w:sz w:val="24"/>
          <w:szCs w:val="24"/>
        </w:rPr>
      </w:pPr>
      <w:r>
        <w:rPr>
          <w:rFonts w:ascii="Times New Roman" w:hAnsi="Times New Roman"/>
          <w:b/>
          <w:noProof/>
          <w:sz w:val="24"/>
          <w:szCs w:val="24"/>
        </w:rPr>
        <w:t xml:space="preserve">Le pacte vert pour l’Europe est notre nouvelle stratégie de croissance. Il place la durabilité – dans tous les sens du terme – et le bien-être des citoyens au cœur de notre </w:t>
      </w:r>
      <w:r>
        <w:rPr>
          <w:rFonts w:ascii="Times New Roman" w:hAnsi="Times New Roman"/>
          <w:b/>
          <w:noProof/>
          <w:sz w:val="24"/>
          <w:szCs w:val="24"/>
        </w:rPr>
        <w:t>action. Pour ce faire, il faut concilier quatre dimensions: environnement, productivité, stabilité et équité.</w:t>
      </w:r>
      <w:r>
        <w:rPr>
          <w:rFonts w:ascii="Times New Roman" w:hAnsi="Times New Roman"/>
          <w:noProof/>
          <w:sz w:val="24"/>
          <w:szCs w:val="24"/>
        </w:rPr>
        <w:t xml:space="preserve"> </w:t>
      </w:r>
    </w:p>
    <w:p w:rsidR="0012591C" w:rsidRDefault="00851248">
      <w:pPr>
        <w:jc w:val="both"/>
        <w:rPr>
          <w:rFonts w:ascii="Times New Roman" w:hAnsi="Times New Roman" w:cs="Times New Roman"/>
          <w:noProof/>
          <w:color w:val="000000"/>
          <w:sz w:val="24"/>
          <w:szCs w:val="24"/>
        </w:rPr>
      </w:pPr>
      <w:r>
        <w:rPr>
          <w:rFonts w:ascii="Times New Roman" w:hAnsi="Times New Roman"/>
          <w:noProof/>
          <w:sz w:val="24"/>
          <w:szCs w:val="24"/>
        </w:rPr>
        <w:t>Notre stratégie de croissance est axée sur quatre dimensions complémentaires.</w:t>
      </w:r>
    </w:p>
    <w:p w:rsidR="0012591C" w:rsidRDefault="00851248">
      <w:pPr>
        <w:jc w:val="both"/>
        <w:rPr>
          <w:rFonts w:ascii="Times New Roman" w:hAnsi="Times New Roman" w:cs="Times New Roman"/>
          <w:noProof/>
          <w:color w:val="000000"/>
          <w:sz w:val="24"/>
          <w:szCs w:val="24"/>
        </w:rPr>
      </w:pPr>
      <w:r>
        <w:rPr>
          <w:rFonts w:ascii="Times New Roman" w:hAnsi="Times New Roman"/>
          <w:noProof/>
          <w:sz w:val="24"/>
          <w:szCs w:val="24"/>
        </w:rPr>
        <w:t xml:space="preserve">Premièrement, nos efforts doivent se concentrer sur la conduite de </w:t>
      </w:r>
      <w:r>
        <w:rPr>
          <w:rFonts w:ascii="Times New Roman" w:hAnsi="Times New Roman"/>
          <w:noProof/>
          <w:sz w:val="24"/>
          <w:szCs w:val="24"/>
        </w:rPr>
        <w:t>la transition vers un continent respectueux de la nature et climatiquement neutre d’ici 2050, tout en veillant à ce que chacun puisse tirer parti des possibilités que cela générera.</w:t>
      </w:r>
    </w:p>
    <w:p w:rsidR="0012591C" w:rsidRDefault="00851248">
      <w:pPr>
        <w:jc w:val="both"/>
        <w:rPr>
          <w:rFonts w:ascii="Times New Roman" w:hAnsi="Times New Roman" w:cs="Times New Roman"/>
          <w:noProof/>
          <w:color w:val="000000"/>
          <w:sz w:val="24"/>
          <w:szCs w:val="24"/>
        </w:rPr>
      </w:pPr>
      <w:r>
        <w:rPr>
          <w:rFonts w:ascii="Times New Roman" w:hAnsi="Times New Roman"/>
          <w:noProof/>
          <w:sz w:val="24"/>
          <w:szCs w:val="24"/>
        </w:rPr>
        <w:t>Deuxièmement, en développant de nouvelles technologies et des solutions du</w:t>
      </w:r>
      <w:r>
        <w:rPr>
          <w:rFonts w:ascii="Times New Roman" w:hAnsi="Times New Roman"/>
          <w:noProof/>
          <w:sz w:val="24"/>
          <w:szCs w:val="24"/>
        </w:rPr>
        <w:t xml:space="preserve">rables, l’Europe peut être à la pointe de la croissance économique future et devenir un acteur mondial de premier plan dans un monde de plus en plus numérisé, notamment dans les domaines clés </w:t>
      </w:r>
      <w:r>
        <w:rPr>
          <w:rFonts w:ascii="Times New Roman" w:hAnsi="Times New Roman"/>
          <w:noProof/>
          <w:sz w:val="24"/>
          <w:szCs w:val="24"/>
        </w:rPr>
        <w:lastRenderedPageBreak/>
        <w:t>pour sa souveraineté technologique que sont la cybersécurité, l’</w:t>
      </w:r>
      <w:r>
        <w:rPr>
          <w:rFonts w:ascii="Times New Roman" w:hAnsi="Times New Roman"/>
          <w:noProof/>
          <w:sz w:val="24"/>
          <w:szCs w:val="24"/>
        </w:rPr>
        <w:t>intelligence artificielle et la 5G. Les technologies numériques sont un vecteur essentiel du pacte vert pour l’Europe.</w:t>
      </w:r>
    </w:p>
    <w:p w:rsidR="0012591C" w:rsidRDefault="00851248">
      <w:pPr>
        <w:jc w:val="both"/>
        <w:rPr>
          <w:rFonts w:ascii="Times New Roman" w:hAnsi="Times New Roman" w:cs="Times New Roman"/>
          <w:noProof/>
          <w:color w:val="000000"/>
          <w:sz w:val="24"/>
          <w:szCs w:val="24"/>
        </w:rPr>
      </w:pPr>
      <w:r>
        <w:rPr>
          <w:rFonts w:ascii="Times New Roman" w:hAnsi="Times New Roman"/>
          <w:noProof/>
          <w:sz w:val="24"/>
          <w:szCs w:val="24"/>
        </w:rPr>
        <w:t>Troisièmement, il convient de parachever l’Union économique et monétaire afin de faire en sorte que tous les instruments économiques soie</w:t>
      </w:r>
      <w:r>
        <w:rPr>
          <w:rFonts w:ascii="Times New Roman" w:hAnsi="Times New Roman"/>
          <w:noProof/>
          <w:sz w:val="24"/>
          <w:szCs w:val="24"/>
        </w:rPr>
        <w:t>nt prêts et disponibles en cas de choc économique important. Il convient de renforcer le rôle international de l’euro afin d’accroître le poids de l’Europe dans le monde et sur les marchés mondiaux et d’aider à protéger les entreprises, les consommateurs e</w:t>
      </w:r>
      <w:r>
        <w:rPr>
          <w:rFonts w:ascii="Times New Roman" w:hAnsi="Times New Roman"/>
          <w:noProof/>
          <w:sz w:val="24"/>
          <w:szCs w:val="24"/>
        </w:rPr>
        <w:t xml:space="preserve">t les pouvoirs publics européens contre les évolutions extérieures défavorables. Une Union économique et monétaire dynamique et résiliente, reposant sur les fondements solides que constituent l’union bancaire et l’union des marchés des capitaux, constitue </w:t>
      </w:r>
      <w:r>
        <w:rPr>
          <w:rFonts w:ascii="Times New Roman" w:hAnsi="Times New Roman"/>
          <w:noProof/>
          <w:sz w:val="24"/>
          <w:szCs w:val="24"/>
        </w:rPr>
        <w:t>le meilleur moyen d’accroître la stabilité financière en Europe et, partant, le rôle international de l’euro.</w:t>
      </w:r>
    </w:p>
    <w:p w:rsidR="0012591C" w:rsidRDefault="00851248">
      <w:pPr>
        <w:jc w:val="both"/>
        <w:rPr>
          <w:rFonts w:ascii="Times New Roman" w:hAnsi="Times New Roman" w:cs="Times New Roman"/>
          <w:noProof/>
          <w:color w:val="000000"/>
          <w:sz w:val="24"/>
          <w:szCs w:val="24"/>
        </w:rPr>
      </w:pPr>
      <w:r>
        <w:rPr>
          <w:rFonts w:ascii="Times New Roman" w:hAnsi="Times New Roman"/>
          <w:noProof/>
          <w:sz w:val="24"/>
          <w:szCs w:val="24"/>
        </w:rPr>
        <w:t>Quatrièmement, le nouveau programme économique doit faire en sorte que la transition soit équitable et inclusive et donne la priorité aux personne</w:t>
      </w:r>
      <w:r>
        <w:rPr>
          <w:rFonts w:ascii="Times New Roman" w:hAnsi="Times New Roman"/>
          <w:noProof/>
          <w:sz w:val="24"/>
          <w:szCs w:val="24"/>
        </w:rPr>
        <w:t xml:space="preserve">s. Il doit accorder une attention particulière aux régions, aux industries et aux travailleurs qui seront confrontés aux transitions les plus marquées.  </w:t>
      </w:r>
    </w:p>
    <w:p w:rsidR="0012591C" w:rsidRDefault="00851248">
      <w:pPr>
        <w:jc w:val="both"/>
        <w:rPr>
          <w:rFonts w:ascii="Times New Roman" w:hAnsi="Times New Roman" w:cs="Times New Roman"/>
          <w:noProof/>
          <w:color w:val="000000"/>
          <w:sz w:val="24"/>
          <w:szCs w:val="24"/>
        </w:rPr>
      </w:pPr>
      <w:r>
        <w:rPr>
          <w:rFonts w:ascii="Times New Roman" w:hAnsi="Times New Roman"/>
          <w:b/>
          <w:noProof/>
          <w:sz w:val="24"/>
          <w:szCs w:val="24"/>
        </w:rPr>
        <w:t>Ce programme sera axé sur une stratégie industrielle solidement ancrée dans le marché unique, qui perm</w:t>
      </w:r>
      <w:r>
        <w:rPr>
          <w:rFonts w:ascii="Times New Roman" w:hAnsi="Times New Roman"/>
          <w:b/>
          <w:noProof/>
          <w:sz w:val="24"/>
          <w:szCs w:val="24"/>
        </w:rPr>
        <w:t>ettra à nos entreprises d’innover et de développer de nouvelles technologies tout en stimulant la circularité et en créant de nouveaux marchés.</w:t>
      </w:r>
      <w:r>
        <w:rPr>
          <w:rFonts w:ascii="Times New Roman" w:hAnsi="Times New Roman"/>
          <w:b/>
          <w:bCs/>
          <w:noProof/>
          <w:sz w:val="24"/>
          <w:szCs w:val="24"/>
        </w:rPr>
        <w:t xml:space="preserve"> Cela suppose de recentrer la politique économique de l’Europe sur le long terme afin d’offrir aux jeunes générat</w:t>
      </w:r>
      <w:r>
        <w:rPr>
          <w:rFonts w:ascii="Times New Roman" w:hAnsi="Times New Roman"/>
          <w:b/>
          <w:bCs/>
          <w:noProof/>
          <w:sz w:val="24"/>
          <w:szCs w:val="24"/>
        </w:rPr>
        <w:t>ions de toutes les régions de l’Europe un avenir durable et prospère.</w:t>
      </w:r>
      <w:r>
        <w:rPr>
          <w:rFonts w:ascii="Times New Roman" w:hAnsi="Times New Roman"/>
          <w:noProof/>
          <w:sz w:val="24"/>
          <w:szCs w:val="24"/>
        </w:rPr>
        <w:t xml:space="preserve"> Nous devons passer d’une approche graduelle à une approche systémique dans tous les domaines d'action, en adoptant une perspective pangouvernementale. Il devra s’agir d’un processus incl</w:t>
      </w:r>
      <w:r>
        <w:rPr>
          <w:rFonts w:ascii="Times New Roman" w:hAnsi="Times New Roman"/>
          <w:noProof/>
          <w:sz w:val="24"/>
          <w:szCs w:val="24"/>
        </w:rPr>
        <w:t>usif, élaboré avec le Parlement européen, les États membres, les partenaires sociaux et les parties prenantes.</w:t>
      </w:r>
      <w:r>
        <w:rPr>
          <w:rFonts w:ascii="Times New Roman" w:hAnsi="Times New Roman"/>
          <w:b/>
          <w:noProof/>
          <w:sz w:val="24"/>
          <w:szCs w:val="24"/>
        </w:rPr>
        <w:t xml:space="preserve"> </w:t>
      </w:r>
      <w:r>
        <w:rPr>
          <w:rFonts w:ascii="Times New Roman" w:hAnsi="Times New Roman"/>
          <w:noProof/>
          <w:sz w:val="24"/>
          <w:szCs w:val="24"/>
        </w:rPr>
        <w:t>Les objectifs de développement durable seront au cœur de l’élaboration des politiques et de l’action de l’UE. À cet effet, le Semestre européen f</w:t>
      </w:r>
      <w:r>
        <w:rPr>
          <w:rFonts w:ascii="Times New Roman" w:hAnsi="Times New Roman"/>
          <w:noProof/>
          <w:sz w:val="24"/>
          <w:szCs w:val="24"/>
        </w:rPr>
        <w:t>ournit un cadre bien établi pour la coordination des politiques économiques et de l’emploi, nécessaire pour accompagner l’Union et ses États membres dans ces transformations, qui ont des conséquences sur le plan économique. C’est dans le cadre de cette str</w:t>
      </w:r>
      <w:r>
        <w:rPr>
          <w:rFonts w:ascii="Times New Roman" w:hAnsi="Times New Roman"/>
          <w:noProof/>
          <w:sz w:val="24"/>
          <w:szCs w:val="24"/>
        </w:rPr>
        <w:t>atégie annuelle pour une croissance durable que la Commission définit les priorités de la politique économique et de la politique de l’emploi pour l’UE. Dans le cadre de cette approche, des synergies peuvent être créées, des arbitrages entre les quatre dim</w:t>
      </w:r>
      <w:r>
        <w:rPr>
          <w:rFonts w:ascii="Times New Roman" w:hAnsi="Times New Roman"/>
          <w:noProof/>
          <w:sz w:val="24"/>
          <w:szCs w:val="24"/>
        </w:rPr>
        <w:t xml:space="preserve">ensions du programme pour la croissance peuvent être envisagés et des solutions peuvent être présentées. </w:t>
      </w:r>
    </w:p>
    <w:p w:rsidR="0012591C" w:rsidRDefault="0012591C">
      <w:pPr>
        <w:jc w:val="both"/>
        <w:rPr>
          <w:rFonts w:ascii="Times New Roman" w:hAnsi="Times New Roman" w:cs="Times New Roman"/>
          <w:noProof/>
          <w:color w:val="000000"/>
          <w:sz w:val="24"/>
          <w:szCs w:val="24"/>
        </w:rPr>
      </w:pPr>
    </w:p>
    <w:p w:rsidR="0012591C" w:rsidRDefault="00851248">
      <w:pPr>
        <w:pStyle w:val="ListParagraph"/>
        <w:keepNext/>
        <w:numPr>
          <w:ilvl w:val="1"/>
          <w:numId w:val="2"/>
        </w:numPr>
        <w:spacing w:line="257" w:lineRule="auto"/>
        <w:ind w:left="1066" w:hanging="357"/>
        <w:jc w:val="both"/>
        <w:rPr>
          <w:rFonts w:ascii="Times New Roman" w:hAnsi="Times New Roman" w:cs="Times New Roman"/>
          <w:b/>
          <w:noProof/>
          <w:color w:val="000000"/>
          <w:sz w:val="24"/>
          <w:szCs w:val="24"/>
        </w:rPr>
      </w:pPr>
      <w:r>
        <w:rPr>
          <w:rFonts w:ascii="Times New Roman" w:hAnsi="Times New Roman"/>
          <w:b/>
          <w:noProof/>
          <w:sz w:val="24"/>
          <w:szCs w:val="24"/>
        </w:rPr>
        <w:t>Perspectives économiques de l’Europe</w:t>
      </w:r>
    </w:p>
    <w:p w:rsidR="0012591C" w:rsidRDefault="00851248">
      <w:pPr>
        <w:jc w:val="both"/>
        <w:rPr>
          <w:rStyle w:val="CommentReference1"/>
          <w:rFonts w:ascii="Times New Roman" w:hAnsi="Times New Roman" w:cs="Times New Roman"/>
          <w:b/>
          <w:noProof/>
          <w:color w:val="000000"/>
          <w:sz w:val="24"/>
          <w:szCs w:val="24"/>
        </w:rPr>
      </w:pPr>
      <w:r>
        <w:rPr>
          <w:rFonts w:ascii="Times New Roman" w:hAnsi="Times New Roman"/>
          <w:b/>
          <w:noProof/>
          <w:sz w:val="24"/>
          <w:szCs w:val="24"/>
        </w:rPr>
        <w:t>L’économie européenne est à présent dans sa septième année consécutive de croissance</w:t>
      </w:r>
      <w:r>
        <w:rPr>
          <w:rFonts w:ascii="Times New Roman" w:hAnsi="Times New Roman"/>
          <w:noProof/>
          <w:sz w:val="24"/>
          <w:szCs w:val="24"/>
        </w:rPr>
        <w:t>. L’économie devrait continu</w:t>
      </w:r>
      <w:r>
        <w:rPr>
          <w:rFonts w:ascii="Times New Roman" w:hAnsi="Times New Roman"/>
          <w:noProof/>
          <w:sz w:val="24"/>
          <w:szCs w:val="24"/>
        </w:rPr>
        <w:t>er à se développer en 2020 et 2021, même si les perspectives de croissance se sont détériorées. Les marchés du travail restent solides et le chômage poursuit sa décrue, quoiqu’à un rythme plus lent</w:t>
      </w:r>
      <w:r>
        <w:rPr>
          <w:noProof/>
          <w:sz w:val="24"/>
          <w:szCs w:val="24"/>
        </w:rPr>
        <w:t xml:space="preserve"> </w:t>
      </w:r>
      <w:r>
        <w:rPr>
          <w:rStyle w:val="CommentReference1"/>
          <w:rFonts w:ascii="Times New Roman" w:hAnsi="Times New Roman"/>
          <w:noProof/>
          <w:sz w:val="24"/>
          <w:szCs w:val="24"/>
        </w:rPr>
        <w:t>(</w:t>
      </w:r>
      <w:r>
        <w:rPr>
          <w:rStyle w:val="FootnoteReference"/>
          <w:rFonts w:ascii="Times New Roman" w:hAnsi="Times New Roman" w:cs="Times New Roman"/>
          <w:noProof/>
          <w:sz w:val="24"/>
          <w:szCs w:val="24"/>
        </w:rPr>
        <w:footnoteReference w:id="2"/>
      </w:r>
      <w:r>
        <w:rPr>
          <w:rStyle w:val="CommentReference1"/>
          <w:rFonts w:ascii="Times New Roman" w:hAnsi="Times New Roman"/>
          <w:noProof/>
          <w:sz w:val="24"/>
          <w:szCs w:val="24"/>
        </w:rPr>
        <w:t xml:space="preserve">). </w:t>
      </w:r>
      <w:r>
        <w:rPr>
          <w:rFonts w:ascii="Times New Roman" w:hAnsi="Times New Roman"/>
          <w:noProof/>
          <w:sz w:val="24"/>
          <w:szCs w:val="24"/>
        </w:rPr>
        <w:t xml:space="preserve">Les finances publiques continuent d’aller mieux, </w:t>
      </w:r>
      <w:r>
        <w:rPr>
          <w:rFonts w:ascii="Times New Roman" w:hAnsi="Times New Roman"/>
          <w:noProof/>
          <w:sz w:val="24"/>
          <w:szCs w:val="24"/>
        </w:rPr>
        <w:lastRenderedPageBreak/>
        <w:t>notre système bancaire est plus robuste et les fondations de notre Union économique et monétaire sont plus solides. Les investissements et la croissance potentielle restent toutefois inférieurs aux niveaux d’avant la crise.</w:t>
      </w:r>
      <w:r>
        <w:rPr>
          <w:rStyle w:val="CommentReference1"/>
          <w:rFonts w:ascii="Times New Roman" w:hAnsi="Times New Roman"/>
          <w:noProof/>
          <w:sz w:val="24"/>
          <w:szCs w:val="24"/>
        </w:rPr>
        <w:t xml:space="preserve"> Les soldes budgétaires des admin</w:t>
      </w:r>
      <w:r>
        <w:rPr>
          <w:rStyle w:val="CommentReference1"/>
          <w:rFonts w:ascii="Times New Roman" w:hAnsi="Times New Roman"/>
          <w:noProof/>
          <w:sz w:val="24"/>
          <w:szCs w:val="24"/>
        </w:rPr>
        <w:t>istrations publiques devraient se détériorer légèrement entre 2019 et 2021, sous l’effet du ralentissement de la croissance et de politiques budgétaires discrétionnaires un peu plus accommodantes dans certains États membres, et notamment des politiques bud</w:t>
      </w:r>
      <w:r>
        <w:rPr>
          <w:rStyle w:val="CommentReference1"/>
          <w:rFonts w:ascii="Times New Roman" w:hAnsi="Times New Roman"/>
          <w:noProof/>
          <w:sz w:val="24"/>
          <w:szCs w:val="24"/>
        </w:rPr>
        <w:t>gétaires expansionnistes menées dans certains d’entre eux.</w:t>
      </w:r>
    </w:p>
    <w:p w:rsidR="0012591C" w:rsidRDefault="00851248">
      <w:pPr>
        <w:jc w:val="both"/>
        <w:rPr>
          <w:rStyle w:val="CommentReference1"/>
          <w:rFonts w:ascii="Times New Roman" w:hAnsi="Times New Roman" w:cs="Times New Roman"/>
          <w:noProof/>
          <w:color w:val="000000"/>
          <w:sz w:val="24"/>
          <w:szCs w:val="24"/>
        </w:rPr>
      </w:pPr>
      <w:r>
        <w:rPr>
          <w:rFonts w:ascii="Times New Roman" w:hAnsi="Times New Roman"/>
          <w:b/>
          <w:bCs/>
          <w:noProof/>
          <w:sz w:val="24"/>
          <w:szCs w:val="24"/>
        </w:rPr>
        <w:t>Les perspectives économiques à court terme sont occultées par un environnement économique et géopolitique beaucoup moins favorable et par une grande incertitude.</w:t>
      </w:r>
      <w:r>
        <w:rPr>
          <w:rFonts w:ascii="Times New Roman" w:hAnsi="Times New Roman"/>
          <w:b/>
          <w:noProof/>
          <w:sz w:val="24"/>
          <w:szCs w:val="24"/>
        </w:rPr>
        <w:t xml:space="preserve"> </w:t>
      </w:r>
      <w:r>
        <w:rPr>
          <w:rFonts w:ascii="Times New Roman" w:hAnsi="Times New Roman"/>
          <w:noProof/>
          <w:sz w:val="24"/>
          <w:szCs w:val="24"/>
        </w:rPr>
        <w:t>Les perspectives de croissance mond</w:t>
      </w:r>
      <w:r>
        <w:rPr>
          <w:rFonts w:ascii="Times New Roman" w:hAnsi="Times New Roman"/>
          <w:noProof/>
          <w:sz w:val="24"/>
          <w:szCs w:val="24"/>
        </w:rPr>
        <w:t>iale sont fragiles. Les tensions commerciales dans le secteur manufacturier et l’incertitude géopolitique ont une incidence négative sur les décisions d’investissement. Une baisse de l’intensité des échanges, conjuguée à une faible croissance de la product</w:t>
      </w:r>
      <w:r>
        <w:rPr>
          <w:rFonts w:ascii="Times New Roman" w:hAnsi="Times New Roman"/>
          <w:noProof/>
          <w:sz w:val="24"/>
          <w:szCs w:val="24"/>
        </w:rPr>
        <w:t xml:space="preserve">ivité, pourrait avoir une incidence durable sur la position de l’Europe dans un monde de plus en plus défini par les rivalités entre les États-Unis et la Chine. Cette évolution affecte en particulier le secteur manufacturier, qui subit aussi des mutations </w:t>
      </w:r>
      <w:r>
        <w:rPr>
          <w:rFonts w:ascii="Times New Roman" w:hAnsi="Times New Roman"/>
          <w:noProof/>
          <w:sz w:val="24"/>
          <w:szCs w:val="24"/>
        </w:rPr>
        <w:t>structurelles. L’économie européenne semble donc se diriger vers une période de moindre croissance et de faible inflation. On s'attend maintenant à ce que le produit intérieur brut (PIB) de la zone euro progresse de 1,1 % en 2019 et de 1,2 % en 2020 et 202</w:t>
      </w:r>
      <w:r>
        <w:rPr>
          <w:rFonts w:ascii="Times New Roman" w:hAnsi="Times New Roman"/>
          <w:noProof/>
          <w:sz w:val="24"/>
          <w:szCs w:val="24"/>
        </w:rPr>
        <w:t>1. Pour l’UE dans son ensemble, le PIB devrait augmenter de 1,4 % par an entre 2019 et 2021.</w:t>
      </w:r>
      <w:r>
        <w:rPr>
          <w:rStyle w:val="CommentReference1"/>
          <w:rFonts w:ascii="Times New Roman" w:hAnsi="Times New Roman"/>
          <w:noProof/>
          <w:sz w:val="24"/>
          <w:szCs w:val="24"/>
        </w:rPr>
        <w:t xml:space="preserve"> </w:t>
      </w:r>
    </w:p>
    <w:p w:rsidR="0012591C" w:rsidRDefault="00851248">
      <w:pPr>
        <w:jc w:val="both"/>
        <w:rPr>
          <w:rStyle w:val="CommentReference1"/>
          <w:rFonts w:ascii="Times New Roman" w:hAnsi="Times New Roman" w:cs="Times New Roman"/>
          <w:noProof/>
          <w:sz w:val="24"/>
          <w:szCs w:val="24"/>
        </w:rPr>
      </w:pPr>
      <w:r>
        <w:rPr>
          <w:rFonts w:ascii="Times New Roman" w:hAnsi="Times New Roman"/>
          <w:b/>
          <w:noProof/>
          <w:sz w:val="24"/>
          <w:szCs w:val="24"/>
        </w:rPr>
        <w:t>Les perspectives économiques à moyen terme sont compromises par le vieillissement de la population, l’atonie de la croissance de la productivité et l’impact crois</w:t>
      </w:r>
      <w:r>
        <w:rPr>
          <w:rFonts w:ascii="Times New Roman" w:hAnsi="Times New Roman"/>
          <w:b/>
          <w:noProof/>
          <w:sz w:val="24"/>
          <w:szCs w:val="24"/>
        </w:rPr>
        <w:t xml:space="preserve">sant de la dégradation de l’environnement. </w:t>
      </w:r>
      <w:r>
        <w:rPr>
          <w:rFonts w:ascii="Times New Roman" w:hAnsi="Times New Roman"/>
          <w:noProof/>
          <w:sz w:val="24"/>
          <w:szCs w:val="24"/>
        </w:rPr>
        <w:t>On estime que, d’ici 2024, la main-d’œuvre diminuera, dans 11  États membres, de plus de 3 % par rapport à aujourd’hui sous l’effet du vieillissement de la population</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D’ici 2060, la main-d’œuvre de l’UE diminuer</w:t>
      </w:r>
      <w:r>
        <w:rPr>
          <w:rFonts w:ascii="Times New Roman" w:hAnsi="Times New Roman"/>
          <w:noProof/>
          <w:sz w:val="24"/>
          <w:szCs w:val="24"/>
        </w:rPr>
        <w:t>a de 12 %.  Cette tendance, conjuguée à une tendance à la baisse de la croissance de la productivité depuis plusieurs décennies, grève le potentiel de croissance de l’économie et pèsera sur les finances publiques à l’avenir. En outre, la dégradation de l’e</w:t>
      </w:r>
      <w:r>
        <w:rPr>
          <w:rFonts w:ascii="Times New Roman" w:hAnsi="Times New Roman"/>
          <w:noProof/>
          <w:sz w:val="24"/>
          <w:szCs w:val="24"/>
        </w:rPr>
        <w:t>nvironnement devrait affecter de plus en plus l’activité économique, en raison de l'augmentation de la fréquence de conditions météorologiques extrêmes, de l'incidence sur la santé humaine et d’un accès moins fiable aux ressources matérielles et aux servic</w:t>
      </w:r>
      <w:r>
        <w:rPr>
          <w:rFonts w:ascii="Times New Roman" w:hAnsi="Times New Roman"/>
          <w:noProof/>
          <w:sz w:val="24"/>
          <w:szCs w:val="24"/>
        </w:rPr>
        <w:t xml:space="preserve">es écosystémiques. </w:t>
      </w:r>
    </w:p>
    <w:p w:rsidR="0012591C" w:rsidRDefault="00851248">
      <w:pPr>
        <w:jc w:val="both"/>
        <w:rPr>
          <w:rStyle w:val="CommentReference1"/>
          <w:rFonts w:ascii="Times New Roman" w:hAnsi="Times New Roman" w:cs="Times New Roman"/>
          <w:noProof/>
          <w:color w:val="000000"/>
          <w:sz w:val="24"/>
          <w:szCs w:val="24"/>
        </w:rPr>
      </w:pPr>
      <w:r>
        <w:rPr>
          <w:rStyle w:val="CommentReference1"/>
          <w:rFonts w:ascii="Times New Roman" w:hAnsi="Times New Roman"/>
          <w:b/>
          <w:noProof/>
          <w:sz w:val="24"/>
          <w:szCs w:val="24"/>
        </w:rPr>
        <w:t xml:space="preserve">Compte tenu des nuages qui se forment à l’horizon, l’Europe doit élaborer un nouveau modèle de croissance qui permette de relever efficacement les défis à long terme qui transforment la société. </w:t>
      </w:r>
      <w:r>
        <w:rPr>
          <w:rStyle w:val="CommentReference1"/>
          <w:rFonts w:ascii="Times New Roman" w:hAnsi="Times New Roman"/>
          <w:noProof/>
          <w:sz w:val="24"/>
          <w:szCs w:val="24"/>
        </w:rPr>
        <w:t>Ce nouveau modèle sera également d’une im</w:t>
      </w:r>
      <w:r>
        <w:rPr>
          <w:rStyle w:val="CommentReference1"/>
          <w:rFonts w:ascii="Times New Roman" w:hAnsi="Times New Roman"/>
          <w:noProof/>
          <w:sz w:val="24"/>
          <w:szCs w:val="24"/>
        </w:rPr>
        <w:t>portance essentielle pour asseoir le leadership politique et économique de l'Europe au niveau mondial. Il dopera également le potentiel de croissance, aidant ainsi l’Europe à rester forte face à l’incertitude grandissante à court terme.</w:t>
      </w:r>
    </w:p>
    <w:p w:rsidR="0012591C" w:rsidRDefault="0012591C">
      <w:pPr>
        <w:jc w:val="both"/>
        <w:rPr>
          <w:rStyle w:val="CommentReference1"/>
          <w:rFonts w:ascii="Times New Roman" w:hAnsi="Times New Roman" w:cs="Times New Roman"/>
          <w:noProof/>
          <w:color w:val="000000"/>
          <w:sz w:val="24"/>
          <w:szCs w:val="24"/>
        </w:rPr>
      </w:pPr>
    </w:p>
    <w:p w:rsidR="0012591C" w:rsidRDefault="00851248">
      <w:pPr>
        <w:pStyle w:val="ListParagraph"/>
        <w:keepNext/>
        <w:numPr>
          <w:ilvl w:val="1"/>
          <w:numId w:val="2"/>
        </w:numPr>
        <w:spacing w:line="257" w:lineRule="auto"/>
        <w:ind w:left="1066" w:hanging="357"/>
        <w:jc w:val="both"/>
        <w:rPr>
          <w:rFonts w:ascii="Times New Roman" w:hAnsi="Times New Roman" w:cs="Times New Roman"/>
          <w:b/>
          <w:bCs/>
          <w:noProof/>
          <w:color w:val="000000"/>
          <w:sz w:val="24"/>
          <w:szCs w:val="24"/>
        </w:rPr>
      </w:pPr>
      <w:r>
        <w:rPr>
          <w:rFonts w:ascii="Times New Roman" w:hAnsi="Times New Roman"/>
          <w:b/>
          <w:noProof/>
          <w:sz w:val="24"/>
          <w:szCs w:val="24"/>
        </w:rPr>
        <w:t xml:space="preserve">Un nouveau modèle </w:t>
      </w:r>
      <w:r>
        <w:rPr>
          <w:rFonts w:ascii="Times New Roman" w:hAnsi="Times New Roman"/>
          <w:b/>
          <w:noProof/>
          <w:sz w:val="24"/>
          <w:szCs w:val="24"/>
        </w:rPr>
        <w:t xml:space="preserve">pour relever des défis majeurs interdépendants </w:t>
      </w:r>
    </w:p>
    <w:p w:rsidR="0012591C" w:rsidRDefault="00851248">
      <w:pPr>
        <w:spacing w:after="120"/>
        <w:jc w:val="both"/>
        <w:rPr>
          <w:rFonts w:ascii="Times New Roman" w:hAnsi="Times New Roman" w:cs="Times New Roman"/>
          <w:b/>
          <w:bCs/>
          <w:noProof/>
          <w:color w:val="000000"/>
          <w:sz w:val="24"/>
          <w:szCs w:val="24"/>
        </w:rPr>
      </w:pPr>
      <w:r>
        <w:rPr>
          <w:rFonts w:ascii="Times New Roman" w:hAnsi="Times New Roman"/>
          <w:b/>
          <w:bCs/>
          <w:noProof/>
          <w:sz w:val="24"/>
          <w:szCs w:val="24"/>
        </w:rPr>
        <w:t>La durabilité compétitive a toujours été au cœur de l’économie sociale de marché de l’Europe et devrait rester son principe directeur pour l’avenir</w:t>
      </w:r>
      <w:r>
        <w:rPr>
          <w:rFonts w:ascii="Times New Roman" w:hAnsi="Times New Roman"/>
          <w:bCs/>
          <w:noProof/>
          <w:sz w:val="24"/>
          <w:szCs w:val="24"/>
        </w:rPr>
        <w:t>.</w:t>
      </w:r>
      <w:r>
        <w:rPr>
          <w:rFonts w:ascii="Times New Roman" w:hAnsi="Times New Roman"/>
          <w:noProof/>
          <w:sz w:val="24"/>
          <w:szCs w:val="24"/>
        </w:rPr>
        <w:t xml:space="preserve"> La transition vers un modèle économique durable, fondé sur </w:t>
      </w:r>
      <w:r>
        <w:rPr>
          <w:rFonts w:ascii="Times New Roman" w:hAnsi="Times New Roman"/>
          <w:noProof/>
          <w:sz w:val="24"/>
          <w:szCs w:val="24"/>
        </w:rPr>
        <w:t>des technologies numériques et propres, peut faire de l’Europe un précurseur vecteur de changement. Le rôle moteur en matière de protection de l’environnement et l’existence d’une base industrielle solide et innovante doivent être considérées comme les deu</w:t>
      </w:r>
      <w:r>
        <w:rPr>
          <w:rFonts w:ascii="Times New Roman" w:hAnsi="Times New Roman"/>
          <w:noProof/>
          <w:sz w:val="24"/>
          <w:szCs w:val="24"/>
        </w:rPr>
        <w:t>x faces d’une même médaille, conférant à l’UE l'avantage concurrentiel du pionnier. Une économie stable, qui permet d’orienter les politiques vers le long terme, et une transition juste pour les personnes les plus touchées par les transformations constitue</w:t>
      </w:r>
      <w:r>
        <w:rPr>
          <w:rFonts w:ascii="Times New Roman" w:hAnsi="Times New Roman"/>
          <w:noProof/>
          <w:sz w:val="24"/>
          <w:szCs w:val="24"/>
        </w:rPr>
        <w:t>nt les conditions préalables à la réussite et devraient compléter notre cadre.</w:t>
      </w:r>
    </w:p>
    <w:p w:rsidR="0012591C" w:rsidRDefault="00851248">
      <w:pPr>
        <w:spacing w:after="120"/>
        <w:jc w:val="both"/>
        <w:rPr>
          <w:noProof/>
          <w:sz w:val="24"/>
          <w:szCs w:val="24"/>
        </w:rPr>
      </w:pPr>
      <w:r>
        <w:rPr>
          <w:rFonts w:ascii="Times New Roman" w:hAnsi="Times New Roman"/>
          <w:b/>
          <w:bCs/>
          <w:noProof/>
          <w:sz w:val="24"/>
          <w:szCs w:val="24"/>
        </w:rPr>
        <w:t xml:space="preserve">La durabilité environnementale, les gains de productivité, l’équité et la stabilité macroéconomique seront les quatre dimensions de notre politique économique dans les années à </w:t>
      </w:r>
      <w:r>
        <w:rPr>
          <w:rFonts w:ascii="Times New Roman" w:hAnsi="Times New Roman"/>
          <w:b/>
          <w:bCs/>
          <w:noProof/>
          <w:sz w:val="24"/>
          <w:szCs w:val="24"/>
        </w:rPr>
        <w:t xml:space="preserve">venir. </w:t>
      </w:r>
      <w:r>
        <w:rPr>
          <w:rFonts w:ascii="Times New Roman" w:hAnsi="Times New Roman"/>
          <w:bCs/>
          <w:noProof/>
          <w:sz w:val="24"/>
          <w:szCs w:val="24"/>
        </w:rPr>
        <w:t>Ces dimensions, qui sont étroitement liées entre elles et se renforcent mutuellement, doivent guider les réformes structurelles, les investissements et des politiques budgétaires responsables dans tous les États membres.</w:t>
      </w:r>
      <w:r>
        <w:rPr>
          <w:rFonts w:ascii="Times New Roman" w:hAnsi="Times New Roman"/>
          <w:b/>
          <w:noProof/>
          <w:sz w:val="24"/>
          <w:szCs w:val="24"/>
        </w:rPr>
        <w:t xml:space="preserve"> </w:t>
      </w:r>
    </w:p>
    <w:p w:rsidR="0012591C" w:rsidRDefault="00851248">
      <w:pPr>
        <w:spacing w:after="120"/>
        <w:jc w:val="both"/>
        <w:rPr>
          <w:rFonts w:ascii="Times New Roman" w:hAnsi="Times New Roman" w:cs="Times New Roman"/>
          <w:noProof/>
          <w:color w:val="000000"/>
          <w:sz w:val="24"/>
          <w:szCs w:val="24"/>
        </w:rPr>
      </w:pPr>
      <w:r>
        <w:rPr>
          <w:rFonts w:ascii="Times New Roman" w:hAnsi="Times New Roman"/>
          <w:b/>
          <w:noProof/>
          <w:sz w:val="24"/>
          <w:szCs w:val="24"/>
        </w:rPr>
        <w:t xml:space="preserve">Ces quatre dimensions clés </w:t>
      </w:r>
      <w:r>
        <w:rPr>
          <w:rFonts w:ascii="Times New Roman" w:hAnsi="Times New Roman"/>
          <w:b/>
          <w:noProof/>
          <w:sz w:val="24"/>
          <w:szCs w:val="24"/>
        </w:rPr>
        <w:t>seront cruciales pour mettre en œuvre les objectifs de développement durable (ODD).</w:t>
      </w:r>
      <w:r>
        <w:rPr>
          <w:rFonts w:ascii="Times New Roman" w:hAnsi="Times New Roman"/>
          <w:noProof/>
          <w:sz w:val="24"/>
          <w:szCs w:val="24"/>
        </w:rPr>
        <w:t xml:space="preserve"> L’intégration des ODD dans le Semestre européen, mettant en particulier l’accent sur les aspects liés à l’économie et à l’emploi, constitue une occasion unique de placer le</w:t>
      </w:r>
      <w:r>
        <w:rPr>
          <w:rFonts w:ascii="Times New Roman" w:hAnsi="Times New Roman"/>
          <w:noProof/>
          <w:sz w:val="24"/>
          <w:szCs w:val="24"/>
        </w:rPr>
        <w:t>s citoyens, leur santé et la planète au centre de la politique économique. Dans le contexte géopolitique actuel, le fait de placer les ODD au cœur de l’élaboration des politiques et de l’action de l’Union envoie également un message fort concernant l’engag</w:t>
      </w:r>
      <w:r>
        <w:rPr>
          <w:rFonts w:ascii="Times New Roman" w:hAnsi="Times New Roman"/>
          <w:noProof/>
          <w:sz w:val="24"/>
          <w:szCs w:val="24"/>
        </w:rPr>
        <w:t>ement de l’Europe en faveur de la durabilité.</w:t>
      </w:r>
    </w:p>
    <w:p w:rsidR="0012591C" w:rsidRDefault="0012591C">
      <w:pPr>
        <w:pStyle w:val="ListParagraph"/>
        <w:ind w:left="0"/>
        <w:rPr>
          <w:noProof/>
          <w:sz w:val="24"/>
          <w:szCs w:val="24"/>
        </w:rPr>
      </w:pPr>
    </w:p>
    <w:p w:rsidR="0012591C" w:rsidRDefault="00851248">
      <w:pPr>
        <w:pStyle w:val="ListParagraph"/>
        <w:ind w:left="0"/>
        <w:rPr>
          <w:rFonts w:ascii="Times New Roman" w:hAnsi="Times New Roman" w:cs="Times New Roman"/>
          <w:noProof/>
          <w:sz w:val="24"/>
          <w:szCs w:val="24"/>
        </w:rPr>
      </w:pPr>
      <w:r>
        <w:rPr>
          <w:noProof/>
          <w:sz w:val="24"/>
          <w:szCs w:val="24"/>
          <w:lang w:val="fr-BE" w:eastAsia="fr-BE"/>
        </w:rPr>
        <w:drawing>
          <wp:inline distT="0" distB="0" distL="0" distR="0">
            <wp:extent cx="5694218" cy="4269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97577" cy="4271598"/>
                    </a:xfrm>
                    <a:prstGeom prst="rect">
                      <a:avLst/>
                    </a:prstGeom>
                    <a:noFill/>
                    <a:ln>
                      <a:noFill/>
                    </a:ln>
                  </pic:spPr>
                </pic:pic>
              </a:graphicData>
            </a:graphic>
          </wp:inline>
        </w:drawing>
      </w:r>
    </w:p>
    <w:p w:rsidR="0012591C" w:rsidRDefault="0012591C">
      <w:pPr>
        <w:pStyle w:val="ListParagraph"/>
        <w:ind w:left="0"/>
        <w:rPr>
          <w:rFonts w:ascii="Times New Roman" w:hAnsi="Times New Roman" w:cs="Times New Roman"/>
          <w:noProof/>
          <w:sz w:val="24"/>
          <w:szCs w:val="24"/>
        </w:rPr>
      </w:pPr>
    </w:p>
    <w:p w:rsidR="0012591C" w:rsidRDefault="00851248">
      <w:pPr>
        <w:jc w:val="both"/>
        <w:rPr>
          <w:rFonts w:ascii="Times New Roman" w:hAnsi="Times New Roman" w:cs="Times New Roman"/>
          <w:noProof/>
          <w:sz w:val="24"/>
          <w:szCs w:val="24"/>
        </w:rPr>
      </w:pPr>
      <w:r>
        <w:rPr>
          <w:rFonts w:ascii="Times New Roman" w:hAnsi="Times New Roman"/>
          <w:b/>
          <w:noProof/>
          <w:sz w:val="24"/>
          <w:szCs w:val="24"/>
        </w:rPr>
        <w:t>Pour réussir, il convient d'équilibrer les coûts et les avantages à court et à long terme.</w:t>
      </w:r>
      <w:r>
        <w:rPr>
          <w:rFonts w:ascii="Times New Roman" w:hAnsi="Times New Roman"/>
          <w:noProof/>
          <w:sz w:val="24"/>
          <w:szCs w:val="24"/>
        </w:rPr>
        <w:t xml:space="preserve"> Les avantages doivent être partagés et les coûts ne doivent pas être supportés par les plus vulnérables. Tant le ch</w:t>
      </w:r>
      <w:r>
        <w:rPr>
          <w:rFonts w:ascii="Times New Roman" w:hAnsi="Times New Roman"/>
          <w:noProof/>
          <w:sz w:val="24"/>
          <w:szCs w:val="24"/>
        </w:rPr>
        <w:t xml:space="preserve">angement climatique lui-même que les politiques d’accompagnement nécessaires pour relever les défis qu’il pose ont des répercussions importantes sur la répartition, en particulier à court terme. Lors de la conception des politiques et de la formulation de </w:t>
      </w:r>
      <w:r>
        <w:rPr>
          <w:rFonts w:ascii="Times New Roman" w:hAnsi="Times New Roman"/>
          <w:noProof/>
          <w:sz w:val="24"/>
          <w:szCs w:val="24"/>
        </w:rPr>
        <w:t>recommandations en vue de réformes structurelles, nous devons veiller à ce qu’un soutien soit mis en place en faveur des personnes les plus touchées par ces changements sociétaux. Par ailleurs, la transition écologique créera aussi de nouveaux emplois et a</w:t>
      </w:r>
      <w:r>
        <w:rPr>
          <w:rFonts w:ascii="Times New Roman" w:hAnsi="Times New Roman"/>
          <w:noProof/>
          <w:sz w:val="24"/>
          <w:szCs w:val="24"/>
        </w:rPr>
        <w:t>méliorera le bien-être, par exemple en rendant les conditions de travail et de vie plus saines.</w:t>
      </w:r>
      <w:r>
        <w:rPr>
          <w:noProof/>
          <w:sz w:val="24"/>
          <w:szCs w:val="24"/>
        </w:rPr>
        <w:t xml:space="preserve"> </w:t>
      </w:r>
      <w:r>
        <w:rPr>
          <w:rFonts w:ascii="Times New Roman" w:hAnsi="Times New Roman"/>
          <w:noProof/>
          <w:sz w:val="24"/>
          <w:szCs w:val="24"/>
        </w:rPr>
        <w:t>Dans d’autres domaines d’action aussi, un équilibre à court terme doit être trouvé. Par exemple, lorsqu’il s’agit de parvenir à une croissance plus inclusive, l</w:t>
      </w:r>
      <w:r>
        <w:rPr>
          <w:rFonts w:ascii="Times New Roman" w:hAnsi="Times New Roman"/>
          <w:noProof/>
          <w:sz w:val="24"/>
          <w:szCs w:val="24"/>
        </w:rPr>
        <w:t>’intégration dans le marché du travail d'un plus grand nombre de travailleurs peu qualifiés peut réduire la productivité moyenne à court terme. Toutefois, cela ne change rien à l’avantage à long terme découlant de l’intégration sur le marché du travail, qu</w:t>
      </w:r>
      <w:r>
        <w:rPr>
          <w:rFonts w:ascii="Times New Roman" w:hAnsi="Times New Roman"/>
          <w:noProof/>
          <w:sz w:val="24"/>
          <w:szCs w:val="24"/>
        </w:rPr>
        <w:t>i contribue, à terme, à rendre la société plus équilibrée et plus prospère. Pour maximiser les synergies entre les différents objectifs stratégiques définis, des investissements publics et privés importants seront nécessaires, par exemple dans les domaines</w:t>
      </w:r>
      <w:r>
        <w:rPr>
          <w:rFonts w:ascii="Times New Roman" w:hAnsi="Times New Roman"/>
          <w:noProof/>
          <w:sz w:val="24"/>
          <w:szCs w:val="24"/>
        </w:rPr>
        <w:t xml:space="preserve"> de l’éducation, de la reconversion et de l’innovation. </w:t>
      </w:r>
    </w:p>
    <w:p w:rsidR="0012591C" w:rsidRDefault="0012591C">
      <w:pPr>
        <w:jc w:val="both"/>
        <w:rPr>
          <w:rFonts w:ascii="Times New Roman" w:hAnsi="Times New Roman" w:cs="Times New Roman"/>
          <w:noProof/>
          <w:sz w:val="24"/>
          <w:szCs w:val="24"/>
        </w:rPr>
        <w:sectPr w:rsidR="0012591C">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134" w:left="1418" w:header="567" w:footer="567" w:gutter="0"/>
          <w:cols w:space="720"/>
          <w:docGrid w:linePitch="600" w:charSpace="36864"/>
        </w:sectPr>
      </w:pPr>
    </w:p>
    <w:p w:rsidR="0012591C" w:rsidRDefault="00851248">
      <w:pPr>
        <w:pStyle w:val="ListParagraph"/>
        <w:keepNext/>
        <w:numPr>
          <w:ilvl w:val="1"/>
          <w:numId w:val="2"/>
        </w:numPr>
        <w:spacing w:line="257" w:lineRule="auto"/>
        <w:ind w:left="1066" w:hanging="357"/>
        <w:jc w:val="both"/>
        <w:rPr>
          <w:rFonts w:ascii="Times New Roman" w:hAnsi="Times New Roman" w:cs="Times New Roman"/>
          <w:b/>
          <w:noProof/>
          <w:sz w:val="24"/>
          <w:szCs w:val="24"/>
        </w:rPr>
      </w:pPr>
      <w:r>
        <w:rPr>
          <w:rFonts w:ascii="Times New Roman" w:hAnsi="Times New Roman"/>
          <w:b/>
          <w:noProof/>
          <w:sz w:val="24"/>
          <w:szCs w:val="24"/>
        </w:rPr>
        <w:t>Durabilité environnementale</w:t>
      </w:r>
    </w:p>
    <w:p w:rsidR="0012591C" w:rsidRDefault="00851248">
      <w:pPr>
        <w:spacing w:after="120"/>
        <w:jc w:val="both"/>
        <w:rPr>
          <w:rFonts w:ascii="Times New Roman" w:hAnsi="Times New Roman" w:cs="Times New Roman"/>
          <w:b/>
          <w:noProof/>
          <w:sz w:val="24"/>
          <w:szCs w:val="24"/>
        </w:rPr>
      </w:pPr>
      <w:r>
        <w:rPr>
          <w:rFonts w:ascii="Times New Roman" w:hAnsi="Times New Roman"/>
          <w:b/>
          <w:noProof/>
          <w:sz w:val="24"/>
          <w:szCs w:val="24"/>
        </w:rPr>
        <w:t xml:space="preserve">Répondre aux enjeux climatiques et environnementaux est une mission majeure de notre génération. </w:t>
      </w:r>
      <w:r>
        <w:rPr>
          <w:rFonts w:ascii="Times New Roman" w:hAnsi="Times New Roman"/>
          <w:noProof/>
          <w:sz w:val="24"/>
          <w:szCs w:val="24"/>
        </w:rPr>
        <w:t xml:space="preserve">Il en sera encore </w:t>
      </w:r>
      <w:r>
        <w:rPr>
          <w:rFonts w:ascii="Times New Roman" w:hAnsi="Times New Roman"/>
          <w:noProof/>
          <w:sz w:val="24"/>
          <w:szCs w:val="24"/>
        </w:rPr>
        <w:t>ainsi dans les années à venir.</w:t>
      </w:r>
      <w:r>
        <w:rPr>
          <w:rFonts w:ascii="Times New Roman" w:hAnsi="Times New Roman"/>
          <w:b/>
          <w:noProof/>
          <w:sz w:val="24"/>
          <w:szCs w:val="24"/>
        </w:rPr>
        <w:t xml:space="preserve"> </w:t>
      </w:r>
      <w:r>
        <w:rPr>
          <w:rFonts w:ascii="Times New Roman" w:hAnsi="Times New Roman"/>
          <w:noProof/>
          <w:sz w:val="24"/>
          <w:szCs w:val="24"/>
        </w:rPr>
        <w:t>La transition vers la neutralité climatique nécessite une transformation profonde de l’économie en l’espace d’une génération. Ces changements concernent non seulement les secteurs de l’énergie, de la construction et des trans</w:t>
      </w:r>
      <w:r>
        <w:rPr>
          <w:rFonts w:ascii="Times New Roman" w:hAnsi="Times New Roman"/>
          <w:noProof/>
          <w:sz w:val="24"/>
          <w:szCs w:val="24"/>
        </w:rPr>
        <w:t>ports, mais aussi l’industrie, l’agriculture et les services. Dans le même temps, ils offrent une occasion unique de moderniser les biens de production vieillissants de l’économie de l’UE et de relancer la compétitivité de manière durable en plaçant les pe</w:t>
      </w:r>
      <w:r>
        <w:rPr>
          <w:rFonts w:ascii="Times New Roman" w:hAnsi="Times New Roman"/>
          <w:noProof/>
          <w:sz w:val="24"/>
          <w:szCs w:val="24"/>
        </w:rPr>
        <w:t>rsonnes au centre de la transition.</w:t>
      </w:r>
    </w:p>
    <w:p w:rsidR="0012591C" w:rsidRDefault="00851248">
      <w:pPr>
        <w:spacing w:after="120"/>
        <w:jc w:val="both"/>
        <w:rPr>
          <w:rFonts w:ascii="Times New Roman" w:hAnsi="Times New Roman" w:cs="Times New Roman"/>
          <w:b/>
          <w:noProof/>
          <w:sz w:val="24"/>
          <w:szCs w:val="24"/>
        </w:rPr>
      </w:pPr>
      <w:r>
        <w:rPr>
          <w:rFonts w:ascii="Times New Roman" w:hAnsi="Times New Roman"/>
          <w:b/>
          <w:noProof/>
          <w:sz w:val="24"/>
          <w:szCs w:val="24"/>
        </w:rPr>
        <w:t xml:space="preserve">Mettant davantage l’accent sur les politiques climatique et environnementale, le Semestre européen est renforcé en tant qu’instrument complet de politique économique et de l’emploi. </w:t>
      </w:r>
      <w:r>
        <w:rPr>
          <w:rFonts w:ascii="Times New Roman" w:hAnsi="Times New Roman"/>
          <w:noProof/>
          <w:sz w:val="24"/>
          <w:szCs w:val="24"/>
        </w:rPr>
        <w:t>Les possibilités de croissance découla</w:t>
      </w:r>
      <w:r>
        <w:rPr>
          <w:rFonts w:ascii="Times New Roman" w:hAnsi="Times New Roman"/>
          <w:noProof/>
          <w:sz w:val="24"/>
          <w:szCs w:val="24"/>
        </w:rPr>
        <w:t>nt d’une focalisation plus marquée sur la durabilité environnementale sont au cœur du programme économique de l’Europe. Le Semestre peut fournir aux États membres des orientations spécifiques sur les domaines dans lesquels les réformes structurelles et les</w:t>
      </w:r>
      <w:r>
        <w:rPr>
          <w:rFonts w:ascii="Times New Roman" w:hAnsi="Times New Roman"/>
          <w:noProof/>
          <w:sz w:val="24"/>
          <w:szCs w:val="24"/>
        </w:rPr>
        <w:t xml:space="preserve"> investissements en faveur d’un modèle économique plus durable et compétitif sont les plus nécessaires. Il peut également aider les États membres à recenser et à effectuer les principaux arbitrages, par exemple en s’attaquant aux conséquences sociales de l</w:t>
      </w:r>
      <w:r>
        <w:rPr>
          <w:rFonts w:ascii="Times New Roman" w:hAnsi="Times New Roman"/>
          <w:noProof/>
          <w:sz w:val="24"/>
          <w:szCs w:val="24"/>
        </w:rPr>
        <w:t>a hausse des prix de l’énergie grâce à des politiques sociales et budgétaires adéquates. L’Europe doit prendre des mesures fermes dans des domaines tels que l’économie circulaire, les énergies renouvelables, les bâtiments économes en énergie et les transpo</w:t>
      </w:r>
      <w:r>
        <w:rPr>
          <w:rFonts w:ascii="Times New Roman" w:hAnsi="Times New Roman"/>
          <w:noProof/>
          <w:sz w:val="24"/>
          <w:szCs w:val="24"/>
        </w:rPr>
        <w:t>rts à faibles émissions. L’industrie européenne est déjà l’une des plus économes en énergie au monde. L’Europe doit tirer parti de cet avantage et fournir des incitations supplémentaires aux entreprises et aux investisseurs afin de permettre aux États memb</w:t>
      </w:r>
      <w:r>
        <w:rPr>
          <w:rFonts w:ascii="Times New Roman" w:hAnsi="Times New Roman"/>
          <w:noProof/>
          <w:sz w:val="24"/>
          <w:szCs w:val="24"/>
        </w:rPr>
        <w:t>res d’atteindre les objectifs ambitieux fixés en matière de climat. Le soutien aux personnes, aux secteurs et aux régions qui sont les plus touchés par la transformation doit être pris en compte dans les réformes. Les initiatives visant à axer davantage la</w:t>
      </w:r>
      <w:r>
        <w:rPr>
          <w:rFonts w:ascii="Times New Roman" w:hAnsi="Times New Roman"/>
          <w:noProof/>
          <w:sz w:val="24"/>
          <w:szCs w:val="24"/>
        </w:rPr>
        <w:t xml:space="preserve"> politique de cohésion sur les investissements verts et numériques contribueront à cette stratégie.</w:t>
      </w:r>
    </w:p>
    <w:p w:rsidR="0012591C" w:rsidRDefault="00851248">
      <w:pPr>
        <w:spacing w:after="120"/>
        <w:jc w:val="both"/>
        <w:rPr>
          <w:rFonts w:ascii="Times New Roman" w:hAnsi="Times New Roman" w:cs="Times New Roman"/>
          <w:noProof/>
          <w:sz w:val="24"/>
          <w:szCs w:val="24"/>
        </w:rPr>
      </w:pPr>
      <w:r>
        <w:rPr>
          <w:rFonts w:ascii="Times New Roman" w:hAnsi="Times New Roman"/>
          <w:noProof/>
          <w:sz w:val="24"/>
          <w:szCs w:val="24"/>
        </w:rPr>
        <w:t xml:space="preserve">L’Europe doit investir des montants records dans la recherche de pointe et dans l’innovation, en exploitant au maximum la souplesse offerte par le prochain </w:t>
      </w:r>
      <w:r>
        <w:rPr>
          <w:rFonts w:ascii="Times New Roman" w:hAnsi="Times New Roman"/>
          <w:noProof/>
          <w:sz w:val="24"/>
          <w:szCs w:val="24"/>
        </w:rPr>
        <w:t xml:space="preserve">budget de l’UE pour se concentrer sur les domaines les plus prometteurs. Les investissements doivent être orientés vers les actifs propres qui sont les plus productifs pour atténuer le changement climatique et vers les efforts d’innovation de rupture tant </w:t>
      </w:r>
      <w:r>
        <w:rPr>
          <w:rFonts w:ascii="Times New Roman" w:hAnsi="Times New Roman"/>
          <w:noProof/>
          <w:sz w:val="24"/>
          <w:szCs w:val="24"/>
        </w:rPr>
        <w:t>au niveau de l’UE qu’au niveau national. La réalisation des objectifs actuels en matière de climat et d’énergie à l’horizon 2030 nécessitera 260 000 000 000 EUR d’investissements annuels supplémentaires dans le système énergétique au cours de la période 20</w:t>
      </w:r>
      <w:r>
        <w:rPr>
          <w:rFonts w:ascii="Times New Roman" w:hAnsi="Times New Roman"/>
          <w:noProof/>
          <w:sz w:val="24"/>
          <w:szCs w:val="24"/>
        </w:rPr>
        <w:t>21-2030. L’effort d’investissement le plus important concernera l’amélioration de l’efficacité énergétique dans les secteurs résidentiel et tertiaire. En outre, des investissements considérables sont nécessaires dans le domaine de la production d’électrici</w:t>
      </w:r>
      <w:r>
        <w:rPr>
          <w:rFonts w:ascii="Times New Roman" w:hAnsi="Times New Roman"/>
          <w:noProof/>
          <w:sz w:val="24"/>
          <w:szCs w:val="24"/>
        </w:rPr>
        <w:t>té et dans les infrastructures de réseau. Le déploiement rapide d’infrastructures pour les carburants de substitution dans les deux prochaines années sera essentiel pour permettre à l’industrie automobile d’atteindre les objectifs en matière d’émissions po</w:t>
      </w:r>
      <w:r>
        <w:rPr>
          <w:rFonts w:ascii="Times New Roman" w:hAnsi="Times New Roman"/>
          <w:noProof/>
          <w:sz w:val="24"/>
          <w:szCs w:val="24"/>
        </w:rPr>
        <w:t xml:space="preserve">ur les voitures neuves. </w:t>
      </w:r>
    </w:p>
    <w:p w:rsidR="0012591C" w:rsidRDefault="00851248">
      <w:pPr>
        <w:spacing w:after="120"/>
        <w:jc w:val="both"/>
        <w:rPr>
          <w:rFonts w:ascii="Times New Roman" w:hAnsi="Times New Roman" w:cs="Times New Roman"/>
          <w:b/>
          <w:noProof/>
          <w:sz w:val="24"/>
          <w:szCs w:val="24"/>
        </w:rPr>
      </w:pPr>
      <w:r>
        <w:rPr>
          <w:rFonts w:ascii="Times New Roman" w:hAnsi="Times New Roman"/>
          <w:noProof/>
          <w:sz w:val="24"/>
          <w:szCs w:val="24"/>
        </w:rPr>
        <w:t>Dans ce contexte, il est nécessaire d’apporter des modifications aux régimes fiscaux et de subventions, afin que les incitations soient respectueuses du climat et de l’environnement, et de mobiliser les fonds nécessaires pour inves</w:t>
      </w:r>
      <w:r>
        <w:rPr>
          <w:rFonts w:ascii="Times New Roman" w:hAnsi="Times New Roman"/>
          <w:noProof/>
          <w:sz w:val="24"/>
          <w:szCs w:val="24"/>
        </w:rPr>
        <w:t xml:space="preserve">tir. Toutefois, le financement public seul ne suffira pas. Nous devrons recourir à l’investissement privé en plaçant le financement vert et durable au centre de la chaîne d’investissement et du système financier de l’Europe. </w:t>
      </w:r>
    </w:p>
    <w:p w:rsidR="0012591C" w:rsidRDefault="00851248">
      <w:pPr>
        <w:spacing w:after="120"/>
        <w:jc w:val="both"/>
        <w:rPr>
          <w:rFonts w:ascii="Times New Roman" w:hAnsi="Times New Roman" w:cs="Times New Roman"/>
          <w:noProof/>
          <w:sz w:val="24"/>
          <w:szCs w:val="24"/>
        </w:rPr>
      </w:pPr>
      <w:r>
        <w:rPr>
          <w:rFonts w:ascii="Times New Roman" w:hAnsi="Times New Roman"/>
          <w:b/>
          <w:noProof/>
          <w:sz w:val="24"/>
          <w:szCs w:val="24"/>
        </w:rPr>
        <w:t>Grâce au plan d’investissement</w:t>
      </w:r>
      <w:r>
        <w:rPr>
          <w:rFonts w:ascii="Times New Roman" w:hAnsi="Times New Roman"/>
          <w:b/>
          <w:noProof/>
          <w:sz w:val="24"/>
          <w:szCs w:val="24"/>
        </w:rPr>
        <w:t xml:space="preserve"> pour une Europe durable, l’Union européenne peut jouer un rôle de catalyseur pour les investissements verts privés et publics. </w:t>
      </w:r>
      <w:r>
        <w:rPr>
          <w:rFonts w:ascii="Times New Roman" w:hAnsi="Times New Roman"/>
          <w:noProof/>
          <w:sz w:val="24"/>
          <w:szCs w:val="24"/>
        </w:rPr>
        <w:t xml:space="preserve">Ce plan combinera un financement spécifique pour soutenir les investissements durables avec des propositions visant à améliorer </w:t>
      </w:r>
      <w:r>
        <w:rPr>
          <w:rFonts w:ascii="Times New Roman" w:hAnsi="Times New Roman"/>
          <w:noProof/>
          <w:sz w:val="24"/>
          <w:szCs w:val="24"/>
        </w:rPr>
        <w:t>le cadre réglementaire, en mobilisant des investissements durables aux quatre coins de l’UE. Pour atteindre cet objectif, il faudra consacrer une part plus importante que jamais des dépenses de l’UE à la lutte contre le changement climatique, en attirant d</w:t>
      </w:r>
      <w:r>
        <w:rPr>
          <w:rFonts w:ascii="Times New Roman" w:hAnsi="Times New Roman"/>
          <w:noProof/>
          <w:sz w:val="24"/>
          <w:szCs w:val="24"/>
        </w:rPr>
        <w:t>es financements privés au moyen de garanties, en créant un cadre favorable et en aidant les promoteurs de projets à structurer des projets verts pouvant bénéficier de concours bancaires. Le programme InvestEU y contribuera de manière significative. En outr</w:t>
      </w:r>
      <w:r>
        <w:rPr>
          <w:rFonts w:ascii="Times New Roman" w:hAnsi="Times New Roman"/>
          <w:noProof/>
          <w:sz w:val="24"/>
          <w:szCs w:val="24"/>
        </w:rPr>
        <w:t>e, le groupe de la Banque européenne d’investissement (BEI) deviendra la banque européenne du climat en doublant son objectif climatique pour le porter à 50 %. Dans le cadre du futur Mécanisme pour une transition juste, la Commission travaille également av</w:t>
      </w:r>
      <w:r>
        <w:rPr>
          <w:rFonts w:ascii="Times New Roman" w:hAnsi="Times New Roman"/>
          <w:noProof/>
          <w:sz w:val="24"/>
          <w:szCs w:val="24"/>
        </w:rPr>
        <w:t xml:space="preserve">ec le groupe BEI en vue de mobiliser des investissements importants pour les régions qui devront être particulièrement aidées dans la transition environnementale et climatique au cours de la période couverte par le prochain CFP. </w:t>
      </w:r>
    </w:p>
    <w:p w:rsidR="0012591C" w:rsidRDefault="00851248">
      <w:pPr>
        <w:spacing w:after="120"/>
        <w:jc w:val="both"/>
        <w:rPr>
          <w:rFonts w:ascii="Times New Roman" w:hAnsi="Times New Roman" w:cs="Times New Roman"/>
          <w:noProof/>
          <w:sz w:val="24"/>
          <w:szCs w:val="24"/>
        </w:rPr>
      </w:pPr>
      <w:r>
        <w:rPr>
          <w:rFonts w:ascii="Times New Roman" w:hAnsi="Times New Roman"/>
          <w:b/>
          <w:noProof/>
          <w:sz w:val="24"/>
          <w:szCs w:val="24"/>
        </w:rPr>
        <w:t>L’augmentation des revenus</w:t>
      </w:r>
      <w:r>
        <w:rPr>
          <w:rFonts w:ascii="Times New Roman" w:hAnsi="Times New Roman"/>
          <w:b/>
          <w:noProof/>
          <w:sz w:val="24"/>
          <w:szCs w:val="24"/>
        </w:rPr>
        <w:t xml:space="preserve"> provenant du système d’échange de quotas d’émission de l’UE (SEQE) constitue une source supplémentaire de financement pour l’action climatique et la modernisation de l’économie.</w:t>
      </w:r>
      <w:r>
        <w:rPr>
          <w:rFonts w:ascii="Times New Roman" w:hAnsi="Times New Roman"/>
          <w:noProof/>
          <w:sz w:val="24"/>
          <w:szCs w:val="24"/>
        </w:rPr>
        <w:t xml:space="preserve"> En 2018, les recettes tirées de la mise aux enchères de quotas du SEQE se son</w:t>
      </w:r>
      <w:r>
        <w:rPr>
          <w:rFonts w:ascii="Times New Roman" w:hAnsi="Times New Roman"/>
          <w:noProof/>
          <w:sz w:val="24"/>
          <w:szCs w:val="24"/>
        </w:rPr>
        <w:t>t élevées à quelque 14 000 000 000 EUR. En 2019, les recettes des enchères du SEQE de l’UE devraient être encore plus élevées et, au cours des prochaines années, les recettes annuelles resteront considérables. Cet argent devrait servir à soutenir la réalis</w:t>
      </w:r>
      <w:r>
        <w:rPr>
          <w:rFonts w:ascii="Times New Roman" w:hAnsi="Times New Roman"/>
          <w:noProof/>
          <w:sz w:val="24"/>
          <w:szCs w:val="24"/>
        </w:rPr>
        <w:t>ation des objectifs en matière de climat et d’énergie à l’horizon 2030 et à investir dans la transition vers la neutralité climatique.</w:t>
      </w:r>
    </w:p>
    <w:p w:rsidR="0012591C" w:rsidRDefault="0012591C">
      <w:pPr>
        <w:spacing w:after="120"/>
        <w:jc w:val="both"/>
        <w:rPr>
          <w:rFonts w:ascii="Times New Roman" w:hAnsi="Times New Roman" w:cs="Times New Roman"/>
          <w:noProof/>
          <w:sz w:val="24"/>
          <w:szCs w:val="24"/>
        </w:rPr>
      </w:pPr>
    </w:p>
    <w:p w:rsidR="0012591C" w:rsidRDefault="00851248">
      <w:pPr>
        <w:pStyle w:val="ListParagraph"/>
        <w:keepNext/>
        <w:numPr>
          <w:ilvl w:val="1"/>
          <w:numId w:val="2"/>
        </w:numPr>
        <w:spacing w:line="257" w:lineRule="auto"/>
        <w:ind w:left="1066" w:hanging="357"/>
        <w:jc w:val="both"/>
        <w:rPr>
          <w:rFonts w:ascii="Times New Roman" w:hAnsi="Times New Roman" w:cs="Times New Roman"/>
          <w:b/>
          <w:noProof/>
          <w:sz w:val="24"/>
          <w:szCs w:val="24"/>
        </w:rPr>
      </w:pPr>
      <w:r>
        <w:rPr>
          <w:rFonts w:ascii="Times New Roman" w:hAnsi="Times New Roman"/>
          <w:b/>
          <w:noProof/>
          <w:sz w:val="24"/>
          <w:szCs w:val="24"/>
        </w:rPr>
        <w:t xml:space="preserve">Croissance de la productivité </w:t>
      </w:r>
    </w:p>
    <w:p w:rsidR="0012591C" w:rsidRDefault="00851248">
      <w:pPr>
        <w:spacing w:after="120"/>
        <w:jc w:val="both"/>
        <w:rPr>
          <w:rFonts w:ascii="Times New Roman" w:hAnsi="Times New Roman" w:cs="Times New Roman"/>
          <w:b/>
          <w:bCs/>
          <w:noProof/>
          <w:sz w:val="24"/>
          <w:szCs w:val="24"/>
        </w:rPr>
      </w:pPr>
      <w:r>
        <w:rPr>
          <w:rFonts w:ascii="Times New Roman" w:hAnsi="Times New Roman"/>
          <w:b/>
          <w:noProof/>
          <w:sz w:val="24"/>
          <w:szCs w:val="24"/>
        </w:rPr>
        <w:t>Dans le contexte du vieillissement de la population et de contraintes de plus en plus for</w:t>
      </w:r>
      <w:r>
        <w:rPr>
          <w:rFonts w:ascii="Times New Roman" w:hAnsi="Times New Roman"/>
          <w:b/>
          <w:noProof/>
          <w:sz w:val="24"/>
          <w:szCs w:val="24"/>
        </w:rPr>
        <w:t xml:space="preserve">tes en matière de ressources, la croissance future des revenus et de l’emploi en Europe sera fortement tributaire de la hausse de la productivité et de l’innovation. </w:t>
      </w:r>
      <w:r>
        <w:rPr>
          <w:rFonts w:ascii="Times New Roman" w:hAnsi="Times New Roman"/>
          <w:noProof/>
          <w:sz w:val="24"/>
          <w:szCs w:val="24"/>
        </w:rPr>
        <w:t>La croissance de la productivité dans l’UE reste nettement inférieure à celle des autres a</w:t>
      </w:r>
      <w:r>
        <w:rPr>
          <w:rFonts w:ascii="Times New Roman" w:hAnsi="Times New Roman"/>
          <w:noProof/>
          <w:sz w:val="24"/>
          <w:szCs w:val="24"/>
        </w:rPr>
        <w:t>cteurs mondiaux. La tendance suivie par les États membres a cessé, dans les années 1980, de converger avec celle observée aux États-Unis. Cette évolution reflète également la situation des entreprises européennes à l’échelle mondiale. Parmi les 100 plus gr</w:t>
      </w:r>
      <w:r>
        <w:rPr>
          <w:rFonts w:ascii="Times New Roman" w:hAnsi="Times New Roman"/>
          <w:noProof/>
          <w:sz w:val="24"/>
          <w:szCs w:val="24"/>
        </w:rPr>
        <w:t>andes entreprises cotées en bourse, seules 23 sont européennes. Il y a dix ans, 40 étaient européennes. Dans le même temps, les disparités au sein de l’UE ont augmenté, la productivité des 10 % des régions les plus productives étant plus de six fois supéri</w:t>
      </w:r>
      <w:r>
        <w:rPr>
          <w:rFonts w:ascii="Times New Roman" w:hAnsi="Times New Roman"/>
          <w:noProof/>
          <w:sz w:val="24"/>
          <w:szCs w:val="24"/>
        </w:rPr>
        <w:t>eure à celle des 10 % des régions les moins productives. La création de conseils nationaux de la productivité pourrait enrichir les débats, menés au niveau national, sur la manière de stimuler la productivité en fournissant une analyse indépendante de haut</w:t>
      </w:r>
      <w:r>
        <w:rPr>
          <w:rFonts w:ascii="Times New Roman" w:hAnsi="Times New Roman"/>
          <w:noProof/>
          <w:sz w:val="24"/>
          <w:szCs w:val="24"/>
        </w:rPr>
        <w:t>e qualité et en renforçant l’appropriation des réformes structurelles par les États membres.</w:t>
      </w:r>
    </w:p>
    <w:p w:rsidR="0012591C" w:rsidRDefault="00851248">
      <w:pPr>
        <w:spacing w:after="120"/>
        <w:jc w:val="both"/>
        <w:rPr>
          <w:rFonts w:ascii="Times New Roman" w:hAnsi="Times New Roman" w:cs="Times New Roman"/>
          <w:b/>
          <w:noProof/>
          <w:sz w:val="24"/>
          <w:szCs w:val="24"/>
        </w:rPr>
      </w:pPr>
      <w:r>
        <w:rPr>
          <w:rFonts w:ascii="Times New Roman" w:hAnsi="Times New Roman"/>
          <w:b/>
          <w:bCs/>
          <w:noProof/>
          <w:sz w:val="24"/>
          <w:szCs w:val="24"/>
        </w:rPr>
        <w:t>L’augmentation de la productivité nécessite une stratégie de recherche et d’innovation systématique et prospective.</w:t>
      </w:r>
      <w:r>
        <w:rPr>
          <w:rFonts w:ascii="Times New Roman" w:hAnsi="Times New Roman"/>
          <w:noProof/>
          <w:sz w:val="24"/>
          <w:szCs w:val="24"/>
        </w:rPr>
        <w:t xml:space="preserve"> L’écart de productivité entre les entreprises l</w:t>
      </w:r>
      <w:r>
        <w:rPr>
          <w:rFonts w:ascii="Times New Roman" w:hAnsi="Times New Roman"/>
          <w:noProof/>
          <w:sz w:val="24"/>
          <w:szCs w:val="24"/>
        </w:rPr>
        <w:t>es plus performantes et les entreprises à la traîne a augmenté dans la plupart des États membres. Des réformes structurelles visant à favoriser la diffusion de l’innovation et à améliorer l’accès au financement pourraient permettre à un nombre beaucoup plu</w:t>
      </w:r>
      <w:r>
        <w:rPr>
          <w:rFonts w:ascii="Times New Roman" w:hAnsi="Times New Roman"/>
          <w:noProof/>
          <w:sz w:val="24"/>
          <w:szCs w:val="24"/>
        </w:rPr>
        <w:t>s grand d’entreprises de bénéficier des innovations, ce qui stimulerait la croissance de la productivité. Les investissements publics et privés dans les technologies innovantes, y compris les technologies numériques avancées, devraient être soutenus afin d</w:t>
      </w:r>
      <w:r>
        <w:rPr>
          <w:rFonts w:ascii="Times New Roman" w:hAnsi="Times New Roman"/>
          <w:noProof/>
          <w:sz w:val="24"/>
          <w:szCs w:val="24"/>
        </w:rPr>
        <w:t>e favoriser la création de nouveaux produits, services et modèles d’entreprise. Il faut davantage d’innovateurs jeunes et vifs capables de développer des technologies de rupture, comme l’ont fait les actuels géants de la technologie il y a seulement une dé</w:t>
      </w:r>
      <w:r>
        <w:rPr>
          <w:rFonts w:ascii="Times New Roman" w:hAnsi="Times New Roman"/>
          <w:noProof/>
          <w:sz w:val="24"/>
          <w:szCs w:val="24"/>
        </w:rPr>
        <w:t>cennie.</w:t>
      </w:r>
    </w:p>
    <w:p w:rsidR="0012591C" w:rsidRDefault="00851248">
      <w:pPr>
        <w:spacing w:after="120"/>
        <w:jc w:val="both"/>
        <w:rPr>
          <w:rFonts w:ascii="Times New Roman" w:hAnsi="Times New Roman" w:cs="Times New Roman"/>
          <w:b/>
          <w:noProof/>
          <w:sz w:val="24"/>
          <w:szCs w:val="24"/>
        </w:rPr>
      </w:pPr>
      <w:r>
        <w:rPr>
          <w:rFonts w:ascii="Times New Roman" w:hAnsi="Times New Roman"/>
          <w:b/>
          <w:noProof/>
          <w:sz w:val="24"/>
          <w:szCs w:val="24"/>
        </w:rPr>
        <w:t xml:space="preserve">Les technologies numériques, telles que l’intelligence artificielle ou l’internet des objets, et l’accès aux données sont essentiels pour une économie plus productive et plus verte. </w:t>
      </w:r>
      <w:r>
        <w:rPr>
          <w:rFonts w:ascii="Times New Roman" w:hAnsi="Times New Roman"/>
          <w:noProof/>
          <w:sz w:val="24"/>
          <w:szCs w:val="24"/>
        </w:rPr>
        <w:t xml:space="preserve">Ils modifient nos modes de communication, nos modes de vie et nos </w:t>
      </w:r>
      <w:r>
        <w:rPr>
          <w:rFonts w:ascii="Times New Roman" w:hAnsi="Times New Roman"/>
          <w:noProof/>
          <w:sz w:val="24"/>
          <w:szCs w:val="24"/>
        </w:rPr>
        <w:t xml:space="preserve">façons de travailler. </w:t>
      </w:r>
      <w:r>
        <w:rPr>
          <w:rFonts w:ascii="Times New Roman" w:hAnsi="Times New Roman"/>
          <w:bCs/>
          <w:noProof/>
          <w:sz w:val="24"/>
          <w:szCs w:val="24"/>
        </w:rPr>
        <w:t>La dynamique évolutive induite par la transformation numérique nécessite un surcroît d’ambition au niveau de l’UE et au niveau national en termes d’augmentation des investissements, de réglementation propice à l’innovation et de réfor</w:t>
      </w:r>
      <w:r>
        <w:rPr>
          <w:rFonts w:ascii="Times New Roman" w:hAnsi="Times New Roman"/>
          <w:bCs/>
          <w:noProof/>
          <w:sz w:val="24"/>
          <w:szCs w:val="24"/>
        </w:rPr>
        <w:t>mes efficaces, ainsi qu’une approche centrée sur l’humain et fondée sur les valeurs européennes.</w:t>
      </w:r>
      <w:r>
        <w:rPr>
          <w:rFonts w:ascii="Times New Roman" w:hAnsi="Times New Roman"/>
          <w:i/>
          <w:iCs/>
          <w:noProof/>
          <w:sz w:val="24"/>
          <w:szCs w:val="24"/>
        </w:rPr>
        <w:t xml:space="preserve"> </w:t>
      </w:r>
      <w:r>
        <w:rPr>
          <w:rFonts w:ascii="Times New Roman" w:hAnsi="Times New Roman"/>
          <w:noProof/>
          <w:sz w:val="24"/>
          <w:szCs w:val="24"/>
        </w:rPr>
        <w:t>L’Europe a besoin d’une base industrielle solide, fondée sur une stratégie commune et des ressources partagées dans les secteurs clés, pour être en mesure de p</w:t>
      </w:r>
      <w:r>
        <w:rPr>
          <w:rFonts w:ascii="Times New Roman" w:hAnsi="Times New Roman"/>
          <w:noProof/>
          <w:sz w:val="24"/>
          <w:szCs w:val="24"/>
        </w:rPr>
        <w:t>roduire en interne les technologies dont elle a besoin pour rester à la pointe dans le contexte de la concurrence mondiale. L’Europe doit aussi rester souveraine sur le plan technologique en investissant dans des technologies innovantes telles que la chaîn</w:t>
      </w:r>
      <w:r>
        <w:rPr>
          <w:rFonts w:ascii="Times New Roman" w:hAnsi="Times New Roman"/>
          <w:noProof/>
          <w:sz w:val="24"/>
          <w:szCs w:val="24"/>
        </w:rPr>
        <w:t>e de blocs, le calcul à haute performance et l’informatique quantique, les algorithmes et les outils permettant le partage ainsi que l’utilisation des données. Les données et l’intelligence artificielle sont les principaux moteurs de l’innovation qui peuve</w:t>
      </w:r>
      <w:r>
        <w:rPr>
          <w:rFonts w:ascii="Times New Roman" w:hAnsi="Times New Roman"/>
          <w:noProof/>
          <w:sz w:val="24"/>
          <w:szCs w:val="24"/>
        </w:rPr>
        <w:t xml:space="preserve">nt nous aider à trouver des solutions aux défis de société, allant de la santé à l’agriculture et à la production alimentaire en passant par la sécurité et l’industrie manufacturière. </w:t>
      </w:r>
    </w:p>
    <w:p w:rsidR="0012591C" w:rsidRDefault="00851248">
      <w:pPr>
        <w:spacing w:after="120"/>
        <w:jc w:val="both"/>
        <w:rPr>
          <w:rFonts w:ascii="Times New Roman" w:hAnsi="Times New Roman" w:cs="Times New Roman"/>
          <w:b/>
          <w:bCs/>
          <w:noProof/>
          <w:sz w:val="24"/>
          <w:szCs w:val="24"/>
        </w:rPr>
      </w:pPr>
      <w:r>
        <w:rPr>
          <w:rFonts w:ascii="Times New Roman" w:hAnsi="Times New Roman"/>
          <w:b/>
          <w:noProof/>
          <w:sz w:val="24"/>
          <w:szCs w:val="24"/>
        </w:rPr>
        <w:t>En ces temps de tensions croissantes au niveau mondial, le marché uniqu</w:t>
      </w:r>
      <w:r>
        <w:rPr>
          <w:rFonts w:ascii="Times New Roman" w:hAnsi="Times New Roman"/>
          <w:b/>
          <w:noProof/>
          <w:sz w:val="24"/>
          <w:szCs w:val="24"/>
        </w:rPr>
        <w:t xml:space="preserve">e de l’UE offre aux États membres de multiples possibilités pour développer les échanges, créer des emplois et stimuler la croissance. </w:t>
      </w:r>
      <w:r>
        <w:rPr>
          <w:rFonts w:ascii="Times New Roman" w:hAnsi="Times New Roman"/>
          <w:noProof/>
          <w:sz w:val="24"/>
          <w:szCs w:val="24"/>
        </w:rPr>
        <w:t>Le marché unique est une source majeure de résilience pour l’économie de l’UE. Les concurrents de l’Europe étant des écon</w:t>
      </w:r>
      <w:r>
        <w:rPr>
          <w:rFonts w:ascii="Times New Roman" w:hAnsi="Times New Roman"/>
          <w:noProof/>
          <w:sz w:val="24"/>
          <w:szCs w:val="24"/>
        </w:rPr>
        <w:t>omies de taille continentale, l’UE a besoin d’un véritable marché unique aux contours continentaux. Les avantages sont évidents: les avancées technologiques se propagent plus rapidement sur un marché unifié. Des marchés des produits et des services perform</w:t>
      </w:r>
      <w:r>
        <w:rPr>
          <w:rFonts w:ascii="Times New Roman" w:hAnsi="Times New Roman"/>
          <w:noProof/>
          <w:sz w:val="24"/>
          <w:szCs w:val="24"/>
        </w:rPr>
        <w:t xml:space="preserve">ants sont un moteur essentiel de la croissance de la productivité, étant donné qu’ils permettent une allocation des ressources plus efficiente. Toutefois, les progrès en matière d’intégration des marchés sont inégaux et nous avons besoin d’un nouvel élan, </w:t>
      </w:r>
      <w:r>
        <w:rPr>
          <w:rFonts w:ascii="Times New Roman" w:hAnsi="Times New Roman"/>
          <w:noProof/>
          <w:sz w:val="24"/>
          <w:szCs w:val="24"/>
        </w:rPr>
        <w:t xml:space="preserve">notamment en ce qui concerne le marché unique numérique, les réseaux européens et l’union des marchés des capitaux. </w:t>
      </w:r>
    </w:p>
    <w:p w:rsidR="0012591C" w:rsidRDefault="00851248">
      <w:pPr>
        <w:spacing w:after="120"/>
        <w:jc w:val="both"/>
        <w:rPr>
          <w:rFonts w:ascii="Times New Roman" w:hAnsi="Times New Roman" w:cs="Times New Roman"/>
          <w:noProof/>
          <w:sz w:val="24"/>
          <w:szCs w:val="24"/>
        </w:rPr>
      </w:pPr>
      <w:r>
        <w:rPr>
          <w:rFonts w:ascii="Times New Roman" w:hAnsi="Times New Roman"/>
          <w:b/>
          <w:bCs/>
          <w:noProof/>
          <w:sz w:val="24"/>
          <w:szCs w:val="24"/>
        </w:rPr>
        <w:t>Au cœur du marché unique, la normalisation joue un rôle essentiel dans la poursuite du programme de développement durable de l’UE.</w:t>
      </w:r>
      <w:r>
        <w:rPr>
          <w:rFonts w:ascii="Times New Roman" w:hAnsi="Times New Roman"/>
          <w:noProof/>
          <w:sz w:val="24"/>
          <w:szCs w:val="24"/>
        </w:rPr>
        <w:t xml:space="preserve"> Les norm</w:t>
      </w:r>
      <w:r>
        <w:rPr>
          <w:rFonts w:ascii="Times New Roman" w:hAnsi="Times New Roman"/>
          <w:noProof/>
          <w:sz w:val="24"/>
          <w:szCs w:val="24"/>
        </w:rPr>
        <w:t>es sont essentielles pour amener les entreprises à respecter les objectifs de développement durable, car elles font le lien entre les dispositions juridiques et les pratiques techniques concrètes. Les normes contribuent également à la compétitivité en rédu</w:t>
      </w:r>
      <w:r>
        <w:rPr>
          <w:rFonts w:ascii="Times New Roman" w:hAnsi="Times New Roman"/>
          <w:noProof/>
          <w:sz w:val="24"/>
          <w:szCs w:val="24"/>
        </w:rPr>
        <w:t>isant les coûts de production et en augmentant la taille du marché. Pour ces raisons, la normalisation peut aider à mettre au point des produits et des processus de production innovants qui, sur la base des progrès technologiques récents, contribuent à l’e</w:t>
      </w:r>
      <w:r>
        <w:rPr>
          <w:rFonts w:ascii="Times New Roman" w:hAnsi="Times New Roman"/>
          <w:noProof/>
          <w:sz w:val="24"/>
          <w:szCs w:val="24"/>
        </w:rPr>
        <w:t xml:space="preserve">fficacité énergétique, à l’amélioration du recyclage et à la production durable. Les exemples les plus manifestes du rôle joué par les normes dans la promotion du programme de développement durable sont l’«écoconception» et le cadre régissant la politique </w:t>
      </w:r>
      <w:r>
        <w:rPr>
          <w:rFonts w:ascii="Times New Roman" w:hAnsi="Times New Roman"/>
          <w:noProof/>
          <w:sz w:val="24"/>
          <w:szCs w:val="24"/>
        </w:rPr>
        <w:t>d’étiquetage énergétique</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Enfin, les normes favorisent aussi une concurrence mondiale équitable.</w:t>
      </w:r>
    </w:p>
    <w:p w:rsidR="0012591C" w:rsidRDefault="0012591C">
      <w:pPr>
        <w:spacing w:after="0"/>
        <w:jc w:val="both"/>
        <w:rPr>
          <w:noProof/>
          <w:sz w:val="24"/>
          <w:szCs w:val="24"/>
        </w:rPr>
      </w:pPr>
    </w:p>
    <w:p w:rsidR="0012591C" w:rsidRDefault="00851248">
      <w:pPr>
        <w:spacing w:after="0"/>
        <w:jc w:val="both"/>
        <w:rPr>
          <w:rFonts w:ascii="Times New Roman" w:hAnsi="Times New Roman" w:cs="Times New Roman"/>
          <w:noProof/>
          <w:sz w:val="24"/>
          <w:szCs w:val="24"/>
        </w:rPr>
      </w:pPr>
      <w:r>
        <w:rPr>
          <w:rFonts w:ascii="Times New Roman" w:hAnsi="Times New Roman"/>
          <w:noProof/>
          <w:sz w:val="24"/>
          <w:szCs w:val="24"/>
        </w:rPr>
        <w:t>Encadré 1: Contribution du marché unique et rapport sur les performances du marché unique</w:t>
      </w:r>
      <w:r>
        <w:rPr>
          <w:rStyle w:val="FootnoteReference"/>
          <w:rFonts w:ascii="Times New Roman" w:hAnsi="Times New Roman" w:cs="Times New Roman"/>
          <w:noProof/>
          <w:sz w:val="24"/>
          <w:szCs w:val="24"/>
        </w:rPr>
        <w:footnoteReference w:id="5"/>
      </w:r>
    </w:p>
    <w:p w:rsidR="0012591C" w:rsidRDefault="00851248">
      <w:pPr>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b/>
          <w:noProof/>
          <w:sz w:val="24"/>
          <w:szCs w:val="24"/>
        </w:rPr>
        <w:t>Le marché unique est un atout majeur de l’Union.</w:t>
      </w:r>
      <w:r>
        <w:rPr>
          <w:rFonts w:ascii="Times New Roman" w:hAnsi="Times New Roman"/>
          <w:noProof/>
          <w:sz w:val="24"/>
          <w:szCs w:val="24"/>
        </w:rPr>
        <w:t xml:space="preserve"> L’intégration sans précédent réalisée ces 25 dernières années a fait naître des liens économiques et sociaux plus forts entre les particuliers et les entreprises dans tous les États membres. Le marché unique peut procurer encore d’autres avantages aux par</w:t>
      </w:r>
      <w:r>
        <w:rPr>
          <w:rFonts w:ascii="Times New Roman" w:hAnsi="Times New Roman"/>
          <w:noProof/>
          <w:sz w:val="24"/>
          <w:szCs w:val="24"/>
        </w:rPr>
        <w:t xml:space="preserve">ticuliers et aux entreprises. </w:t>
      </w:r>
    </w:p>
    <w:p w:rsidR="0012591C" w:rsidRDefault="00851248">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b/>
          <w:noProof/>
          <w:sz w:val="24"/>
          <w:szCs w:val="24"/>
        </w:rPr>
        <w:t>Le marché unique doit être achevé et mis en œuvre dans les domaines où les résultats des efforts passés restent en deçà des attentes</w:t>
      </w:r>
      <w:r>
        <w:rPr>
          <w:rFonts w:ascii="Times New Roman" w:hAnsi="Times New Roman"/>
          <w:noProof/>
          <w:sz w:val="24"/>
          <w:szCs w:val="24"/>
        </w:rPr>
        <w:t>, et il doit être actualisé en permanence pour faire face aux nouveaux défis. C’est également</w:t>
      </w:r>
      <w:r>
        <w:rPr>
          <w:rFonts w:ascii="Times New Roman" w:hAnsi="Times New Roman"/>
          <w:noProof/>
          <w:sz w:val="24"/>
          <w:szCs w:val="24"/>
        </w:rPr>
        <w:t xml:space="preserve"> le cas pour les actes juridiques récemment adoptés qui ont une incidence sur le volet </w:t>
      </w:r>
      <w:r>
        <w:rPr>
          <w:rFonts w:ascii="Times New Roman" w:hAnsi="Times New Roman"/>
          <w:b/>
          <w:noProof/>
          <w:sz w:val="24"/>
          <w:szCs w:val="24"/>
        </w:rPr>
        <w:t>numérique</w:t>
      </w:r>
      <w:r>
        <w:rPr>
          <w:rFonts w:ascii="Times New Roman" w:hAnsi="Times New Roman"/>
          <w:noProof/>
          <w:sz w:val="24"/>
          <w:szCs w:val="24"/>
        </w:rPr>
        <w:t xml:space="preserve"> de l’économie. La crise financière a mis en évidence l’importance de la stabilité et de l’intégration sur les </w:t>
      </w:r>
      <w:r>
        <w:rPr>
          <w:rFonts w:ascii="Times New Roman" w:hAnsi="Times New Roman"/>
          <w:b/>
          <w:noProof/>
          <w:sz w:val="24"/>
          <w:szCs w:val="24"/>
        </w:rPr>
        <w:t>marchés des capitaux et les marchés financiers</w:t>
      </w:r>
      <w:r>
        <w:rPr>
          <w:rFonts w:ascii="Times New Roman" w:hAnsi="Times New Roman"/>
          <w:noProof/>
          <w:sz w:val="24"/>
          <w:szCs w:val="24"/>
        </w:rPr>
        <w:t>, o</w:t>
      </w:r>
      <w:r>
        <w:rPr>
          <w:rFonts w:ascii="Times New Roman" w:hAnsi="Times New Roman"/>
          <w:noProof/>
          <w:sz w:val="24"/>
          <w:szCs w:val="24"/>
        </w:rPr>
        <w:t>ù la fragmentation demeure un frein à la croissance et à l’investissement des entreprises. L’</w:t>
      </w:r>
      <w:r>
        <w:rPr>
          <w:rFonts w:ascii="Times New Roman" w:hAnsi="Times New Roman"/>
          <w:b/>
          <w:noProof/>
          <w:sz w:val="24"/>
          <w:szCs w:val="24"/>
        </w:rPr>
        <w:t>énergie</w:t>
      </w:r>
      <w:r>
        <w:rPr>
          <w:rFonts w:ascii="Times New Roman" w:hAnsi="Times New Roman"/>
          <w:noProof/>
          <w:sz w:val="24"/>
          <w:szCs w:val="24"/>
        </w:rPr>
        <w:t xml:space="preserve"> est devenue un élément clé de l’intégration pour l’Union, mais les marchés de l’énergie restent encore largement fragmentés au niveau national. Les objecti</w:t>
      </w:r>
      <w:r>
        <w:rPr>
          <w:rFonts w:ascii="Times New Roman" w:hAnsi="Times New Roman"/>
          <w:noProof/>
          <w:sz w:val="24"/>
          <w:szCs w:val="24"/>
        </w:rPr>
        <w:t>fs en matière d’environnement, de climat et d’infrastructures sont également essentiels pour garantir que les performances du marché unique répondent aux attentes de la société. Le marché unique subit une transformation profonde pour permettre aux entrepri</w:t>
      </w:r>
      <w:r>
        <w:rPr>
          <w:rFonts w:ascii="Times New Roman" w:hAnsi="Times New Roman"/>
          <w:noProof/>
          <w:sz w:val="24"/>
          <w:szCs w:val="24"/>
        </w:rPr>
        <w:t xml:space="preserve">ses et aux particuliers de l’UE de tirer le meilleur parti des possibilités offertes par les nouvelles technologies, telles que la numérisation. </w:t>
      </w:r>
    </w:p>
    <w:p w:rsidR="0012591C" w:rsidRDefault="00851248">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b/>
          <w:noProof/>
          <w:sz w:val="24"/>
          <w:szCs w:val="24"/>
        </w:rPr>
        <w:t>Le marché unique est essentiel pour le Semestre européen et inversement.</w:t>
      </w:r>
      <w:r>
        <w:rPr>
          <w:rFonts w:ascii="Times New Roman" w:hAnsi="Times New Roman"/>
          <w:noProof/>
          <w:sz w:val="24"/>
          <w:szCs w:val="24"/>
        </w:rPr>
        <w:t xml:space="preserve"> Bon nombre des obstacles structurels </w:t>
      </w:r>
      <w:r>
        <w:rPr>
          <w:rFonts w:ascii="Times New Roman" w:hAnsi="Times New Roman"/>
          <w:noProof/>
          <w:sz w:val="24"/>
          <w:szCs w:val="24"/>
        </w:rPr>
        <w:t>qui empêchent le marché unique de produire pleinement ses effets bénéfiques s’expliquent en fait par les réglementations ou pratiques administratives au niveau national, régional ou local, qui détériorent l’environnement des entreprises et dissuadent ces d</w:t>
      </w:r>
      <w:r>
        <w:rPr>
          <w:rFonts w:ascii="Times New Roman" w:hAnsi="Times New Roman"/>
          <w:noProof/>
          <w:sz w:val="24"/>
          <w:szCs w:val="24"/>
        </w:rPr>
        <w:t>ernières d’exercer leurs activités dans un autre État membre. Le manque de capacités administratives ou de personnel qualifié nuit aux performances des marchés publics dans certains États membres.</w:t>
      </w:r>
    </w:p>
    <w:p w:rsidR="0012591C" w:rsidRDefault="00851248">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xml:space="preserve">Ces conclusions figurent dans le </w:t>
      </w:r>
      <w:r>
        <w:rPr>
          <w:rFonts w:ascii="Times New Roman" w:hAnsi="Times New Roman"/>
          <w:b/>
          <w:noProof/>
          <w:sz w:val="24"/>
          <w:szCs w:val="24"/>
        </w:rPr>
        <w:t>rapport sur les performanc</w:t>
      </w:r>
      <w:r>
        <w:rPr>
          <w:rFonts w:ascii="Times New Roman" w:hAnsi="Times New Roman"/>
          <w:b/>
          <w:noProof/>
          <w:sz w:val="24"/>
          <w:szCs w:val="24"/>
        </w:rPr>
        <w:t>es du marché unique</w:t>
      </w:r>
      <w:r>
        <w:rPr>
          <w:rFonts w:ascii="Times New Roman" w:hAnsi="Times New Roman"/>
          <w:noProof/>
          <w:sz w:val="24"/>
          <w:szCs w:val="24"/>
        </w:rPr>
        <w:t xml:space="preserve">, qui constitue une nouveauté dans le cadre du cycle du Semestre européen 2020, et qui est publié parallèlement à la présente stratégie annuelle pour une croissance durable. </w:t>
      </w:r>
    </w:p>
    <w:p w:rsidR="0012591C" w:rsidRDefault="00851248">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L’objectif du rapport est d’</w:t>
      </w:r>
      <w:r>
        <w:rPr>
          <w:rFonts w:ascii="Times New Roman" w:hAnsi="Times New Roman"/>
          <w:b/>
          <w:noProof/>
          <w:sz w:val="24"/>
          <w:szCs w:val="24"/>
        </w:rPr>
        <w:t>évaluer les performances de l’écon</w:t>
      </w:r>
      <w:r>
        <w:rPr>
          <w:rFonts w:ascii="Times New Roman" w:hAnsi="Times New Roman"/>
          <w:b/>
          <w:noProof/>
          <w:sz w:val="24"/>
          <w:szCs w:val="24"/>
        </w:rPr>
        <w:t>omie réelle sur le marché unique</w:t>
      </w:r>
      <w:r>
        <w:rPr>
          <w:rFonts w:ascii="Times New Roman" w:hAnsi="Times New Roman"/>
          <w:noProof/>
          <w:sz w:val="24"/>
          <w:szCs w:val="24"/>
        </w:rPr>
        <w:t xml:space="preserve">. Alors que, par le passé, le suivi a principalement porté sur le cadre juridique du marché unique pour s’assurer de son application correcte, le rapport met principalement l’accent </w:t>
      </w:r>
      <w:r>
        <w:rPr>
          <w:rFonts w:ascii="Times New Roman" w:hAnsi="Times New Roman"/>
          <w:b/>
          <w:noProof/>
          <w:sz w:val="24"/>
          <w:szCs w:val="24"/>
        </w:rPr>
        <w:t>sur les résultats et les réalisations du m</w:t>
      </w:r>
      <w:r>
        <w:rPr>
          <w:rFonts w:ascii="Times New Roman" w:hAnsi="Times New Roman"/>
          <w:b/>
          <w:noProof/>
          <w:sz w:val="24"/>
          <w:szCs w:val="24"/>
        </w:rPr>
        <w:t>arché unique</w:t>
      </w:r>
      <w:r>
        <w:rPr>
          <w:rFonts w:ascii="Times New Roman" w:hAnsi="Times New Roman"/>
          <w:noProof/>
          <w:sz w:val="24"/>
          <w:szCs w:val="24"/>
        </w:rPr>
        <w:t xml:space="preserve">. </w:t>
      </w:r>
    </w:p>
    <w:p w:rsidR="0012591C" w:rsidRDefault="00851248">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xml:space="preserve">Le rapport examine tout d’abord les </w:t>
      </w:r>
      <w:r>
        <w:rPr>
          <w:rFonts w:ascii="Times New Roman" w:hAnsi="Times New Roman"/>
          <w:b/>
          <w:noProof/>
          <w:sz w:val="24"/>
          <w:szCs w:val="24"/>
        </w:rPr>
        <w:t>obstacles qui empêchent les citoyens et les entreprises de bénéficier des avantages offerts par le marché unique</w:t>
      </w:r>
      <w:r>
        <w:rPr>
          <w:rFonts w:ascii="Times New Roman" w:hAnsi="Times New Roman"/>
          <w:noProof/>
          <w:sz w:val="24"/>
          <w:szCs w:val="24"/>
        </w:rPr>
        <w:t xml:space="preserve">. Ensuite, il évalue les </w:t>
      </w:r>
      <w:r>
        <w:rPr>
          <w:rFonts w:ascii="Times New Roman" w:hAnsi="Times New Roman"/>
          <w:b/>
          <w:noProof/>
          <w:sz w:val="24"/>
          <w:szCs w:val="24"/>
        </w:rPr>
        <w:t>réalisations du marché unique</w:t>
      </w:r>
      <w:r>
        <w:rPr>
          <w:rFonts w:ascii="Times New Roman" w:hAnsi="Times New Roman"/>
          <w:noProof/>
          <w:sz w:val="24"/>
          <w:szCs w:val="24"/>
        </w:rPr>
        <w:t>: un plus grand choix pour les consomma</w:t>
      </w:r>
      <w:r>
        <w:rPr>
          <w:rFonts w:ascii="Times New Roman" w:hAnsi="Times New Roman"/>
          <w:noProof/>
          <w:sz w:val="24"/>
          <w:szCs w:val="24"/>
        </w:rPr>
        <w:t>teurs et les entreprises, des prix plus bas et des normes élevées en matière de sécurité des consommateurs et de protection de l’environnement. Enfin, il passe au crible un large éventail d’actions à prendre en compte pour apprécier les performances du mar</w:t>
      </w:r>
      <w:r>
        <w:rPr>
          <w:rFonts w:ascii="Times New Roman" w:hAnsi="Times New Roman"/>
          <w:noProof/>
          <w:sz w:val="24"/>
          <w:szCs w:val="24"/>
        </w:rPr>
        <w:t xml:space="preserve">ché unique, </w:t>
      </w:r>
      <w:r>
        <w:rPr>
          <w:rFonts w:ascii="Times New Roman" w:hAnsi="Times New Roman"/>
          <w:b/>
          <w:noProof/>
          <w:sz w:val="24"/>
          <w:szCs w:val="24"/>
        </w:rPr>
        <w:t>notamment en matière d’environnement et de numérisation</w:t>
      </w:r>
      <w:r>
        <w:rPr>
          <w:rFonts w:ascii="Times New Roman" w:hAnsi="Times New Roman"/>
          <w:noProof/>
          <w:sz w:val="24"/>
          <w:szCs w:val="24"/>
        </w:rPr>
        <w:t>. Dans ce contexte, le rapport sur les performances du marché unique vise à souligner l’importance des réformes structurelles menées au niveau des États membres pour garantir de bonnes perf</w:t>
      </w:r>
      <w:r>
        <w:rPr>
          <w:rFonts w:ascii="Times New Roman" w:hAnsi="Times New Roman"/>
          <w:noProof/>
          <w:sz w:val="24"/>
          <w:szCs w:val="24"/>
        </w:rPr>
        <w:t xml:space="preserve">ormances du marché unique. </w:t>
      </w:r>
    </w:p>
    <w:p w:rsidR="0012591C" w:rsidRDefault="00851248">
      <w:pPr>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noProof/>
          <w:sz w:val="24"/>
          <w:szCs w:val="24"/>
        </w:rPr>
      </w:pPr>
      <w:r>
        <w:rPr>
          <w:rFonts w:ascii="Times New Roman" w:hAnsi="Times New Roman"/>
          <w:b/>
          <w:noProof/>
          <w:sz w:val="24"/>
          <w:szCs w:val="24"/>
        </w:rPr>
        <w:t>Une plus grande attention aux questions liées au marché unique favorisera également l’intégration.</w:t>
      </w:r>
      <w:r>
        <w:rPr>
          <w:rFonts w:ascii="Times New Roman" w:hAnsi="Times New Roman"/>
          <w:noProof/>
          <w:sz w:val="24"/>
          <w:szCs w:val="24"/>
        </w:rPr>
        <w:t xml:space="preserve"> Les avantages des réformes structurelles dans un marché étroitement intégré profiteront aux consommateurs du pays dans lequel ces</w:t>
      </w:r>
      <w:r>
        <w:rPr>
          <w:rFonts w:ascii="Times New Roman" w:hAnsi="Times New Roman"/>
          <w:noProof/>
          <w:sz w:val="24"/>
          <w:szCs w:val="24"/>
        </w:rPr>
        <w:t xml:space="preserve"> réformes sont menées, mais ils se répercuteront également sur les consommateurs d’autres États membres. </w:t>
      </w:r>
    </w:p>
    <w:p w:rsidR="0012591C" w:rsidRDefault="0012591C">
      <w:pPr>
        <w:spacing w:after="120"/>
        <w:jc w:val="both"/>
        <w:rPr>
          <w:rFonts w:ascii="Times New Roman" w:hAnsi="Times New Roman" w:cs="Times New Roman"/>
          <w:noProof/>
          <w:sz w:val="24"/>
          <w:szCs w:val="24"/>
        </w:rPr>
      </w:pPr>
    </w:p>
    <w:p w:rsidR="0012591C" w:rsidRDefault="00851248">
      <w:pPr>
        <w:spacing w:after="120"/>
        <w:jc w:val="both"/>
        <w:rPr>
          <w:rFonts w:ascii="Times New Roman" w:hAnsi="Times New Roman" w:cs="Times New Roman"/>
          <w:noProof/>
          <w:sz w:val="24"/>
          <w:szCs w:val="24"/>
        </w:rPr>
      </w:pPr>
      <w:r>
        <w:rPr>
          <w:rFonts w:ascii="Times New Roman" w:hAnsi="Times New Roman"/>
          <w:b/>
          <w:noProof/>
          <w:sz w:val="24"/>
          <w:szCs w:val="24"/>
        </w:rPr>
        <w:t>Le secteur financier européen doit mieux soutenir l’innovation et les investissements dans l’économie.</w:t>
      </w:r>
      <w:r>
        <w:rPr>
          <w:rFonts w:ascii="Times New Roman" w:hAnsi="Times New Roman"/>
          <w:noProof/>
          <w:sz w:val="24"/>
          <w:szCs w:val="24"/>
        </w:rPr>
        <w:t xml:space="preserve"> L’Europe doit continuer à développer ses march</w:t>
      </w:r>
      <w:r>
        <w:rPr>
          <w:rFonts w:ascii="Times New Roman" w:hAnsi="Times New Roman"/>
          <w:noProof/>
          <w:sz w:val="24"/>
          <w:szCs w:val="24"/>
        </w:rPr>
        <w:t>és financiers afin que toutes les entreprises viables puissent obtenir un financement pour investir dans la création d’emplois et la croissance, y compris les entreprises innovantes de demain. D’autres mesures visant à parachever l’union des marchés des ca</w:t>
      </w:r>
      <w:r>
        <w:rPr>
          <w:rFonts w:ascii="Times New Roman" w:hAnsi="Times New Roman"/>
          <w:noProof/>
          <w:sz w:val="24"/>
          <w:szCs w:val="24"/>
        </w:rPr>
        <w:t>pitaux permettront aux entreprises d’accéder aux financements dont elles ont besoin pour croître, innover et mener leurs activités sur une plus grande échelle. Les entreprises, et en particulier les PME, doivent profiter pleinement de l’intégration dans le</w:t>
      </w:r>
      <w:r>
        <w:rPr>
          <w:rFonts w:ascii="Times New Roman" w:hAnsi="Times New Roman"/>
          <w:noProof/>
          <w:sz w:val="24"/>
          <w:szCs w:val="24"/>
        </w:rPr>
        <w:t xml:space="preserve">s chaînes de valeur transfrontières et de l’unification progressive de l’industrie et des services qui caractérise l’ère numérique. Le budget de l’UE y contribuera également en libérant des investissements privés dans ces secteurs. </w:t>
      </w:r>
    </w:p>
    <w:p w:rsidR="0012591C" w:rsidRDefault="00851248">
      <w:pPr>
        <w:spacing w:after="120"/>
        <w:jc w:val="both"/>
        <w:rPr>
          <w:rFonts w:ascii="Times New Roman" w:hAnsi="Times New Roman" w:cs="Times New Roman"/>
          <w:b/>
          <w:noProof/>
          <w:sz w:val="24"/>
          <w:szCs w:val="24"/>
        </w:rPr>
      </w:pPr>
      <w:r>
        <w:rPr>
          <w:rFonts w:ascii="Times New Roman" w:hAnsi="Times New Roman"/>
          <w:b/>
          <w:noProof/>
          <w:sz w:val="24"/>
          <w:szCs w:val="24"/>
        </w:rPr>
        <w:t>La productivité et l’in</w:t>
      </w:r>
      <w:r>
        <w:rPr>
          <w:rFonts w:ascii="Times New Roman" w:hAnsi="Times New Roman"/>
          <w:b/>
          <w:noProof/>
          <w:sz w:val="24"/>
          <w:szCs w:val="24"/>
        </w:rPr>
        <w:t xml:space="preserve">novation ne peuvent être améliorées sans un investissement important dans l’éducation et le développement des compétences. </w:t>
      </w:r>
      <w:r>
        <w:rPr>
          <w:rFonts w:ascii="Times New Roman" w:hAnsi="Times New Roman"/>
          <w:noProof/>
          <w:sz w:val="24"/>
          <w:szCs w:val="24"/>
        </w:rPr>
        <w:t xml:space="preserve">Il est essentiel d’aider les travailleurs adultes, en particulier les 60 millions d’adultes peu qualifiés, à acquérir une palette de </w:t>
      </w:r>
      <w:r>
        <w:rPr>
          <w:rFonts w:ascii="Times New Roman" w:hAnsi="Times New Roman"/>
          <w:noProof/>
          <w:sz w:val="24"/>
          <w:szCs w:val="24"/>
        </w:rPr>
        <w:t>compétences plus large à un niveau plus élevé. De même, des réformes dans le domaine de l’éducation et de la formation initiales sont nécessaires pour inverser la tendance à une augmentation de la proportion d’élèves peu performants - aujourd’hui supérieur</w:t>
      </w:r>
      <w:r>
        <w:rPr>
          <w:rFonts w:ascii="Times New Roman" w:hAnsi="Times New Roman"/>
          <w:noProof/>
          <w:sz w:val="24"/>
          <w:szCs w:val="24"/>
        </w:rPr>
        <w:t>e à 20 % - en lecture, en mathématiques et en sciences. Il convient de combler le déficit de compétences numériques. Les stratégies globales en matière de compétences doivent être axées sur les besoins individuels en matière de perfectionnement et de recon</w:t>
      </w:r>
      <w:r>
        <w:rPr>
          <w:rFonts w:ascii="Times New Roman" w:hAnsi="Times New Roman"/>
          <w:noProof/>
          <w:sz w:val="24"/>
          <w:szCs w:val="24"/>
        </w:rPr>
        <w:t>version, une responsabilité partagée entre les individus, les entreprises et les pouvoirs publics, en tenant compte des besoins des plus vulnérables.</w:t>
      </w:r>
    </w:p>
    <w:p w:rsidR="0012591C" w:rsidRDefault="00851248">
      <w:pPr>
        <w:spacing w:after="120"/>
        <w:jc w:val="both"/>
        <w:rPr>
          <w:rFonts w:ascii="Times New Roman" w:hAnsi="Times New Roman"/>
          <w:noProof/>
          <w:sz w:val="24"/>
          <w:szCs w:val="24"/>
        </w:rPr>
      </w:pPr>
      <w:r>
        <w:rPr>
          <w:rFonts w:ascii="Times New Roman" w:hAnsi="Times New Roman"/>
          <w:b/>
          <w:noProof/>
          <w:sz w:val="24"/>
          <w:szCs w:val="24"/>
        </w:rPr>
        <w:t>La croissance et la productivité doivent être soutenues par des marchés compétitifs et efficaces et par de</w:t>
      </w:r>
      <w:r>
        <w:rPr>
          <w:rFonts w:ascii="Times New Roman" w:hAnsi="Times New Roman"/>
          <w:b/>
          <w:noProof/>
          <w:sz w:val="24"/>
          <w:szCs w:val="24"/>
        </w:rPr>
        <w:t xml:space="preserve">s réformes structurelles qui éliminent les goulets d’étranglement dans l’environnement des entreprises. </w:t>
      </w:r>
      <w:r>
        <w:rPr>
          <w:rFonts w:ascii="Times New Roman" w:hAnsi="Times New Roman"/>
          <w:noProof/>
          <w:sz w:val="24"/>
          <w:szCs w:val="24"/>
        </w:rPr>
        <w:t>La bonne gouvernance, des institutions efficaces, des systèmes judiciaires indépendants et efficients, des administrations publiques de qualité, des cad</w:t>
      </w:r>
      <w:r>
        <w:rPr>
          <w:rFonts w:ascii="Times New Roman" w:hAnsi="Times New Roman"/>
          <w:noProof/>
          <w:sz w:val="24"/>
          <w:szCs w:val="24"/>
        </w:rPr>
        <w:t>res de lutte contre la corruption solides, un système efficient de passation des marchés publics, des cadres d’insolvabilité efficaces et des régimes fiscaux efficients sont des facteurs déterminants de l’environnement des entreprises d’un État membre. Tou</w:t>
      </w:r>
      <w:r>
        <w:rPr>
          <w:rFonts w:ascii="Times New Roman" w:hAnsi="Times New Roman"/>
          <w:noProof/>
          <w:sz w:val="24"/>
          <w:szCs w:val="24"/>
        </w:rPr>
        <w:t>s ces aspects, y compris ceux liés à l’état de droit, peuvent avoir une incidence sur les décisions d’investissement et sont par conséquent importants pour accroître la productivité et la compétitivité.</w:t>
      </w:r>
      <w:r>
        <w:rPr>
          <w:rFonts w:ascii="Times New Roman" w:hAnsi="Times New Roman"/>
          <w:b/>
          <w:noProof/>
          <w:sz w:val="24"/>
          <w:szCs w:val="24"/>
        </w:rPr>
        <w:t xml:space="preserve"> </w:t>
      </w:r>
      <w:r>
        <w:rPr>
          <w:rFonts w:ascii="Times New Roman" w:hAnsi="Times New Roman"/>
          <w:noProof/>
          <w:sz w:val="24"/>
          <w:szCs w:val="24"/>
        </w:rPr>
        <w:t>C’est d’autant plus vrai dans un environnement mondia</w:t>
      </w:r>
      <w:r>
        <w:rPr>
          <w:rFonts w:ascii="Times New Roman" w:hAnsi="Times New Roman"/>
          <w:noProof/>
          <w:sz w:val="24"/>
          <w:szCs w:val="24"/>
        </w:rPr>
        <w:t>lisé et numérisé, caractérisé par une très grande mobilité des capitaux. Des informations sur les performances institutionnelles et administratives des États membres, recueillies à partir d’autres processus de gouvernance existants, alimenteront le Semestr</w:t>
      </w:r>
      <w:r>
        <w:rPr>
          <w:rFonts w:ascii="Times New Roman" w:hAnsi="Times New Roman"/>
          <w:noProof/>
          <w:sz w:val="24"/>
          <w:szCs w:val="24"/>
        </w:rPr>
        <w:t xml:space="preserve">e européen et nourriront l’évaluation macroéconomique. </w:t>
      </w:r>
    </w:p>
    <w:p w:rsidR="0012591C" w:rsidRDefault="0012591C">
      <w:pPr>
        <w:spacing w:after="120"/>
        <w:jc w:val="both"/>
        <w:rPr>
          <w:rFonts w:ascii="Times New Roman" w:hAnsi="Times New Roman" w:cs="Times New Roman"/>
          <w:b/>
          <w:noProof/>
          <w:sz w:val="24"/>
          <w:szCs w:val="24"/>
        </w:rPr>
      </w:pPr>
    </w:p>
    <w:p w:rsidR="0012591C" w:rsidRDefault="00851248">
      <w:pPr>
        <w:pStyle w:val="ListParagraph"/>
        <w:keepNext/>
        <w:numPr>
          <w:ilvl w:val="1"/>
          <w:numId w:val="2"/>
        </w:numPr>
        <w:spacing w:line="257" w:lineRule="auto"/>
        <w:ind w:left="1066" w:hanging="357"/>
        <w:jc w:val="both"/>
        <w:rPr>
          <w:rFonts w:ascii="Times New Roman" w:hAnsi="Times New Roman" w:cs="Times New Roman"/>
          <w:b/>
          <w:bCs/>
          <w:noProof/>
          <w:sz w:val="24"/>
          <w:szCs w:val="24"/>
        </w:rPr>
      </w:pPr>
      <w:r>
        <w:rPr>
          <w:rFonts w:ascii="Times New Roman" w:hAnsi="Times New Roman"/>
          <w:b/>
          <w:noProof/>
          <w:sz w:val="24"/>
          <w:szCs w:val="24"/>
        </w:rPr>
        <w:t>Équité</w:t>
      </w:r>
    </w:p>
    <w:p w:rsidR="0012591C" w:rsidRDefault="00851248">
      <w:pPr>
        <w:spacing w:after="120"/>
        <w:jc w:val="both"/>
        <w:rPr>
          <w:rFonts w:ascii="Times New Roman" w:hAnsi="Times New Roman" w:cs="Times New Roman"/>
          <w:b/>
          <w:bCs/>
          <w:noProof/>
          <w:sz w:val="24"/>
          <w:szCs w:val="24"/>
        </w:rPr>
      </w:pPr>
      <w:r>
        <w:rPr>
          <w:rFonts w:ascii="Times New Roman" w:hAnsi="Times New Roman"/>
          <w:b/>
          <w:noProof/>
          <w:sz w:val="24"/>
          <w:szCs w:val="24"/>
        </w:rPr>
        <w:t xml:space="preserve">Pour améliorer ses performances économiques et sociales, l’Union doit respecter pleinement les principes du socle européen des droits sociaux. </w:t>
      </w:r>
      <w:r>
        <w:rPr>
          <w:rFonts w:ascii="Times New Roman" w:hAnsi="Times New Roman"/>
          <w:noProof/>
          <w:sz w:val="24"/>
          <w:szCs w:val="24"/>
        </w:rPr>
        <w:t xml:space="preserve">La reprise économique a certes contribué à </w:t>
      </w:r>
      <w:r>
        <w:rPr>
          <w:rFonts w:ascii="Times New Roman" w:hAnsi="Times New Roman"/>
          <w:noProof/>
          <w:sz w:val="24"/>
          <w:szCs w:val="24"/>
        </w:rPr>
        <w:t>améliorer les résultats en matière sociale et d’emploi dans toute l’Europe, mais il convient d’agir pour garantir la jouissance des droits sociaux et faire face aux risques inhérents à une fracture sociale croissante.</w:t>
      </w:r>
    </w:p>
    <w:p w:rsidR="0012591C" w:rsidRDefault="00851248">
      <w:pPr>
        <w:spacing w:after="120"/>
        <w:jc w:val="both"/>
        <w:rPr>
          <w:rFonts w:ascii="Times New Roman" w:hAnsi="Times New Roman" w:cs="Times New Roman"/>
          <w:b/>
          <w:bCs/>
          <w:noProof/>
          <w:sz w:val="24"/>
          <w:szCs w:val="24"/>
        </w:rPr>
      </w:pPr>
      <w:r>
        <w:rPr>
          <w:rFonts w:ascii="Times New Roman" w:hAnsi="Times New Roman"/>
          <w:b/>
          <w:bCs/>
          <w:noProof/>
          <w:sz w:val="24"/>
          <w:szCs w:val="24"/>
        </w:rPr>
        <w:t>Chaque travailleur en Europe mérite de</w:t>
      </w:r>
      <w:r>
        <w:rPr>
          <w:rFonts w:ascii="Times New Roman" w:hAnsi="Times New Roman"/>
          <w:b/>
          <w:bCs/>
          <w:noProof/>
          <w:sz w:val="24"/>
          <w:szCs w:val="24"/>
        </w:rPr>
        <w:t xml:space="preserve">s conditions de travail équitables. </w:t>
      </w:r>
      <w:r>
        <w:rPr>
          <w:rFonts w:ascii="Times New Roman" w:hAnsi="Times New Roman"/>
          <w:bCs/>
          <w:noProof/>
          <w:sz w:val="24"/>
          <w:szCs w:val="24"/>
        </w:rPr>
        <w:t>La pauvreté des travailleurs dépasse encore les niveaux d’avant la crise dans la majorité des pays de l’Union, près d’un travailleur sur dix étant exposé au risque de pauvreté sur le continent. Bien qu’en baisse, le trav</w:t>
      </w:r>
      <w:r>
        <w:rPr>
          <w:rFonts w:ascii="Times New Roman" w:hAnsi="Times New Roman"/>
          <w:bCs/>
          <w:noProof/>
          <w:sz w:val="24"/>
          <w:szCs w:val="24"/>
        </w:rPr>
        <w:t xml:space="preserve">ail à temps partiel involontaire reste élevé dans plusieurs États membres et l’extension des formes de travail atypiques contribue à la segmentation du marché du travail. Dans ce contexte, veiller à ce que chaque travailleur perçoive un salaire équitable, </w:t>
      </w:r>
      <w:r>
        <w:rPr>
          <w:rFonts w:ascii="Times New Roman" w:hAnsi="Times New Roman"/>
          <w:bCs/>
          <w:noProof/>
          <w:sz w:val="24"/>
          <w:szCs w:val="24"/>
        </w:rPr>
        <w:t>promouvoir la transition vers des contrats à temps plein et à durée indéterminée et investir dans les personnes et leurs compétences constituent des objectifs importants. Dans les pays où le dialogue social est faible, il convient d’encourager une plus for</w:t>
      </w:r>
      <w:r>
        <w:rPr>
          <w:rFonts w:ascii="Times New Roman" w:hAnsi="Times New Roman"/>
          <w:bCs/>
          <w:noProof/>
          <w:sz w:val="24"/>
          <w:szCs w:val="24"/>
        </w:rPr>
        <w:t xml:space="preserve">te participation des partenaires sociaux et un soutien accru au renforcement de leurs capacités. </w:t>
      </w:r>
      <w:r>
        <w:rPr>
          <w:rFonts w:ascii="Times New Roman" w:hAnsi="Times New Roman"/>
          <w:noProof/>
          <w:sz w:val="24"/>
          <w:szCs w:val="24"/>
        </w:rPr>
        <w:t>Pour veiller à ce que les travailleurs puissent continuer de bénéficier d’une aide également en cas de puissant choc économique, un régime européen de réassura</w:t>
      </w:r>
      <w:r>
        <w:rPr>
          <w:rFonts w:ascii="Times New Roman" w:hAnsi="Times New Roman"/>
          <w:noProof/>
          <w:sz w:val="24"/>
          <w:szCs w:val="24"/>
        </w:rPr>
        <w:t xml:space="preserve">nce des prestations de chômage (SURE) </w:t>
      </w:r>
      <w:r>
        <w:rPr>
          <w:rFonts w:ascii="Times New Roman" w:hAnsi="Times New Roman"/>
          <w:noProof/>
          <w:sz w:val="24"/>
          <w:szCs w:val="24"/>
        </w:rPr>
        <w:t>pourrait compléter l’action nationale. En outre, l’Union devrait intensifier ses efforts pour lutter contre toutes les formes d’emploi irrégulier qui contribuent au dumping social et à l’exploitation des travailleurs.</w:t>
      </w:r>
    </w:p>
    <w:p w:rsidR="0012591C" w:rsidRDefault="00851248">
      <w:pPr>
        <w:spacing w:after="120"/>
        <w:jc w:val="both"/>
        <w:rPr>
          <w:rFonts w:ascii="Times New Roman" w:hAnsi="Times New Roman" w:cs="Times New Roman"/>
          <w:b/>
          <w:noProof/>
          <w:sz w:val="24"/>
          <w:szCs w:val="24"/>
        </w:rPr>
      </w:pPr>
      <w:r>
        <w:rPr>
          <w:rFonts w:ascii="Times New Roman" w:hAnsi="Times New Roman"/>
          <w:b/>
          <w:bCs/>
          <w:noProof/>
          <w:sz w:val="24"/>
          <w:szCs w:val="24"/>
        </w:rPr>
        <w:t>Les fem</w:t>
      </w:r>
      <w:r>
        <w:rPr>
          <w:rFonts w:ascii="Times New Roman" w:hAnsi="Times New Roman"/>
          <w:b/>
          <w:bCs/>
          <w:noProof/>
          <w:sz w:val="24"/>
          <w:szCs w:val="24"/>
        </w:rPr>
        <w:t>mes restent désavantagées sur le marché du travail.</w:t>
      </w:r>
      <w:r>
        <w:rPr>
          <w:rFonts w:ascii="Times New Roman" w:hAnsi="Times New Roman"/>
          <w:bCs/>
          <w:noProof/>
          <w:sz w:val="24"/>
          <w:szCs w:val="24"/>
        </w:rPr>
        <w:t xml:space="preserve"> En dépit de résultats scolaires globalement meilleurs chez les femmes, l’écart avec les hommes en termes de taux d’emploi et de rémunération est resté globalement stable ces dernières années. Le comblemen</w:t>
      </w:r>
      <w:r>
        <w:rPr>
          <w:rFonts w:ascii="Times New Roman" w:hAnsi="Times New Roman"/>
          <w:bCs/>
          <w:noProof/>
          <w:sz w:val="24"/>
          <w:szCs w:val="24"/>
        </w:rPr>
        <w:t>t d’un tel écart produirait des effets positifs sur l’économie et la société. Pour augmenter le taux d’emploi des femmes et contribuer à la lutte contre la pauvreté des enfants, il est essentiel de promouvoir des politiques efficaces favorisant l’équilibre</w:t>
      </w:r>
      <w:r>
        <w:rPr>
          <w:rFonts w:ascii="Times New Roman" w:hAnsi="Times New Roman"/>
          <w:bCs/>
          <w:noProof/>
          <w:sz w:val="24"/>
          <w:szCs w:val="24"/>
        </w:rPr>
        <w:t xml:space="preserve"> entre vie professionnelle et vie privée, de garantir l’accès à des services de garde d’enfants de qualité et de lutter contre les désincitations socio-fiscales au travail.</w:t>
      </w:r>
    </w:p>
    <w:p w:rsidR="0012591C" w:rsidRDefault="00851248">
      <w:pPr>
        <w:spacing w:after="120"/>
        <w:jc w:val="both"/>
        <w:rPr>
          <w:rFonts w:ascii="Times New Roman" w:hAnsi="Times New Roman" w:cs="Times New Roman"/>
          <w:noProof/>
          <w:sz w:val="24"/>
          <w:szCs w:val="24"/>
        </w:rPr>
      </w:pPr>
      <w:r>
        <w:rPr>
          <w:rFonts w:ascii="Times New Roman" w:hAnsi="Times New Roman"/>
          <w:b/>
          <w:noProof/>
          <w:sz w:val="24"/>
          <w:szCs w:val="24"/>
        </w:rPr>
        <w:t xml:space="preserve">Promouvoir l’équité requiert des investissements dans les compétences, des systèmes de protection sociale adéquats et viables et des mesures de lutte contre l’exclusion. </w:t>
      </w:r>
      <w:r>
        <w:rPr>
          <w:rFonts w:ascii="Times New Roman" w:hAnsi="Times New Roman"/>
          <w:noProof/>
          <w:sz w:val="24"/>
          <w:szCs w:val="24"/>
        </w:rPr>
        <w:t>Il est crucial d’améliorer le caractère inclusif et la qualité des systèmes d’éducatio</w:t>
      </w:r>
      <w:r>
        <w:rPr>
          <w:rFonts w:ascii="Times New Roman" w:hAnsi="Times New Roman"/>
          <w:noProof/>
          <w:sz w:val="24"/>
          <w:szCs w:val="24"/>
        </w:rPr>
        <w:t>n et de formation pour favoriser l’intégration de toutes les personnes dans les sociétés de demain. Il convient de réduire le taux de décrochage scolaire et d’augmenter la qualité et l’attractivité de l’enseignement et de la formation professionnels. Pourt</w:t>
      </w:r>
      <w:r>
        <w:rPr>
          <w:rFonts w:ascii="Times New Roman" w:hAnsi="Times New Roman"/>
          <w:noProof/>
          <w:sz w:val="24"/>
          <w:szCs w:val="24"/>
        </w:rPr>
        <w:t>ant, les investissements dans les compétences sont loin d’être suffisants. Les systèmes de protection sociale doivent être adaptés de manière à protéger toutes celles et tous ceux qui en ont besoin, indépendamment de leur statut professionnel. L’Europe doi</w:t>
      </w:r>
      <w:r>
        <w:rPr>
          <w:rFonts w:ascii="Times New Roman" w:hAnsi="Times New Roman"/>
          <w:noProof/>
          <w:sz w:val="24"/>
          <w:szCs w:val="24"/>
        </w:rPr>
        <w:t>t aussi lutter plus efficacement contre les inégalités touchant les groupes menacés d’exclusion, y compris les personnes handicapées, les Roms et les migrants, de sorte qu’ils puissent exploiter pleinement leur potentiel de contribution à l’économie, aux s</w:t>
      </w:r>
      <w:r>
        <w:rPr>
          <w:rFonts w:ascii="Times New Roman" w:hAnsi="Times New Roman"/>
          <w:noProof/>
          <w:sz w:val="24"/>
          <w:szCs w:val="24"/>
        </w:rPr>
        <w:t>ystèmes de protection sociale et à la société. Compte tenu du vieillissement de la population, les investissements dans les soins de santé et les soins de longue durée deviennent de plus en plus importants, tout en assurant la viabilité des systèmes de pro</w:t>
      </w:r>
      <w:r>
        <w:rPr>
          <w:rFonts w:ascii="Times New Roman" w:hAnsi="Times New Roman"/>
          <w:noProof/>
          <w:sz w:val="24"/>
          <w:szCs w:val="24"/>
        </w:rPr>
        <w:t xml:space="preserve">tection sociale afin de garantir l’équité entre les générations. </w:t>
      </w:r>
    </w:p>
    <w:p w:rsidR="0012591C" w:rsidRDefault="00851248">
      <w:pPr>
        <w:spacing w:after="120"/>
        <w:jc w:val="both"/>
        <w:rPr>
          <w:rFonts w:ascii="Times New Roman" w:hAnsi="Times New Roman" w:cs="Times New Roman"/>
          <w:noProof/>
          <w:sz w:val="24"/>
          <w:szCs w:val="24"/>
        </w:rPr>
      </w:pPr>
      <w:r>
        <w:rPr>
          <w:rFonts w:ascii="Times New Roman" w:hAnsi="Times New Roman"/>
          <w:b/>
          <w:noProof/>
          <w:sz w:val="24"/>
          <w:szCs w:val="24"/>
        </w:rPr>
        <w:t>Les défis pour la cohésion entre les États membres et à l’intérieur de ceux-ci ont gagné en ampleur.</w:t>
      </w:r>
      <w:r>
        <w:rPr>
          <w:rFonts w:ascii="Times New Roman" w:hAnsi="Times New Roman"/>
          <w:bCs/>
          <w:noProof/>
          <w:sz w:val="24"/>
          <w:szCs w:val="24"/>
        </w:rPr>
        <w:t xml:space="preserve"> </w:t>
      </w:r>
      <w:r>
        <w:rPr>
          <w:rFonts w:ascii="Times New Roman" w:hAnsi="Times New Roman"/>
          <w:noProof/>
          <w:sz w:val="24"/>
          <w:szCs w:val="24"/>
        </w:rPr>
        <w:t>Au lendemain de la crise économique et financière, les inégalités en matière de revenus e</w:t>
      </w:r>
      <w:r>
        <w:rPr>
          <w:rFonts w:ascii="Times New Roman" w:hAnsi="Times New Roman"/>
          <w:noProof/>
          <w:sz w:val="24"/>
          <w:szCs w:val="24"/>
        </w:rPr>
        <w:t>t d’accès aux services de base se sont accrues dans les États membres. Les disparités régionales en Europe continuent de poser problème car elles ont une incidence négative sur la croissance. Bien que les régions les plus pauvres soient devenues plus prosp</w:t>
      </w:r>
      <w:r>
        <w:rPr>
          <w:rFonts w:ascii="Times New Roman" w:hAnsi="Times New Roman"/>
          <w:noProof/>
          <w:sz w:val="24"/>
          <w:szCs w:val="24"/>
        </w:rPr>
        <w:t xml:space="preserve">ères depuis 2010, l’écart économique qui les sépare des régions plus riches s’est creusé, notamment en raison d’un recul des investissements. Dans certains cas, l'évolution technologique et la transition énergétique pourraient encore aggraver cet écart, à </w:t>
      </w:r>
      <w:r>
        <w:rPr>
          <w:rFonts w:ascii="Times New Roman" w:hAnsi="Times New Roman"/>
          <w:noProof/>
          <w:sz w:val="24"/>
          <w:szCs w:val="24"/>
        </w:rPr>
        <w:t xml:space="preserve">moins que des mesures appropriées ne soient prises pour stimuler la compétitivité régionale. </w:t>
      </w:r>
    </w:p>
    <w:p w:rsidR="0012591C" w:rsidRDefault="00851248">
      <w:pPr>
        <w:spacing w:after="120"/>
        <w:jc w:val="both"/>
        <w:rPr>
          <w:rFonts w:ascii="Times New Roman" w:hAnsi="Times New Roman" w:cs="Times New Roman"/>
          <w:b/>
          <w:noProof/>
          <w:sz w:val="24"/>
          <w:szCs w:val="24"/>
        </w:rPr>
      </w:pPr>
      <w:r>
        <w:rPr>
          <w:rFonts w:ascii="Times New Roman" w:hAnsi="Times New Roman"/>
          <w:b/>
          <w:noProof/>
          <w:sz w:val="24"/>
          <w:szCs w:val="24"/>
        </w:rPr>
        <w:t>L’Union doit rester un moteur de cohésion.</w:t>
      </w:r>
      <w:r>
        <w:rPr>
          <w:rFonts w:ascii="Times New Roman" w:hAnsi="Times New Roman"/>
          <w:noProof/>
          <w:sz w:val="24"/>
          <w:szCs w:val="24"/>
        </w:rPr>
        <w:t xml:space="preserve"> </w:t>
      </w:r>
      <w:r>
        <w:rPr>
          <w:rFonts w:ascii="Times New Roman" w:hAnsi="Times New Roman"/>
          <w:bCs/>
          <w:noProof/>
          <w:sz w:val="24"/>
          <w:szCs w:val="24"/>
        </w:rPr>
        <w:t>Pour faire face aux disparités régionales et sociales, il faut créer des opportunités pour celles et ceux qui ne bénéfi</w:t>
      </w:r>
      <w:r>
        <w:rPr>
          <w:rFonts w:ascii="Times New Roman" w:hAnsi="Times New Roman"/>
          <w:bCs/>
          <w:noProof/>
          <w:sz w:val="24"/>
          <w:szCs w:val="24"/>
        </w:rPr>
        <w:t>cient pas directement de l’ouverture des marchés et de l'évolution technologique.</w:t>
      </w:r>
      <w:r>
        <w:rPr>
          <w:rFonts w:ascii="Times New Roman" w:hAnsi="Times New Roman"/>
          <w:noProof/>
          <w:sz w:val="24"/>
          <w:szCs w:val="24"/>
        </w:rPr>
        <w:t xml:space="preserve"> Il s’agit notamment de renforcer les compétences grâce à une éducation et à une formation de meilleure qualité et de parvenir à une convergence régionale appropriée sur des q</w:t>
      </w:r>
      <w:r>
        <w:rPr>
          <w:rFonts w:ascii="Times New Roman" w:hAnsi="Times New Roman"/>
          <w:noProof/>
          <w:sz w:val="24"/>
          <w:szCs w:val="24"/>
        </w:rPr>
        <w:t>uestions telles que l’accès aux soins de santé et à une éducation de qualité. Les États membres doivent continuer de réformer dans cette perspective, en exploitant pleinement le soutien fourni par les instruments relevant du budget de l’Union. La connectiv</w:t>
      </w:r>
      <w:r>
        <w:rPr>
          <w:rFonts w:ascii="Times New Roman" w:hAnsi="Times New Roman"/>
          <w:noProof/>
          <w:sz w:val="24"/>
          <w:szCs w:val="24"/>
        </w:rPr>
        <w:t xml:space="preserve">ité des régions et l’accès à la mobilité sont essentiels à la fois pour la cohésion et pour la productivité et doivent être soutenus par des investissements appropriés. </w:t>
      </w:r>
    </w:p>
    <w:p w:rsidR="0012591C" w:rsidRDefault="00851248">
      <w:pPr>
        <w:jc w:val="both"/>
        <w:rPr>
          <w:rFonts w:ascii="Times New Roman" w:hAnsi="Times New Roman" w:cs="Times New Roman"/>
          <w:noProof/>
          <w:sz w:val="24"/>
          <w:szCs w:val="24"/>
        </w:rPr>
      </w:pPr>
      <w:r>
        <w:rPr>
          <w:rFonts w:ascii="Times New Roman" w:hAnsi="Times New Roman"/>
          <w:b/>
          <w:noProof/>
          <w:sz w:val="24"/>
          <w:szCs w:val="24"/>
        </w:rPr>
        <w:t>Lors de la conception et de la mise en œuvre de leurs politiques climatiques et enviro</w:t>
      </w:r>
      <w:r>
        <w:rPr>
          <w:rFonts w:ascii="Times New Roman" w:hAnsi="Times New Roman"/>
          <w:b/>
          <w:noProof/>
          <w:sz w:val="24"/>
          <w:szCs w:val="24"/>
        </w:rPr>
        <w:t>nnementales, les États membres, les régions et les villes ne partent pas tous du même point.</w:t>
      </w:r>
      <w:r>
        <w:rPr>
          <w:rFonts w:ascii="Times New Roman" w:hAnsi="Times New Roman"/>
          <w:bCs/>
          <w:noProof/>
          <w:sz w:val="24"/>
          <w:szCs w:val="24"/>
        </w:rPr>
        <w:t xml:space="preserve"> Les politiques climatiques doivent dès lors continuer de s’inscrire dans une approche visant la cohésion afin d’éviter de compromettre la convergence</w:t>
      </w:r>
      <w:r>
        <w:rPr>
          <w:rFonts w:ascii="Times New Roman" w:hAnsi="Times New Roman"/>
          <w:noProof/>
          <w:sz w:val="24"/>
          <w:szCs w:val="24"/>
        </w:rPr>
        <w:t>. Alors que l’</w:t>
      </w:r>
      <w:r>
        <w:rPr>
          <w:rFonts w:ascii="Times New Roman" w:hAnsi="Times New Roman"/>
          <w:noProof/>
          <w:sz w:val="24"/>
          <w:szCs w:val="24"/>
        </w:rPr>
        <w:t>évolution vers un modèle économique durable a le potentiel de stimuler la croissance et l’emploi dans l’ensemble de l’Union à moyen terme, des mesures s’imposent pour en atténuer les effets négatifs sur certains secteurs et certaines régions à court terme.</w:t>
      </w:r>
      <w:r>
        <w:rPr>
          <w:rFonts w:ascii="Times New Roman" w:hAnsi="Times New Roman"/>
          <w:b/>
          <w:noProof/>
          <w:sz w:val="24"/>
          <w:szCs w:val="24"/>
        </w:rPr>
        <w:t xml:space="preserve"> </w:t>
      </w:r>
      <w:r>
        <w:rPr>
          <w:rFonts w:ascii="Times New Roman" w:hAnsi="Times New Roman"/>
          <w:noProof/>
          <w:sz w:val="24"/>
          <w:szCs w:val="24"/>
        </w:rPr>
        <w:t>Certains secteurs devront se transformer eux-mêmes, tandis que de nombreux autres devront agir pour préserver leur compétitivité. L’impact de ces changements risque de se faire ressentir de manière inégale à l’échelle du continent européen. Un nouveau Méc</w:t>
      </w:r>
      <w:r>
        <w:rPr>
          <w:rFonts w:ascii="Times New Roman" w:hAnsi="Times New Roman"/>
          <w:noProof/>
          <w:sz w:val="24"/>
          <w:szCs w:val="24"/>
        </w:rPr>
        <w:t>anisme pour une transition juste offrira un soutien sur mesure aux personnes et aux régions les plus touchées et fera en sorte que personne ne soit laissé de côté. Il mettra particulièrement l’accent sur la reconversion des régions les plus touchées par l’</w:t>
      </w:r>
      <w:r>
        <w:rPr>
          <w:rFonts w:ascii="Times New Roman" w:hAnsi="Times New Roman"/>
          <w:noProof/>
          <w:sz w:val="24"/>
          <w:szCs w:val="24"/>
        </w:rPr>
        <w:t>abandon progressif des combustibles fossiles.</w:t>
      </w:r>
    </w:p>
    <w:p w:rsidR="0012591C" w:rsidRDefault="00851248">
      <w:pPr>
        <w:spacing w:after="120"/>
        <w:jc w:val="both"/>
        <w:rPr>
          <w:rFonts w:ascii="Times New Roman" w:hAnsi="Times New Roman" w:cs="Times New Roman"/>
          <w:noProof/>
          <w:sz w:val="24"/>
          <w:szCs w:val="24"/>
        </w:rPr>
      </w:pPr>
      <w:r>
        <w:rPr>
          <w:rFonts w:ascii="Times New Roman" w:hAnsi="Times New Roman"/>
          <w:b/>
          <w:bCs/>
          <w:noProof/>
          <w:sz w:val="24"/>
          <w:szCs w:val="24"/>
        </w:rPr>
        <w:t xml:space="preserve">La fraude fiscale, l’évasion fiscale et le nivellement par le bas en matière de fiscalité sapent la capacité des pays à mettre en place des politiques fiscales répondant aux besoins de leur économie et de leur </w:t>
      </w:r>
      <w:r>
        <w:rPr>
          <w:rFonts w:ascii="Times New Roman" w:hAnsi="Times New Roman"/>
          <w:b/>
          <w:bCs/>
          <w:noProof/>
          <w:sz w:val="24"/>
          <w:szCs w:val="24"/>
        </w:rPr>
        <w:t xml:space="preserve">population. </w:t>
      </w:r>
      <w:r>
        <w:rPr>
          <w:rFonts w:ascii="Times New Roman" w:hAnsi="Times New Roman"/>
          <w:noProof/>
          <w:sz w:val="24"/>
          <w:szCs w:val="24"/>
        </w:rPr>
        <w:t>Il convient d’optimiser les systèmes fiscaux et de protection sociale nationaux afin de renforcer les incitations à la participation au marché du travail, d’accroître l’équité et la transparence et de garantir la viabilité financière et l’adéqu</w:t>
      </w:r>
      <w:r>
        <w:rPr>
          <w:rFonts w:ascii="Times New Roman" w:hAnsi="Times New Roman"/>
          <w:noProof/>
          <w:sz w:val="24"/>
          <w:szCs w:val="24"/>
        </w:rPr>
        <w:t>ation des systèmes de protection sociale dans un monde du travail en mutation. Les systèmes fiscaux devraient également garantir des recettes suffisantes pour les investissements publics, l’éducation, les soins de santé et la protection sociale, prévoir un</w:t>
      </w:r>
      <w:r>
        <w:rPr>
          <w:rFonts w:ascii="Times New Roman" w:hAnsi="Times New Roman"/>
          <w:noProof/>
          <w:sz w:val="24"/>
          <w:szCs w:val="24"/>
        </w:rPr>
        <w:t xml:space="preserve"> partage équitable des charges et empêcher les distorsions de concurrence entre les entreprises. À cet égard, il est essentiel de lutter contre les pratiques de planification fiscale agressive et de soumettre les entreprises globalisées à une imposition éq</w:t>
      </w:r>
      <w:r>
        <w:rPr>
          <w:rFonts w:ascii="Times New Roman" w:hAnsi="Times New Roman"/>
          <w:noProof/>
          <w:sz w:val="24"/>
          <w:szCs w:val="24"/>
        </w:rPr>
        <w:t>uitable. Les régimes d’imposition des sociétés en vigueur dans l’Union doivent être réformés d’urgence. Ils ne sont pas adaptés aux réalités de l’économie mondiale moderne et n’appréhendent pas les nouveaux modèles économiques dans un monde numérique. Lors</w:t>
      </w:r>
      <w:r>
        <w:rPr>
          <w:rFonts w:ascii="Times New Roman" w:hAnsi="Times New Roman"/>
          <w:noProof/>
          <w:sz w:val="24"/>
          <w:szCs w:val="24"/>
        </w:rPr>
        <w:t xml:space="preserve">que des bénéfices sont générés, des impôts et prélèvements doivent également contribuer à nos systèmes de sécurité sociale, à nos systèmes d’éducation et de santé et à nos infrastructures. </w:t>
      </w:r>
    </w:p>
    <w:p w:rsidR="0012591C" w:rsidRDefault="0012591C">
      <w:pPr>
        <w:spacing w:after="120"/>
        <w:jc w:val="both"/>
        <w:rPr>
          <w:rFonts w:ascii="Times New Roman" w:hAnsi="Times New Roman" w:cs="Times New Roman"/>
          <w:noProof/>
          <w:sz w:val="24"/>
          <w:szCs w:val="24"/>
        </w:rPr>
      </w:pPr>
    </w:p>
    <w:p w:rsidR="0012591C" w:rsidRDefault="00851248">
      <w:pPr>
        <w:pStyle w:val="ListParagraph"/>
        <w:keepNext/>
        <w:numPr>
          <w:ilvl w:val="1"/>
          <w:numId w:val="2"/>
        </w:numPr>
        <w:spacing w:line="257" w:lineRule="auto"/>
        <w:ind w:left="1066" w:hanging="357"/>
        <w:jc w:val="both"/>
        <w:rPr>
          <w:rFonts w:ascii="Times New Roman" w:hAnsi="Times New Roman" w:cs="Times New Roman"/>
          <w:b/>
          <w:bCs/>
          <w:noProof/>
          <w:sz w:val="24"/>
          <w:szCs w:val="24"/>
        </w:rPr>
      </w:pPr>
      <w:r>
        <w:rPr>
          <w:rFonts w:ascii="Times New Roman" w:hAnsi="Times New Roman"/>
          <w:b/>
          <w:noProof/>
          <w:sz w:val="24"/>
          <w:szCs w:val="24"/>
        </w:rPr>
        <w:t>Stabilité macroéconomique</w:t>
      </w:r>
    </w:p>
    <w:p w:rsidR="0012591C" w:rsidRDefault="00851248">
      <w:pPr>
        <w:spacing w:after="120"/>
        <w:jc w:val="both"/>
        <w:rPr>
          <w:rFonts w:ascii="Times New Roman" w:hAnsi="Times New Roman"/>
          <w:noProof/>
          <w:sz w:val="24"/>
          <w:szCs w:val="24"/>
        </w:rPr>
      </w:pPr>
      <w:r>
        <w:rPr>
          <w:rFonts w:ascii="Times New Roman" w:hAnsi="Times New Roman"/>
          <w:b/>
          <w:bCs/>
          <w:noProof/>
          <w:sz w:val="24"/>
          <w:szCs w:val="24"/>
        </w:rPr>
        <w:t>L’Union européenne doit encore accroîtr</w:t>
      </w:r>
      <w:r>
        <w:rPr>
          <w:rFonts w:ascii="Times New Roman" w:hAnsi="Times New Roman"/>
          <w:b/>
          <w:bCs/>
          <w:noProof/>
          <w:sz w:val="24"/>
          <w:szCs w:val="24"/>
        </w:rPr>
        <w:t xml:space="preserve">e la stabilité de son économie en remédiant aux faiblesses qui subsistent au niveau national et au niveau de l’UE. </w:t>
      </w:r>
      <w:r>
        <w:rPr>
          <w:rFonts w:ascii="Times New Roman" w:hAnsi="Times New Roman"/>
          <w:bCs/>
          <w:noProof/>
          <w:sz w:val="24"/>
          <w:szCs w:val="24"/>
        </w:rPr>
        <w:t>Il s’agit d’une condition préalable pour garantir la résilience face aux chocs futurs et faciliter le processus de transformation. Cela passe</w:t>
      </w:r>
      <w:r>
        <w:rPr>
          <w:rFonts w:ascii="Times New Roman" w:hAnsi="Times New Roman"/>
          <w:bCs/>
          <w:noProof/>
          <w:sz w:val="24"/>
          <w:szCs w:val="24"/>
        </w:rPr>
        <w:t xml:space="preserve"> par des politiques économiques, budgétaires et financières responsables à l’échelon national à court terme et par une planification adéquate des politiques à plus long terme, </w:t>
      </w:r>
      <w:r>
        <w:rPr>
          <w:rFonts w:ascii="Times New Roman" w:hAnsi="Times New Roman"/>
          <w:noProof/>
          <w:sz w:val="24"/>
          <w:szCs w:val="24"/>
        </w:rPr>
        <w:t xml:space="preserve">mais implique également qu'une action soit entreprise au niveau de l’Union pour </w:t>
      </w:r>
      <w:r>
        <w:rPr>
          <w:rFonts w:ascii="Times New Roman" w:hAnsi="Times New Roman"/>
          <w:noProof/>
          <w:sz w:val="24"/>
          <w:szCs w:val="24"/>
        </w:rPr>
        <w:t xml:space="preserve">mener à bien les réformes essentielles au renforcement de la zone euro. </w:t>
      </w:r>
    </w:p>
    <w:p w:rsidR="0012591C" w:rsidRDefault="00851248">
      <w:pPr>
        <w:jc w:val="both"/>
        <w:rPr>
          <w:rFonts w:ascii="Times New Roman" w:hAnsi="Times New Roman" w:cs="Times New Roman"/>
          <w:noProof/>
          <w:sz w:val="24"/>
          <w:szCs w:val="24"/>
        </w:rPr>
      </w:pPr>
      <w:r>
        <w:rPr>
          <w:rFonts w:ascii="Times New Roman" w:hAnsi="Times New Roman"/>
          <w:b/>
          <w:noProof/>
          <w:sz w:val="24"/>
          <w:szCs w:val="24"/>
        </w:rPr>
        <w:t>Une coordination des politiques budgétaires nationales pleinement conforme au pacte de stabilité et de croissance est nécessaire pour soutenir le bon fonctionnement de l’Union économi</w:t>
      </w:r>
      <w:r>
        <w:rPr>
          <w:rFonts w:ascii="Times New Roman" w:hAnsi="Times New Roman"/>
          <w:b/>
          <w:noProof/>
          <w:sz w:val="24"/>
          <w:szCs w:val="24"/>
        </w:rPr>
        <w:t>que et monétaire.</w:t>
      </w:r>
      <w:r>
        <w:rPr>
          <w:rFonts w:ascii="Times New Roman" w:hAnsi="Times New Roman"/>
          <w:noProof/>
          <w:sz w:val="24"/>
          <w:szCs w:val="24"/>
        </w:rPr>
        <w:t xml:space="preserve"> Des politiques budgétaires responsables et réactives, débouchant sur des finances publiques saines et viables, sont nécessaires pour garantir que la politique budgétaire puisse remplir toutes ses fonctions. L’orientation budgétaire de la </w:t>
      </w:r>
      <w:r>
        <w:rPr>
          <w:rFonts w:ascii="Times New Roman" w:hAnsi="Times New Roman"/>
          <w:noProof/>
          <w:sz w:val="24"/>
          <w:szCs w:val="24"/>
        </w:rPr>
        <w:t>zone euro devrait être comprise entre globalement neutre et légèrement expansionniste en 2020 et 2021. Par ailleurs, les politiques budgétaires nationales restent insuffisamment différenciées eu égard aux marges de manœuvre budgétaires disponibles dans les</w:t>
      </w:r>
      <w:r>
        <w:rPr>
          <w:rFonts w:ascii="Times New Roman" w:hAnsi="Times New Roman"/>
          <w:noProof/>
          <w:sz w:val="24"/>
          <w:szCs w:val="24"/>
        </w:rPr>
        <w:t xml:space="preserve"> États membres. La mise en œuvre de politiques budgétaires prudentes par les États membres affichant un niveau d’endettement élevé permettrait de ramener la dette publique sur une trajectoire descendante, de réduire la vulnérabilité face aux chocs et de ga</w:t>
      </w:r>
      <w:r>
        <w:rPr>
          <w:rFonts w:ascii="Times New Roman" w:hAnsi="Times New Roman"/>
          <w:noProof/>
          <w:sz w:val="24"/>
          <w:szCs w:val="24"/>
        </w:rPr>
        <w:t>rantir le bon fonctionnement des stabilisateurs automatiques en cas de récession économique. A contrario, un renforcement supplémentaire des investissements et des autres dépenses productives dans les États membres connaissant une situation budgétaire favo</w:t>
      </w:r>
      <w:r>
        <w:rPr>
          <w:rFonts w:ascii="Times New Roman" w:hAnsi="Times New Roman"/>
          <w:noProof/>
          <w:sz w:val="24"/>
          <w:szCs w:val="24"/>
        </w:rPr>
        <w:t>rable permettrait de soutenir la croissance à court et à moyen terme, tout en contribuant à rééquilibrer l’économie de la zone euro. En cas de détérioration des perspectives, une réponse efficace nécessiterait d’adopter une position budgétaire expansionnis</w:t>
      </w:r>
      <w:r>
        <w:rPr>
          <w:rFonts w:ascii="Times New Roman" w:hAnsi="Times New Roman"/>
          <w:noProof/>
          <w:sz w:val="24"/>
          <w:szCs w:val="24"/>
        </w:rPr>
        <w:t>te pour l’ensemble de la zone euro, tout en menant des politiques pleinement conformes au pacte de stabilité et de croissance, qui tiennent compte des circonstances propres à chaque pays et évitent dans la mesure du possible des mesures procycliques.</w:t>
      </w:r>
    </w:p>
    <w:p w:rsidR="0012591C" w:rsidRDefault="00851248">
      <w:pPr>
        <w:jc w:val="both"/>
        <w:rPr>
          <w:rFonts w:ascii="Times New Roman" w:hAnsi="Times New Roman" w:cs="Times New Roman"/>
          <w:noProof/>
          <w:sz w:val="24"/>
          <w:szCs w:val="24"/>
        </w:rPr>
      </w:pPr>
      <w:r>
        <w:rPr>
          <w:rFonts w:ascii="Times New Roman" w:hAnsi="Times New Roman"/>
          <w:b/>
          <w:noProof/>
          <w:sz w:val="24"/>
          <w:szCs w:val="24"/>
        </w:rPr>
        <w:t xml:space="preserve">Pour </w:t>
      </w:r>
      <w:r>
        <w:rPr>
          <w:rFonts w:ascii="Times New Roman" w:hAnsi="Times New Roman"/>
          <w:b/>
          <w:noProof/>
          <w:sz w:val="24"/>
          <w:szCs w:val="24"/>
        </w:rPr>
        <w:t xml:space="preserve">garantir la stabilité, il convient de s’attaquer aux sources potentielles de déséquilibres internes et externes, tout en protégeant les investissements dans la durabilité et la productivité de demain. </w:t>
      </w:r>
      <w:r>
        <w:rPr>
          <w:rFonts w:ascii="Times New Roman" w:hAnsi="Times New Roman"/>
          <w:noProof/>
          <w:sz w:val="24"/>
          <w:szCs w:val="24"/>
        </w:rPr>
        <w:t>Les déséquilibres internes et externes doivent être maî</w:t>
      </w:r>
      <w:r>
        <w:rPr>
          <w:rFonts w:ascii="Times New Roman" w:hAnsi="Times New Roman"/>
          <w:noProof/>
          <w:sz w:val="24"/>
          <w:szCs w:val="24"/>
        </w:rPr>
        <w:t>trisés grâce à un suivi approprié et à des réformes structurelles.</w:t>
      </w:r>
      <w:r>
        <w:rPr>
          <w:rFonts w:ascii="Times New Roman" w:hAnsi="Times New Roman"/>
          <w:b/>
          <w:noProof/>
          <w:sz w:val="24"/>
          <w:szCs w:val="24"/>
        </w:rPr>
        <w:t xml:space="preserve"> </w:t>
      </w:r>
      <w:r>
        <w:rPr>
          <w:rFonts w:ascii="Times New Roman" w:hAnsi="Times New Roman"/>
          <w:noProof/>
          <w:sz w:val="24"/>
          <w:szCs w:val="24"/>
        </w:rPr>
        <w:t>Compte tenu de la faiblesse des taux d’intérêt, les États membres confrontés à la nécessité de se désendetter devraient s’employer rapidement à réduire leur dette, sans mettre en péril l’in</w:t>
      </w:r>
      <w:r>
        <w:rPr>
          <w:rFonts w:ascii="Times New Roman" w:hAnsi="Times New Roman"/>
          <w:noProof/>
          <w:sz w:val="24"/>
          <w:szCs w:val="24"/>
        </w:rPr>
        <w:t>vestissement. Les niveaux élevés actuels de la dette publique sont une source de vulnérabilité dans certains États membres et constituent une contrainte pour les autorités publiques lorsqu’il est nécessaire qu’elles mènent une politique de stabilisation ma</w:t>
      </w:r>
      <w:r>
        <w:rPr>
          <w:rFonts w:ascii="Times New Roman" w:hAnsi="Times New Roman"/>
          <w:noProof/>
          <w:sz w:val="24"/>
          <w:szCs w:val="24"/>
        </w:rPr>
        <w:t>croéconomique. Une réduction de la dette sera également nécessaire pour offrir aux États membres la marge de manœuvre budgétaire requise pour faire face aux défis futurs et libérer des fonds pour l’investissement. Cette nécessité est d’autant plus réelle a</w:t>
      </w:r>
      <w:r>
        <w:rPr>
          <w:rFonts w:ascii="Times New Roman" w:hAnsi="Times New Roman"/>
          <w:noProof/>
          <w:sz w:val="24"/>
          <w:szCs w:val="24"/>
        </w:rPr>
        <w:t xml:space="preserve">u vu des bilans resserrés des banques et de l’endettement du secteur privé. Il importe de continuer à corriger les déséquilibres importants en termes de stocks extérieurs et de faire baisser l’endettement des entreprises et des ménages afin de réduire les </w:t>
      </w:r>
      <w:r>
        <w:rPr>
          <w:rFonts w:ascii="Times New Roman" w:hAnsi="Times New Roman"/>
          <w:noProof/>
          <w:sz w:val="24"/>
          <w:szCs w:val="24"/>
        </w:rPr>
        <w:t xml:space="preserve">vulnérabilités. </w:t>
      </w:r>
    </w:p>
    <w:p w:rsidR="0012591C" w:rsidRDefault="00851248">
      <w:pPr>
        <w:pStyle w:val="ListParagraph"/>
        <w:spacing w:line="276" w:lineRule="auto"/>
        <w:ind w:left="0"/>
        <w:jc w:val="both"/>
        <w:rPr>
          <w:rFonts w:ascii="Times New Roman" w:hAnsi="Times New Roman"/>
          <w:noProof/>
          <w:sz w:val="24"/>
          <w:szCs w:val="24"/>
        </w:rPr>
      </w:pPr>
      <w:r>
        <w:rPr>
          <w:rFonts w:ascii="Times New Roman" w:hAnsi="Times New Roman"/>
          <w:b/>
          <w:noProof/>
          <w:sz w:val="24"/>
          <w:szCs w:val="24"/>
        </w:rPr>
        <w:t>Il est important d’améliorer la qualité des finances publiques pour stimuler la croissance potentielle et soutenir la transformation économique liée aux défis climatique et numérique.</w:t>
      </w:r>
      <w:r>
        <w:rPr>
          <w:rFonts w:ascii="Times New Roman" w:hAnsi="Times New Roman"/>
          <w:noProof/>
          <w:sz w:val="24"/>
          <w:szCs w:val="24"/>
        </w:rPr>
        <w:t xml:space="preserve"> Des efforts devraient être déployés au niveau des recet</w:t>
      </w:r>
      <w:r>
        <w:rPr>
          <w:rFonts w:ascii="Times New Roman" w:hAnsi="Times New Roman"/>
          <w:noProof/>
          <w:sz w:val="24"/>
          <w:szCs w:val="24"/>
        </w:rPr>
        <w:t>tes ainsi qu’au niveau des dépenses, au moyen de revues de dépenses régulières, en établissant comme prioritaires les dépenses qui favorisent la croissance à long terme et en recourant aux instruments d’écologisation du budget.</w:t>
      </w:r>
      <w:r>
        <w:rPr>
          <w:noProof/>
          <w:sz w:val="24"/>
          <w:szCs w:val="24"/>
        </w:rPr>
        <w:t xml:space="preserve"> </w:t>
      </w:r>
      <w:r>
        <w:rPr>
          <w:rFonts w:ascii="Times New Roman" w:hAnsi="Times New Roman"/>
          <w:noProof/>
          <w:sz w:val="24"/>
          <w:szCs w:val="24"/>
        </w:rPr>
        <w:t>En ce qui concerne les dépenses, il convient de procéder régulièrement à des revues de dépenses et d’accorder la priorité aux dépenses qui favorisent la croissance à long terme, en particulier dans les domaines de l’éducation, de l’emploi et de l’investiss</w:t>
      </w:r>
      <w:r>
        <w:rPr>
          <w:rFonts w:ascii="Times New Roman" w:hAnsi="Times New Roman"/>
          <w:noProof/>
          <w:sz w:val="24"/>
          <w:szCs w:val="24"/>
        </w:rPr>
        <w:t xml:space="preserve">ement. En ce qui concerne les recettes, la fiscalité devrait soutenir la transition vers une économie verte, devenir plus équitable et s’orienter vers des sources moins préjudiciables à la croissance. </w:t>
      </w:r>
    </w:p>
    <w:p w:rsidR="0012591C" w:rsidRDefault="00851248">
      <w:pPr>
        <w:pStyle w:val="ListParagraph"/>
        <w:spacing w:line="276" w:lineRule="auto"/>
        <w:ind w:left="0"/>
        <w:jc w:val="both"/>
        <w:rPr>
          <w:rFonts w:ascii="Times New Roman" w:hAnsi="Times New Roman" w:cs="Times New Roman"/>
          <w:b/>
          <w:noProof/>
          <w:sz w:val="24"/>
          <w:szCs w:val="24"/>
        </w:rPr>
      </w:pPr>
      <w:r>
        <w:rPr>
          <w:rFonts w:ascii="Times New Roman" w:hAnsi="Times New Roman"/>
          <w:b/>
          <w:noProof/>
          <w:sz w:val="24"/>
          <w:szCs w:val="24"/>
        </w:rPr>
        <w:t>Le secteur financier doit encore être renforcé par l’a</w:t>
      </w:r>
      <w:r>
        <w:rPr>
          <w:rFonts w:ascii="Times New Roman" w:hAnsi="Times New Roman"/>
          <w:b/>
          <w:noProof/>
          <w:sz w:val="24"/>
          <w:szCs w:val="24"/>
        </w:rPr>
        <w:t>chèvement de l’union bancaire et de l’union des marchés des capitaux.</w:t>
      </w:r>
      <w:r>
        <w:rPr>
          <w:rFonts w:ascii="Times New Roman" w:hAnsi="Times New Roman"/>
          <w:noProof/>
          <w:sz w:val="24"/>
          <w:szCs w:val="24"/>
        </w:rPr>
        <w:t xml:space="preserve"> Cet objectif devrait être atteint, entre autres, par la création d’un système européen d’assurance des dépôts, la réduction des volumes de prêts non productifs, la prise en compte du lie</w:t>
      </w:r>
      <w:r>
        <w:rPr>
          <w:rFonts w:ascii="Times New Roman" w:hAnsi="Times New Roman"/>
          <w:noProof/>
          <w:sz w:val="24"/>
          <w:szCs w:val="24"/>
        </w:rPr>
        <w:t xml:space="preserve">n entre banques et émetteurs souverains, l’amélioration de la législation relative à l’insolvabilité des banques et l’adoption de mesures visant à renforcer encore l’intégration financière. Dans le même temps, la hausse des coûts salariaux unitaires ou la </w:t>
      </w:r>
      <w:r>
        <w:rPr>
          <w:rFonts w:ascii="Times New Roman" w:hAnsi="Times New Roman"/>
          <w:noProof/>
          <w:sz w:val="24"/>
          <w:szCs w:val="24"/>
        </w:rPr>
        <w:t>forte augmentation des prix immobiliers dans un certain nombre de pays doivent faire l’objet d’un suivi attentif, tandis que les cadres macroprudentiels doivent être adaptés et des mesures appropriées doivent être prises, au besoin, pour empêcher l’accumul</w:t>
      </w:r>
      <w:r>
        <w:rPr>
          <w:rFonts w:ascii="Times New Roman" w:hAnsi="Times New Roman"/>
          <w:noProof/>
          <w:sz w:val="24"/>
          <w:szCs w:val="24"/>
        </w:rPr>
        <w:t>ation de nouveaux déséquilibres. De nouvelles mesures concernant l’union des marchés des capitaux sont nécessaires pour diversifier les sources de financement des entreprises et les possibilités d’investissement offertes aux épargnants, ce qui permettra d’</w:t>
      </w:r>
      <w:r>
        <w:rPr>
          <w:rFonts w:ascii="Times New Roman" w:hAnsi="Times New Roman"/>
          <w:noProof/>
          <w:sz w:val="24"/>
          <w:szCs w:val="24"/>
        </w:rPr>
        <w:t>étendre le partage des risques privés au sein de la zone euro. Il convient également de renforcer la résilience du système financier face aux cybermenaces et aux menaces climatiques.</w:t>
      </w:r>
    </w:p>
    <w:p w:rsidR="0012591C" w:rsidRDefault="00851248">
      <w:pPr>
        <w:spacing w:after="120"/>
        <w:jc w:val="both"/>
        <w:rPr>
          <w:rFonts w:ascii="Times New Roman" w:hAnsi="Times New Roman" w:cs="Times New Roman"/>
          <w:noProof/>
          <w:sz w:val="24"/>
          <w:szCs w:val="24"/>
        </w:rPr>
      </w:pPr>
      <w:r>
        <w:rPr>
          <w:rFonts w:ascii="Times New Roman" w:hAnsi="Times New Roman"/>
          <w:b/>
          <w:noProof/>
          <w:sz w:val="24"/>
          <w:szCs w:val="24"/>
        </w:rPr>
        <w:t xml:space="preserve">L’Europe doit mobiliser des investissements bien ciblés pour soutenir le </w:t>
      </w:r>
      <w:r>
        <w:rPr>
          <w:rFonts w:ascii="Times New Roman" w:hAnsi="Times New Roman"/>
          <w:b/>
          <w:noProof/>
          <w:sz w:val="24"/>
          <w:szCs w:val="24"/>
        </w:rPr>
        <w:t>passage à une économie neutre en carbone et entièrement numérique.</w:t>
      </w:r>
      <w:r>
        <w:rPr>
          <w:rFonts w:ascii="Times New Roman" w:hAnsi="Times New Roman"/>
          <w:noProof/>
          <w:sz w:val="24"/>
          <w:szCs w:val="24"/>
        </w:rPr>
        <w:t xml:space="preserve"> Il convient d’exploiter pleinement la flexibilité accordée dans le cadre du pacte de stabilité et de croissance pour permettre les investissements nécessaires tout en préservant la viabilit</w:t>
      </w:r>
      <w:r>
        <w:rPr>
          <w:rFonts w:ascii="Times New Roman" w:hAnsi="Times New Roman"/>
          <w:noProof/>
          <w:sz w:val="24"/>
          <w:szCs w:val="24"/>
        </w:rPr>
        <w:t xml:space="preserve">é budgétaire. Cela nous aidera à appliquer une politique budgétaire plus favorable à la croissance dans la zone euro sans renoncer à notre responsabilité budgétaire. Une adoption rapide du nouveau cadre financier pluriannuel est également essentielle pour </w:t>
      </w:r>
      <w:r>
        <w:rPr>
          <w:rFonts w:ascii="Times New Roman" w:hAnsi="Times New Roman"/>
          <w:noProof/>
          <w:sz w:val="24"/>
          <w:szCs w:val="24"/>
        </w:rPr>
        <w:t>garantir la disponibilité rapide d’investissements supplémentaires à l’appui de la transformation numérique et climatique (voir encadré 2).</w:t>
      </w:r>
    </w:p>
    <w:p w:rsidR="0012591C" w:rsidRDefault="00851248">
      <w:pPr>
        <w:pStyle w:val="ListParagraph"/>
        <w:spacing w:line="276" w:lineRule="auto"/>
        <w:ind w:left="0"/>
        <w:jc w:val="both"/>
        <w:rPr>
          <w:rFonts w:ascii="Times New Roman" w:hAnsi="Times New Roman" w:cs="Times New Roman"/>
          <w:noProof/>
          <w:sz w:val="24"/>
          <w:szCs w:val="24"/>
        </w:rPr>
      </w:pPr>
      <w:r>
        <w:rPr>
          <w:rFonts w:ascii="Times New Roman" w:hAnsi="Times New Roman"/>
          <w:b/>
          <w:noProof/>
          <w:sz w:val="24"/>
          <w:szCs w:val="24"/>
        </w:rPr>
        <w:t>Tous ces aspects seront essentiels pour renforcer le rôle international de l’euro, un facteur clé pour accroître l’i</w:t>
      </w:r>
      <w:r>
        <w:rPr>
          <w:rFonts w:ascii="Times New Roman" w:hAnsi="Times New Roman"/>
          <w:b/>
          <w:noProof/>
          <w:sz w:val="24"/>
          <w:szCs w:val="24"/>
        </w:rPr>
        <w:t xml:space="preserve">nfluence de l’Europe sur les marchés mondiaux. </w:t>
      </w:r>
      <w:r>
        <w:rPr>
          <w:rFonts w:ascii="Times New Roman" w:hAnsi="Times New Roman"/>
          <w:noProof/>
          <w:sz w:val="24"/>
          <w:szCs w:val="24"/>
        </w:rPr>
        <w:t>Cela aidera les entreprises, les consommateurs et les pouvoirs publics européens à résister aux évolutions extérieures défavorables et permettra d’affirmer le rôle de l’économie de la zone euro sur la scène mo</w:t>
      </w:r>
      <w:r>
        <w:rPr>
          <w:rFonts w:ascii="Times New Roman" w:hAnsi="Times New Roman"/>
          <w:noProof/>
          <w:sz w:val="24"/>
          <w:szCs w:val="24"/>
        </w:rPr>
        <w:t>ndiale. L’urgence d’agir s’est encore renforcée dans le contexte actuel, dans lequel les rivalités et les menaces qui pèsent sur le système multilatéral à l’échelle mondiale donnent lieu à de nouveaux conflits économiques prenant la forme de conflits comme</w:t>
      </w:r>
      <w:r>
        <w:rPr>
          <w:rFonts w:ascii="Times New Roman" w:hAnsi="Times New Roman"/>
          <w:noProof/>
          <w:sz w:val="24"/>
          <w:szCs w:val="24"/>
        </w:rPr>
        <w:t xml:space="preserve">rciaux et monétaires, qui risquent de nuire à bon nombre des avantages de la mondialisation. </w:t>
      </w:r>
    </w:p>
    <w:p w:rsidR="0012591C" w:rsidRDefault="0012591C">
      <w:pPr>
        <w:pStyle w:val="ListParagraph"/>
        <w:spacing w:line="276" w:lineRule="auto"/>
        <w:ind w:left="0"/>
        <w:jc w:val="both"/>
        <w:rPr>
          <w:rFonts w:ascii="Times New Roman" w:hAnsi="Times New Roman" w:cs="Times New Roman"/>
          <w:b/>
          <w:noProof/>
          <w:sz w:val="24"/>
          <w:szCs w:val="24"/>
        </w:rPr>
      </w:pPr>
    </w:p>
    <w:p w:rsidR="0012591C" w:rsidRDefault="00851248">
      <w:pPr>
        <w:pStyle w:val="ListParagraph"/>
        <w:keepNext/>
        <w:keepLines/>
        <w:widowControl w:val="0"/>
        <w:spacing w:line="257" w:lineRule="auto"/>
        <w:ind w:left="0"/>
        <w:jc w:val="both"/>
        <w:rPr>
          <w:rFonts w:ascii="Times New Roman" w:hAnsi="Times New Roman"/>
          <w:noProof/>
          <w:sz w:val="24"/>
          <w:szCs w:val="24"/>
        </w:rPr>
      </w:pPr>
      <w:r>
        <w:rPr>
          <w:rFonts w:ascii="Times New Roman" w:hAnsi="Times New Roman"/>
          <w:noProof/>
          <w:sz w:val="24"/>
          <w:szCs w:val="24"/>
        </w:rPr>
        <w:t xml:space="preserve">Encadré 2: La contribution du budget de l’UE - la nécessité d’adopter rapidement le nouveau cadre financier pluriannuel </w:t>
      </w:r>
    </w:p>
    <w:p w:rsidR="0012591C" w:rsidRDefault="00851248">
      <w:pPr>
        <w:pStyle w:val="ListParagraph"/>
        <w:keepNext/>
        <w:keepLines/>
        <w:widowControl w:val="0"/>
        <w:pBdr>
          <w:top w:val="single" w:sz="4" w:space="1" w:color="000000"/>
          <w:left w:val="single" w:sz="4" w:space="4" w:color="000000"/>
          <w:bottom w:val="single" w:sz="4" w:space="1" w:color="000000"/>
          <w:right w:val="single" w:sz="4" w:space="4" w:color="000000"/>
        </w:pBdr>
        <w:spacing w:line="257" w:lineRule="auto"/>
        <w:ind w:left="0"/>
        <w:jc w:val="both"/>
        <w:rPr>
          <w:rFonts w:ascii="Times New Roman" w:hAnsi="Times New Roman" w:cs="Times New Roman"/>
          <w:noProof/>
          <w:sz w:val="24"/>
          <w:szCs w:val="24"/>
        </w:rPr>
      </w:pPr>
      <w:r>
        <w:rPr>
          <w:rFonts w:ascii="Times New Roman" w:hAnsi="Times New Roman"/>
          <w:b/>
          <w:noProof/>
          <w:sz w:val="24"/>
          <w:szCs w:val="24"/>
        </w:rPr>
        <w:t xml:space="preserve">Le budget de l’Union européenne est au </w:t>
      </w:r>
      <w:r>
        <w:rPr>
          <w:rFonts w:ascii="Times New Roman" w:hAnsi="Times New Roman"/>
          <w:b/>
          <w:noProof/>
          <w:sz w:val="24"/>
          <w:szCs w:val="24"/>
        </w:rPr>
        <w:t>cœur des ambitions auxquelles nous donnons corps dans nos politiques</w:t>
      </w:r>
      <w:r>
        <w:rPr>
          <w:rFonts w:ascii="Times New Roman" w:hAnsi="Times New Roman"/>
          <w:noProof/>
          <w:sz w:val="24"/>
          <w:szCs w:val="24"/>
        </w:rPr>
        <w:t xml:space="preserve">. </w:t>
      </w:r>
    </w:p>
    <w:p w:rsidR="0012591C" w:rsidRDefault="00851248">
      <w:pPr>
        <w:pStyle w:val="ListParagraph"/>
        <w:keepLines/>
        <w:widowControl w:val="0"/>
        <w:pBdr>
          <w:top w:val="single" w:sz="4" w:space="1" w:color="000000"/>
          <w:left w:val="single" w:sz="4" w:space="4" w:color="000000"/>
          <w:bottom w:val="single" w:sz="4" w:space="1" w:color="000000"/>
          <w:right w:val="single" w:sz="4" w:space="4" w:color="000000"/>
        </w:pBdr>
        <w:spacing w:line="257" w:lineRule="auto"/>
        <w:ind w:left="0"/>
        <w:jc w:val="both"/>
        <w:rPr>
          <w:rFonts w:ascii="Times New Roman" w:hAnsi="Times New Roman" w:cs="Times New Roman"/>
          <w:noProof/>
          <w:color w:val="000000"/>
          <w:sz w:val="24"/>
          <w:szCs w:val="24"/>
        </w:rPr>
      </w:pPr>
      <w:r>
        <w:rPr>
          <w:rFonts w:ascii="Times New Roman" w:hAnsi="Times New Roman"/>
          <w:noProof/>
          <w:sz w:val="24"/>
          <w:szCs w:val="24"/>
        </w:rPr>
        <w:t xml:space="preserve">S’appuyant sur les mécanismes existants et nouveaux, un </w:t>
      </w:r>
      <w:r>
        <w:rPr>
          <w:rFonts w:ascii="Times New Roman" w:hAnsi="Times New Roman"/>
          <w:b/>
          <w:noProof/>
          <w:sz w:val="24"/>
          <w:szCs w:val="24"/>
        </w:rPr>
        <w:t>plan d’investissement pour une Europe durable</w:t>
      </w:r>
      <w:r>
        <w:rPr>
          <w:rFonts w:ascii="Times New Roman" w:hAnsi="Times New Roman"/>
          <w:noProof/>
          <w:sz w:val="24"/>
          <w:szCs w:val="24"/>
        </w:rPr>
        <w:t xml:space="preserve"> fournira les investissements nécessaires à la réalisation du pacte vert pour l’Euro</w:t>
      </w:r>
      <w:r>
        <w:rPr>
          <w:rFonts w:ascii="Times New Roman" w:hAnsi="Times New Roman"/>
          <w:noProof/>
          <w:sz w:val="24"/>
          <w:szCs w:val="24"/>
        </w:rPr>
        <w:t xml:space="preserve">pe. Un </w:t>
      </w:r>
      <w:r>
        <w:rPr>
          <w:rFonts w:ascii="Times New Roman" w:hAnsi="Times New Roman"/>
          <w:b/>
          <w:noProof/>
          <w:sz w:val="24"/>
          <w:szCs w:val="24"/>
        </w:rPr>
        <w:t>Mécanisme pour une transition juste</w:t>
      </w:r>
      <w:r>
        <w:rPr>
          <w:rFonts w:ascii="Times New Roman" w:hAnsi="Times New Roman"/>
          <w:noProof/>
          <w:sz w:val="24"/>
          <w:szCs w:val="24"/>
        </w:rPr>
        <w:t xml:space="preserve"> soutiendra les régions les plus touchées et veillera à ne laisser personne de côté.</w:t>
      </w:r>
    </w:p>
    <w:p w:rsidR="0012591C" w:rsidRDefault="00851248">
      <w:pPr>
        <w:pStyle w:val="ListParagraph"/>
        <w:keepLines/>
        <w:widowControl w:val="0"/>
        <w:pBdr>
          <w:top w:val="single" w:sz="4" w:space="1" w:color="000000"/>
          <w:left w:val="single" w:sz="4" w:space="4" w:color="000000"/>
          <w:bottom w:val="single" w:sz="4" w:space="1" w:color="000000"/>
          <w:right w:val="single" w:sz="4" w:space="4" w:color="000000"/>
        </w:pBdr>
        <w:spacing w:line="257" w:lineRule="auto"/>
        <w:ind w:left="0"/>
        <w:jc w:val="both"/>
        <w:rPr>
          <w:rFonts w:ascii="Times New Roman" w:hAnsi="Times New Roman" w:cs="Times New Roman"/>
          <w:noProof/>
          <w:color w:val="000000"/>
          <w:sz w:val="24"/>
          <w:szCs w:val="24"/>
        </w:rPr>
      </w:pPr>
      <w:r>
        <w:rPr>
          <w:rFonts w:ascii="Times New Roman" w:hAnsi="Times New Roman"/>
          <w:noProof/>
          <w:sz w:val="24"/>
          <w:szCs w:val="24"/>
        </w:rPr>
        <w:t>Le programme InvestEU devrait mobiliser plus de 650 000 000 000 EUR d’investissements supplémentaires d’ici à 2027, grâce à l’uti</w:t>
      </w:r>
      <w:r>
        <w:rPr>
          <w:rFonts w:ascii="Times New Roman" w:hAnsi="Times New Roman"/>
          <w:noProof/>
          <w:sz w:val="24"/>
          <w:szCs w:val="24"/>
        </w:rPr>
        <w:t xml:space="preserve">lisation d’une garantie de l’Union. Il s’agit d’un instrument essentiel pour attirer des ressources financières privées permettant de promouvoir la réalisation des objectifs de l’UE. </w:t>
      </w:r>
    </w:p>
    <w:p w:rsidR="0012591C" w:rsidRDefault="00851248">
      <w:pPr>
        <w:pStyle w:val="ListParagraph"/>
        <w:keepLines/>
        <w:widowControl w:val="0"/>
        <w:pBdr>
          <w:top w:val="single" w:sz="4" w:space="1" w:color="000000"/>
          <w:left w:val="single" w:sz="4" w:space="4" w:color="000000"/>
          <w:bottom w:val="single" w:sz="4" w:space="1" w:color="000000"/>
          <w:right w:val="single" w:sz="4" w:space="4" w:color="000000"/>
        </w:pBdr>
        <w:spacing w:line="257" w:lineRule="auto"/>
        <w:ind w:left="0"/>
        <w:jc w:val="both"/>
        <w:rPr>
          <w:rFonts w:ascii="Times New Roman" w:hAnsi="Times New Roman" w:cs="Times New Roman"/>
          <w:noProof/>
          <w:color w:val="000000"/>
          <w:sz w:val="24"/>
          <w:szCs w:val="24"/>
        </w:rPr>
      </w:pPr>
      <w:r>
        <w:rPr>
          <w:rFonts w:ascii="Times New Roman" w:hAnsi="Times New Roman"/>
          <w:noProof/>
          <w:sz w:val="24"/>
          <w:szCs w:val="24"/>
        </w:rPr>
        <w:t>Les fonds de la politique de cohésion (Fonds européen de développement r</w:t>
      </w:r>
      <w:r>
        <w:rPr>
          <w:rFonts w:ascii="Times New Roman" w:hAnsi="Times New Roman"/>
          <w:noProof/>
          <w:sz w:val="24"/>
          <w:szCs w:val="24"/>
        </w:rPr>
        <w:t xml:space="preserve">égional, Fonds social européen Plus, Fonds de cohésion) jouent un rôle essentiel en soutenant la cohésion sociale et territoriale dans nos États membres, régions et zones rurales, afin de rester en phase avec les transformations numérique et écologique de </w:t>
      </w:r>
      <w:r>
        <w:rPr>
          <w:rFonts w:ascii="Times New Roman" w:hAnsi="Times New Roman"/>
          <w:noProof/>
          <w:sz w:val="24"/>
          <w:szCs w:val="24"/>
        </w:rPr>
        <w:t xml:space="preserve">notre monde. La proposition de la Commission relative au prochain cadre financier pluriannuel a fixé la dotation globale pour la politique de cohésion à 374 000 000 000 EUR en prix courants pour la période 2021-2027. </w:t>
      </w:r>
    </w:p>
    <w:p w:rsidR="0012591C" w:rsidRDefault="00851248">
      <w:pPr>
        <w:pStyle w:val="ListParagraph"/>
        <w:keepLines/>
        <w:widowControl w:val="0"/>
        <w:pBdr>
          <w:top w:val="single" w:sz="4" w:space="1" w:color="000000"/>
          <w:left w:val="single" w:sz="4" w:space="4" w:color="000000"/>
          <w:bottom w:val="single" w:sz="4" w:space="1" w:color="000000"/>
          <w:right w:val="single" w:sz="4" w:space="4" w:color="000000"/>
        </w:pBdr>
        <w:spacing w:line="257" w:lineRule="auto"/>
        <w:ind w:left="0"/>
        <w:jc w:val="both"/>
        <w:rPr>
          <w:rFonts w:ascii="Times New Roman" w:hAnsi="Times New Roman" w:cs="Times New Roman"/>
          <w:noProof/>
          <w:color w:val="000000"/>
          <w:sz w:val="24"/>
          <w:szCs w:val="24"/>
        </w:rPr>
      </w:pPr>
      <w:r>
        <w:rPr>
          <w:rFonts w:ascii="Times New Roman" w:hAnsi="Times New Roman"/>
          <w:noProof/>
          <w:sz w:val="24"/>
          <w:szCs w:val="24"/>
        </w:rPr>
        <w:t>Le programme d’appui aux réformes éten</w:t>
      </w:r>
      <w:r>
        <w:rPr>
          <w:rFonts w:ascii="Times New Roman" w:hAnsi="Times New Roman"/>
          <w:noProof/>
          <w:sz w:val="24"/>
          <w:szCs w:val="24"/>
        </w:rPr>
        <w:t>dra les instruments disponibles au niveau de l’Union afin de contribuer à la mise en œuvre des réformes structurelles dans tous les États membres de l’UE, en apportant un soutien technique et financier. Dans ce contexte, l’instrument budgétaire de converge</w:t>
      </w:r>
      <w:r>
        <w:rPr>
          <w:rFonts w:ascii="Times New Roman" w:hAnsi="Times New Roman"/>
          <w:noProof/>
          <w:sz w:val="24"/>
          <w:szCs w:val="24"/>
        </w:rPr>
        <w:t>nce et de compétitivité devrait soutenir les réformes et les investissements dans les États membres de la zone euro.</w:t>
      </w:r>
    </w:p>
    <w:p w:rsidR="0012591C" w:rsidRDefault="00851248">
      <w:pPr>
        <w:pStyle w:val="ListParagraph"/>
        <w:keepLines/>
        <w:widowControl w:val="0"/>
        <w:pBdr>
          <w:top w:val="single" w:sz="4" w:space="1" w:color="000000"/>
          <w:left w:val="single" w:sz="4" w:space="4" w:color="000000"/>
          <w:bottom w:val="single" w:sz="4" w:space="1" w:color="000000"/>
          <w:right w:val="single" w:sz="4" w:space="4" w:color="000000"/>
        </w:pBdr>
        <w:spacing w:line="257" w:lineRule="auto"/>
        <w:ind w:left="0"/>
        <w:jc w:val="both"/>
        <w:rPr>
          <w:rFonts w:ascii="Times New Roman" w:hAnsi="Times New Roman" w:cs="Times New Roman"/>
          <w:b/>
          <w:noProof/>
          <w:sz w:val="24"/>
          <w:szCs w:val="24"/>
        </w:rPr>
      </w:pPr>
      <w:r>
        <w:rPr>
          <w:rFonts w:ascii="Times New Roman" w:hAnsi="Times New Roman"/>
          <w:noProof/>
          <w:sz w:val="24"/>
          <w:szCs w:val="24"/>
        </w:rPr>
        <w:t>Le budget de l’Union investira des montants records dans la recherche de pointe et l’innovation, en exploitant au maximum la souplesse offe</w:t>
      </w:r>
      <w:r>
        <w:rPr>
          <w:rFonts w:ascii="Times New Roman" w:hAnsi="Times New Roman"/>
          <w:noProof/>
          <w:sz w:val="24"/>
          <w:szCs w:val="24"/>
        </w:rPr>
        <w:t>rte par le prochain budget de l’UE pour nous concentrer sur les domaines les plus prometteurs. Horizon Europe fournira 98 000 000 000 EUR à des investissements dans l’innovation au sein de l’UE.</w:t>
      </w:r>
    </w:p>
    <w:p w:rsidR="0012591C" w:rsidRDefault="00851248">
      <w:pPr>
        <w:pStyle w:val="ListParagraph"/>
        <w:keepLines/>
        <w:widowControl w:val="0"/>
        <w:pBdr>
          <w:top w:val="single" w:sz="4" w:space="1" w:color="000000"/>
          <w:left w:val="single" w:sz="4" w:space="4" w:color="000000"/>
          <w:bottom w:val="single" w:sz="4" w:space="1" w:color="000000"/>
          <w:right w:val="single" w:sz="4" w:space="4" w:color="000000"/>
        </w:pBdr>
        <w:spacing w:line="257" w:lineRule="auto"/>
        <w:ind w:left="0"/>
        <w:jc w:val="both"/>
        <w:rPr>
          <w:rFonts w:ascii="Times New Roman" w:hAnsi="Times New Roman" w:cs="Times New Roman"/>
          <w:noProof/>
          <w:color w:val="000000"/>
          <w:sz w:val="24"/>
          <w:szCs w:val="24"/>
        </w:rPr>
      </w:pPr>
      <w:r>
        <w:rPr>
          <w:rFonts w:ascii="Times New Roman" w:hAnsi="Times New Roman"/>
          <w:b/>
          <w:noProof/>
          <w:sz w:val="24"/>
          <w:szCs w:val="24"/>
        </w:rPr>
        <w:t>Le budget de l’UE servira de catalyseur pour mobiliser des in</w:t>
      </w:r>
      <w:r>
        <w:rPr>
          <w:rFonts w:ascii="Times New Roman" w:hAnsi="Times New Roman"/>
          <w:b/>
          <w:noProof/>
          <w:sz w:val="24"/>
          <w:szCs w:val="24"/>
        </w:rPr>
        <w:t>vestissements privés et publics durables et acheminer l’aide de l’UE en faveur de la transition vers une énergie propre là où elle est le plus nécessaire.</w:t>
      </w:r>
      <w:r>
        <w:rPr>
          <w:rFonts w:ascii="Times New Roman" w:hAnsi="Times New Roman"/>
          <w:noProof/>
          <w:sz w:val="24"/>
          <w:szCs w:val="24"/>
        </w:rPr>
        <w:t xml:space="preserve"> Déjà dans le cadre du budget à long terme actuel pour la période 2014-2020, le budget de l’Union a re</w:t>
      </w:r>
      <w:r>
        <w:rPr>
          <w:rFonts w:ascii="Times New Roman" w:hAnsi="Times New Roman"/>
          <w:noProof/>
          <w:sz w:val="24"/>
          <w:szCs w:val="24"/>
        </w:rPr>
        <w:t>nforcé le poids du climat et de l’environnement dans ses programmes de dépenses. L’atténuation du changement climatique et l’adaptation à celui-ci ont été intégrées dans tous les grands domaines de dépenses de l’UE. Dans sa proposition pour un budget de l’</w:t>
      </w:r>
      <w:r>
        <w:rPr>
          <w:rFonts w:ascii="Times New Roman" w:hAnsi="Times New Roman"/>
          <w:noProof/>
          <w:sz w:val="24"/>
          <w:szCs w:val="24"/>
        </w:rPr>
        <w:t>UE doté de plus de mille milliards d’EUR sur la période 2021-2027(</w:t>
      </w:r>
      <w:r>
        <w:rPr>
          <w:rFonts w:ascii="Times New Roman" w:hAnsi="Times New Roman"/>
          <w:noProof/>
          <w:sz w:val="24"/>
          <w:szCs w:val="24"/>
          <w:vertAlign w:val="superscript"/>
        </w:rPr>
        <w:footnoteReference w:id="6"/>
      </w:r>
      <w:r>
        <w:rPr>
          <w:rFonts w:ascii="Times New Roman" w:hAnsi="Times New Roman"/>
          <w:noProof/>
          <w:sz w:val="24"/>
          <w:szCs w:val="24"/>
        </w:rPr>
        <w:t>), la Commission européenne a revu son ambition à la hausse, pour la porter à au moins 25 % de dépenses affectées à des activités liées au climat, ce qui correspond à 320 000 000 000 EUR. D</w:t>
      </w:r>
      <w:r>
        <w:rPr>
          <w:rFonts w:ascii="Times New Roman" w:hAnsi="Times New Roman"/>
          <w:noProof/>
          <w:sz w:val="24"/>
          <w:szCs w:val="24"/>
        </w:rPr>
        <w:t>ans le cadre de la future politique agricole (PAC), une nouvelle architecture verte apportera une contribution plus forte à l’action pour l’environnement et le climat, les actions menées dans le cadre de la PAC devant contribuer à hauteur de 40 % de l’enve</w:t>
      </w:r>
      <w:r>
        <w:rPr>
          <w:rFonts w:ascii="Times New Roman" w:hAnsi="Times New Roman"/>
          <w:noProof/>
          <w:sz w:val="24"/>
          <w:szCs w:val="24"/>
        </w:rPr>
        <w:t xml:space="preserve">loppe financière globale de la PAC aux objectifs en matière de climat. </w:t>
      </w:r>
    </w:p>
    <w:p w:rsidR="0012591C" w:rsidRDefault="0012591C">
      <w:pPr>
        <w:pStyle w:val="ListParagraph"/>
        <w:keepNext/>
        <w:spacing w:line="257" w:lineRule="auto"/>
        <w:ind w:left="0"/>
        <w:jc w:val="both"/>
        <w:rPr>
          <w:rFonts w:ascii="Times New Roman" w:hAnsi="Times New Roman" w:cs="Times New Roman"/>
          <w:b/>
          <w:bCs/>
          <w:noProof/>
          <w:sz w:val="24"/>
          <w:szCs w:val="24"/>
        </w:rPr>
      </w:pPr>
    </w:p>
    <w:p w:rsidR="0012591C" w:rsidRDefault="00851248">
      <w:pPr>
        <w:pStyle w:val="ListParagraph"/>
        <w:keepNext/>
        <w:numPr>
          <w:ilvl w:val="1"/>
          <w:numId w:val="2"/>
        </w:numPr>
        <w:spacing w:line="257" w:lineRule="auto"/>
        <w:ind w:left="1066" w:hanging="357"/>
        <w:jc w:val="both"/>
        <w:rPr>
          <w:rFonts w:ascii="Times New Roman" w:hAnsi="Times New Roman" w:cs="Times New Roman"/>
          <w:b/>
          <w:bCs/>
          <w:noProof/>
          <w:sz w:val="24"/>
          <w:szCs w:val="24"/>
        </w:rPr>
      </w:pPr>
      <w:r>
        <w:rPr>
          <w:rFonts w:ascii="Times New Roman" w:hAnsi="Times New Roman"/>
          <w:b/>
          <w:noProof/>
          <w:sz w:val="24"/>
          <w:szCs w:val="24"/>
        </w:rPr>
        <w:t xml:space="preserve">Recentrage du Semestre européen </w:t>
      </w:r>
    </w:p>
    <w:p w:rsidR="0012591C" w:rsidRDefault="00851248">
      <w:pPr>
        <w:spacing w:after="120"/>
        <w:jc w:val="both"/>
        <w:rPr>
          <w:rFonts w:ascii="Times New Roman" w:hAnsi="Times New Roman" w:cs="Times New Roman"/>
          <w:bCs/>
          <w:noProof/>
          <w:sz w:val="24"/>
          <w:szCs w:val="24"/>
        </w:rPr>
      </w:pPr>
      <w:r>
        <w:rPr>
          <w:rFonts w:ascii="Times New Roman" w:hAnsi="Times New Roman"/>
          <w:b/>
          <w:bCs/>
          <w:noProof/>
          <w:sz w:val="24"/>
          <w:szCs w:val="24"/>
        </w:rPr>
        <w:t xml:space="preserve">En mettant l’accent sur la durabilité compétitive, la nouvelle stratégie de croissance nous permettra d’atteindre les objectifs de développement </w:t>
      </w:r>
      <w:r>
        <w:rPr>
          <w:rFonts w:ascii="Times New Roman" w:hAnsi="Times New Roman"/>
          <w:b/>
          <w:bCs/>
          <w:noProof/>
          <w:sz w:val="24"/>
          <w:szCs w:val="24"/>
        </w:rPr>
        <w:t>durable (ODD).</w:t>
      </w:r>
      <w:r>
        <w:rPr>
          <w:rFonts w:ascii="Times New Roman" w:hAnsi="Times New Roman"/>
          <w:bCs/>
          <w:noProof/>
          <w:sz w:val="24"/>
          <w:szCs w:val="24"/>
        </w:rPr>
        <w:t xml:space="preserve"> Les défis économiques, sociaux et environnementaux sont importants pour l’économie. Pour réussir, nous devrons déployer des efforts considérables dans tous les domaines d’action, tant au niveau de l’UE qu’au niveau national. La capacité des </w:t>
      </w:r>
      <w:r>
        <w:rPr>
          <w:rFonts w:ascii="Times New Roman" w:hAnsi="Times New Roman"/>
          <w:bCs/>
          <w:noProof/>
          <w:sz w:val="24"/>
          <w:szCs w:val="24"/>
        </w:rPr>
        <w:t>pouvoirs publics à mener des politiques économiques, sociales et budgétaires en vue de la réalisation des ODD joue à cet égard un rôle majeur. La contribution des différents niveaux de gouvernance au sein de l’UE pour réaliser les ODD est complexe, en rais</w:t>
      </w:r>
      <w:r>
        <w:rPr>
          <w:rFonts w:ascii="Times New Roman" w:hAnsi="Times New Roman"/>
          <w:bCs/>
          <w:noProof/>
          <w:sz w:val="24"/>
          <w:szCs w:val="24"/>
        </w:rPr>
        <w:t>on de l'éclatement des compétences entre les États membres et les institutions de l’UE. Bien que les défis liés à la transition nous concernent tous, les situations de départ diffèrent: certains États membres sont plus exposés que d’autres aux risques écon</w:t>
      </w:r>
      <w:r>
        <w:rPr>
          <w:rFonts w:ascii="Times New Roman" w:hAnsi="Times New Roman"/>
          <w:bCs/>
          <w:noProof/>
          <w:sz w:val="24"/>
          <w:szCs w:val="24"/>
        </w:rPr>
        <w:t>omiques, sociaux et environnementaux ou doivent réaliser davantage de progrès sur la voie des objectifs de développement durable. Les États membres ont donc besoin de politiques différenciées, mais étroitement coordonnées.</w:t>
      </w:r>
      <w:r>
        <w:rPr>
          <w:noProof/>
          <w:sz w:val="24"/>
          <w:szCs w:val="24"/>
        </w:rPr>
        <w:t xml:space="preserve"> </w:t>
      </w:r>
      <w:r>
        <w:rPr>
          <w:rFonts w:ascii="Times New Roman" w:hAnsi="Times New Roman"/>
          <w:bCs/>
          <w:noProof/>
          <w:sz w:val="24"/>
          <w:szCs w:val="24"/>
        </w:rPr>
        <w:t xml:space="preserve">En dix ans, le Semestre européen </w:t>
      </w:r>
      <w:r>
        <w:rPr>
          <w:rFonts w:ascii="Times New Roman" w:hAnsi="Times New Roman"/>
          <w:bCs/>
          <w:noProof/>
          <w:sz w:val="24"/>
          <w:szCs w:val="24"/>
        </w:rPr>
        <w:t>s'est imposé comme l'outil central de coordination des politiques nationales en matière économique et d’emploi. À ce titre, il peut contribuer à conduire ces politiques sur la voie des ODD en assurant le suivi des progrès accomplis et une coordination plus</w:t>
      </w:r>
      <w:r>
        <w:rPr>
          <w:rFonts w:ascii="Times New Roman" w:hAnsi="Times New Roman"/>
          <w:bCs/>
          <w:noProof/>
          <w:sz w:val="24"/>
          <w:szCs w:val="24"/>
        </w:rPr>
        <w:t xml:space="preserve"> étroite des efforts menés sur le plan national en matière de politiques économiques et de l’emploi, tout en restant axé sur les questions ayant des répercussions économiques. </w:t>
      </w:r>
    </w:p>
    <w:p w:rsidR="0012591C" w:rsidRDefault="00851248">
      <w:pPr>
        <w:spacing w:after="120"/>
        <w:jc w:val="both"/>
        <w:rPr>
          <w:rFonts w:ascii="Times New Roman" w:hAnsi="Times New Roman" w:cs="Times New Roman"/>
          <w:bCs/>
          <w:noProof/>
          <w:sz w:val="24"/>
          <w:szCs w:val="24"/>
        </w:rPr>
      </w:pPr>
      <w:r>
        <w:rPr>
          <w:rFonts w:ascii="Times New Roman" w:hAnsi="Times New Roman"/>
          <w:b/>
          <w:bCs/>
          <w:noProof/>
          <w:sz w:val="24"/>
          <w:szCs w:val="24"/>
        </w:rPr>
        <w:t>Le recentrage du Semestre européen est déjà à l’œuvre grâce à la place prépondé</w:t>
      </w:r>
      <w:r>
        <w:rPr>
          <w:rFonts w:ascii="Times New Roman" w:hAnsi="Times New Roman"/>
          <w:b/>
          <w:bCs/>
          <w:noProof/>
          <w:sz w:val="24"/>
          <w:szCs w:val="24"/>
        </w:rPr>
        <w:t>rante accordée à l’économie dans la présente stratégie annuelle pour une croissance durable</w:t>
      </w:r>
      <w:r>
        <w:rPr>
          <w:rFonts w:ascii="Times New Roman" w:hAnsi="Times New Roman"/>
          <w:bCs/>
          <w:noProof/>
          <w:sz w:val="24"/>
          <w:szCs w:val="24"/>
        </w:rPr>
        <w:t>. Il se poursuivra avec les rapports par pays de 2020, l’analyse par la Commission de la situation sociale et économique des États membres. Dans un premier temps, le</w:t>
      </w:r>
      <w:r>
        <w:rPr>
          <w:rFonts w:ascii="Times New Roman" w:hAnsi="Times New Roman"/>
          <w:bCs/>
          <w:noProof/>
          <w:sz w:val="24"/>
          <w:szCs w:val="24"/>
        </w:rPr>
        <w:t>s rapports de 2020 présenteront une analyse et un suivi renforcés des ODD. Ils contiendront une nouvelle section spécifique consacrée à la durabilité environnementale pour compléter l’analyse des défis économiques et sociaux. L’objectif est de soutenir les</w:t>
      </w:r>
      <w:r>
        <w:rPr>
          <w:rFonts w:ascii="Times New Roman" w:hAnsi="Times New Roman"/>
          <w:bCs/>
          <w:noProof/>
          <w:sz w:val="24"/>
          <w:szCs w:val="24"/>
        </w:rPr>
        <w:t xml:space="preserve"> actions des États membres en dégageant des synergies et des compromis entre les politiques environnementales, sociales et économiques menées au niveau national. L’analyse des rapports soutiendra aussi le recours à des fonds de l’UE pour réaliser des inves</w:t>
      </w:r>
      <w:r>
        <w:rPr>
          <w:rFonts w:ascii="Times New Roman" w:hAnsi="Times New Roman"/>
          <w:bCs/>
          <w:noProof/>
          <w:sz w:val="24"/>
          <w:szCs w:val="24"/>
        </w:rPr>
        <w:t xml:space="preserve">tissements durables dans l’Union européenne. Outre cette nouvelle section, chaque rapport par pays inclura également une nouvelle annexe présentant les performances de l'État membre en matière d’ODD. Cette nouvelle annexe suivra les progrès de chaque pays </w:t>
      </w:r>
      <w:r>
        <w:rPr>
          <w:rFonts w:ascii="Times New Roman" w:hAnsi="Times New Roman"/>
          <w:bCs/>
          <w:noProof/>
          <w:sz w:val="24"/>
          <w:szCs w:val="24"/>
        </w:rPr>
        <w:t>sur la base de la série d’indicateurs de l’UE pour les ODD élaborée par Eurostat. La Commission a également invité les États membres à faire le point sur les progrès réalisés en matière d’ODD dans leurs programmes nationaux de réforme. Il s'agit d’un compl</w:t>
      </w:r>
      <w:r>
        <w:rPr>
          <w:rFonts w:ascii="Times New Roman" w:hAnsi="Times New Roman"/>
          <w:bCs/>
          <w:noProof/>
          <w:sz w:val="24"/>
          <w:szCs w:val="24"/>
        </w:rPr>
        <w:t>ément qualitatif au suivi fondé sur des indicateurs réalisé par la Commission au cours du Semestre européen qui portera sur les aspects économiques des politiques concernées. L’objectif n’est pas de générer une charge administrative supplémentaire pour les</w:t>
      </w:r>
      <w:r>
        <w:rPr>
          <w:rFonts w:ascii="Times New Roman" w:hAnsi="Times New Roman"/>
          <w:bCs/>
          <w:noProof/>
          <w:sz w:val="24"/>
          <w:szCs w:val="24"/>
        </w:rPr>
        <w:t xml:space="preserve"> administrations nationales mais plutôt de compléter les outils nationaux de suivi existants, comme les rapports nationaux volontaires annuels prévus par les Nations unies, afin d’insuffler une orientation et une coordination plus utiles au niveau de l’UE.</w:t>
      </w:r>
      <w:r>
        <w:rPr>
          <w:rFonts w:ascii="Times New Roman" w:hAnsi="Times New Roman"/>
          <w:bCs/>
          <w:noProof/>
          <w:sz w:val="24"/>
          <w:szCs w:val="24"/>
        </w:rPr>
        <w:t xml:space="preserve"> En s’inspirant des rapports par pays, les propositions de la Commission pour les recommandations par pays de 2020, qui seront adoptées en mai, mettront en lumière la contribution des réformes nationales à l’accomplissement d’ODD spécifiques, lorsqu’elles </w:t>
      </w:r>
      <w:r>
        <w:rPr>
          <w:rFonts w:ascii="Times New Roman" w:hAnsi="Times New Roman"/>
          <w:bCs/>
          <w:noProof/>
          <w:sz w:val="24"/>
          <w:szCs w:val="24"/>
        </w:rPr>
        <w:t xml:space="preserve">sont utiles pour garantir la coordination des politiques économique et de l’emploi sur des défis économiques qui nous concernent tous. </w:t>
      </w:r>
    </w:p>
    <w:p w:rsidR="0012591C" w:rsidRDefault="0012591C">
      <w:pPr>
        <w:spacing w:after="120"/>
        <w:jc w:val="both"/>
        <w:rPr>
          <w:rFonts w:ascii="Times New Roman" w:hAnsi="Times New Roman" w:cs="Times New Roman"/>
          <w:bCs/>
          <w:noProof/>
          <w:sz w:val="24"/>
          <w:szCs w:val="24"/>
        </w:rPr>
      </w:pPr>
    </w:p>
    <w:p w:rsidR="0012591C" w:rsidRDefault="00851248">
      <w:pPr>
        <w:keepNext/>
        <w:keepLines/>
        <w:widowControl w:val="0"/>
        <w:spacing w:before="240" w:after="240"/>
        <w:jc w:val="both"/>
        <w:rPr>
          <w:rFonts w:ascii="Times New Roman" w:hAnsi="Times New Roman" w:cs="Times New Roman"/>
          <w:b/>
          <w:bCs/>
          <w:noProof/>
          <w:sz w:val="24"/>
          <w:szCs w:val="24"/>
        </w:rPr>
      </w:pPr>
      <w:r>
        <w:rPr>
          <w:rFonts w:ascii="Times New Roman" w:hAnsi="Times New Roman"/>
          <w:b/>
          <w:bCs/>
          <w:noProof/>
          <w:sz w:val="24"/>
          <w:szCs w:val="24"/>
        </w:rPr>
        <w:t xml:space="preserve">En développant cette nouvelle approche dans le présent cycle du Semestre et lors des prochaines années, le Semestre </w:t>
      </w:r>
      <w:r>
        <w:rPr>
          <w:rFonts w:ascii="Times New Roman" w:hAnsi="Times New Roman"/>
          <w:b/>
          <w:bCs/>
          <w:noProof/>
          <w:sz w:val="24"/>
          <w:szCs w:val="24"/>
        </w:rPr>
        <w:t>européen aidera directement l’Union européenne et ses États membres à concrétiser les ODD dans leurs politiques économiques et de l’emploi et assurera que l’économie soit au service de tous et que la croissance soit durable.</w:t>
      </w:r>
    </w:p>
    <w:p w:rsidR="0012591C" w:rsidRDefault="00851248">
      <w:pPr>
        <w:keepNext/>
        <w:keepLines/>
        <w:widowControl w:val="0"/>
        <w:spacing w:after="120"/>
        <w:jc w:val="both"/>
        <w:rPr>
          <w:rFonts w:ascii="Times New Roman" w:hAnsi="Times New Roman" w:cs="Times New Roman"/>
          <w:b/>
          <w:bCs/>
          <w:noProof/>
          <w:sz w:val="24"/>
          <w:szCs w:val="24"/>
        </w:rPr>
      </w:pPr>
      <w:r>
        <w:rPr>
          <w:noProof/>
          <w:sz w:val="24"/>
          <w:szCs w:val="24"/>
          <w:lang w:val="fr-BE" w:eastAsia="fr-BE"/>
        </w:rPr>
        <w:drawing>
          <wp:inline distT="0" distB="0" distL="0" distR="0">
            <wp:extent cx="5759450" cy="1969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59450" cy="1969135"/>
                    </a:xfrm>
                    <a:prstGeom prst="rect">
                      <a:avLst/>
                    </a:prstGeom>
                  </pic:spPr>
                </pic:pic>
              </a:graphicData>
            </a:graphic>
          </wp:inline>
        </w:drawing>
      </w:r>
    </w:p>
    <w:p w:rsidR="0012591C" w:rsidRDefault="0012591C">
      <w:pPr>
        <w:spacing w:after="120"/>
        <w:jc w:val="both"/>
        <w:rPr>
          <w:rFonts w:ascii="Times New Roman" w:hAnsi="Times New Roman" w:cs="Times New Roman"/>
          <w:b/>
          <w:bCs/>
          <w:noProof/>
          <w:sz w:val="24"/>
          <w:szCs w:val="24"/>
        </w:rPr>
      </w:pPr>
    </w:p>
    <w:p w:rsidR="0012591C" w:rsidRDefault="0012591C">
      <w:pPr>
        <w:keepNext/>
        <w:jc w:val="both"/>
        <w:rPr>
          <w:rFonts w:ascii="Times New Roman" w:hAnsi="Times New Roman"/>
          <w:b/>
          <w:bCs/>
          <w:smallCaps/>
          <w:noProof/>
          <w:sz w:val="24"/>
          <w:szCs w:val="24"/>
        </w:rPr>
        <w:sectPr w:rsidR="0012591C">
          <w:headerReference w:type="even" r:id="rId23"/>
          <w:headerReference w:type="default" r:id="rId24"/>
          <w:footerReference w:type="even" r:id="rId25"/>
          <w:footerReference w:type="default" r:id="rId26"/>
          <w:headerReference w:type="first" r:id="rId27"/>
          <w:footerReference w:type="first" r:id="rId28"/>
          <w:pgSz w:w="11906" w:h="16838" w:code="9"/>
          <w:pgMar w:top="1134" w:right="1418" w:bottom="1134" w:left="1418" w:header="567" w:footer="567" w:gutter="0"/>
          <w:cols w:space="720"/>
          <w:docGrid w:linePitch="600" w:charSpace="36864"/>
        </w:sectPr>
      </w:pPr>
    </w:p>
    <w:p w:rsidR="0012591C" w:rsidRDefault="00851248">
      <w:pPr>
        <w:keepNext/>
        <w:jc w:val="both"/>
        <w:rPr>
          <w:rFonts w:ascii="Times New Roman" w:hAnsi="Times New Roman" w:cs="Times New Roman"/>
          <w:b/>
          <w:bCs/>
          <w:noProof/>
          <w:color w:val="000000"/>
          <w:sz w:val="24"/>
          <w:szCs w:val="24"/>
        </w:rPr>
      </w:pPr>
      <w:r>
        <w:rPr>
          <w:rFonts w:ascii="Times New Roman" w:hAnsi="Times New Roman"/>
          <w:b/>
          <w:bCs/>
          <w:smallCaps/>
          <w:noProof/>
          <w:sz w:val="24"/>
          <w:szCs w:val="24"/>
        </w:rPr>
        <w:t>Conclusions et prochaines étapes</w:t>
      </w:r>
    </w:p>
    <w:p w:rsidR="0012591C" w:rsidRDefault="00851248">
      <w:pPr>
        <w:keepLines/>
        <w:jc w:val="both"/>
        <w:rPr>
          <w:rFonts w:ascii="Times New Roman" w:hAnsi="Times New Roman" w:cs="Times New Roman"/>
          <w:noProof/>
          <w:color w:val="000000"/>
          <w:sz w:val="24"/>
          <w:szCs w:val="24"/>
        </w:rPr>
      </w:pPr>
      <w:r>
        <w:rPr>
          <w:rFonts w:ascii="Times New Roman" w:hAnsi="Times New Roman"/>
          <w:b/>
          <w:bCs/>
          <w:noProof/>
          <w:sz w:val="24"/>
          <w:szCs w:val="24"/>
        </w:rPr>
        <w:t xml:space="preserve">La mise en œuvre de cette stratégie de croissance durable est une entreprise commune </w:t>
      </w:r>
      <w:r>
        <w:rPr>
          <w:rFonts w:ascii="Times New Roman" w:hAnsi="Times New Roman"/>
          <w:noProof/>
          <w:sz w:val="24"/>
          <w:szCs w:val="24"/>
        </w:rPr>
        <w:t xml:space="preserve">Elle exigera l’action et l’engagement combinés de tous les acteurs européens. Le Conseil européen est invité à approuver cette stratégie. Les priorités définies par la Commission dans le présent document devront être prises en compte par les États membres </w:t>
      </w:r>
      <w:r>
        <w:rPr>
          <w:rFonts w:ascii="Times New Roman" w:hAnsi="Times New Roman"/>
          <w:noProof/>
          <w:sz w:val="24"/>
          <w:szCs w:val="24"/>
        </w:rPr>
        <w:t>dans leurs politiques et stratégies nationales, telles qu’énoncées dans leur programme de stabilité ou de convergence et dans leur programme national de réforme. Sur cette base, la Commission proposera des recommandations par pays, que les États membres ad</w:t>
      </w:r>
      <w:r>
        <w:rPr>
          <w:rFonts w:ascii="Times New Roman" w:hAnsi="Times New Roman"/>
          <w:noProof/>
          <w:sz w:val="24"/>
          <w:szCs w:val="24"/>
        </w:rPr>
        <w:t xml:space="preserve">opteront à terme au sein du Conseil. En dernier recours, les États membres sont donc responsables du contenu et de la mise en œuvre de ces recommandations. </w:t>
      </w:r>
    </w:p>
    <w:p w:rsidR="0012591C" w:rsidRDefault="00851248">
      <w:pPr>
        <w:pStyle w:val="CommentText"/>
        <w:jc w:val="both"/>
        <w:rPr>
          <w:noProof/>
          <w:sz w:val="24"/>
          <w:szCs w:val="24"/>
        </w:rPr>
      </w:pPr>
      <w:r>
        <w:rPr>
          <w:rFonts w:ascii="Times New Roman" w:hAnsi="Times New Roman"/>
          <w:b/>
          <w:noProof/>
          <w:sz w:val="24"/>
          <w:szCs w:val="24"/>
        </w:rPr>
        <w:t>Les États membres devraient utiliser pleinement les instruments d’action et de financement mis à le</w:t>
      </w:r>
      <w:r>
        <w:rPr>
          <w:rFonts w:ascii="Times New Roman" w:hAnsi="Times New Roman"/>
          <w:b/>
          <w:noProof/>
          <w:sz w:val="24"/>
          <w:szCs w:val="24"/>
        </w:rPr>
        <w:t xml:space="preserve">ur disposition par l’Union </w:t>
      </w:r>
      <w:r>
        <w:rPr>
          <w:rFonts w:ascii="Times New Roman" w:hAnsi="Times New Roman"/>
          <w:noProof/>
          <w:sz w:val="24"/>
          <w:szCs w:val="24"/>
        </w:rPr>
        <w:t>La Commission est prête à épauler tous les États membres dans leurs efforts de réforme en leur prodiguant son soutien technique, en particulier au moyen du programme d'appui aux réformes qu’elle propose. Dans ce cadre, pour les É</w:t>
      </w:r>
      <w:r>
        <w:rPr>
          <w:rFonts w:ascii="Times New Roman" w:hAnsi="Times New Roman"/>
          <w:noProof/>
          <w:sz w:val="24"/>
          <w:szCs w:val="24"/>
        </w:rPr>
        <w:t xml:space="preserve">tats membres de la zone euro, l’instrument budgétaire de convergence et de compétitivité devrait fournir des mesures incitatives sur mesure ainsi qu’un soutien aux réformes et à l’investissement. Enfin, les fonds de la politique de cohésion jouent un rôle </w:t>
      </w:r>
      <w:r>
        <w:rPr>
          <w:rFonts w:ascii="Times New Roman" w:hAnsi="Times New Roman"/>
          <w:noProof/>
          <w:sz w:val="24"/>
          <w:szCs w:val="24"/>
        </w:rPr>
        <w:t>essentiel dans le soutien de la cohésion sociale et territoriale.</w:t>
      </w:r>
    </w:p>
    <w:p w:rsidR="0012591C" w:rsidRDefault="00851248">
      <w:pPr>
        <w:jc w:val="both"/>
        <w:rPr>
          <w:rFonts w:ascii="Times New Roman" w:hAnsi="Times New Roman"/>
          <w:noProof/>
          <w:color w:val="000000"/>
          <w:sz w:val="24"/>
          <w:szCs w:val="24"/>
        </w:rPr>
      </w:pPr>
      <w:r>
        <w:rPr>
          <w:rFonts w:ascii="Times New Roman" w:hAnsi="Times New Roman"/>
          <w:b/>
          <w:bCs/>
          <w:noProof/>
          <w:sz w:val="24"/>
          <w:szCs w:val="24"/>
        </w:rPr>
        <w:t>Gouvernance économique et responsabilité démocratique doivent aller de pair.</w:t>
      </w:r>
      <w:r>
        <w:rPr>
          <w:rFonts w:ascii="Times New Roman" w:hAnsi="Times New Roman"/>
          <w:noProof/>
          <w:sz w:val="24"/>
          <w:szCs w:val="24"/>
        </w:rPr>
        <w:t xml:space="preserve"> Le Parlement européen devrait être davantage écouté lorsqu’il est question de la gouvernance économique de l’UE. </w:t>
      </w:r>
      <w:r>
        <w:rPr>
          <w:rFonts w:ascii="Times New Roman" w:hAnsi="Times New Roman"/>
          <w:noProof/>
          <w:sz w:val="24"/>
          <w:szCs w:val="24"/>
        </w:rPr>
        <w:t>À cette fin, la Commission entamera un dialogue avec le Parlement européen sur la manière d’y parvenir. Dans un premier temps, les membres de la Commission en charge des dossiers économiques se présenteront devant le Parlement européen avant chaque étape i</w:t>
      </w:r>
      <w:r>
        <w:rPr>
          <w:rFonts w:ascii="Times New Roman" w:hAnsi="Times New Roman"/>
          <w:noProof/>
          <w:sz w:val="24"/>
          <w:szCs w:val="24"/>
        </w:rPr>
        <w:t xml:space="preserve">mportante du cycle du Semestre européen. Ce contrôle démocratique accru du Semestre européen devrait contribuer à renforcer l’appropriation et, partant, la mise en œuvre des réformes. De manière plus générale, la Commission poursuivra le dialogue avec les </w:t>
      </w:r>
      <w:r>
        <w:rPr>
          <w:rFonts w:ascii="Times New Roman" w:hAnsi="Times New Roman"/>
          <w:noProof/>
          <w:sz w:val="24"/>
          <w:szCs w:val="24"/>
        </w:rPr>
        <w:t xml:space="preserve">États membres et elle invite ces derniers à y associer les parlements nationaux, les partenaires sociaux et tous les autres acteurs concernés. </w:t>
      </w:r>
    </w:p>
    <w:sectPr w:rsidR="0012591C">
      <w:headerReference w:type="even" r:id="rId29"/>
      <w:headerReference w:type="default" r:id="rId30"/>
      <w:footerReference w:type="even" r:id="rId31"/>
      <w:footerReference w:type="default" r:id="rId32"/>
      <w:headerReference w:type="first" r:id="rId33"/>
      <w:footerReference w:type="first" r:id="rId34"/>
      <w:pgSz w:w="11906" w:h="16838" w:code="9"/>
      <w:pgMar w:top="1134" w:right="1418" w:bottom="1134" w:left="1418" w:header="567" w:footer="56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91C" w:rsidRDefault="00851248">
      <w:pPr>
        <w:spacing w:after="0" w:line="240" w:lineRule="auto"/>
      </w:pPr>
      <w:r>
        <w:separator/>
      </w:r>
    </w:p>
  </w:endnote>
  <w:endnote w:type="continuationSeparator" w:id="0">
    <w:p w:rsidR="0012591C" w:rsidRDefault="00851248">
      <w:pPr>
        <w:spacing w:after="0" w:line="240" w:lineRule="auto"/>
      </w:pPr>
      <w:r>
        <w:continuationSeparator/>
      </w:r>
    </w:p>
  </w:endnote>
  <w:endnote w:type="continuationNotice" w:id="1">
    <w:p w:rsidR="0012591C" w:rsidRDefault="001259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24">
    <w:altName w:val="MV Boli"/>
    <w:charset w:val="00"/>
    <w:family w:val="auto"/>
    <w:pitch w:val="variable"/>
  </w:font>
  <w:font w:name="Times New Roman Bold">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OpenSymbol">
    <w:altName w:val="Arial Unicode MS"/>
    <w:charset w:val="8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altName w:val="MV Boli"/>
    <w:panose1 w:val="020B0602030504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248" w:rsidRPr="00851248" w:rsidRDefault="00851248" w:rsidP="00851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248" w:rsidRPr="00851248" w:rsidRDefault="00851248" w:rsidP="00851248">
    <w:pPr>
      <w:pStyle w:val="FooterCoverPage"/>
      <w:rPr>
        <w:rFonts w:ascii="Arial" w:hAnsi="Arial" w:cs="Arial"/>
        <w:b/>
        <w:sz w:val="48"/>
      </w:rPr>
    </w:pPr>
    <w:r w:rsidRPr="00851248">
      <w:rPr>
        <w:rFonts w:ascii="Arial" w:hAnsi="Arial" w:cs="Arial"/>
        <w:b/>
        <w:sz w:val="48"/>
      </w:rPr>
      <w:t>FR</w:t>
    </w:r>
    <w:r w:rsidRPr="00851248">
      <w:rPr>
        <w:rFonts w:ascii="Arial" w:hAnsi="Arial" w:cs="Arial"/>
        <w:b/>
        <w:sz w:val="48"/>
      </w:rPr>
      <w:tab/>
    </w:r>
    <w:r w:rsidRPr="00851248">
      <w:rPr>
        <w:rFonts w:ascii="Arial" w:hAnsi="Arial" w:cs="Arial"/>
        <w:b/>
        <w:sz w:val="48"/>
      </w:rPr>
      <w:tab/>
    </w:r>
    <w:r w:rsidRPr="00851248">
      <w:tab/>
    </w:r>
    <w:r w:rsidRPr="0085124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248" w:rsidRPr="00851248" w:rsidRDefault="00851248" w:rsidP="0085124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851248">
    <w:pPr>
      <w:pStyle w:val="Footer"/>
    </w:pPr>
    <w:r>
      <w:tab/>
    </w:r>
    <w:r>
      <w:fldChar w:fldCharType="begin"/>
    </w:r>
    <w:r>
      <w:instrText xml:space="preserve"> PAGE </w:instrText>
    </w:r>
    <w:r>
      <w:fldChar w:fldCharType="separate"/>
    </w:r>
    <w:r>
      <w:t>2</w:t>
    </w:r>
    <w:r>
      <w:fldChar w:fldCharType="end"/>
    </w:r>
    <w:r>
      <w:tab/>
    </w:r>
    <w:r>
      <w:tab/>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851248">
    <w:pPr>
      <w:pStyle w:val="Footer"/>
      <w:rPr>
        <w:rFonts w:ascii="Times New Roman" w:hAnsi="Times New Roman" w:cs="Times New Roman"/>
      </w:rPr>
    </w:pPr>
    <w:r>
      <w:rPr>
        <w:rFonts w:ascii="Times New Roman" w:hAnsi="Times New Roman"/>
      </w:rPr>
      <w:tab/>
    </w: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rP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851248">
    <w:pPr>
      <w:pStyle w:val="Footer"/>
    </w:pPr>
    <w:r>
      <w:tab/>
    </w:r>
    <w:r>
      <w:fldChar w:fldCharType="begin"/>
    </w:r>
    <w:r>
      <w:instrText xml:space="preserve"> PAGE </w:instrText>
    </w:r>
    <w:r>
      <w:fldChar w:fldCharType="separate"/>
    </w:r>
    <w:r>
      <w:t>2</w:t>
    </w:r>
    <w:r>
      <w:fldChar w:fldCharType="end"/>
    </w:r>
    <w:r>
      <w:tab/>
    </w:r>
    <w:r>
      <w:tab/>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851248">
    <w:pPr>
      <w:pStyle w:val="Footer"/>
      <w:rPr>
        <w:rFonts w:ascii="Times New Roman" w:hAnsi="Times New Roman" w:cs="Times New Roman"/>
      </w:rPr>
    </w:pPr>
    <w:r>
      <w:rPr>
        <w:rFonts w:ascii="Times New Roman" w:hAnsi="Times New Roman"/>
      </w:rPr>
      <w:tab/>
    </w: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r>
      <w:rPr>
        <w:rFonts w:ascii="Times New Roman" w:hAnsi="Times New Roman"/>
      </w:rP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851248">
    <w:pPr>
      <w:pStyle w:val="Footer"/>
    </w:pPr>
    <w:r>
      <w:tab/>
    </w:r>
    <w:r>
      <w:fldChar w:fldCharType="begin"/>
    </w:r>
    <w:r>
      <w:instrText xml:space="preserve"> PAGE </w:instrText>
    </w:r>
    <w:r>
      <w:fldChar w:fldCharType="separate"/>
    </w:r>
    <w:r>
      <w:t>2</w:t>
    </w:r>
    <w:r>
      <w:fldChar w:fldCharType="end"/>
    </w:r>
    <w:r>
      <w:tab/>
    </w:r>
    <w:r>
      <w:tab/>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851248">
    <w:pPr>
      <w:pStyle w:val="Footer"/>
      <w:rPr>
        <w:rFonts w:ascii="Times New Roman" w:hAnsi="Times New Roman" w:cs="Times New Roman"/>
      </w:rPr>
    </w:pPr>
    <w:r>
      <w:rPr>
        <w:rFonts w:ascii="Times New Roman" w:hAnsi="Times New Roman"/>
      </w:rPr>
      <w:tab/>
    </w: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r>
      <w:rPr>
        <w:rFonts w:ascii="Times New Roman" w:hAnsi="Times New Roman"/>
      </w:rPr>
      <w:tab/>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91C" w:rsidRDefault="00851248">
      <w:pPr>
        <w:spacing w:after="0" w:line="240" w:lineRule="auto"/>
      </w:pPr>
      <w:r>
        <w:separator/>
      </w:r>
    </w:p>
  </w:footnote>
  <w:footnote w:type="continuationSeparator" w:id="0">
    <w:p w:rsidR="0012591C" w:rsidRDefault="00851248">
      <w:pPr>
        <w:spacing w:after="0" w:line="240" w:lineRule="auto"/>
      </w:pPr>
      <w:r>
        <w:continuationSeparator/>
      </w:r>
    </w:p>
  </w:footnote>
  <w:footnote w:type="continuationNotice" w:id="1">
    <w:p w:rsidR="0012591C" w:rsidRDefault="0012591C">
      <w:pPr>
        <w:spacing w:after="0" w:line="240" w:lineRule="auto"/>
      </w:pPr>
    </w:p>
  </w:footnote>
  <w:footnote w:id="2">
    <w:p w:rsidR="0012591C" w:rsidRDefault="00851248">
      <w:pPr>
        <w:pStyle w:val="FootnoteText"/>
        <w:ind w:left="284" w:hanging="284"/>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ab/>
        <w:t xml:space="preserve">La proposition de rapport conjoint sur l’emploi de la Commission et du </w:t>
      </w:r>
      <w:r>
        <w:rPr>
          <w:rFonts w:ascii="Times New Roman" w:hAnsi="Times New Roman"/>
          <w:sz w:val="18"/>
          <w:szCs w:val="18"/>
        </w:rPr>
        <w:t>Conseil, adoptée en même temps que la stratégie annuelle pour une croissance durable [COM(2019) 653], présente un compte rendu détaillé de l’évolution du marché du travail et de la politique sociale, notamment au moyen du tableau de bord social</w:t>
      </w:r>
      <w:r>
        <w:t>.</w:t>
      </w:r>
    </w:p>
  </w:footnote>
  <w:footnote w:id="3">
    <w:p w:rsidR="0012591C" w:rsidRDefault="00851248">
      <w:pPr>
        <w:pStyle w:val="FootnoteText"/>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szCs w:val="18"/>
        </w:rPr>
        <w:tab/>
        <w:t xml:space="preserve">Rapport </w:t>
      </w:r>
      <w:r>
        <w:rPr>
          <w:rFonts w:ascii="Times New Roman" w:hAnsi="Times New Roman"/>
          <w:sz w:val="18"/>
          <w:szCs w:val="18"/>
        </w:rPr>
        <w:t xml:space="preserve">2018 sur le vieillissement  </w:t>
      </w:r>
      <w:hyperlink r:id="rId1" w:history="1">
        <w:r>
          <w:rPr>
            <w:rStyle w:val="Hyperlink"/>
            <w:rFonts w:ascii="Times New Roman" w:hAnsi="Times New Roman"/>
            <w:sz w:val="18"/>
            <w:szCs w:val="18"/>
          </w:rPr>
          <w:t>https://ec.europa.eu/info/sites/info/files/economy-finance/ip079_en.pdf</w:t>
        </w:r>
      </w:hyperlink>
    </w:p>
  </w:footnote>
  <w:footnote w:id="4">
    <w:p w:rsidR="0012591C" w:rsidRDefault="00851248">
      <w:pPr>
        <w:spacing w:after="120"/>
        <w:ind w:left="284" w:hanging="284"/>
        <w:jc w:val="both"/>
      </w:pPr>
      <w:r>
        <w:rPr>
          <w:rStyle w:val="FootnoteCharacters"/>
          <w:rFonts w:ascii="Times New Roman" w:hAnsi="Times New Roman"/>
          <w:vertAlign w:val="superscript"/>
        </w:rPr>
        <w:footnoteRef/>
      </w:r>
      <w:r>
        <w:rPr>
          <w:rFonts w:ascii="Times New Roman" w:hAnsi="Times New Roman"/>
          <w:sz w:val="18"/>
          <w:szCs w:val="18"/>
        </w:rPr>
        <w:tab/>
        <w:t>Depuis 2009, l’écoconception permet de réaliser d’importantes écon</w:t>
      </w:r>
      <w:r>
        <w:rPr>
          <w:rFonts w:ascii="Times New Roman" w:hAnsi="Times New Roman"/>
          <w:sz w:val="18"/>
          <w:szCs w:val="18"/>
        </w:rPr>
        <w:t>omies d’énergie - et ainsi d’éviter des émissions de CO</w:t>
      </w:r>
      <w:r>
        <w:rPr>
          <w:rFonts w:ascii="Times New Roman" w:hAnsi="Times New Roman"/>
          <w:sz w:val="18"/>
          <w:szCs w:val="18"/>
          <w:vertAlign w:val="subscript"/>
        </w:rPr>
        <w:t>2</w:t>
      </w:r>
      <w:r>
        <w:rPr>
          <w:rFonts w:ascii="Times New Roman" w:hAnsi="Times New Roman"/>
          <w:sz w:val="18"/>
          <w:szCs w:val="18"/>
        </w:rPr>
        <w:t xml:space="preserve"> -, ainsi que, de plus en plus, des gains d’efficacité substantiels. </w:t>
      </w:r>
    </w:p>
  </w:footnote>
  <w:footnote w:id="5">
    <w:p w:rsidR="0012591C" w:rsidRDefault="00851248">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ab/>
        <w:t>Rapport sur les performances du marché unique, SWD(2019) 443</w:t>
      </w:r>
      <w:r>
        <w:t xml:space="preserve"> .</w:t>
      </w:r>
    </w:p>
  </w:footnote>
  <w:footnote w:id="6">
    <w:p w:rsidR="0012591C" w:rsidRDefault="00851248">
      <w:pPr>
        <w:pStyle w:val="NormalWeb"/>
        <w:shd w:val="clear" w:color="auto" w:fill="FFFFFF"/>
        <w:spacing w:before="0" w:beforeAutospacing="0" w:after="75" w:afterAutospacing="0"/>
        <w:ind w:left="284" w:hanging="284"/>
      </w:pPr>
      <w:r>
        <w:rPr>
          <w:rStyle w:val="FootnoteCharacters"/>
          <w:sz w:val="22"/>
          <w:vertAlign w:val="superscript"/>
        </w:rPr>
        <w:footnoteRef/>
      </w:r>
      <w:r>
        <w:rPr>
          <w:rStyle w:val="FootnoteCharacters"/>
          <w:sz w:val="18"/>
          <w:szCs w:val="18"/>
        </w:rPr>
        <w:t xml:space="preserve"> </w:t>
      </w:r>
      <w:r>
        <w:rPr>
          <w:sz w:val="18"/>
        </w:rPr>
        <w:t>Proposition de règlement du Conseil fixant le cadre financier p</w:t>
      </w:r>
      <w:r>
        <w:rPr>
          <w:sz w:val="18"/>
        </w:rPr>
        <w:t xml:space="preserve">luriannuel pour la période 2021-2027, présentée par la Commission, </w:t>
      </w:r>
      <w:r>
        <w:rPr>
          <w:sz w:val="18"/>
          <w:szCs w:val="18"/>
        </w:rPr>
        <w:t>COM/</w:t>
      </w:r>
      <w:r>
        <w:rPr>
          <w:sz w:val="18"/>
        </w:rPr>
        <w:t>2018</w:t>
      </w:r>
      <w:r>
        <w:rPr>
          <w:sz w:val="18"/>
          <w:szCs w:val="18"/>
        </w:rPr>
        <w:t>/322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248" w:rsidRPr="00851248" w:rsidRDefault="00851248" w:rsidP="008512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248" w:rsidRPr="00851248" w:rsidRDefault="00851248" w:rsidP="0085124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248" w:rsidRPr="00851248" w:rsidRDefault="00851248" w:rsidP="0085124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1C" w:rsidRDefault="0012591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b/>
        <w:sz w:val="26"/>
      </w:rPr>
    </w:lvl>
    <w:lvl w:ilvl="1">
      <w:start w:val="1"/>
      <w:numFmt w:val="decimal"/>
      <w:lvlText w:val="%2."/>
      <w:lvlJc w:val="left"/>
      <w:pPr>
        <w:tabs>
          <w:tab w:val="num" w:pos="1069"/>
        </w:tabs>
        <w:ind w:left="1069"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footnote w:id="-1"/>
    <w:footnote w:id="0"/>
    <w:footnote w:id="1"/>
  </w:footnotePr>
  <w:endnotePr>
    <w:endnote w:id="-1"/>
    <w:endnote w:id="0"/>
    <w:endnote w:id="1"/>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DocStatus" w:val="Green"/>
    <w:docVar w:name="LW_CORRIGENDUM" w:val="&lt;UNUSED&gt;"/>
    <w:docVar w:name="LW_COVERPAGE_EXISTS" w:val="True"/>
    <w:docVar w:name="LW_COVERPAGE_GUID" w:val="A766AA55-E423-487F-9E87-859607D16AC8"/>
    <w:docVar w:name="LW_COVERPAGE_TYPE" w:val="1"/>
    <w:docVar w:name="LW_CROSSREFERENCE" w:val="{SWD(2019) 444 final}"/>
    <w:docVar w:name="LW_DocType" w:val="NORMAL"/>
    <w:docVar w:name="LW_EMISSION" w:val="17.12.2019"/>
    <w:docVar w:name="LW_EMISSION_ISODATE" w:val="2019-12-17"/>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9) 6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annuelle 2020 pour une croissance durable"/>
    <w:docVar w:name="LW_TYPE.DOC.CP" w:val="COMMUNICATION DE LA COMMISSION"/>
    <w:docVar w:name="LW_TYPE.DOC.CP.USERTEXT" w:val="AU PARLEMENT EUROPÉEN, AU CONSEIL, À LA BANQUE CENTRALE EUROPÉENNE, AU COMITÉ ÉCONOMIQUE ET SOCIAL EUROPÉEN, AU COMITÉ DES RÉGIONS ET À LA BANQUE EUROPÉENNE D\u8217?INVESTISSEMENT"/>
  </w:docVars>
  <w:rsids>
    <w:rsidRoot w:val="0012591C"/>
    <w:rsid w:val="0012591C"/>
    <w:rsid w:val="00851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5590CE5B"/>
  <w15:docId w15:val="{60E285AC-49A4-4D53-AFA7-284C70F8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ascii="Calibri" w:eastAsia="SimSun" w:hAnsi="Calibri" w:cs="font224"/>
      <w:sz w:val="22"/>
      <w:szCs w:val="22"/>
      <w:lang w:eastAsia="ar-SA"/>
    </w:rPr>
  </w:style>
  <w:style w:type="paragraph" w:styleId="Heading1">
    <w:name w:val="heading 1"/>
    <w:basedOn w:val="Normal"/>
    <w:next w:val="BodyText"/>
    <w:qFormat/>
    <w:pPr>
      <w:keepNext/>
      <w:keepLines/>
      <w:numPr>
        <w:numId w:val="1"/>
      </w:numPr>
      <w:spacing w:before="240" w:after="240"/>
      <w:jc w:val="both"/>
      <w:outlineLvl w:val="0"/>
    </w:pPr>
    <w:rPr>
      <w:rFonts w:ascii="Times New Roman Bold" w:hAnsi="Times New Roman Bold" w:cs="Times New Roman"/>
      <w:b/>
      <w:smallCaps/>
      <w:sz w:val="24"/>
      <w:szCs w:val="24"/>
    </w:rPr>
  </w:style>
  <w:style w:type="paragraph" w:styleId="Heading3">
    <w:name w:val="heading 3"/>
    <w:basedOn w:val="Normal"/>
    <w:next w:val="BodyText"/>
    <w:qFormat/>
    <w:pPr>
      <w:keepNext/>
      <w:numPr>
        <w:ilvl w:val="2"/>
        <w:numId w:val="1"/>
      </w:numPr>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sz w:val="26"/>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lang w:val="fr-FR"/>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lang w:val="fr-FR"/>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Marker">
    <w:name w:val="Marker"/>
    <w:rPr>
      <w:color w:val="0000FF"/>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FooterCoverPageChar">
    <w:name w:val="Footer Cover Page Char"/>
    <w:rPr>
      <w:rFonts w:ascii="Times New Roman" w:hAnsi="Times New Roman" w:cs="Times New Roman"/>
      <w:sz w:val="24"/>
    </w:rPr>
  </w:style>
  <w:style w:type="character" w:customStyle="1" w:styleId="FooterSensitivityChar">
    <w:name w:val="Footer Sensitivity Char"/>
    <w:rPr>
      <w:rFonts w:ascii="Times New Roman" w:hAnsi="Times New Roman" w:cs="Times New Roman"/>
      <w:b/>
      <w:sz w:val="32"/>
    </w:rPr>
  </w:style>
  <w:style w:type="character" w:customStyle="1" w:styleId="HeaderCoverPageChar">
    <w:name w:val="Header Cover Page Char"/>
    <w:rPr>
      <w:rFonts w:ascii="Times New Roman" w:hAnsi="Times New Roman" w:cs="Times New Roman"/>
      <w:sz w:val="24"/>
    </w:rPr>
  </w:style>
  <w:style w:type="character" w:customStyle="1" w:styleId="HeaderSensitivityChar">
    <w:name w:val="Header Sensitivity Char"/>
    <w:rPr>
      <w:rFonts w:ascii="Times New Roman" w:hAnsi="Times New Roman" w:cs="Times New Roman"/>
      <w:b/>
      <w:sz w:val="32"/>
    </w:rPr>
  </w:style>
  <w:style w:type="character" w:customStyle="1" w:styleId="HeaderSensitivityRightChar">
    <w:name w:val="Header Sensitivity Right Char"/>
    <w:rPr>
      <w:rFonts w:ascii="Times New Roman" w:hAnsi="Times New Roman" w:cs="Times New Roman"/>
      <w:sz w:val="28"/>
    </w:rPr>
  </w:style>
  <w:style w:type="character" w:customStyle="1" w:styleId="Heading1Char">
    <w:name w:val="Heading 1 Char"/>
    <w:rPr>
      <w:rFonts w:ascii="Times New Roman Bold" w:hAnsi="Times New Roman Bold" w:cs="Times New Roman"/>
      <w:b/>
      <w:smallCaps/>
      <w:sz w:val="24"/>
      <w:szCs w:val="24"/>
    </w:rPr>
  </w:style>
  <w:style w:type="character" w:customStyle="1" w:styleId="ListLabel1">
    <w:name w:val="ListLabel 1"/>
    <w:rPr>
      <w:b/>
      <w:sz w:val="26"/>
    </w:rPr>
  </w:style>
  <w:style w:type="character" w:customStyle="1" w:styleId="ListLabel2">
    <w:name w:val="ListLabel 2"/>
    <w:rPr>
      <w:rFonts w:cs="OpenSymbol"/>
    </w:rPr>
  </w:style>
  <w:style w:type="character" w:customStyle="1" w:styleId="ListLabel3">
    <w:name w:val="ListLabel 3"/>
    <w:rPr>
      <w:rFonts w:cs="Courier New"/>
    </w:rPr>
  </w:style>
  <w:style w:type="character" w:customStyle="1" w:styleId="BalloonTextChar">
    <w:name w:val="Balloon Text Char"/>
    <w:rPr>
      <w:rFonts w:ascii="Segoe UI" w:eastAsia="SimSun" w:hAnsi="Segoe UI" w:cs="Segoe UI"/>
      <w:sz w:val="18"/>
      <w:szCs w:val="18"/>
      <w:lang w:val="fr-FR"/>
    </w:rPr>
  </w:style>
  <w:style w:type="character" w:customStyle="1" w:styleId="CommentReference1">
    <w:name w:val="Comment Reference1"/>
    <w:rPr>
      <w:sz w:val="16"/>
      <w:szCs w:val="16"/>
    </w:rPr>
  </w:style>
  <w:style w:type="character" w:customStyle="1" w:styleId="CommentTextChar">
    <w:name w:val="Comment Text Char"/>
    <w:rPr>
      <w:rFonts w:ascii="Calibri" w:eastAsia="SimSun" w:hAnsi="Calibri" w:cs="font224"/>
      <w:lang w:val="fr-FR"/>
    </w:rPr>
  </w:style>
  <w:style w:type="character" w:customStyle="1" w:styleId="CommentSubjectChar">
    <w:name w:val="Comment Subject Char"/>
    <w:rPr>
      <w:rFonts w:ascii="Calibri" w:eastAsia="SimSun" w:hAnsi="Calibri" w:cs="font224"/>
      <w:b/>
      <w:bCs/>
      <w:lang w:val="fr-FR"/>
    </w:rPr>
  </w:style>
  <w:style w:type="character" w:customStyle="1" w:styleId="FootnoteTextChar">
    <w:name w:val="Footnote Text Char"/>
    <w:rPr>
      <w:rFonts w:ascii="Calibri" w:eastAsia="Calibri" w:hAnsi="Calibri" w:cs="Calibri"/>
    </w:rPr>
  </w:style>
  <w:style w:type="character" w:styleId="Hyperlink">
    <w:name w:val="Hyperlink"/>
    <w:rPr>
      <w:color w:val="0563C1"/>
      <w:u w:val="single"/>
    </w:rPr>
  </w:style>
  <w:style w:type="character" w:customStyle="1" w:styleId="Heading3Char">
    <w:name w:val="Heading 3 Char"/>
    <w:rPr>
      <w:rFonts w:ascii="Calibri Light" w:eastAsia="Times New Roman" w:hAnsi="Calibri Light" w:cs="Times New Roman"/>
      <w:b/>
      <w:bCs/>
      <w:sz w:val="26"/>
      <w:szCs w:val="26"/>
    </w:rPr>
  </w:style>
  <w:style w:type="character" w:customStyle="1" w:styleId="ListLabel4">
    <w:name w:val="ListLabel 4"/>
    <w:rPr>
      <w:b/>
      <w:sz w:val="26"/>
    </w:rPr>
  </w:style>
  <w:style w:type="character" w:customStyle="1" w:styleId="ListLabel5">
    <w:name w:val="ListLabel 5"/>
    <w:rPr>
      <w:rFonts w:cs="OpenSymbol"/>
    </w:rPr>
  </w:style>
  <w:style w:type="character" w:customStyle="1" w:styleId="ListLabel6">
    <w:name w:val="ListLabel 6"/>
    <w:rPr>
      <w:rFonts w:cs="Courier New"/>
    </w:rPr>
  </w:style>
  <w:style w:type="character" w:customStyle="1" w:styleId="FootnoteCharacters">
    <w:name w:val="Footnote Characters"/>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Nota"/>
    <w:link w:val="FootnotesymbolCarZchn"/>
    <w:uiPriority w:val="99"/>
    <w:qFormat/>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ndnoteReference">
    <w:name w:val="endnote reference"/>
    <w:rPr>
      <w:vertAlign w:val="superscript"/>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customStyle="1" w:styleId="Caption1">
    <w:name w:val="Caption1"/>
    <w:basedOn w:val="Normal"/>
    <w:pPr>
      <w:suppressLineNumbers/>
      <w:spacing w:before="120" w:after="120"/>
    </w:pPr>
    <w:rPr>
      <w:rFonts w:cs="Lucida Sans"/>
      <w:i/>
      <w:iCs/>
      <w:sz w:val="24"/>
      <w:szCs w:val="24"/>
    </w:rPr>
  </w:style>
  <w:style w:type="paragraph" w:customStyle="1" w:styleId="Pagedecouverture">
    <w:name w:val="Page de couverture"/>
    <w:basedOn w:val="Normal"/>
    <w:pPr>
      <w:spacing w:after="0" w:line="100" w:lineRule="atLeast"/>
      <w:jc w:val="both"/>
    </w:pPr>
    <w:rPr>
      <w:rFonts w:ascii="Times New Roman" w:hAnsi="Times New Roman" w:cs="Times New Roman"/>
      <w:sz w:val="24"/>
    </w:rPr>
  </w:style>
  <w:style w:type="paragraph" w:styleId="Header">
    <w:name w:val="header"/>
    <w:basedOn w:val="Normal"/>
    <w:pPr>
      <w:suppressLineNumbers/>
      <w:tabs>
        <w:tab w:val="center" w:pos="4513"/>
        <w:tab w:val="right" w:pos="9026"/>
      </w:tabs>
      <w:spacing w:after="0" w:line="100" w:lineRule="atLeast"/>
    </w:pPr>
  </w:style>
  <w:style w:type="paragraph" w:styleId="Footer">
    <w:name w:val="footer"/>
    <w:basedOn w:val="Normal"/>
    <w:pPr>
      <w:suppressLineNumbers/>
      <w:tabs>
        <w:tab w:val="center" w:pos="4513"/>
        <w:tab w:val="right" w:pos="9026"/>
      </w:tabs>
      <w:spacing w:after="0" w:line="100" w:lineRule="atLeast"/>
    </w:p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pPr>
      <w:tabs>
        <w:tab w:val="center" w:pos="4535"/>
        <w:tab w:val="right" w:pos="9071"/>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styleId="ListParagraph">
    <w:name w:val="List Paragraph"/>
    <w:basedOn w:val="Normal"/>
    <w:qFormat/>
    <w:pPr>
      <w:spacing w:after="160" w:line="256" w:lineRule="auto"/>
      <w:ind w:left="720"/>
    </w:pPr>
  </w:style>
  <w:style w:type="paragraph" w:styleId="BalloonText">
    <w:name w:val="Balloon Text"/>
    <w:basedOn w:val="Normal"/>
    <w:pPr>
      <w:spacing w:after="0" w:line="100" w:lineRule="atLeast"/>
    </w:pPr>
    <w:rPr>
      <w:rFonts w:ascii="Segoe UI" w:hAnsi="Segoe UI" w:cs="Segoe UI"/>
      <w:sz w:val="18"/>
      <w:szCs w:val="18"/>
    </w:rPr>
  </w:style>
  <w:style w:type="paragraph" w:customStyle="1" w:styleId="CommentText1">
    <w:name w:val="Comment Text1"/>
    <w:basedOn w:val="Normal"/>
    <w:rPr>
      <w:sz w:val="20"/>
      <w:szCs w:val="20"/>
    </w:rPr>
  </w:style>
  <w:style w:type="paragraph" w:customStyle="1" w:styleId="CommentSubject1">
    <w:name w:val="Comment Subject1"/>
    <w:basedOn w:val="CommentText1"/>
    <w:rPr>
      <w:b/>
      <w:bCs/>
    </w:rPr>
  </w:style>
  <w:style w:type="paragraph" w:styleId="Revision">
    <w:name w:val="Revision"/>
    <w:pPr>
      <w:suppressAutoHyphens/>
    </w:pPr>
    <w:rPr>
      <w:rFonts w:ascii="Calibri" w:eastAsia="SimSun" w:hAnsi="Calibri" w:cs="font224"/>
      <w:sz w:val="22"/>
      <w:szCs w:val="22"/>
      <w:lang w:eastAsia="ar-SA"/>
    </w:rPr>
  </w:style>
  <w:style w:type="paragraph" w:customStyle="1" w:styleId="FootnoteText1">
    <w:name w:val="Footnote Text1"/>
    <w:basedOn w:val="Normal"/>
    <w:pPr>
      <w:suppressAutoHyphens w:val="0"/>
      <w:spacing w:after="120"/>
      <w:jc w:val="both"/>
    </w:pPr>
    <w:rPr>
      <w:rFonts w:eastAsia="Calibri" w:cs="Calibri"/>
      <w:sz w:val="20"/>
      <w:szCs w:val="20"/>
    </w:rPr>
  </w:style>
  <w:style w:type="paragraph" w:customStyle="1" w:styleId="Text3">
    <w:name w:val="Text 3"/>
    <w:basedOn w:val="Normal"/>
    <w:pPr>
      <w:tabs>
        <w:tab w:val="left" w:pos="2302"/>
      </w:tabs>
      <w:suppressAutoHyphens w:val="0"/>
      <w:spacing w:after="240" w:line="100" w:lineRule="atLeast"/>
      <w:ind w:left="1916"/>
      <w:jc w:val="both"/>
    </w:pPr>
    <w:rPr>
      <w:rFonts w:ascii="Times New Roman" w:eastAsia="Times New Roman" w:hAnsi="Times New Roman" w:cs="Times New Roman"/>
      <w:sz w:val="24"/>
      <w:szCs w:val="20"/>
    </w:rPr>
  </w:style>
  <w:style w:type="paragraph" w:customStyle="1" w:styleId="Text2">
    <w:name w:val="Text 2"/>
    <w:basedOn w:val="Normal"/>
    <w:pPr>
      <w:tabs>
        <w:tab w:val="left" w:pos="2160"/>
      </w:tabs>
      <w:suppressAutoHyphens w:val="0"/>
      <w:spacing w:after="240" w:line="100" w:lineRule="atLeast"/>
      <w:ind w:left="1077"/>
      <w:jc w:val="both"/>
    </w:pPr>
    <w:rPr>
      <w:rFonts w:ascii="Times New Roman" w:eastAsia="Times New Roman" w:hAnsi="Times New Roman" w:cs="Times New Roman"/>
      <w:sz w:val="24"/>
      <w:szCs w:val="20"/>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Carattere,fn"/>
    <w:basedOn w:val="Normal"/>
    <w:uiPriority w:val="99"/>
    <w:qFormat/>
    <w:pPr>
      <w:suppressLineNumbers/>
      <w:ind w:left="283" w:hanging="283"/>
    </w:pPr>
    <w:rPr>
      <w:sz w:val="20"/>
      <w:szCs w:val="20"/>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link w:val="CommentText"/>
    <w:uiPriority w:val="99"/>
    <w:rPr>
      <w:rFonts w:ascii="Calibri" w:eastAsia="SimSun" w:hAnsi="Calibri" w:cs="font224"/>
      <w:lang w:eastAsia="ar-SA"/>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uppressAutoHyphens w:val="0"/>
      <w:spacing w:after="160" w:line="240" w:lineRule="exact"/>
      <w:jc w:val="both"/>
    </w:pPr>
    <w:rPr>
      <w:rFonts w:ascii="Times New Roman" w:eastAsia="Times New Roman" w:hAnsi="Times New Roman" w:cs="Times New Roman"/>
      <w:sz w:val="20"/>
      <w:szCs w:val="20"/>
      <w:vertAlign w:val="superscript"/>
      <w:lang w:eastAsia="en-GB"/>
    </w:rPr>
  </w:style>
  <w:style w:type="paragraph" w:styleId="CommentSubject">
    <w:name w:val="annotation subject"/>
    <w:basedOn w:val="CommentText"/>
    <w:next w:val="CommentText"/>
    <w:link w:val="CommentSubjectChar1"/>
    <w:uiPriority w:val="99"/>
    <w:semiHidden/>
    <w:unhideWhenUsed/>
    <w:rPr>
      <w:b/>
      <w:bCs/>
    </w:rPr>
  </w:style>
  <w:style w:type="character" w:customStyle="1" w:styleId="CommentSubjectChar1">
    <w:name w:val="Comment Subject Char1"/>
    <w:link w:val="CommentSubject"/>
    <w:uiPriority w:val="99"/>
    <w:semiHidden/>
    <w:rPr>
      <w:rFonts w:ascii="Calibri" w:eastAsia="SimSun" w:hAnsi="Calibri" w:cs="font224"/>
      <w:b/>
      <w:bCs/>
      <w:lang w:eastAsia="ar-SA"/>
    </w:rPr>
  </w:style>
  <w:style w:type="paragraph" w:styleId="NormalWeb">
    <w:name w:val="Normal (Web)"/>
    <w:basedOn w:val="Normal"/>
    <w:uiPriority w:val="99"/>
    <w:unhideWhenUsed/>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01723">
      <w:bodyDiv w:val="1"/>
      <w:marLeft w:val="0"/>
      <w:marRight w:val="0"/>
      <w:marTop w:val="0"/>
      <w:marBottom w:val="0"/>
      <w:divBdr>
        <w:top w:val="none" w:sz="0" w:space="0" w:color="auto"/>
        <w:left w:val="none" w:sz="0" w:space="0" w:color="auto"/>
        <w:bottom w:val="none" w:sz="0" w:space="0" w:color="auto"/>
        <w:right w:val="none" w:sz="0" w:space="0" w:color="auto"/>
      </w:divBdr>
    </w:div>
    <w:div w:id="473180486">
      <w:bodyDiv w:val="1"/>
      <w:marLeft w:val="0"/>
      <w:marRight w:val="0"/>
      <w:marTop w:val="0"/>
      <w:marBottom w:val="0"/>
      <w:divBdr>
        <w:top w:val="none" w:sz="0" w:space="0" w:color="auto"/>
        <w:left w:val="none" w:sz="0" w:space="0" w:color="auto"/>
        <w:bottom w:val="none" w:sz="0" w:space="0" w:color="auto"/>
        <w:right w:val="none" w:sz="0" w:space="0" w:color="auto"/>
      </w:divBdr>
    </w:div>
    <w:div w:id="733624383">
      <w:bodyDiv w:val="1"/>
      <w:marLeft w:val="0"/>
      <w:marRight w:val="0"/>
      <w:marTop w:val="0"/>
      <w:marBottom w:val="0"/>
      <w:divBdr>
        <w:top w:val="none" w:sz="0" w:space="0" w:color="auto"/>
        <w:left w:val="none" w:sz="0" w:space="0" w:color="auto"/>
        <w:bottom w:val="none" w:sz="0" w:space="0" w:color="auto"/>
        <w:right w:val="none" w:sz="0" w:space="0" w:color="auto"/>
      </w:divBdr>
    </w:div>
    <w:div w:id="96967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sites/info/files/economy-finance/ip07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A49B5E5-A7C1-43BA-9B3E-153C86B8B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19</Pages>
  <Words>8368</Words>
  <Characters>47785</Characters>
  <Application>Microsoft Office Word</Application>
  <DocSecurity>0</DocSecurity>
  <Lines>682</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HEILEMANN Stefanie (SG)</cp:lastModifiedBy>
  <cp:revision>26</cp:revision>
  <cp:lastPrinted>2019-12-11T17:53:00Z</cp:lastPrinted>
  <dcterms:created xsi:type="dcterms:W3CDTF">2019-12-16T16:11:00Z</dcterms:created>
  <dcterms:modified xsi:type="dcterms:W3CDTF">2019-12-17T10:58:00Z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CP-009</vt:lpwstr>
  </property>
  <property fmtid="{D5CDD505-2E9C-101B-9397-08002B2CF9AE}" pid="14" name="Last edited using">
    <vt:lpwstr>LW 7.0, Build 20190717</vt:lpwstr>
  </property>
  <property fmtid="{D5CDD505-2E9C-101B-9397-08002B2CF9AE}" pid="15" name="Created using">
    <vt:lpwstr>LW 7.0, Build 20190717</vt:lpwstr>
  </property>
</Properties>
</file>