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3B2F" w:rsidRDefault="00204C9F">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4B38A2C-66D0-4CD1-A07C-179E4EF2C0BF" style="width:450.6pt;height:320.3pt">
            <v:imagedata r:id="rId8" o:title=""/>
          </v:shape>
        </w:pict>
      </w:r>
    </w:p>
    <w:bookmarkEnd w:id="0"/>
    <w:p w:rsidR="00183B2F" w:rsidRDefault="00183B2F">
      <w:pPr>
        <w:pStyle w:val="Pagedecouverture"/>
        <w:spacing w:after="120"/>
        <w:rPr>
          <w:noProof/>
          <w:szCs w:val="24"/>
        </w:rPr>
        <w:sectPr w:rsidR="00183B2F">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rsidR="00183B2F" w:rsidRDefault="00204C9F">
      <w:pPr>
        <w:jc w:val="center"/>
        <w:rPr>
          <w:rFonts w:ascii="Times New Roman" w:hAnsi="Times New Roman" w:cs="Times New Roman"/>
          <w:noProof/>
        </w:rPr>
      </w:pPr>
      <w:r>
        <w:rPr>
          <w:rFonts w:ascii="Times New Roman" w:hAnsi="Times New Roman"/>
          <w:b/>
          <w:noProof/>
          <w:sz w:val="24"/>
        </w:rPr>
        <w:lastRenderedPageBreak/>
        <w:t>Comunicare comună către Parlamentul European și Consiliu:</w:t>
      </w:r>
      <w:r>
        <w:rPr>
          <w:rFonts w:ascii="Times New Roman" w:hAnsi="Times New Roman" w:cs="Times New Roman"/>
          <w:b/>
          <w:noProof/>
          <w:sz w:val="24"/>
          <w:szCs w:val="24"/>
        </w:rPr>
        <w:br/>
      </w:r>
      <w:r>
        <w:rPr>
          <w:rFonts w:ascii="Times New Roman" w:hAnsi="Times New Roman"/>
          <w:b/>
          <w:noProof/>
          <w:sz w:val="24"/>
        </w:rPr>
        <w:t xml:space="preserve">Uniunea Europeană, America Latină și zona Caraibilor: unirea forțelor pentru un viitor </w:t>
      </w:r>
      <w:r>
        <w:rPr>
          <w:rFonts w:ascii="Times New Roman" w:hAnsi="Times New Roman"/>
          <w:b/>
          <w:noProof/>
          <w:sz w:val="24"/>
        </w:rPr>
        <w:t>comun</w:t>
      </w:r>
    </w:p>
    <w:p w:rsidR="00183B2F" w:rsidRDefault="00183B2F">
      <w:pPr>
        <w:spacing w:after="240" w:line="240" w:lineRule="auto"/>
        <w:jc w:val="center"/>
        <w:rPr>
          <w:rFonts w:ascii="Times New Roman" w:hAnsi="Times New Roman" w:cs="Times New Roman"/>
          <w:b/>
          <w:noProof/>
          <w:sz w:val="24"/>
          <w:szCs w:val="24"/>
        </w:rPr>
      </w:pPr>
    </w:p>
    <w:p w:rsidR="00183B2F" w:rsidRDefault="00204C9F">
      <w:pPr>
        <w:spacing w:after="0" w:line="240" w:lineRule="auto"/>
        <w:jc w:val="both"/>
        <w:rPr>
          <w:rFonts w:ascii="Times New Roman" w:hAnsi="Times New Roman" w:cs="Times New Roman"/>
          <w:i/>
          <w:noProof/>
          <w:sz w:val="24"/>
          <w:szCs w:val="24"/>
        </w:rPr>
      </w:pPr>
      <w:r>
        <w:rPr>
          <w:rFonts w:ascii="Times New Roman" w:hAnsi="Times New Roman"/>
          <w:noProof/>
          <w:sz w:val="24"/>
        </w:rPr>
        <w:t>„</w:t>
      </w:r>
      <w:r>
        <w:rPr>
          <w:rFonts w:ascii="Times New Roman" w:hAnsi="Times New Roman"/>
          <w:i/>
          <w:noProof/>
          <w:sz w:val="24"/>
        </w:rPr>
        <w:t>În spațiul atlantic în sens mai larg, Uniunea va extinde cooperarea și va construi parteneriate mai strânse cu America Latină și zona Caraibilor, bazate pe interese și valori comune</w:t>
      </w:r>
      <w:r>
        <w:rPr>
          <w:rFonts w:ascii="Times New Roman" w:hAnsi="Times New Roman"/>
          <w:noProof/>
          <w:sz w:val="24"/>
        </w:rPr>
        <w:t xml:space="preserve">”. </w:t>
      </w:r>
    </w:p>
    <w:p w:rsidR="00183B2F" w:rsidRDefault="00204C9F">
      <w:pPr>
        <w:spacing w:after="0" w:line="240" w:lineRule="auto"/>
        <w:jc w:val="right"/>
        <w:rPr>
          <w:rFonts w:ascii="Times New Roman" w:hAnsi="Times New Roman" w:cs="Times New Roman"/>
          <w:noProof/>
          <w:sz w:val="24"/>
          <w:szCs w:val="24"/>
        </w:rPr>
      </w:pPr>
      <w:r>
        <w:rPr>
          <w:rFonts w:ascii="Times New Roman" w:hAnsi="Times New Roman"/>
          <w:noProof/>
          <w:sz w:val="24"/>
        </w:rPr>
        <w:t xml:space="preserve">– O strategie globală pentru politica externă și de securitate </w:t>
      </w:r>
      <w:r>
        <w:rPr>
          <w:rFonts w:ascii="Times New Roman" w:hAnsi="Times New Roman"/>
          <w:noProof/>
          <w:sz w:val="24"/>
        </w:rPr>
        <w:t>a Uniunii Europene</w:t>
      </w:r>
      <w:r>
        <w:rPr>
          <w:rStyle w:val="FootnoteReference"/>
          <w:rFonts w:ascii="Times New Roman" w:hAnsi="Times New Roman"/>
          <w:noProof/>
          <w:sz w:val="24"/>
        </w:rPr>
        <w:footnoteReference w:id="1"/>
      </w:r>
    </w:p>
    <w:p w:rsidR="00183B2F" w:rsidRDefault="00204C9F">
      <w:pPr>
        <w:spacing w:before="240" w:after="120" w:line="240" w:lineRule="auto"/>
        <w:rPr>
          <w:rFonts w:ascii="Times New Roman" w:hAnsi="Times New Roman" w:cs="Times New Roman"/>
          <w:b/>
          <w:noProof/>
          <w:sz w:val="24"/>
          <w:szCs w:val="24"/>
        </w:rPr>
      </w:pPr>
      <w:r>
        <w:rPr>
          <w:rFonts w:ascii="Times New Roman" w:hAnsi="Times New Roman"/>
          <w:b/>
          <w:noProof/>
          <w:sz w:val="24"/>
        </w:rPr>
        <w:t>1. Introducere</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noProof/>
          <w:sz w:val="24"/>
        </w:rPr>
        <w:t>Unite de istorie și ghidate de numeroase valori comune, Uniunea Europeană (UE), pe de o parte, și America Latină și zona Caraibil</w:t>
      </w:r>
      <w:bookmarkStart w:id="1" w:name="_GoBack"/>
      <w:bookmarkEnd w:id="1"/>
      <w:r>
        <w:rPr>
          <w:rFonts w:ascii="Times New Roman" w:hAnsi="Times New Roman"/>
          <w:noProof/>
          <w:sz w:val="24"/>
        </w:rPr>
        <w:t xml:space="preserve">or (ALC), pe de altă parte, au un parteneriat de succes și de lungă durată. Din 1999, UE și </w:t>
      </w:r>
      <w:r>
        <w:rPr>
          <w:rFonts w:ascii="Times New Roman" w:hAnsi="Times New Roman"/>
          <w:noProof/>
          <w:sz w:val="24"/>
        </w:rPr>
        <w:t>ALC sunt legate de un parteneriat strategic care se bazează pe un angajament față de libertățile fundamentale, de dezvoltarea durabilă și de un sistem internațional solid bazat pe reguli. De peste douăzeci de ani, acest parteneriat constituie o platformă d</w:t>
      </w:r>
      <w:r>
        <w:rPr>
          <w:rFonts w:ascii="Times New Roman" w:hAnsi="Times New Roman"/>
          <w:noProof/>
          <w:sz w:val="24"/>
        </w:rPr>
        <w:t>e cooperare reciproc avantajoasă, un motor al schimbării și un incubator de idei noi.</w:t>
      </w:r>
    </w:p>
    <w:p w:rsidR="00183B2F" w:rsidRDefault="00204C9F">
      <w:pPr>
        <w:spacing w:after="120" w:line="240" w:lineRule="auto"/>
        <w:jc w:val="both"/>
        <w:rPr>
          <w:rFonts w:ascii="Times New Roman" w:hAnsi="Times New Roman" w:cs="Times New Roman"/>
          <w:b/>
          <w:bCs/>
          <w:iCs/>
          <w:noProof/>
          <w:sz w:val="24"/>
          <w:szCs w:val="24"/>
        </w:rPr>
      </w:pPr>
      <w:r>
        <w:rPr>
          <w:rFonts w:ascii="Times New Roman" w:hAnsi="Times New Roman"/>
          <w:noProof/>
          <w:sz w:val="24"/>
        </w:rPr>
        <w:t xml:space="preserve">În ultimele decenii, </w:t>
      </w:r>
      <w:r>
        <w:rPr>
          <w:rFonts w:ascii="Times New Roman" w:hAnsi="Times New Roman"/>
          <w:b/>
          <w:noProof/>
          <w:sz w:val="24"/>
        </w:rPr>
        <w:t>UE și ALC au atins un nivel de integrare fără precedent</w:t>
      </w:r>
      <w:r>
        <w:rPr>
          <w:rFonts w:ascii="Times New Roman" w:hAnsi="Times New Roman"/>
          <w:noProof/>
          <w:sz w:val="24"/>
        </w:rPr>
        <w:t xml:space="preserve">. UE a semnat acorduri de asociere, de liber schimb sau politice și de cooperare cu 27 dintre </w:t>
      </w:r>
      <w:r>
        <w:rPr>
          <w:rFonts w:ascii="Times New Roman" w:hAnsi="Times New Roman"/>
          <w:noProof/>
          <w:sz w:val="24"/>
        </w:rPr>
        <w:t>cele 33 de țări din ALC</w:t>
      </w:r>
      <w:r>
        <w:rPr>
          <w:rStyle w:val="FootnoteReference"/>
          <w:rFonts w:ascii="Times New Roman" w:hAnsi="Times New Roman"/>
          <w:noProof/>
          <w:sz w:val="24"/>
        </w:rPr>
        <w:footnoteReference w:id="2"/>
      </w:r>
      <w:r>
        <w:rPr>
          <w:rFonts w:ascii="Times New Roman" w:hAnsi="Times New Roman"/>
          <w:noProof/>
          <w:sz w:val="24"/>
        </w:rPr>
        <w:t>. În numeroase situații, țările UE și țările ALC își aliniază poziția în cadrul Organizației Națiunilor Unite și au cooperat îndeaproape în privința Acordului de la Paris</w:t>
      </w:r>
      <w:r>
        <w:rPr>
          <w:rStyle w:val="FootnoteReference"/>
          <w:rFonts w:ascii="Times New Roman" w:hAnsi="Times New Roman"/>
          <w:noProof/>
          <w:sz w:val="24"/>
        </w:rPr>
        <w:footnoteReference w:id="3"/>
      </w:r>
      <w:r>
        <w:rPr>
          <w:rFonts w:ascii="Times New Roman" w:hAnsi="Times New Roman"/>
          <w:noProof/>
          <w:sz w:val="24"/>
        </w:rPr>
        <w:t xml:space="preserve"> și a Agendei 2030 pentru dezvoltare durabilă</w:t>
      </w:r>
      <w:r>
        <w:rPr>
          <w:rStyle w:val="FootnoteReference"/>
          <w:rFonts w:ascii="Times New Roman" w:hAnsi="Times New Roman"/>
          <w:noProof/>
          <w:sz w:val="24"/>
        </w:rPr>
        <w:footnoteReference w:id="4"/>
      </w:r>
      <w:r>
        <w:rPr>
          <w:rFonts w:ascii="Times New Roman" w:hAnsi="Times New Roman"/>
          <w:noProof/>
          <w:sz w:val="24"/>
        </w:rPr>
        <w:t xml:space="preserve">. ﻿Aproape </w:t>
      </w:r>
      <w:r>
        <w:rPr>
          <w:rFonts w:ascii="Times New Roman" w:hAnsi="Times New Roman"/>
          <w:b/>
          <w:noProof/>
          <w:sz w:val="24"/>
        </w:rPr>
        <w:t>ș</w:t>
      </w:r>
      <w:r>
        <w:rPr>
          <w:rFonts w:ascii="Times New Roman" w:hAnsi="Times New Roman"/>
          <w:b/>
          <w:noProof/>
          <w:sz w:val="24"/>
        </w:rPr>
        <w:t>ase</w:t>
      </w:r>
      <w:r>
        <w:rPr>
          <w:rFonts w:ascii="Times New Roman" w:hAnsi="Times New Roman"/>
          <w:b/>
          <w:noProof/>
          <w:sz w:val="24"/>
        </w:rPr>
        <w:t xml:space="preserve"> milioane de persoane din UE și ALC trăiesc și muncesc de cealaltă parte a Atlanticului</w:t>
      </w:r>
      <w:r>
        <w:rPr>
          <w:rStyle w:val="FootnoteReference"/>
          <w:rFonts w:ascii="Times New Roman" w:hAnsi="Times New Roman"/>
          <w:noProof/>
          <w:sz w:val="24"/>
        </w:rPr>
        <w:footnoteReference w:id="5"/>
      </w:r>
      <w:r>
        <w:rPr>
          <w:rFonts w:ascii="Times New Roman" w:hAnsi="Times New Roman"/>
          <w:noProof/>
          <w:sz w:val="24"/>
        </w:rPr>
        <w:t>, iar peste o treime din studenții din ALC care studiază în străinătate se află în UE.</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b/>
          <w:noProof/>
          <w:sz w:val="24"/>
        </w:rPr>
        <w:t xml:space="preserve">Economiile sunt strâns interconectate. </w:t>
      </w:r>
      <w:r>
        <w:rPr>
          <w:rFonts w:ascii="Times New Roman" w:hAnsi="Times New Roman"/>
          <w:noProof/>
          <w:sz w:val="24"/>
        </w:rPr>
        <w:t>UE este cel de al treilea partener comerci</w:t>
      </w:r>
      <w:r>
        <w:rPr>
          <w:rFonts w:ascii="Times New Roman" w:hAnsi="Times New Roman"/>
          <w:noProof/>
          <w:sz w:val="24"/>
        </w:rPr>
        <w:t>al al ALC ca mărime; totalul tranzacțiilor comerciale cu mărfuri a crescut de la 185,5 miliarde EUR în 2008 la 225,4 miliarde EUR în 2018, iar comerțul cu servicii s-a ridicat la aproximativ 102 miliarde EUR în 2017</w:t>
      </w:r>
      <w:r>
        <w:rPr>
          <w:rFonts w:ascii="Times New Roman" w:hAnsi="Times New Roman"/>
          <w:b/>
          <w:noProof/>
          <w:sz w:val="24"/>
        </w:rPr>
        <w:t xml:space="preserve">. </w:t>
      </w:r>
      <w:r>
        <w:rPr>
          <w:rFonts w:ascii="Times New Roman" w:hAnsi="Times New Roman"/>
          <w:noProof/>
          <w:sz w:val="24"/>
        </w:rPr>
        <w:t>UE este cel mai mare investitor în ALC,</w:t>
      </w:r>
      <w:r>
        <w:rPr>
          <w:rFonts w:ascii="Times New Roman" w:hAnsi="Times New Roman"/>
          <w:noProof/>
          <w:sz w:val="24"/>
        </w:rPr>
        <w:t xml:space="preserve"> cu un stoc de</w:t>
      </w:r>
      <w:r>
        <w:rPr>
          <w:rFonts w:ascii="Times New Roman" w:hAnsi="Times New Roman"/>
          <w:b/>
          <w:noProof/>
          <w:sz w:val="24"/>
        </w:rPr>
        <w:t xml:space="preserve"> </w:t>
      </w:r>
      <w:r>
        <w:rPr>
          <w:rFonts w:ascii="Times New Roman" w:hAnsi="Times New Roman"/>
          <w:noProof/>
          <w:sz w:val="24"/>
        </w:rPr>
        <w:t>investiții străine directe (ISD) în valoare de 784,6 miliarde EUR în 2017, în timp ce stocul investițiilor străine directe ale ALC în UE a crescut substanțial în ultimii ani, ajungând la 273 de miliarde EUR în 2017</w:t>
      </w:r>
      <w:r>
        <w:rPr>
          <w:rStyle w:val="FootnoteReference"/>
          <w:rFonts w:ascii="Times New Roman" w:hAnsi="Times New Roman"/>
          <w:noProof/>
          <w:sz w:val="24"/>
        </w:rPr>
        <w:footnoteReference w:id="6"/>
      </w:r>
      <w:r>
        <w:rPr>
          <w:rFonts w:ascii="Times New Roman" w:hAnsi="Times New Roman"/>
          <w:noProof/>
          <w:sz w:val="24"/>
        </w:rPr>
        <w:t>.</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b/>
          <w:noProof/>
          <w:sz w:val="24"/>
        </w:rPr>
        <w:t>UE este cel mai importan</w:t>
      </w:r>
      <w:r>
        <w:rPr>
          <w:rFonts w:ascii="Times New Roman" w:hAnsi="Times New Roman"/>
          <w:b/>
          <w:noProof/>
          <w:sz w:val="24"/>
        </w:rPr>
        <w:t xml:space="preserve">t furnizor al LAC în materie de cooperare pentru dezvoltare, </w:t>
      </w:r>
      <w:r>
        <w:rPr>
          <w:rFonts w:ascii="Times New Roman" w:hAnsi="Times New Roman"/>
          <w:noProof/>
          <w:sz w:val="24"/>
        </w:rPr>
        <w:t>cu 3,6 miliarde EUR sub formă de granturi pentru programe bilaterale și regionale între 2014 și 2020</w:t>
      </w:r>
      <w:r>
        <w:rPr>
          <w:rStyle w:val="FootnoteReference"/>
          <w:rFonts w:ascii="Times New Roman" w:hAnsi="Times New Roman"/>
          <w:noProof/>
          <w:sz w:val="24"/>
        </w:rPr>
        <w:footnoteReference w:id="7"/>
      </w:r>
      <w:r>
        <w:rPr>
          <w:rFonts w:ascii="Times New Roman" w:hAnsi="Times New Roman"/>
          <w:noProof/>
          <w:sz w:val="24"/>
        </w:rPr>
        <w:t xml:space="preserve"> și cu peste 1,2 miliarde EUR sub formă de asistență umanitară acordată, în ultimii </w:t>
      </w:r>
      <w:r>
        <w:rPr>
          <w:rFonts w:ascii="Times New Roman" w:hAnsi="Times New Roman"/>
          <w:noProof/>
          <w:sz w:val="24"/>
        </w:rPr>
        <w:lastRenderedPageBreak/>
        <w:t>20 de ani,</w:t>
      </w:r>
      <w:r>
        <w:rPr>
          <w:rFonts w:ascii="Times New Roman" w:hAnsi="Times New Roman"/>
          <w:noProof/>
          <w:sz w:val="24"/>
        </w:rPr>
        <w:t xml:space="preserve"> victimelor crizelor provocate de om și ale dezastrelor naturale. Banca Europeană de Investiții (BEI) investește în realizarea obiectivelor de dezvoltare durabilă în ALC, punând accentul pe atenuarea schimbărilor climatice și adaptarea la acestea, împrumut</w:t>
      </w:r>
      <w:r>
        <w:rPr>
          <w:rFonts w:ascii="Times New Roman" w:hAnsi="Times New Roman"/>
          <w:noProof/>
          <w:sz w:val="24"/>
        </w:rPr>
        <w:t>urile acordate însumând 3,4 miliarde EUR în perioada 2014-2018</w:t>
      </w:r>
      <w:r>
        <w:rPr>
          <w:rStyle w:val="FootnoteReference"/>
          <w:rFonts w:ascii="Times New Roman" w:hAnsi="Times New Roman"/>
          <w:noProof/>
          <w:sz w:val="24"/>
        </w:rPr>
        <w:footnoteReference w:id="8"/>
      </w:r>
      <w:r>
        <w:rPr>
          <w:rFonts w:ascii="Times New Roman" w:hAnsi="Times New Roman"/>
          <w:noProof/>
          <w:sz w:val="24"/>
        </w:rPr>
        <w:t>.</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acest context, prezenta comunicare </w:t>
      </w:r>
      <w:r>
        <w:rPr>
          <w:rFonts w:ascii="Times New Roman" w:hAnsi="Times New Roman"/>
          <w:b/>
          <w:noProof/>
          <w:sz w:val="24"/>
        </w:rPr>
        <w:t>propune consolidarea parteneriatului politic al UE cu ALC</w:t>
      </w:r>
      <w:r>
        <w:rPr>
          <w:rFonts w:ascii="Times New Roman" w:hAnsi="Times New Roman"/>
          <w:noProof/>
          <w:sz w:val="24"/>
        </w:rPr>
        <w:t xml:space="preserve">, prin stabilirea unei </w:t>
      </w:r>
      <w:r>
        <w:rPr>
          <w:rFonts w:ascii="Times New Roman" w:hAnsi="Times New Roman"/>
          <w:b/>
          <w:noProof/>
          <w:sz w:val="24"/>
        </w:rPr>
        <w:t>viziuni pentru un parteneriat biregional mai solid și modernizat</w:t>
      </w:r>
      <w:r>
        <w:rPr>
          <w:rFonts w:ascii="Times New Roman" w:hAnsi="Times New Roman"/>
          <w:noProof/>
          <w:sz w:val="24"/>
        </w:rPr>
        <w:t>, în cont</w:t>
      </w:r>
      <w:r>
        <w:rPr>
          <w:rFonts w:ascii="Times New Roman" w:hAnsi="Times New Roman"/>
          <w:noProof/>
          <w:sz w:val="24"/>
        </w:rPr>
        <w:t>extul unor realități mondiale și regionale în schimbare. Aceasta urmărește să ofere o direcție strategică acțiunii externe a UE față de ALC, în conformitate cu principiile stabilite în Strategia globală pentru politica externă și de securitate a Uniunii Eu</w:t>
      </w:r>
      <w:r>
        <w:rPr>
          <w:rFonts w:ascii="Times New Roman" w:hAnsi="Times New Roman"/>
          <w:noProof/>
          <w:sz w:val="24"/>
        </w:rPr>
        <w:t>ropene, Consensul european privind dezvoltarea</w:t>
      </w:r>
      <w:r>
        <w:rPr>
          <w:rStyle w:val="FootnoteReference"/>
          <w:rFonts w:ascii="Times New Roman" w:hAnsi="Times New Roman"/>
          <w:noProof/>
          <w:sz w:val="24"/>
        </w:rPr>
        <w:footnoteReference w:id="9"/>
      </w:r>
      <w:r>
        <w:rPr>
          <w:rFonts w:ascii="Times New Roman" w:hAnsi="Times New Roman"/>
          <w:noProof/>
          <w:sz w:val="24"/>
        </w:rPr>
        <w:t>, Agenda 2030 pentru dezvoltare durabilă, comunicarea „Comerț pentru toți” și directivele de negociere pentru un acord de parteneriat între UE și grupul statelor din Africa, zona Caraibilor și Pacific</w:t>
      </w:r>
      <w:r>
        <w:rPr>
          <w:rStyle w:val="FootnoteReference"/>
          <w:rFonts w:ascii="Times New Roman" w:hAnsi="Times New Roman"/>
          <w:noProof/>
          <w:sz w:val="24"/>
        </w:rPr>
        <w:footnoteReference w:id="10"/>
      </w:r>
      <w:r>
        <w:rPr>
          <w:rFonts w:ascii="Times New Roman" w:hAnsi="Times New Roman"/>
          <w:noProof/>
          <w:sz w:val="24"/>
        </w:rPr>
        <w:t>.</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noProof/>
          <w:sz w:val="24"/>
        </w:rPr>
        <w:t>Actual</w:t>
      </w:r>
      <w:r>
        <w:rPr>
          <w:rFonts w:ascii="Times New Roman" w:hAnsi="Times New Roman"/>
          <w:noProof/>
          <w:sz w:val="24"/>
        </w:rPr>
        <w:t xml:space="preserve">ul </w:t>
      </w:r>
      <w:r>
        <w:rPr>
          <w:rFonts w:ascii="Times New Roman" w:hAnsi="Times New Roman"/>
          <w:b/>
          <w:noProof/>
          <w:sz w:val="24"/>
        </w:rPr>
        <w:t>mediu geopolitic, aflat în evoluție rapidă, aduce noi provocări și perspective pentru parteneriat</w:t>
      </w:r>
      <w:r>
        <w:rPr>
          <w:rFonts w:ascii="Times New Roman" w:hAnsi="Times New Roman"/>
          <w:noProof/>
          <w:sz w:val="24"/>
        </w:rPr>
        <w:t xml:space="preserve">, un argument suplimentar în favoarea unei cooperări regionale și bilaterale mai eficace, </w:t>
      </w:r>
      <w:r>
        <w:rPr>
          <w:rFonts w:ascii="Times New Roman" w:hAnsi="Times New Roman"/>
          <w:b/>
          <w:noProof/>
          <w:sz w:val="24"/>
        </w:rPr>
        <w:t>a unui parteneriat modernizat axat pe comerț, investiții și cooper</w:t>
      </w:r>
      <w:r>
        <w:rPr>
          <w:rFonts w:ascii="Times New Roman" w:hAnsi="Times New Roman"/>
          <w:b/>
          <w:noProof/>
          <w:sz w:val="24"/>
        </w:rPr>
        <w:t>are sectorială</w:t>
      </w:r>
      <w:r>
        <w:rPr>
          <w:rFonts w:ascii="Times New Roman" w:hAnsi="Times New Roman"/>
          <w:noProof/>
          <w:sz w:val="24"/>
        </w:rPr>
        <w:t>. Aceste schimbări de ordin general produse în ambele regiuni necesită o abordare ambițioasă și inovatoare, care să depășească paradigma tradițională a relației dintre donator și beneficiar și să respecte spiritul Agendei 2030 pentru dezvolta</w:t>
      </w:r>
      <w:r>
        <w:rPr>
          <w:rFonts w:ascii="Times New Roman" w:hAnsi="Times New Roman"/>
          <w:noProof/>
          <w:sz w:val="24"/>
        </w:rPr>
        <w:t>re durabilă.</w:t>
      </w:r>
      <w:r>
        <w:rPr>
          <w:rFonts w:ascii="Times New Roman" w:hAnsi="Times New Roman"/>
          <w:b/>
          <w:noProof/>
          <w:sz w:val="24"/>
        </w:rPr>
        <w:t xml:space="preserve"> </w:t>
      </w:r>
      <w:r>
        <w:rPr>
          <w:rFonts w:ascii="Times New Roman" w:hAnsi="Times New Roman"/>
          <w:noProof/>
          <w:sz w:val="24"/>
        </w:rPr>
        <w:t>Din 2000, comerțul China-ALC a crescut de la 10 miliarde USD la 244 de miliarde USD în 2017. China rivalizează cu UE pentru locul doi în rândul partenerilor comerciali ai Americii Latine și, în sens mai larg, a devenit un partener de o importa</w:t>
      </w:r>
      <w:r>
        <w:rPr>
          <w:rFonts w:ascii="Times New Roman" w:hAnsi="Times New Roman"/>
          <w:noProof/>
          <w:sz w:val="24"/>
        </w:rPr>
        <w:t>nță tot mai mare pentru regiune. Rolul și influența tradiționale ale Statelor Unite ale Americii în regiune au suferit, de asemenea, modificări de-a lungul timpului.</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noProof/>
          <w:sz w:val="24"/>
        </w:rPr>
        <w:t>În același timp, ALC se confruntă cu noi dinamici, cum ar fi necesitatea de a răspunde cer</w:t>
      </w:r>
      <w:r>
        <w:rPr>
          <w:rFonts w:ascii="Times New Roman" w:hAnsi="Times New Roman"/>
          <w:noProof/>
          <w:sz w:val="24"/>
        </w:rPr>
        <w:t>erilor unei economii mondiale digitale și integrate, presiunea de a proteja mediul și de a promova creșterea, asigurând în același timp rezultate sociale echitabile, sau preocuparea de a asigura continuarea unei tendințe pe termen lung de consolidare democ</w:t>
      </w:r>
      <w:r>
        <w:rPr>
          <w:rFonts w:ascii="Times New Roman" w:hAnsi="Times New Roman"/>
          <w:noProof/>
          <w:sz w:val="24"/>
        </w:rPr>
        <w:t xml:space="preserve">ratică și de dezvoltare durabilă. </w:t>
      </w:r>
    </w:p>
    <w:p w:rsidR="00183B2F" w:rsidRDefault="00204C9F">
      <w:pPr>
        <w:spacing w:after="120" w:line="240" w:lineRule="auto"/>
        <w:jc w:val="both"/>
        <w:rPr>
          <w:rFonts w:ascii="Times New Roman" w:hAnsi="Times New Roman" w:cs="Times New Roman"/>
          <w:iCs/>
          <w:noProof/>
          <w:sz w:val="24"/>
          <w:szCs w:val="24"/>
        </w:rPr>
      </w:pPr>
      <w:r>
        <w:rPr>
          <w:rFonts w:ascii="Times New Roman" w:hAnsi="Times New Roman"/>
          <w:noProof/>
          <w:sz w:val="24"/>
        </w:rPr>
        <w:t>Având în vedere modelul său de integrare economică regională și de conectivitate, UE poate fi un partener important pentru ALC în abordarea acestor provocări. UE își acordă pe deplin sprijinul diplomatic, umanitar și econ</w:t>
      </w:r>
      <w:r>
        <w:rPr>
          <w:rFonts w:ascii="Times New Roman" w:hAnsi="Times New Roman"/>
          <w:noProof/>
          <w:sz w:val="24"/>
        </w:rPr>
        <w:t>omic pentru soluționarea crizelor în desfășurare cu care se confruntă unele dintre țările ALC și va promova în continuare principiile democratice și respectarea drepturilor omului în relațiile sale cu ALC. În sens mai larg, UE și ALC ar trebui să colaborez</w:t>
      </w:r>
      <w:r>
        <w:rPr>
          <w:rFonts w:ascii="Times New Roman" w:hAnsi="Times New Roman"/>
          <w:noProof/>
          <w:sz w:val="24"/>
        </w:rPr>
        <w:t>e pentru a menține multilateralismul și o ordine mondială bazată pe norme, unindu-și forțele pentru a pune în aplicare agende ambițioase.</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Acest parteneriat ar trebui să se concentreze pe </w:t>
      </w:r>
      <w:r>
        <w:rPr>
          <w:rFonts w:ascii="Times New Roman" w:hAnsi="Times New Roman"/>
          <w:b/>
          <w:noProof/>
          <w:sz w:val="24"/>
        </w:rPr>
        <w:t xml:space="preserve">patru priorități care se consolidează reciproc: prosperitate, </w:t>
      </w:r>
      <w:r>
        <w:rPr>
          <w:rFonts w:ascii="Times New Roman" w:hAnsi="Times New Roman"/>
          <w:b/>
          <w:noProof/>
          <w:sz w:val="24"/>
        </w:rPr>
        <w:t>democrație, reziliență și guvernanță mondială eficace</w:t>
      </w:r>
      <w:r>
        <w:rPr>
          <w:rFonts w:ascii="Times New Roman" w:hAnsi="Times New Roman"/>
          <w:noProof/>
          <w:sz w:val="24"/>
        </w:rPr>
        <w:t xml:space="preserve">. Pentru fiecare dintre aceste priorități, comunicarea propune o serie de domenii și inițiative concrete pentru promovarea acestei agende, puse în aplicare prin intermediul unui angajament mai strategic </w:t>
      </w:r>
      <w:r>
        <w:rPr>
          <w:rFonts w:ascii="Times New Roman" w:hAnsi="Times New Roman"/>
          <w:noProof/>
          <w:sz w:val="24"/>
        </w:rPr>
        <w:t>ș</w:t>
      </w:r>
      <w:r>
        <w:rPr>
          <w:rFonts w:ascii="Times New Roman" w:hAnsi="Times New Roman"/>
          <w:noProof/>
          <w:sz w:val="24"/>
        </w:rPr>
        <w:t>i mai bine direcționat al UE în regiune.</w:t>
      </w:r>
    </w:p>
    <w:p w:rsidR="00183B2F" w:rsidRDefault="00183B2F">
      <w:pPr>
        <w:keepNext/>
        <w:keepLines/>
        <w:spacing w:after="120" w:line="240" w:lineRule="auto"/>
        <w:jc w:val="both"/>
        <w:rPr>
          <w:rFonts w:ascii="Times New Roman" w:hAnsi="Times New Roman" w:cs="Times New Roman"/>
          <w:b/>
          <w:noProof/>
          <w:sz w:val="24"/>
          <w:szCs w:val="24"/>
        </w:rPr>
      </w:pPr>
    </w:p>
    <w:p w:rsidR="00183B2F" w:rsidRDefault="00204C9F">
      <w:pPr>
        <w:keepNext/>
        <w:keepLines/>
        <w:spacing w:after="120" w:line="240" w:lineRule="auto"/>
        <w:jc w:val="both"/>
        <w:rPr>
          <w:rFonts w:ascii="Times New Roman" w:hAnsi="Times New Roman" w:cs="Times New Roman"/>
          <w:b/>
          <w:noProof/>
          <w:sz w:val="24"/>
          <w:szCs w:val="24"/>
        </w:rPr>
      </w:pPr>
      <w:r>
        <w:rPr>
          <w:rFonts w:ascii="Times New Roman" w:hAnsi="Times New Roman"/>
          <w:b/>
          <w:noProof/>
          <w:sz w:val="24"/>
        </w:rPr>
        <w:t>2. Apărarea valorilor și a intereselor noastre comune</w:t>
      </w:r>
    </w:p>
    <w:p w:rsidR="00183B2F" w:rsidRDefault="00204C9F">
      <w:pPr>
        <w:keepNext/>
        <w:keepLines/>
        <w:spacing w:after="120" w:line="240" w:lineRule="auto"/>
        <w:jc w:val="both"/>
        <w:rPr>
          <w:rFonts w:ascii="Times New Roman" w:hAnsi="Times New Roman" w:cs="Times New Roman"/>
          <w:b/>
          <w:noProof/>
          <w:sz w:val="24"/>
          <w:szCs w:val="24"/>
        </w:rPr>
      </w:pPr>
      <w:r>
        <w:rPr>
          <w:rFonts w:ascii="Times New Roman" w:hAnsi="Times New Roman"/>
          <w:b/>
          <w:noProof/>
          <w:sz w:val="24"/>
        </w:rPr>
        <w:t>2.1 Asocierea pentru prosperitate</w:t>
      </w:r>
    </w:p>
    <w:p w:rsidR="00183B2F" w:rsidRDefault="00204C9F">
      <w:pPr>
        <w:spacing w:after="120" w:line="240" w:lineRule="auto"/>
        <w:contextualSpacing/>
        <w:jc w:val="both"/>
        <w:rPr>
          <w:rFonts w:ascii="Times New Roman" w:hAnsi="Times New Roman" w:cs="Times New Roman"/>
          <w:noProof/>
          <w:sz w:val="24"/>
          <w:szCs w:val="24"/>
        </w:rPr>
      </w:pPr>
      <w:r>
        <w:rPr>
          <w:rFonts w:ascii="Times New Roman" w:hAnsi="Times New Roman"/>
          <w:noProof/>
          <w:sz w:val="24"/>
        </w:rPr>
        <w:t xml:space="preserve">Pentru </w:t>
      </w:r>
      <w:r>
        <w:rPr>
          <w:rFonts w:ascii="Times New Roman" w:hAnsi="Times New Roman"/>
          <w:b/>
          <w:noProof/>
          <w:sz w:val="24"/>
        </w:rPr>
        <w:t>a revitaliza economiile și a sprijini creșterea economică</w:t>
      </w:r>
      <w:r>
        <w:rPr>
          <w:rFonts w:ascii="Times New Roman" w:hAnsi="Times New Roman"/>
          <w:noProof/>
          <w:sz w:val="24"/>
        </w:rPr>
        <w:t xml:space="preserve">, vor fi necesare acțiuni cu scopuri precise și hotărâte. UE </w:t>
      </w:r>
      <w:r>
        <w:rPr>
          <w:rFonts w:ascii="Times New Roman" w:hAnsi="Times New Roman"/>
          <w:noProof/>
          <w:sz w:val="24"/>
        </w:rPr>
        <w:t xml:space="preserve">ar trebui să colaboreze în continuare cu LAC în ceea ce privește eforturile depuse de aceste țări pentru a răspunde provocărilor macroeconomice persistente din regiune, diversificând și modernizând, în același timp, diferitele modele economice pentru a le </w:t>
      </w:r>
      <w:r>
        <w:rPr>
          <w:rFonts w:ascii="Times New Roman" w:hAnsi="Times New Roman"/>
          <w:noProof/>
          <w:sz w:val="24"/>
        </w:rPr>
        <w:t xml:space="preserve">adapta la globalizare. Pentru ca rezultatele obținute să devină durabile, trebuie, de asemenea, să ne unim forțele pentru </w:t>
      </w:r>
      <w:r>
        <w:rPr>
          <w:rFonts w:ascii="Times New Roman" w:hAnsi="Times New Roman"/>
          <w:b/>
          <w:noProof/>
          <w:sz w:val="24"/>
        </w:rPr>
        <w:t>a</w:t>
      </w:r>
      <w:r>
        <w:rPr>
          <w:rFonts w:ascii="Times New Roman" w:hAnsi="Times New Roman"/>
          <w:noProof/>
          <w:sz w:val="24"/>
        </w:rPr>
        <w:t xml:space="preserve"> </w:t>
      </w:r>
      <w:r>
        <w:rPr>
          <w:rFonts w:ascii="Times New Roman" w:hAnsi="Times New Roman"/>
          <w:b/>
          <w:noProof/>
          <w:sz w:val="24"/>
        </w:rPr>
        <w:t>reduce inegalitățile socioeconomice</w:t>
      </w:r>
      <w:r>
        <w:rPr>
          <w:rFonts w:ascii="Times New Roman" w:hAnsi="Times New Roman"/>
          <w:noProof/>
          <w:sz w:val="24"/>
        </w:rPr>
        <w:t>, creând locuri de muncă decente, luând măsuri menite să asigure faptul că globalizarea oferă tut</w:t>
      </w:r>
      <w:r>
        <w:rPr>
          <w:rFonts w:ascii="Times New Roman" w:hAnsi="Times New Roman"/>
          <w:noProof/>
          <w:sz w:val="24"/>
        </w:rPr>
        <w:t xml:space="preserve">uror beneficii și realizând </w:t>
      </w:r>
      <w:r>
        <w:rPr>
          <w:rFonts w:ascii="Times New Roman" w:hAnsi="Times New Roman"/>
          <w:b/>
          <w:noProof/>
          <w:sz w:val="24"/>
        </w:rPr>
        <w:t>tranziția către o economie verde și circulară</w:t>
      </w:r>
      <w:r>
        <w:rPr>
          <w:rFonts w:ascii="Times New Roman" w:hAnsi="Times New Roman"/>
          <w:noProof/>
          <w:sz w:val="24"/>
        </w:rPr>
        <w:t>.</w:t>
      </w:r>
    </w:p>
    <w:p w:rsidR="00183B2F" w:rsidRDefault="00183B2F">
      <w:pPr>
        <w:spacing w:after="120" w:line="240" w:lineRule="auto"/>
        <w:contextualSpacing/>
        <w:jc w:val="both"/>
        <w:rPr>
          <w:rFonts w:ascii="Times New Roman" w:hAnsi="Times New Roman" w:cs="Times New Roman"/>
          <w:noProof/>
          <w:sz w:val="24"/>
          <w:szCs w:val="24"/>
        </w:rPr>
      </w:pP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noProof/>
          <w:sz w:val="24"/>
        </w:rPr>
        <w:t>Conform acestor principii, UE ar trebui să își intensifice angajamentul cu partenerii din ALC pentru:</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b/>
          <w:noProof/>
          <w:sz w:val="24"/>
          <w:u w:val="single"/>
        </w:rPr>
        <w:t>Facilitarea comerțului și a investițiilor interregionale și intraregionale.</w:t>
      </w:r>
      <w:r>
        <w:rPr>
          <w:rFonts w:ascii="Times New Roman" w:hAnsi="Times New Roman"/>
          <w:b/>
          <w:noProof/>
          <w:sz w:val="24"/>
        </w:rPr>
        <w:t xml:space="preserve"> </w:t>
      </w:r>
      <w:r>
        <w:rPr>
          <w:rFonts w:ascii="Times New Roman" w:hAnsi="Times New Roman"/>
          <w:noProof/>
          <w:sz w:val="24"/>
        </w:rPr>
        <w:t>Ca</w:t>
      </w:r>
      <w:r>
        <w:rPr>
          <w:rFonts w:ascii="Times New Roman" w:hAnsi="Times New Roman"/>
          <w:noProof/>
          <w:sz w:val="24"/>
        </w:rPr>
        <w:t xml:space="preserve"> o chestiune prioritară, UE ar trebui să coopereze pentru a finaliza negocierile, pentru a asigura ratificări rapide și pentru a pune în aplicare pe deplin rețeaua de </w:t>
      </w:r>
      <w:r>
        <w:rPr>
          <w:rFonts w:ascii="Times New Roman" w:hAnsi="Times New Roman"/>
          <w:b/>
          <w:noProof/>
          <w:sz w:val="24"/>
        </w:rPr>
        <w:t>acorduri de asociere și de parteneriat comercial și economic</w:t>
      </w:r>
      <w:r>
        <w:rPr>
          <w:rFonts w:ascii="Times New Roman" w:hAnsi="Times New Roman"/>
          <w:noProof/>
          <w:sz w:val="24"/>
        </w:rPr>
        <w:t>. Trebuie parcurși pașii nece</w:t>
      </w:r>
      <w:r>
        <w:rPr>
          <w:rFonts w:ascii="Times New Roman" w:hAnsi="Times New Roman"/>
          <w:noProof/>
          <w:sz w:val="24"/>
        </w:rPr>
        <w:t>sari pentru îmbunătățirea mediului de afaceri și de investiții în regiune. Ar trebui exploatate oportunitățile pe care le oferă acordurile: achiziții publice mai eficace, acces mai bun pe piață, inovare și competitivitate, comerț intraregional și integrare</w:t>
      </w:r>
      <w:r>
        <w:rPr>
          <w:rFonts w:ascii="Times New Roman" w:hAnsi="Times New Roman"/>
          <w:noProof/>
          <w:sz w:val="24"/>
        </w:rPr>
        <w:t>a în lanțurile mondiale de aprovizionare. Protecția eficace și echilibrată a drepturilor de proprietate intelectuală sporește oportunitățile de cooperare în domeniul cercetării și stimulează competitivitatea și inovarea. În același timp, acordurile comerci</w:t>
      </w:r>
      <w:r>
        <w:rPr>
          <w:rFonts w:ascii="Times New Roman" w:hAnsi="Times New Roman"/>
          <w:noProof/>
          <w:sz w:val="24"/>
        </w:rPr>
        <w:t xml:space="preserve">ale ar trebui să promoveze în continuare </w:t>
      </w:r>
      <w:r>
        <w:rPr>
          <w:rFonts w:ascii="Times New Roman" w:hAnsi="Times New Roman"/>
          <w:b/>
          <w:noProof/>
          <w:sz w:val="24"/>
        </w:rPr>
        <w:t>dezvoltarea durabilă, drepturile omului și buna guvernanță</w:t>
      </w:r>
      <w:r>
        <w:rPr>
          <w:rFonts w:ascii="Times New Roman" w:hAnsi="Times New Roman"/>
          <w:noProof/>
          <w:sz w:val="24"/>
        </w:rPr>
        <w:t>: UE ar trebui să colaboreze cu ALC pentru a consolida punerea în aplicare a dispozițiilor sociale, de muncă și de mediu prevăzute în acordurile existente, î</w:t>
      </w:r>
      <w:r>
        <w:rPr>
          <w:rFonts w:ascii="Times New Roman" w:hAnsi="Times New Roman"/>
          <w:noProof/>
          <w:sz w:val="24"/>
        </w:rPr>
        <w:t xml:space="preserve">n conformitate cu angajamentul lor comun față de Agenda 2030 pentru dezvoltare durabilă, și să promoveze gestionarea responsabilă a lanțurilor mondiale de aprovizionare. </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noProof/>
          <w:sz w:val="24"/>
        </w:rPr>
        <w:t>Pentru a crea un context mai bun pentru continuarea agendei comerciale și de investiț</w:t>
      </w:r>
      <w:r>
        <w:rPr>
          <w:rFonts w:ascii="Times New Roman" w:hAnsi="Times New Roman"/>
          <w:noProof/>
          <w:sz w:val="24"/>
        </w:rPr>
        <w:t xml:space="preserve">ii UE­ALC, UE și ALC ar trebui să promoveze împreună </w:t>
      </w:r>
      <w:r>
        <w:rPr>
          <w:rFonts w:ascii="Times New Roman" w:hAnsi="Times New Roman"/>
          <w:b/>
          <w:noProof/>
          <w:sz w:val="24"/>
        </w:rPr>
        <w:t>o mai mare transparență</w:t>
      </w:r>
      <w:r>
        <w:rPr>
          <w:rFonts w:ascii="Times New Roman" w:hAnsi="Times New Roman"/>
          <w:noProof/>
          <w:sz w:val="24"/>
        </w:rPr>
        <w:t>, în special în cadrul negocierilor privind acordurile comerciale noi sau revizuite, precum și prin încurajarea participării societății civile la punerea în aplicare a acordurilor.</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noProof/>
          <w:sz w:val="24"/>
        </w:rPr>
        <w:t>Acordurile ar trebui să servească, de asemenea, drept instrument de promovare a convergenței reglementărilor privind</w:t>
      </w:r>
      <w:r>
        <w:rPr>
          <w:rFonts w:ascii="Times New Roman" w:hAnsi="Times New Roman"/>
          <w:b/>
          <w:noProof/>
          <w:sz w:val="24"/>
        </w:rPr>
        <w:t xml:space="preserve"> aspectele sanitare și fitosanitare</w:t>
      </w:r>
      <w:r>
        <w:rPr>
          <w:rFonts w:ascii="Times New Roman" w:hAnsi="Times New Roman"/>
          <w:noProof/>
          <w:sz w:val="24"/>
        </w:rPr>
        <w:t>, pentru a facilita schimbul de mărfuri între ALC și UE și pentru a favoriza standarde ridicate de sigur</w:t>
      </w:r>
      <w:r>
        <w:rPr>
          <w:rFonts w:ascii="Times New Roman" w:hAnsi="Times New Roman"/>
          <w:noProof/>
          <w:sz w:val="24"/>
        </w:rPr>
        <w:t xml:space="preserve">anță alimentară și de sănătate a animalelor și plantelor. În ceea ce privește combaterea </w:t>
      </w:r>
      <w:r>
        <w:rPr>
          <w:rFonts w:ascii="Times New Roman" w:hAnsi="Times New Roman"/>
          <w:b/>
          <w:noProof/>
          <w:sz w:val="24"/>
        </w:rPr>
        <w:t>rezistenței la antimicrobiene (RAM)</w:t>
      </w:r>
      <w:r>
        <w:rPr>
          <w:rFonts w:ascii="Times New Roman" w:hAnsi="Times New Roman"/>
          <w:noProof/>
          <w:sz w:val="24"/>
        </w:rPr>
        <w:t xml:space="preserve"> printr-o abordare de tip „O singură sănătate”, activitățile în curs vor ajuta ALC să elaboreze și să pună în aplicare planurile naț</w:t>
      </w:r>
      <w:r>
        <w:rPr>
          <w:rFonts w:ascii="Times New Roman" w:hAnsi="Times New Roman"/>
          <w:noProof/>
          <w:sz w:val="24"/>
        </w:rPr>
        <w:t>ionale de acțiune „O singură sănătate” în domeniul RAM.</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UE ar trebui să sprijine eforturile de integrare în cadrul ALC pentru a stimula </w:t>
      </w:r>
      <w:r>
        <w:rPr>
          <w:rFonts w:ascii="Times New Roman" w:hAnsi="Times New Roman"/>
          <w:b/>
          <w:noProof/>
          <w:sz w:val="24"/>
        </w:rPr>
        <w:t>comerțul intraregional</w:t>
      </w:r>
      <w:r>
        <w:rPr>
          <w:rFonts w:ascii="Times New Roman" w:hAnsi="Times New Roman"/>
          <w:noProof/>
          <w:sz w:val="24"/>
        </w:rPr>
        <w:t xml:space="preserve"> și a facilita investițiile, cum ar fi Alianța Pacificului, inclusiv prin împărtășirea experienței</w:t>
      </w:r>
      <w:r>
        <w:rPr>
          <w:rFonts w:ascii="Times New Roman" w:hAnsi="Times New Roman"/>
          <w:noProof/>
          <w:sz w:val="24"/>
        </w:rPr>
        <w:t xml:space="preserve"> sale privind abordarea barierelor netarifare din calea comerțului și prin promovarea convergenței și a armonizării reglementărilor. Ar trebui să se depună eforturi în continuare pentru reformarea sistemului de soluționare a litigiilor dintre investitori ș</w:t>
      </w:r>
      <w:r>
        <w:rPr>
          <w:rFonts w:ascii="Times New Roman" w:hAnsi="Times New Roman"/>
          <w:noProof/>
          <w:sz w:val="24"/>
        </w:rPr>
        <w:t>i stat în cadrul procesului Comisiei Organizației Națiunilor Unite pentru Dreptul Comercial Internațional în vederea înființării unui tribunal multilateral permanent pentru investiții. De asemenea, UE este deschisă să ia în considerare posibilitatea închei</w:t>
      </w:r>
      <w:r>
        <w:rPr>
          <w:rFonts w:ascii="Times New Roman" w:hAnsi="Times New Roman"/>
          <w:noProof/>
          <w:sz w:val="24"/>
        </w:rPr>
        <w:t>erii unor acorduri de protecție a investițiilor cu parteneri-cheie. UE ar trebui să încurajeze ratificarea și punerea în aplicare a Acordului Organizației Mondiale a Comerțului privind facilitarea comerțului, ca motor al comerțului transfrontalier. De asem</w:t>
      </w:r>
      <w:r>
        <w:rPr>
          <w:rFonts w:ascii="Times New Roman" w:hAnsi="Times New Roman"/>
          <w:noProof/>
          <w:sz w:val="24"/>
        </w:rPr>
        <w:t>enea, UE ar trebui să încurajeze aderarea partenerilor la Acordul privind achizițiile publice.</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b/>
          <w:noProof/>
          <w:sz w:val="24"/>
          <w:u w:val="single"/>
        </w:rPr>
        <w:t>Promovarea tranziției către o economie verde</w:t>
      </w:r>
      <w:r>
        <w:rPr>
          <w:rFonts w:ascii="Times New Roman" w:hAnsi="Times New Roman"/>
          <w:b/>
          <w:noProof/>
          <w:sz w:val="24"/>
        </w:rPr>
        <w:t>.</w:t>
      </w:r>
      <w:r>
        <w:rPr>
          <w:rFonts w:ascii="Times New Roman" w:hAnsi="Times New Roman"/>
          <w:noProof/>
          <w:sz w:val="24"/>
        </w:rPr>
        <w:t xml:space="preserve"> Ambele regiuni ar trebui să deschidă calea spre o producție și un consum mai durabile. Cooperarea și învățarea reci</w:t>
      </w:r>
      <w:r>
        <w:rPr>
          <w:rFonts w:ascii="Times New Roman" w:hAnsi="Times New Roman"/>
          <w:noProof/>
          <w:sz w:val="24"/>
        </w:rPr>
        <w:t>procă în ceea ce privește energia din surse regenerabile, eficiența resurselor și a energiei și economia circulară sunt deosebit de promițătoare. Capacitățile UE în materie de cercetare, tehnologie și expertiză, inclusiv în ceea ce privește exploatarea fin</w:t>
      </w:r>
      <w:r>
        <w:rPr>
          <w:rFonts w:ascii="Times New Roman" w:hAnsi="Times New Roman"/>
          <w:noProof/>
          <w:sz w:val="24"/>
        </w:rPr>
        <w:t>anțării private pentru o creștere durabilă</w:t>
      </w:r>
      <w:r>
        <w:rPr>
          <w:rStyle w:val="FootnoteReference"/>
          <w:rFonts w:ascii="Times New Roman" w:hAnsi="Times New Roman"/>
          <w:noProof/>
          <w:sz w:val="24"/>
        </w:rPr>
        <w:footnoteReference w:id="11"/>
      </w:r>
      <w:r>
        <w:rPr>
          <w:rFonts w:ascii="Times New Roman" w:hAnsi="Times New Roman"/>
          <w:noProof/>
          <w:sz w:val="24"/>
        </w:rPr>
        <w:t xml:space="preserve">, ar putea sprijini ALC în deblocarea potențialului său enorm în materie de energie hidraulică durabilă, eoliană, solară, oceanică și geotermală, consolidând în același timp reziliența energetică și creând locuri </w:t>
      </w:r>
      <w:r>
        <w:rPr>
          <w:rFonts w:ascii="Times New Roman" w:hAnsi="Times New Roman"/>
          <w:noProof/>
          <w:sz w:val="24"/>
        </w:rPr>
        <w:t>de muncă și oportunități de afaceri. Cooperarea în materie de calcul de înaltă performanță ar putea contribui la modernizarea industriilor energetice. În lumina vulnerabilităților specifice ale Insulelor Caraibe, UE ar trebui să promoveze dimensiunea exter</w:t>
      </w:r>
      <w:r>
        <w:rPr>
          <w:rFonts w:ascii="Times New Roman" w:hAnsi="Times New Roman"/>
          <w:noProof/>
          <w:sz w:val="24"/>
        </w:rPr>
        <w:t>nă a inițiativei „Energie curată pentru insulele din UE”</w:t>
      </w:r>
      <w:r>
        <w:rPr>
          <w:rStyle w:val="FootnoteReference"/>
          <w:rFonts w:ascii="Times New Roman" w:hAnsi="Times New Roman"/>
          <w:noProof/>
          <w:sz w:val="24"/>
        </w:rPr>
        <w:footnoteReference w:id="12"/>
      </w:r>
      <w:r>
        <w:rPr>
          <w:rFonts w:ascii="Times New Roman" w:hAnsi="Times New Roman"/>
          <w:noProof/>
          <w:sz w:val="24"/>
        </w:rPr>
        <w:t xml:space="preserve"> și să sprijine și să mobilizeze investițiile pentru energiile din surse regenerabile și eficiența energetică. Banca Europeană de Investiții ar putea contribui la această transformare oferind finanța</w:t>
      </w:r>
      <w:r>
        <w:rPr>
          <w:rFonts w:ascii="Times New Roman" w:hAnsi="Times New Roman"/>
          <w:noProof/>
          <w:sz w:val="24"/>
        </w:rPr>
        <w:t xml:space="preserve">re pe termen lung și expertiză tehnică relevantă. </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b/>
          <w:noProof/>
          <w:sz w:val="24"/>
          <w:u w:val="single"/>
        </w:rPr>
        <w:t>Promovarea economiei albastre.</w:t>
      </w:r>
      <w:r>
        <w:rPr>
          <w:rFonts w:ascii="Times New Roman" w:hAnsi="Times New Roman"/>
          <w:noProof/>
          <w:sz w:val="24"/>
        </w:rPr>
        <w:t xml:space="preserve"> O colaborare mai strânsă în ceea ce privește economia albastră și utilizarea durabilă a resurselor marine, inclusiv prin crearea unor zone marine protejate în Oceanul Antarct</w:t>
      </w:r>
      <w:r>
        <w:rPr>
          <w:rFonts w:ascii="Times New Roman" w:hAnsi="Times New Roman"/>
          <w:noProof/>
          <w:sz w:val="24"/>
        </w:rPr>
        <w:t>ic, ar crea condiții favorabile pentru creștere, în special în cadrul comunităților de coastă și insulare, și ar contribui la adaptarea la schimbările climatice și la atenuarea acestora. Standardele comune și accesul deschis la datele privind mediul oceani</w:t>
      </w:r>
      <w:r>
        <w:rPr>
          <w:rFonts w:ascii="Times New Roman" w:hAnsi="Times New Roman"/>
          <w:noProof/>
          <w:sz w:val="24"/>
        </w:rPr>
        <w:t>c joacă un rol-cheie în promovarea economiilor albastre și îmbunătățirea guvernanței oceanelor.</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b/>
          <w:noProof/>
          <w:sz w:val="24"/>
          <w:u w:val="single"/>
        </w:rPr>
        <w:t>Facilitarea tranziției către o economie circulară.</w:t>
      </w:r>
      <w:r>
        <w:rPr>
          <w:rFonts w:ascii="Times New Roman" w:hAnsi="Times New Roman"/>
          <w:noProof/>
          <w:sz w:val="24"/>
        </w:rPr>
        <w:t xml:space="preserve"> Politicile și standardele de mediu robuste și bazate pe date concrete sunt instrumente esențiale pentru o cre</w:t>
      </w:r>
      <w:r>
        <w:rPr>
          <w:rFonts w:ascii="Times New Roman" w:hAnsi="Times New Roman"/>
          <w:noProof/>
          <w:sz w:val="24"/>
        </w:rPr>
        <w:t>ș</w:t>
      </w:r>
      <w:r>
        <w:rPr>
          <w:rFonts w:ascii="Times New Roman" w:hAnsi="Times New Roman"/>
          <w:noProof/>
          <w:sz w:val="24"/>
        </w:rPr>
        <w:t xml:space="preserve">tere economică durabilă. O atenție deosebită ar trebui acordată materialelor plastice, deșeurilor marine și gestionării durabile a substanțelor chimice și a deșeurilor. Asigurarea </w:t>
      </w:r>
      <w:r>
        <w:rPr>
          <w:rFonts w:ascii="Times New Roman" w:hAnsi="Times New Roman"/>
          <w:b/>
          <w:noProof/>
          <w:sz w:val="24"/>
        </w:rPr>
        <w:t>gestionării durabile a resurselor naturale</w:t>
      </w:r>
      <w:r>
        <w:rPr>
          <w:rFonts w:ascii="Times New Roman" w:hAnsi="Times New Roman"/>
          <w:noProof/>
          <w:sz w:val="24"/>
        </w:rPr>
        <w:t xml:space="preserve"> poate asigura viabilitatea pe te</w:t>
      </w:r>
      <w:r>
        <w:rPr>
          <w:rFonts w:ascii="Times New Roman" w:hAnsi="Times New Roman"/>
          <w:noProof/>
          <w:sz w:val="24"/>
        </w:rPr>
        <w:t>rmen lung a prosperității regiunilor. Ambele părți ar beneficia de pe urma continuării dialogului și a cooperării privind materiile prime pentru a aborda în mod durabil cererea în creștere de astfel de materiale. Platforma digitală pentru dezvoltarea resur</w:t>
      </w:r>
      <w:r>
        <w:rPr>
          <w:rFonts w:ascii="Times New Roman" w:hAnsi="Times New Roman"/>
          <w:noProof/>
          <w:sz w:val="24"/>
        </w:rPr>
        <w:t xml:space="preserve">selor minerale lansată în 2017 oferă o bază pentru această cooperare. Cele două regiuni ar putea să își unească forțele pentru promovarea unor </w:t>
      </w:r>
      <w:r>
        <w:rPr>
          <w:rFonts w:ascii="Times New Roman" w:hAnsi="Times New Roman"/>
          <w:b/>
          <w:noProof/>
          <w:sz w:val="24"/>
        </w:rPr>
        <w:t>lanțuri valorice industriale responsabile</w:t>
      </w:r>
      <w:r>
        <w:rPr>
          <w:rFonts w:ascii="Times New Roman" w:hAnsi="Times New Roman"/>
          <w:noProof/>
          <w:sz w:val="24"/>
        </w:rPr>
        <w:t xml:space="preserve"> care să ajute întreprinderile să respecte standardele unei conduite pro</w:t>
      </w:r>
      <w:r>
        <w:rPr>
          <w:rFonts w:ascii="Times New Roman" w:hAnsi="Times New Roman"/>
          <w:noProof/>
          <w:sz w:val="24"/>
        </w:rPr>
        <w:t>fesionale responsabile care să contribuie la dezvoltarea durabilă.</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b/>
          <w:noProof/>
          <w:sz w:val="24"/>
          <w:u w:val="single"/>
        </w:rPr>
        <w:t>Promovarea orașelor durabile și inteligente</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Având în vedere că marea majoritate a populației din cele două regiuni locuiește în zone urbane</w:t>
      </w:r>
      <w:r>
        <w:rPr>
          <w:rStyle w:val="FootnoteReference"/>
          <w:rFonts w:ascii="Times New Roman" w:hAnsi="Times New Roman"/>
          <w:noProof/>
          <w:sz w:val="24"/>
        </w:rPr>
        <w:footnoteReference w:id="13"/>
      </w:r>
      <w:r>
        <w:rPr>
          <w:rFonts w:ascii="Times New Roman" w:hAnsi="Times New Roman"/>
          <w:noProof/>
          <w:sz w:val="24"/>
        </w:rPr>
        <w:t>, promovarea orașelor durabile și a acțiunilor l</w:t>
      </w:r>
      <w:r>
        <w:rPr>
          <w:rFonts w:ascii="Times New Roman" w:hAnsi="Times New Roman"/>
          <w:noProof/>
          <w:sz w:val="24"/>
        </w:rPr>
        <w:t>a nivel local rămâne în continuare importantă. UE și ALC pot beneficia de schimburi în materie de cercetare și experiență disponibile în domeniul urbanizării durabile, cum ar fi soluțiile bazate pe natură, soluțiile de mobilitate cu emisii reduse de dioxid</w:t>
      </w:r>
      <w:r>
        <w:rPr>
          <w:rFonts w:ascii="Times New Roman" w:hAnsi="Times New Roman"/>
          <w:noProof/>
          <w:sz w:val="24"/>
        </w:rPr>
        <w:t xml:space="preserve"> de carbon sau refacerea ecosistemelor urbane. Cooperarea de succes între orașe cu privire la dezvoltarea urbană durabilă, cum ar fi Convenția globală a primarilor, ar putea fi extinsă. </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b/>
          <w:noProof/>
          <w:sz w:val="24"/>
          <w:u w:val="single"/>
        </w:rPr>
        <w:t xml:space="preserve">Promovarea muncii decente și a întreprinderilor competitive și </w:t>
      </w:r>
      <w:r>
        <w:rPr>
          <w:rFonts w:ascii="Times New Roman" w:hAnsi="Times New Roman"/>
          <w:b/>
          <w:noProof/>
          <w:sz w:val="24"/>
          <w:u w:val="single"/>
        </w:rPr>
        <w:t>responsabile</w:t>
      </w:r>
      <w:r>
        <w:rPr>
          <w:rFonts w:ascii="Times New Roman" w:hAnsi="Times New Roman"/>
          <w:b/>
          <w:noProof/>
          <w:sz w:val="24"/>
        </w:rPr>
        <w:t xml:space="preserve">. </w:t>
      </w:r>
      <w:r>
        <w:rPr>
          <w:rFonts w:ascii="Times New Roman" w:hAnsi="Times New Roman"/>
          <w:noProof/>
          <w:sz w:val="24"/>
        </w:rPr>
        <w:t>Promovarea muncii decente și respectarea standardelor de muncă și de mediu trebuie să rămână o prioritate a cooperării, în special în ceea ce privește respectarea convențiilor Organizației Internaționale a Muncii. Ambele regiuni au contribuit</w:t>
      </w:r>
      <w:r>
        <w:rPr>
          <w:rFonts w:ascii="Times New Roman" w:hAnsi="Times New Roman"/>
          <w:noProof/>
          <w:sz w:val="24"/>
        </w:rPr>
        <w:t xml:space="preserve"> la adoptarea </w:t>
      </w:r>
      <w:r>
        <w:rPr>
          <w:rFonts w:ascii="Times New Roman" w:hAnsi="Times New Roman"/>
          <w:b/>
          <w:noProof/>
          <w:sz w:val="24"/>
        </w:rPr>
        <w:t>standardelor internaționale în domeniul muncii</w:t>
      </w:r>
      <w:r>
        <w:rPr>
          <w:rFonts w:ascii="Times New Roman" w:hAnsi="Times New Roman"/>
          <w:noProof/>
          <w:sz w:val="24"/>
        </w:rPr>
        <w:t xml:space="preserve"> și ar trebui să colaboreze acum pentru punerea lor în aplicare, inclusiv în ceea ce privește libertatea de asociere și eradicarea muncii copiilor. Experiența reușită a UE în dialogul cu parteneri</w:t>
      </w:r>
      <w:r>
        <w:rPr>
          <w:rFonts w:ascii="Times New Roman" w:hAnsi="Times New Roman"/>
          <w:noProof/>
          <w:sz w:val="24"/>
        </w:rPr>
        <w:t>i sociali ar putea fi împărtășită prin schimbul de bune practici. Tranziția către economia formală reprezintă o provocare-cheie în ALC, ocuparea informală a forței de muncă reprezentând peste 40 % din totalul ocupării forței de muncă în sectorul neagricol</w:t>
      </w:r>
      <w:r>
        <w:rPr>
          <w:rStyle w:val="FootnoteReference"/>
          <w:rFonts w:ascii="Times New Roman" w:hAnsi="Times New Roman"/>
          <w:noProof/>
          <w:sz w:val="24"/>
        </w:rPr>
        <w:footnoteReference w:id="14"/>
      </w:r>
      <w:r>
        <w:rPr>
          <w:rFonts w:ascii="Times New Roman" w:hAnsi="Times New Roman"/>
          <w:noProof/>
          <w:sz w:val="24"/>
        </w:rPr>
        <w:t xml:space="preserve">. </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noProof/>
          <w:sz w:val="24"/>
        </w:rPr>
        <w:t>O cooperare mai strânsă ar trebui să sporească productivitatea microîntreprinderilor și a întreprinderilor mici și mijlocii (MIMM). Pașii concreți în această direcție, care asigură beneficii pentru consumatorii și producătorii ambelor părți, includ util</w:t>
      </w:r>
      <w:r>
        <w:rPr>
          <w:rFonts w:ascii="Times New Roman" w:hAnsi="Times New Roman"/>
          <w:noProof/>
          <w:sz w:val="24"/>
        </w:rPr>
        <w:t xml:space="preserve">izarea pe deplin a dispozițiilor acordurilor de asociere și de parteneriat comercial și economic dintre UE și ALC. Activitatea comună de promovare a adoptării standardelor convenite la nivel internațional privind </w:t>
      </w:r>
      <w:r>
        <w:rPr>
          <w:rFonts w:ascii="Times New Roman" w:hAnsi="Times New Roman"/>
          <w:b/>
          <w:noProof/>
          <w:sz w:val="24"/>
        </w:rPr>
        <w:t>responsabilitatea socială a întreprinderilo</w:t>
      </w:r>
      <w:r>
        <w:rPr>
          <w:rFonts w:ascii="Times New Roman" w:hAnsi="Times New Roman"/>
          <w:b/>
          <w:noProof/>
          <w:sz w:val="24"/>
        </w:rPr>
        <w:t>r</w:t>
      </w:r>
      <w:r>
        <w:rPr>
          <w:rFonts w:ascii="Times New Roman" w:hAnsi="Times New Roman"/>
          <w:noProof/>
          <w:sz w:val="24"/>
        </w:rPr>
        <w:t xml:space="preserve"> și conduita profesională responsabilă în ambele regiuni ar trebui să continue, inclusiv în ceea ce privește orientările Organizației pentru Cooperare și Dezvoltare Economică (OCDE) pentru întreprinderile multinaționale și principiile directoare ale Organ</w:t>
      </w:r>
      <w:r>
        <w:rPr>
          <w:rFonts w:ascii="Times New Roman" w:hAnsi="Times New Roman"/>
          <w:noProof/>
          <w:sz w:val="24"/>
        </w:rPr>
        <w:t>izației Națiunilor Unite (ONU) privind întreprinderile și drepturile omului.</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Cooperarea în acest domeniu se va baza pe succesele programelor în derulare, sprijinind informațiile comerciale, rețelele MIMM-urilor și întreprinderile nou-înființate din ambele </w:t>
      </w:r>
      <w:r>
        <w:rPr>
          <w:rFonts w:ascii="Times New Roman" w:hAnsi="Times New Roman"/>
          <w:noProof/>
          <w:sz w:val="24"/>
        </w:rPr>
        <w:t>regiuni. UE ar trebui să aibă în vedere, de asemenea, încurajarea cooperării dintre MIMM­urile din ALC și Rețeaua întreprinderilor europene. Clusterele și rețelele profesionale din ALC ar putea profita de pe urma Platformei europene de colaborare între clu</w:t>
      </w:r>
      <w:r>
        <w:rPr>
          <w:rFonts w:ascii="Times New Roman" w:hAnsi="Times New Roman"/>
          <w:noProof/>
          <w:sz w:val="24"/>
        </w:rPr>
        <w:t>stere.</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b/>
          <w:noProof/>
          <w:sz w:val="24"/>
          <w:u w:val="single"/>
        </w:rPr>
        <w:t>Efectuarea de investiții în cunoaștere, inovare și capital uman</w:t>
      </w:r>
      <w:r>
        <w:rPr>
          <w:rFonts w:ascii="Times New Roman" w:hAnsi="Times New Roman"/>
          <w:b/>
          <w:noProof/>
          <w:sz w:val="24"/>
        </w:rPr>
        <w:t xml:space="preserve">. </w:t>
      </w:r>
      <w:r>
        <w:rPr>
          <w:rFonts w:ascii="Times New Roman" w:hAnsi="Times New Roman"/>
          <w:noProof/>
          <w:sz w:val="24"/>
        </w:rPr>
        <w:t>Ambele regiuni ar trebui să valorifice oportunitățile oferite de programul Orizont 2020 și de viitorul program Orizont Europa propus, promovând mobilitatea, formarea și dezvoltarea car</w:t>
      </w:r>
      <w:r>
        <w:rPr>
          <w:rFonts w:ascii="Times New Roman" w:hAnsi="Times New Roman"/>
          <w:noProof/>
          <w:sz w:val="24"/>
        </w:rPr>
        <w:t>ierei cercetătorilor în cadrul acțiunilor Marie Skłodowska-Curie, excelența științifică și soluții comune la provocările mondiale în cadrul spațiului comun de cercetare. UE ar putea să împărtășească în continuare din experiența sa în ceea ce privește crear</w:t>
      </w:r>
      <w:r>
        <w:rPr>
          <w:rFonts w:ascii="Times New Roman" w:hAnsi="Times New Roman"/>
          <w:noProof/>
          <w:sz w:val="24"/>
        </w:rPr>
        <w:t>ea unor punți de legătură între știință și sectorul privat, transferul de tehnologie și de idei rezultate în urma activităților de cercetare către întreprinderile nou-înființate și industrie și în promovarea specializării inteligente și a inovării la nivel</w:t>
      </w:r>
      <w:r>
        <w:rPr>
          <w:rFonts w:ascii="Times New Roman" w:hAnsi="Times New Roman"/>
          <w:noProof/>
          <w:sz w:val="24"/>
        </w:rPr>
        <w:t xml:space="preserve"> regional.</w:t>
      </w:r>
    </w:p>
    <w:p w:rsidR="00183B2F" w:rsidRDefault="00204C9F">
      <w:pPr>
        <w:spacing w:after="120" w:line="240" w:lineRule="auto"/>
        <w:jc w:val="both"/>
        <w:rPr>
          <w:rFonts w:ascii="Times New Roman" w:hAnsi="Times New Roman" w:cs="Times New Roman"/>
          <w:iCs/>
          <w:noProof/>
          <w:sz w:val="24"/>
          <w:szCs w:val="24"/>
        </w:rPr>
      </w:pPr>
      <w:r>
        <w:rPr>
          <w:rFonts w:ascii="Times New Roman" w:hAnsi="Times New Roman"/>
          <w:noProof/>
          <w:sz w:val="24"/>
        </w:rPr>
        <w:t xml:space="preserve">UE este pregătită să întreprindă acțiuni comune pentru dezvoltarea </w:t>
      </w:r>
      <w:r>
        <w:rPr>
          <w:rFonts w:ascii="Times New Roman" w:hAnsi="Times New Roman"/>
          <w:b/>
          <w:noProof/>
          <w:sz w:val="24"/>
        </w:rPr>
        <w:t>capitalului uman</w:t>
      </w:r>
      <w:r>
        <w:rPr>
          <w:rFonts w:ascii="Times New Roman" w:hAnsi="Times New Roman"/>
          <w:noProof/>
          <w:sz w:val="24"/>
        </w:rPr>
        <w:t xml:space="preserve"> necesar pentru a răspunde cerințelor tehnologiilor în schimbare rapidă, digitalizării și antreprenoriatului. Cele două regiuni ar trebui să continue cooperarea î</w:t>
      </w:r>
      <w:r>
        <w:rPr>
          <w:rFonts w:ascii="Times New Roman" w:hAnsi="Times New Roman"/>
          <w:noProof/>
          <w:sz w:val="24"/>
        </w:rPr>
        <w:t xml:space="preserve">n domeniul </w:t>
      </w:r>
      <w:r>
        <w:rPr>
          <w:rFonts w:ascii="Times New Roman" w:hAnsi="Times New Roman"/>
          <w:b/>
          <w:noProof/>
          <w:sz w:val="24"/>
        </w:rPr>
        <w:t>învățământului superior</w:t>
      </w:r>
      <w:r>
        <w:rPr>
          <w:rFonts w:ascii="Times New Roman" w:hAnsi="Times New Roman"/>
          <w:noProof/>
          <w:sz w:val="24"/>
        </w:rPr>
        <w:t>, bazându-se pe programul Erasmus+, implicându-se în mai multe programe de schimb la nivelul învățământului superior și în dezvoltarea de capacități și consolidând dialogul regional între mediul academic și factorii de dec</w:t>
      </w:r>
      <w:r>
        <w:rPr>
          <w:rFonts w:ascii="Times New Roman" w:hAnsi="Times New Roman"/>
          <w:noProof/>
          <w:sz w:val="24"/>
        </w:rPr>
        <w:t xml:space="preserve">izie. Acestea ar putea dezvolta o cooperare mai strânsă în materie de </w:t>
      </w:r>
      <w:r>
        <w:rPr>
          <w:rFonts w:ascii="Times New Roman" w:hAnsi="Times New Roman"/>
          <w:b/>
          <w:noProof/>
          <w:sz w:val="24"/>
        </w:rPr>
        <w:t>educație și formare profesională</w:t>
      </w:r>
      <w:r>
        <w:rPr>
          <w:rFonts w:ascii="Times New Roman" w:hAnsi="Times New Roman"/>
          <w:noProof/>
          <w:sz w:val="24"/>
        </w:rPr>
        <w:t xml:space="preserve"> pentru a răspunde cererilor de competențe ale unei economii mondiale aflate în plină transformare și pentru a se angaja într-o cooperare care să contribu</w:t>
      </w:r>
      <w:r>
        <w:rPr>
          <w:rFonts w:ascii="Times New Roman" w:hAnsi="Times New Roman"/>
          <w:noProof/>
          <w:sz w:val="24"/>
        </w:rPr>
        <w:t>ie la accesul la locuri de muncă decente, la diversificare și la competitivitatea sectoarelor economice strategice.</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b/>
          <w:noProof/>
          <w:sz w:val="24"/>
          <w:u w:val="single"/>
        </w:rPr>
        <w:t>Promovarea economiei digitale</w:t>
      </w:r>
      <w:r>
        <w:rPr>
          <w:rFonts w:ascii="Times New Roman" w:hAnsi="Times New Roman"/>
          <w:b/>
          <w:noProof/>
          <w:sz w:val="24"/>
        </w:rPr>
        <w:t xml:space="preserve">. </w:t>
      </w:r>
      <w:r>
        <w:rPr>
          <w:rFonts w:ascii="Times New Roman" w:hAnsi="Times New Roman"/>
          <w:noProof/>
          <w:sz w:val="24"/>
        </w:rPr>
        <w:t>Cooperarea digitală ar trebui să devină un element central al relației dintre cele două regiuni, care să le p</w:t>
      </w:r>
      <w:r>
        <w:rPr>
          <w:rFonts w:ascii="Times New Roman" w:hAnsi="Times New Roman"/>
          <w:noProof/>
          <w:sz w:val="24"/>
        </w:rPr>
        <w:t>ermită economiile acestora să valorifice pe deplin beneficiile noilor tehnologii, promovând în același timp inovarea și digitalizarea.</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Bazându-se pe o viziune pe termen lung a unei piețe unice digitale în ALC, ar trebui sprijinită </w:t>
      </w:r>
      <w:r>
        <w:rPr>
          <w:rFonts w:ascii="Times New Roman" w:hAnsi="Times New Roman"/>
          <w:b/>
          <w:noProof/>
          <w:sz w:val="24"/>
        </w:rPr>
        <w:t>alinierea în materie de r</w:t>
      </w:r>
      <w:r>
        <w:rPr>
          <w:rFonts w:ascii="Times New Roman" w:hAnsi="Times New Roman"/>
          <w:b/>
          <w:noProof/>
          <w:sz w:val="24"/>
        </w:rPr>
        <w:t>eglementare</w:t>
      </w:r>
      <w:r>
        <w:rPr>
          <w:rFonts w:ascii="Times New Roman" w:hAnsi="Times New Roman"/>
          <w:noProof/>
          <w:sz w:val="24"/>
        </w:rPr>
        <w:t xml:space="preserve"> a celor două regiuni, inclusiv în ceea ce privește 5G, internetul obiectelor și inteligența artificială, standardizarea tehnologiilor pentru transformarea digitală, sistemele europene globale de navigație prin satelit, Copernicus și aplicarea l</w:t>
      </w:r>
      <w:r>
        <w:rPr>
          <w:rFonts w:ascii="Times New Roman" w:hAnsi="Times New Roman"/>
          <w:noProof/>
          <w:sz w:val="24"/>
        </w:rPr>
        <w:t>or industrială, precum și investițiile în infrastructurile de date de mare viteză. Piața unică digitală a UE oferă modele care ar putea prezenta interes pentru regiunea ALC, inclusiv în ceea ce privește securitatea datelor și identificarea electronică. Sec</w:t>
      </w:r>
      <w:r>
        <w:rPr>
          <w:rFonts w:ascii="Times New Roman" w:hAnsi="Times New Roman"/>
          <w:noProof/>
          <w:sz w:val="24"/>
        </w:rPr>
        <w:t>uritatea cibernetică, guvernarea electronică, comerțul electronic, platformele online, plățile transfrontaliere și guvernanța internetului reprezintă alte domenii de cooperare promițătoare. În plus, este important să se consolideze convergența dintre UE și</w:t>
      </w:r>
      <w:r>
        <w:rPr>
          <w:rFonts w:ascii="Times New Roman" w:hAnsi="Times New Roman"/>
          <w:noProof/>
          <w:sz w:val="24"/>
        </w:rPr>
        <w:t xml:space="preserve"> ALC în ceea ce privește protecția datelor cu caracter personal, ceea ce va facilita în continuare fluxurile de date și cooperarea dintre autoritățile relevante.</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noProof/>
          <w:sz w:val="24"/>
        </w:rPr>
        <w:t>Un nou cablu submarin de fibră optică, construit cu sprijinul UE și al investitorilor privați,</w:t>
      </w:r>
      <w:r>
        <w:rPr>
          <w:rFonts w:ascii="Times New Roman" w:hAnsi="Times New Roman"/>
          <w:noProof/>
          <w:sz w:val="24"/>
        </w:rPr>
        <w:t xml:space="preserve"> va conecta America Latină și Europa și va oferi o </w:t>
      </w:r>
      <w:r>
        <w:rPr>
          <w:rFonts w:ascii="Times New Roman" w:hAnsi="Times New Roman"/>
          <w:b/>
          <w:noProof/>
          <w:sz w:val="24"/>
        </w:rPr>
        <w:t>conectivitate de mare viteză în bandă largă</w:t>
      </w:r>
      <w:r>
        <w:rPr>
          <w:rFonts w:ascii="Times New Roman" w:hAnsi="Times New Roman"/>
          <w:noProof/>
          <w:sz w:val="24"/>
        </w:rPr>
        <w:t xml:space="preserve"> care va stimula schimburile comerciale, științifice și educaționale dintre cele două regiuni. Ar trebui analizate opțiuni care să permită consolidarea conectivit</w:t>
      </w:r>
      <w:r>
        <w:rPr>
          <w:rFonts w:ascii="Times New Roman" w:hAnsi="Times New Roman"/>
          <w:noProof/>
          <w:sz w:val="24"/>
        </w:rPr>
        <w:t>ății în America Centrală și în zona Caraibilor.</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b/>
          <w:noProof/>
          <w:sz w:val="24"/>
          <w:u w:val="single"/>
        </w:rPr>
        <w:t>Îmbunătățirea conectivității</w:t>
      </w:r>
      <w:r>
        <w:rPr>
          <w:rFonts w:ascii="Times New Roman" w:hAnsi="Times New Roman"/>
          <w:noProof/>
          <w:sz w:val="24"/>
        </w:rPr>
        <w:t xml:space="preserve"> prin intermediul aviației și al altor moduri de transport. Negocierea unor noi </w:t>
      </w:r>
      <w:r>
        <w:rPr>
          <w:rFonts w:ascii="Times New Roman" w:hAnsi="Times New Roman"/>
          <w:b/>
          <w:noProof/>
          <w:sz w:val="24"/>
        </w:rPr>
        <w:t>acorduri</w:t>
      </w:r>
      <w:r>
        <w:rPr>
          <w:rFonts w:ascii="Times New Roman" w:hAnsi="Times New Roman"/>
          <w:noProof/>
          <w:sz w:val="24"/>
        </w:rPr>
        <w:t xml:space="preserve"> cuprinzătoare </w:t>
      </w:r>
      <w:r>
        <w:rPr>
          <w:rFonts w:ascii="Times New Roman" w:hAnsi="Times New Roman"/>
          <w:b/>
          <w:noProof/>
          <w:sz w:val="24"/>
        </w:rPr>
        <w:t>privind transportul aerian</w:t>
      </w:r>
      <w:r>
        <w:rPr>
          <w:rFonts w:ascii="Times New Roman" w:hAnsi="Times New Roman"/>
          <w:noProof/>
          <w:sz w:val="24"/>
        </w:rPr>
        <w:t xml:space="preserve"> ar îmbunătăți accesul pe piață și, de asemenea, ar</w:t>
      </w:r>
      <w:r>
        <w:rPr>
          <w:rFonts w:ascii="Times New Roman" w:hAnsi="Times New Roman"/>
          <w:noProof/>
          <w:sz w:val="24"/>
        </w:rPr>
        <w:t xml:space="preserve"> crea noi oportunități economice și ar asigura condiții de piață echitabile și transparente, bazate pe un cadru de reglementare clar. De asemenea, astfel de acorduri ar asigura pasagerilor mai multe legături și prețuri mai bune și pot facilita într-o măsur</w:t>
      </w:r>
      <w:r>
        <w:rPr>
          <w:rFonts w:ascii="Times New Roman" w:hAnsi="Times New Roman"/>
          <w:noProof/>
          <w:sz w:val="24"/>
        </w:rPr>
        <w:t>ă și mai mare cooperarea în domenii precum siguranța aviației, securitatea aviației, aspectele sociale și mediul. Ar putea fi analizată și cooperarea privind alte moduri de transport, precum transportul feroviar, transportul maritim și sistemele durabile ș</w:t>
      </w:r>
      <w:r>
        <w:rPr>
          <w:rFonts w:ascii="Times New Roman" w:hAnsi="Times New Roman"/>
          <w:noProof/>
          <w:sz w:val="24"/>
        </w:rPr>
        <w:t>i inteligente de mobilitate urbană.</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b/>
          <w:noProof/>
          <w:sz w:val="24"/>
          <w:u w:val="single"/>
        </w:rPr>
        <w:t>Utilizarea tehnologiei spațiale</w:t>
      </w:r>
      <w:r>
        <w:rPr>
          <w:rFonts w:ascii="Times New Roman" w:hAnsi="Times New Roman"/>
          <w:b/>
          <w:noProof/>
          <w:sz w:val="24"/>
        </w:rPr>
        <w:t>.</w:t>
      </w:r>
      <w:r>
        <w:rPr>
          <w:rFonts w:ascii="Times New Roman" w:hAnsi="Times New Roman"/>
          <w:noProof/>
          <w:sz w:val="24"/>
        </w:rPr>
        <w:t xml:space="preserve"> Spațiul reprezintă un domeniu de cooperare în plină expansiune, cu un potențial încă neexploatat. În prezent, sistemele europene globale de navigație prin satelit – Galileo și EGNOS – sun</w:t>
      </w:r>
      <w:r>
        <w:rPr>
          <w:rFonts w:ascii="Times New Roman" w:hAnsi="Times New Roman"/>
          <w:noProof/>
          <w:sz w:val="24"/>
        </w:rPr>
        <w:t>t o realitate operațională. Lanțul valoric asociat este capabil să ofere expertiză, know-how și tehnologie de ultimă oră, care pot fi partajate. Copernicus, programul UE de observare a Pământului, poate contribui, de asemenea, la abordarea provocărilor soc</w:t>
      </w:r>
      <w:r>
        <w:rPr>
          <w:rFonts w:ascii="Times New Roman" w:hAnsi="Times New Roman"/>
          <w:noProof/>
          <w:sz w:val="24"/>
        </w:rPr>
        <w:t>ietale, de la protecția mediului și schimbările climatice la agricultură și dezvoltare urbană. Acordurile de cooperare Copernicus</w:t>
      </w:r>
      <w:r>
        <w:rPr>
          <w:rStyle w:val="FootnoteReference"/>
          <w:rFonts w:ascii="Times New Roman" w:hAnsi="Times New Roman"/>
          <w:noProof/>
          <w:sz w:val="24"/>
        </w:rPr>
        <w:footnoteReference w:id="15"/>
      </w:r>
      <w:r>
        <w:rPr>
          <w:rFonts w:ascii="Times New Roman" w:hAnsi="Times New Roman"/>
          <w:noProof/>
          <w:sz w:val="24"/>
        </w:rPr>
        <w:t>, care oferă acces liber, complet și deschis la date, ar putea fi utilizate pe deplin în acest sens, pe bază de reciprocitate.</w:t>
      </w:r>
    </w:p>
    <w:p w:rsidR="00183B2F" w:rsidRDefault="00183B2F">
      <w:pPr>
        <w:spacing w:after="0" w:line="240" w:lineRule="auto"/>
        <w:jc w:val="both"/>
        <w:rPr>
          <w:rFonts w:ascii="Times New Roman" w:hAnsi="Times New Roman" w:cs="Times New Roman"/>
          <w:noProof/>
          <w:sz w:val="24"/>
          <w:szCs w:val="24"/>
        </w:rPr>
      </w:pPr>
    </w:p>
    <w:p w:rsidR="00183B2F" w:rsidRDefault="00183B2F">
      <w:pPr>
        <w:spacing w:after="0" w:line="240" w:lineRule="auto"/>
        <w:jc w:val="both"/>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9288"/>
      </w:tblGrid>
      <w:tr w:rsidR="00183B2F">
        <w:tc>
          <w:tcPr>
            <w:tcW w:w="9288" w:type="dxa"/>
            <w:shd w:val="clear" w:color="auto" w:fill="F2F2F2" w:themeFill="background1" w:themeFillShade="F2"/>
          </w:tcPr>
          <w:p w:rsidR="00183B2F" w:rsidRDefault="00204C9F">
            <w:pPr>
              <w:pageBreakBefore/>
              <w:spacing w:after="120"/>
              <w:jc w:val="both"/>
              <w:rPr>
                <w:rFonts w:ascii="Times New Roman" w:hAnsi="Times New Roman" w:cs="Times New Roman"/>
                <w:b/>
                <w:i/>
                <w:noProof/>
                <w:sz w:val="24"/>
                <w:szCs w:val="24"/>
              </w:rPr>
            </w:pPr>
            <w:r>
              <w:rPr>
                <w:rFonts w:ascii="Times New Roman" w:hAnsi="Times New Roman"/>
                <w:b/>
                <w:i/>
                <w:noProof/>
                <w:sz w:val="24"/>
              </w:rPr>
              <w:t xml:space="preserve">Asocierea pentru prosperitate: </w:t>
            </w:r>
          </w:p>
          <w:p w:rsidR="00183B2F" w:rsidRDefault="00204C9F">
            <w:pPr>
              <w:keepNext/>
              <w:keepLines/>
              <w:numPr>
                <w:ilvl w:val="0"/>
                <w:numId w:val="1"/>
              </w:numPr>
              <w:spacing w:after="120"/>
              <w:ind w:left="284"/>
              <w:jc w:val="both"/>
              <w:rPr>
                <w:rFonts w:ascii="Times New Roman" w:hAnsi="Times New Roman" w:cs="Times New Roman"/>
                <w:i/>
                <w:noProof/>
                <w:sz w:val="24"/>
                <w:szCs w:val="24"/>
              </w:rPr>
            </w:pPr>
            <w:r>
              <w:rPr>
                <w:rFonts w:ascii="Times New Roman" w:hAnsi="Times New Roman"/>
                <w:i/>
                <w:noProof/>
                <w:sz w:val="24"/>
              </w:rPr>
              <w:t xml:space="preserve">facilitarea comerțului și a investițiilor interregionale și intraregionale durabile, depunerea de eforturi pentru finalizarea rețelei de acorduri comerciale și de investiții, precum și asigurarea ratificării rapide a </w:t>
            </w:r>
            <w:r>
              <w:rPr>
                <w:rFonts w:ascii="Times New Roman" w:hAnsi="Times New Roman"/>
                <w:i/>
                <w:noProof/>
                <w:sz w:val="24"/>
              </w:rPr>
              <w:t>acestora și punerea lor deplină în aplicare, inclusiv a dispozițiilor sociale, de muncă și de mediu;</w:t>
            </w:r>
          </w:p>
          <w:p w:rsidR="00183B2F" w:rsidRDefault="00204C9F">
            <w:pPr>
              <w:keepNext/>
              <w:keepLines/>
              <w:numPr>
                <w:ilvl w:val="0"/>
                <w:numId w:val="1"/>
              </w:numPr>
              <w:spacing w:after="120"/>
              <w:ind w:left="284" w:hanging="284"/>
              <w:jc w:val="both"/>
              <w:rPr>
                <w:rFonts w:ascii="Times New Roman" w:hAnsi="Times New Roman" w:cs="Times New Roman"/>
                <w:i/>
                <w:noProof/>
                <w:sz w:val="24"/>
                <w:szCs w:val="24"/>
              </w:rPr>
            </w:pPr>
            <w:r>
              <w:rPr>
                <w:rFonts w:ascii="Times New Roman" w:hAnsi="Times New Roman"/>
                <w:i/>
                <w:noProof/>
                <w:sz w:val="24"/>
              </w:rPr>
              <w:t>sprijinirea eforturilor de integrare regională prin stimularea unei cooperări concrete privind obiectivele comune cu inițiative precum Alianța Pacificului;</w:t>
            </w:r>
          </w:p>
          <w:p w:rsidR="00183B2F" w:rsidRDefault="00204C9F">
            <w:pPr>
              <w:keepNext/>
              <w:keepLines/>
              <w:numPr>
                <w:ilvl w:val="0"/>
                <w:numId w:val="1"/>
              </w:numPr>
              <w:spacing w:after="120"/>
              <w:ind w:left="284" w:hanging="284"/>
              <w:jc w:val="both"/>
              <w:rPr>
                <w:rFonts w:ascii="Times New Roman" w:hAnsi="Times New Roman" w:cs="Times New Roman"/>
                <w:i/>
                <w:noProof/>
                <w:sz w:val="24"/>
                <w:szCs w:val="24"/>
              </w:rPr>
            </w:pPr>
            <w:r>
              <w:rPr>
                <w:rFonts w:ascii="Times New Roman" w:hAnsi="Times New Roman"/>
                <w:i/>
                <w:noProof/>
                <w:sz w:val="24"/>
              </w:rPr>
              <w:t>promovarea economiei verzi, inclusiv prin sprijinirea tranziției către o energie cu emisii scăzute de dioxid de carbon în ALC și prin colaborarea în vederea dezvoltării economiei albastre, precum și promovarea unei gestionări durabile și responsabile a re</w:t>
            </w:r>
            <w:r>
              <w:rPr>
                <w:rFonts w:ascii="Times New Roman" w:hAnsi="Times New Roman"/>
                <w:i/>
                <w:noProof/>
                <w:sz w:val="24"/>
              </w:rPr>
              <w:t>surselor naturale, inclusiv a materiilor prime;</w:t>
            </w:r>
          </w:p>
          <w:p w:rsidR="00183B2F" w:rsidRDefault="00204C9F">
            <w:pPr>
              <w:numPr>
                <w:ilvl w:val="0"/>
                <w:numId w:val="1"/>
              </w:numPr>
              <w:spacing w:after="120"/>
              <w:ind w:left="284" w:hanging="284"/>
              <w:jc w:val="both"/>
              <w:rPr>
                <w:rFonts w:ascii="Times New Roman" w:hAnsi="Times New Roman" w:cs="Times New Roman"/>
                <w:i/>
                <w:noProof/>
                <w:sz w:val="24"/>
                <w:szCs w:val="24"/>
              </w:rPr>
            </w:pPr>
            <w:r>
              <w:rPr>
                <w:rFonts w:ascii="Times New Roman" w:hAnsi="Times New Roman"/>
                <w:i/>
                <w:noProof/>
                <w:sz w:val="24"/>
              </w:rPr>
              <w:t xml:space="preserve">favorizarea îmbunătățirii condițiilor de muncă și a dezvoltării de microîntreprinderi și de întreprinderi mici și mijlocii productive și responsabile, luarea de măsuri pentru creșterea gradului de respectare </w:t>
            </w:r>
            <w:r>
              <w:rPr>
                <w:rFonts w:ascii="Times New Roman" w:hAnsi="Times New Roman"/>
                <w:i/>
                <w:noProof/>
                <w:sz w:val="24"/>
              </w:rPr>
              <w:t>a standardelor internaționale în domeniul muncii și promovarea responsabilității sociale a întreprinderilor;</w:t>
            </w:r>
          </w:p>
          <w:p w:rsidR="00183B2F" w:rsidRDefault="00204C9F">
            <w:pPr>
              <w:numPr>
                <w:ilvl w:val="0"/>
                <w:numId w:val="1"/>
              </w:numPr>
              <w:spacing w:after="120"/>
              <w:ind w:left="284" w:hanging="284"/>
              <w:jc w:val="both"/>
              <w:rPr>
                <w:rFonts w:ascii="Times New Roman" w:hAnsi="Times New Roman" w:cs="Times New Roman"/>
                <w:i/>
                <w:noProof/>
                <w:sz w:val="24"/>
                <w:szCs w:val="24"/>
              </w:rPr>
            </w:pPr>
            <w:r>
              <w:rPr>
                <w:rFonts w:ascii="Times New Roman" w:hAnsi="Times New Roman"/>
                <w:i/>
                <w:noProof/>
                <w:sz w:val="24"/>
              </w:rPr>
              <w:t xml:space="preserve">sporirea investițiilor în cunoaștere, inovare și capital uman, dezvoltarea unei zone de cercetare comună UE-ALC în cadrul programului Orizont 2020 </w:t>
            </w:r>
            <w:r>
              <w:rPr>
                <w:rFonts w:ascii="Times New Roman" w:hAnsi="Times New Roman"/>
                <w:i/>
                <w:noProof/>
                <w:sz w:val="24"/>
              </w:rPr>
              <w:t>ș</w:t>
            </w:r>
            <w:r>
              <w:rPr>
                <w:rFonts w:ascii="Times New Roman" w:hAnsi="Times New Roman"/>
                <w:i/>
                <w:noProof/>
                <w:sz w:val="24"/>
              </w:rPr>
              <w:t>i al programului care îl va înlocui (Orizont Europa);</w:t>
            </w:r>
          </w:p>
          <w:p w:rsidR="00183B2F" w:rsidRDefault="00204C9F">
            <w:pPr>
              <w:numPr>
                <w:ilvl w:val="0"/>
                <w:numId w:val="1"/>
              </w:numPr>
              <w:spacing w:after="120"/>
              <w:ind w:left="284" w:hanging="284"/>
              <w:jc w:val="both"/>
              <w:rPr>
                <w:rFonts w:ascii="Times New Roman" w:hAnsi="Times New Roman" w:cs="Times New Roman"/>
                <w:i/>
                <w:noProof/>
                <w:sz w:val="24"/>
                <w:szCs w:val="24"/>
              </w:rPr>
            </w:pPr>
            <w:r>
              <w:rPr>
                <w:rFonts w:ascii="Times New Roman" w:hAnsi="Times New Roman"/>
                <w:i/>
                <w:noProof/>
                <w:sz w:val="24"/>
              </w:rPr>
              <w:t>promovarea economiei digitale și a conectivității între cele două regiuni, consolidarea cooperării, promovarea alinierii în materie de reglementare în domenii-cheie și promovarea dezvoltării infrastruc</w:t>
            </w:r>
            <w:r>
              <w:rPr>
                <w:rFonts w:ascii="Times New Roman" w:hAnsi="Times New Roman"/>
                <w:i/>
                <w:noProof/>
                <w:sz w:val="24"/>
              </w:rPr>
              <w:t>turii în cadrul conectivității în bandă largă de mare viteză;</w:t>
            </w:r>
          </w:p>
          <w:p w:rsidR="00183B2F" w:rsidRDefault="00204C9F">
            <w:pPr>
              <w:numPr>
                <w:ilvl w:val="0"/>
                <w:numId w:val="1"/>
              </w:numPr>
              <w:spacing w:after="120"/>
              <w:ind w:left="284" w:hanging="284"/>
              <w:jc w:val="both"/>
              <w:rPr>
                <w:rFonts w:ascii="Times New Roman" w:eastAsiaTheme="minorHAnsi" w:hAnsi="Times New Roman" w:cs="Times New Roman"/>
                <w:noProof/>
                <w:sz w:val="24"/>
                <w:szCs w:val="24"/>
              </w:rPr>
            </w:pPr>
            <w:r>
              <w:rPr>
                <w:rFonts w:ascii="Times New Roman" w:hAnsi="Times New Roman"/>
                <w:i/>
                <w:noProof/>
                <w:sz w:val="24"/>
              </w:rPr>
              <w:t>extinderea cooperării în domeniul transportului aerian și maritim, în cel al sistemelor de mobilitate urbană durabilă și în cel al observării spațiului și a Pământului.</w:t>
            </w:r>
          </w:p>
        </w:tc>
      </w:tr>
    </w:tbl>
    <w:p w:rsidR="00183B2F" w:rsidRDefault="00183B2F">
      <w:pPr>
        <w:keepNext/>
        <w:keepLines/>
        <w:spacing w:after="0" w:line="240" w:lineRule="auto"/>
        <w:jc w:val="both"/>
        <w:rPr>
          <w:rFonts w:ascii="Times New Roman" w:hAnsi="Times New Roman" w:cs="Times New Roman"/>
          <w:b/>
          <w:noProof/>
          <w:sz w:val="24"/>
          <w:szCs w:val="24"/>
        </w:rPr>
      </w:pPr>
    </w:p>
    <w:p w:rsidR="00183B2F" w:rsidRDefault="00204C9F">
      <w:pPr>
        <w:keepNext/>
        <w:keepLines/>
        <w:spacing w:after="120" w:line="240" w:lineRule="auto"/>
        <w:jc w:val="both"/>
        <w:rPr>
          <w:rFonts w:ascii="Times New Roman" w:hAnsi="Times New Roman" w:cs="Times New Roman"/>
          <w:b/>
          <w:noProof/>
          <w:sz w:val="24"/>
          <w:szCs w:val="24"/>
        </w:rPr>
      </w:pPr>
      <w:r>
        <w:rPr>
          <w:rFonts w:ascii="Times New Roman" w:hAnsi="Times New Roman"/>
          <w:b/>
          <w:noProof/>
          <w:sz w:val="24"/>
        </w:rPr>
        <w:t>2.2. Asocierea pentru d</w:t>
      </w:r>
      <w:r>
        <w:rPr>
          <w:rFonts w:ascii="Times New Roman" w:hAnsi="Times New Roman"/>
          <w:b/>
          <w:noProof/>
          <w:sz w:val="24"/>
        </w:rPr>
        <w:t xml:space="preserve">emocrație </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noProof/>
          <w:sz w:val="24"/>
        </w:rPr>
        <w:t>Democrația și drepturile omului se află în centrul parteneriatului UE-ALC. UE va continua să apere și să promoveze principiile democratice și statul de drept în relațiile sale cu ALC. Parteneriatul dintre UE și ALC ar trebui să se bazeze pe valo</w:t>
      </w:r>
      <w:r>
        <w:rPr>
          <w:rFonts w:ascii="Times New Roman" w:hAnsi="Times New Roman"/>
          <w:noProof/>
          <w:sz w:val="24"/>
        </w:rPr>
        <w:t>rile sale și să răspundă apelului lansat de cetățeni, care solicită o eficacitate sporită în materie de bună guvernanță. Promovarea sistemelor politice democratice în slujba propriilor cetățenilor va rămâne o prioritate a politicii externe a UE. Deficiențe</w:t>
      </w:r>
      <w:r>
        <w:rPr>
          <w:rFonts w:ascii="Times New Roman" w:hAnsi="Times New Roman"/>
          <w:noProof/>
          <w:sz w:val="24"/>
        </w:rPr>
        <w:t>le în ceea ce privește guvernanța, democrația, drepturile omului și statul de drept, egalitatea de gen, corupția sau reducerea spațiului pentru participarea publică și societatea civilă reprezintă o provocare fundamentală pentru eficacitatea eforturilor de</w:t>
      </w:r>
      <w:r>
        <w:rPr>
          <w:rFonts w:ascii="Times New Roman" w:hAnsi="Times New Roman"/>
          <w:noProof/>
          <w:sz w:val="24"/>
        </w:rPr>
        <w:t xml:space="preserve"> dezvoltare ale oricărei societăți. Ambele regiuni vor avea de câștigat de pe urma colaborării în vederea consolidării instituțiilor democratice, a statului de drept, a transparenței și a răspunderii instituțiilor publice, precum și în vederea unei mai bun</w:t>
      </w:r>
      <w:r>
        <w:rPr>
          <w:rFonts w:ascii="Times New Roman" w:hAnsi="Times New Roman"/>
          <w:noProof/>
          <w:sz w:val="24"/>
        </w:rPr>
        <w:t>e protecții a drepturilor omului.</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noProof/>
          <w:sz w:val="24"/>
        </w:rPr>
        <w:t>În acest scop, în relația sa cu ALC, UE ar trebui să se concentreze pe:</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b/>
          <w:noProof/>
          <w:sz w:val="24"/>
          <w:u w:val="single"/>
        </w:rPr>
        <w:t>Consolidarea respectării drepturilor omului</w:t>
      </w:r>
      <w:r>
        <w:rPr>
          <w:rFonts w:ascii="Times New Roman" w:hAnsi="Times New Roman"/>
          <w:b/>
          <w:noProof/>
          <w:sz w:val="24"/>
        </w:rPr>
        <w:t xml:space="preserve">, </w:t>
      </w:r>
      <w:r>
        <w:rPr>
          <w:rFonts w:ascii="Times New Roman" w:hAnsi="Times New Roman"/>
          <w:noProof/>
          <w:sz w:val="24"/>
        </w:rPr>
        <w:t>punând accentul în special pe: libertatea de exprimare și de asociere; egalitatea de gen și emanciparea f</w:t>
      </w:r>
      <w:r>
        <w:rPr>
          <w:rFonts w:ascii="Times New Roman" w:hAnsi="Times New Roman"/>
          <w:noProof/>
          <w:sz w:val="24"/>
        </w:rPr>
        <w:t>etelor și a femeilor; nediscriminarea minorităților, inclusiv a persoanelor lesbiene, homosexuale, bisexuale, transgen și intersexuale (LGBTI), a populațiilor indigene și a persoanelor cu handicap; copii și tineret; drepturi economice, sociale și culturale</w:t>
      </w:r>
      <w:r>
        <w:rPr>
          <w:rFonts w:ascii="Times New Roman" w:hAnsi="Times New Roman"/>
          <w:noProof/>
          <w:sz w:val="24"/>
        </w:rPr>
        <w:t>, inclusiv în ceea ce privește terenurile, apa și salubritatea, locuințele și drepturile lucrătorilor; imparțialitatea sistemului judiciar și eficacitatea sistemelor judiciare; și încetarea practicilor de tortură și abolirea pedepsei cu moartea. Prin urmar</w:t>
      </w:r>
      <w:r>
        <w:rPr>
          <w:rFonts w:ascii="Times New Roman" w:hAnsi="Times New Roman"/>
          <w:noProof/>
          <w:sz w:val="24"/>
        </w:rPr>
        <w:t>e, UE ar trebui să continue să coopereze îndeaproape cu organismele relevante ale Organizației Statelor Americane și cu țările din ALC pentru consolidarea regimului internațional al drepturilor omului.</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b/>
          <w:noProof/>
          <w:sz w:val="24"/>
          <w:u w:val="single"/>
        </w:rPr>
        <w:t>Consolidarea poziției societății civile</w:t>
      </w:r>
      <w:r>
        <w:rPr>
          <w:rFonts w:ascii="Times New Roman" w:hAnsi="Times New Roman"/>
          <w:noProof/>
          <w:sz w:val="24"/>
        </w:rPr>
        <w:t xml:space="preserve"> ca piatră de t</w:t>
      </w:r>
      <w:r>
        <w:rPr>
          <w:rFonts w:ascii="Times New Roman" w:hAnsi="Times New Roman"/>
          <w:noProof/>
          <w:sz w:val="24"/>
        </w:rPr>
        <w:t>emelie a oricărui sistem democratic și abordarea restricțiilor și a amenințărilor la adresa spațiului societății civile, a apărătorilor drepturilor omului și mediului, a jurnaliștilor și a sindicaliștilor, inclusiv prin promovarea unui mediu juridic și pol</w:t>
      </w:r>
      <w:r>
        <w:rPr>
          <w:rFonts w:ascii="Times New Roman" w:hAnsi="Times New Roman"/>
          <w:noProof/>
          <w:sz w:val="24"/>
        </w:rPr>
        <w:t>itic favorabil care să le permită acestora să acționeze în mod liber și în condiții de siguranță și să beneficieze de posibilități sporite de participare semnificativă la luarea deciziilor, de acces la justiție și de informare.</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b/>
          <w:noProof/>
          <w:sz w:val="24"/>
          <w:u w:val="single"/>
        </w:rPr>
        <w:t>Promovarea egalității de gen</w:t>
      </w:r>
      <w:r>
        <w:rPr>
          <w:rFonts w:ascii="Times New Roman" w:hAnsi="Times New Roman"/>
          <w:b/>
          <w:noProof/>
          <w:sz w:val="24"/>
          <w:u w:val="single"/>
        </w:rPr>
        <w:t xml:space="preserve"> și a emancipării tuturor femeilor și fetelor</w:t>
      </w:r>
      <w:r>
        <w:rPr>
          <w:rFonts w:ascii="Times New Roman" w:hAnsi="Times New Roman"/>
          <w:noProof/>
          <w:sz w:val="24"/>
        </w:rPr>
        <w:t>, inclusiv protejarea, exercitarea și promovarea drepturilor politice, sociale și economice ale femeilor și integrarea egalității de gen în toate activitățile de cooperare UE-ALC. Parteneriatul ar trebui să abor</w:t>
      </w:r>
      <w:r>
        <w:rPr>
          <w:rFonts w:ascii="Times New Roman" w:hAnsi="Times New Roman"/>
          <w:noProof/>
          <w:sz w:val="24"/>
        </w:rPr>
        <w:t>deze în mod prioritar nivelurile alarmante ale violenței bazate pe gen, valorificând experiența dobândită, printre altele, ca urmare a inițiativei Spotlight, lansată de UE și Organizația Națiunilor Unite în 2018.</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b/>
          <w:noProof/>
          <w:sz w:val="24"/>
          <w:u w:val="single"/>
        </w:rPr>
        <w:t>Asigurarea unor instituții democratice și a</w:t>
      </w:r>
      <w:r>
        <w:rPr>
          <w:rFonts w:ascii="Times New Roman" w:hAnsi="Times New Roman"/>
          <w:b/>
          <w:noProof/>
          <w:sz w:val="24"/>
          <w:u w:val="single"/>
        </w:rPr>
        <w:t xml:space="preserve"> unor procese electorale credibile, transparente și incluzive</w:t>
      </w:r>
      <w:r>
        <w:rPr>
          <w:rFonts w:ascii="Times New Roman" w:hAnsi="Times New Roman"/>
          <w:noProof/>
          <w:sz w:val="24"/>
        </w:rPr>
        <w:t>. UE ar trebui să continue să organizeze misiuni de observare a alegerilor și vizite ale experților și va sprijini consolidarea, ori de câte ori se solicită acest lucru, a sistemelor electorale a</w:t>
      </w:r>
      <w:r>
        <w:rPr>
          <w:rFonts w:ascii="Times New Roman" w:hAnsi="Times New Roman"/>
          <w:noProof/>
          <w:sz w:val="24"/>
        </w:rPr>
        <w:t>le partenerilor, în cooperare cu Organizația Statelor Americane. UE și ALC ar trebui să sporească cooperarea și schimbul de experiență în toate aceste domenii, inclusiv în ceea ce privește pericolele dezinformării.</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b/>
          <w:noProof/>
          <w:sz w:val="24"/>
          <w:u w:val="single"/>
        </w:rPr>
        <w:t>Consolidarea statului de drept și combate</w:t>
      </w:r>
      <w:r>
        <w:rPr>
          <w:rFonts w:ascii="Times New Roman" w:hAnsi="Times New Roman"/>
          <w:b/>
          <w:noProof/>
          <w:sz w:val="24"/>
          <w:u w:val="single"/>
        </w:rPr>
        <w:t>rea corupției, a spălării banilor și a finanțării terorismului</w:t>
      </w:r>
      <w:r>
        <w:rPr>
          <w:rFonts w:ascii="Times New Roman" w:hAnsi="Times New Roman"/>
          <w:b/>
          <w:noProof/>
          <w:sz w:val="24"/>
        </w:rPr>
        <w:t xml:space="preserve">. </w:t>
      </w:r>
      <w:r>
        <w:rPr>
          <w:rFonts w:ascii="Times New Roman" w:hAnsi="Times New Roman"/>
          <w:noProof/>
          <w:sz w:val="24"/>
        </w:rPr>
        <w:t>Se pot pune la dispoziție competențe și capacități tehnice pentru actualizarea și modernizarea legislației și consolidarea instituțiilor de supraveghere. UE ar trebui să colaboreze cu partener</w:t>
      </w:r>
      <w:r>
        <w:rPr>
          <w:rFonts w:ascii="Times New Roman" w:hAnsi="Times New Roman"/>
          <w:noProof/>
          <w:sz w:val="24"/>
        </w:rPr>
        <w:t>ii din ALC pentru a promova ratificarea și punerea în aplicare eficace a acordurilor internaționale relevante. Corupția reprezintă o preocupare comună a UE și a ALC, iar dispozițiile ambițioase privind transparența și combaterea corupției fac parte din pro</w:t>
      </w:r>
      <w:r>
        <w:rPr>
          <w:rFonts w:ascii="Times New Roman" w:hAnsi="Times New Roman"/>
          <w:noProof/>
          <w:sz w:val="24"/>
        </w:rPr>
        <w:t>cesul de modernizare a acordurilor de asociere cu Chile și Mexic și din negocierile cu Mercosur.</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b/>
          <w:noProof/>
          <w:sz w:val="24"/>
          <w:u w:val="single"/>
        </w:rPr>
        <w:t>Sprijinirea eficace a instituțiilor publice</w:t>
      </w:r>
      <w:r>
        <w:rPr>
          <w:rFonts w:ascii="Times New Roman" w:hAnsi="Times New Roman"/>
          <w:b/>
          <w:noProof/>
          <w:sz w:val="24"/>
        </w:rPr>
        <w:t xml:space="preserve"> </w:t>
      </w:r>
      <w:r>
        <w:rPr>
          <w:rFonts w:ascii="Times New Roman" w:hAnsi="Times New Roman"/>
          <w:noProof/>
          <w:sz w:val="24"/>
        </w:rPr>
        <w:t>prin unirea eforturilor de eficientizare a instituțiilor publice, sporirea mobilizării veniturilor interne, realiza</w:t>
      </w:r>
      <w:r>
        <w:rPr>
          <w:rFonts w:ascii="Times New Roman" w:hAnsi="Times New Roman"/>
          <w:noProof/>
          <w:sz w:val="24"/>
        </w:rPr>
        <w:t>rea de reforme fiscale și asigurarea unui serviciu public bazat pe merite. Consolidarea poziției autorităților locale, modernizarea administrațiilor și îmbunătățirea furnizării serviciilor ar trebui să fie domenii prioritare.</w:t>
      </w:r>
    </w:p>
    <w:p w:rsidR="00183B2F" w:rsidRDefault="00183B2F">
      <w:pPr>
        <w:spacing w:after="0" w:line="240" w:lineRule="auto"/>
        <w:jc w:val="both"/>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9288"/>
      </w:tblGrid>
      <w:tr w:rsidR="00183B2F">
        <w:tc>
          <w:tcPr>
            <w:tcW w:w="9288" w:type="dxa"/>
            <w:shd w:val="clear" w:color="auto" w:fill="F2F2F2" w:themeFill="background1" w:themeFillShade="F2"/>
          </w:tcPr>
          <w:p w:rsidR="00183B2F" w:rsidRDefault="00204C9F">
            <w:pPr>
              <w:spacing w:after="120"/>
              <w:contextualSpacing/>
              <w:jc w:val="both"/>
              <w:rPr>
                <w:rFonts w:ascii="Times New Roman" w:hAnsi="Times New Roman" w:cs="Times New Roman"/>
                <w:b/>
                <w:i/>
                <w:noProof/>
                <w:sz w:val="24"/>
                <w:szCs w:val="24"/>
              </w:rPr>
            </w:pPr>
            <w:r>
              <w:rPr>
                <w:rFonts w:ascii="Times New Roman" w:hAnsi="Times New Roman"/>
                <w:b/>
                <w:i/>
                <w:noProof/>
                <w:sz w:val="24"/>
              </w:rPr>
              <w:t>Asocierea pentru democrație:</w:t>
            </w:r>
          </w:p>
          <w:p w:rsidR="00183B2F" w:rsidRDefault="00204C9F">
            <w:pPr>
              <w:numPr>
                <w:ilvl w:val="0"/>
                <w:numId w:val="7"/>
              </w:numPr>
              <w:spacing w:after="120"/>
              <w:ind w:left="284" w:hanging="284"/>
              <w:contextualSpacing/>
              <w:jc w:val="both"/>
              <w:rPr>
                <w:rFonts w:ascii="Times New Roman" w:hAnsi="Times New Roman" w:cs="Times New Roman"/>
                <w:i/>
                <w:noProof/>
                <w:sz w:val="24"/>
                <w:szCs w:val="24"/>
              </w:rPr>
            </w:pPr>
            <w:r>
              <w:rPr>
                <w:rFonts w:ascii="Times New Roman" w:hAnsi="Times New Roman"/>
                <w:i/>
                <w:noProof/>
                <w:sz w:val="24"/>
              </w:rPr>
              <w:t>acordarea de prioritate consolidării respectării drepturilor omului și a principiilor democratice prin întărirea cooperării la nivel regional și bilateral și prin colaborarea cu ALC pentru coordonarea acțiunilor privind drepturile omului în cadrul organism</w:t>
            </w:r>
            <w:r>
              <w:rPr>
                <w:rFonts w:ascii="Times New Roman" w:hAnsi="Times New Roman"/>
                <w:i/>
                <w:noProof/>
                <w:sz w:val="24"/>
              </w:rPr>
              <w:t>elor relevante ale ONU;</w:t>
            </w:r>
          </w:p>
          <w:p w:rsidR="00183B2F" w:rsidRDefault="00204C9F">
            <w:pPr>
              <w:numPr>
                <w:ilvl w:val="0"/>
                <w:numId w:val="7"/>
              </w:numPr>
              <w:spacing w:after="120"/>
              <w:ind w:left="284" w:hanging="284"/>
              <w:contextualSpacing/>
              <w:jc w:val="both"/>
              <w:rPr>
                <w:rFonts w:ascii="Times New Roman" w:hAnsi="Times New Roman" w:cs="Times New Roman"/>
                <w:i/>
                <w:noProof/>
                <w:sz w:val="24"/>
                <w:szCs w:val="24"/>
              </w:rPr>
            </w:pPr>
            <w:r>
              <w:rPr>
                <w:rFonts w:ascii="Times New Roman" w:hAnsi="Times New Roman"/>
                <w:i/>
                <w:noProof/>
                <w:sz w:val="24"/>
              </w:rPr>
              <w:t xml:space="preserve"> sprijinirea unei societăți civile dinamice, inclusiv prin promovarea unui spațiu public mai larg pentru jurnaliști și pentru apărătorii drepturilor omului și ai mediului, precum și prin participarea semnificativă a acestora la proc</w:t>
            </w:r>
            <w:r>
              <w:rPr>
                <w:rFonts w:ascii="Times New Roman" w:hAnsi="Times New Roman"/>
                <w:i/>
                <w:noProof/>
                <w:sz w:val="24"/>
              </w:rPr>
              <w:t>esul decizional;</w:t>
            </w:r>
          </w:p>
          <w:p w:rsidR="00183B2F" w:rsidRDefault="00204C9F">
            <w:pPr>
              <w:numPr>
                <w:ilvl w:val="0"/>
                <w:numId w:val="7"/>
              </w:numPr>
              <w:spacing w:after="120"/>
              <w:ind w:left="284" w:hanging="284"/>
              <w:contextualSpacing/>
              <w:jc w:val="both"/>
              <w:rPr>
                <w:rFonts w:ascii="Times New Roman" w:hAnsi="Times New Roman" w:cs="Times New Roman"/>
                <w:i/>
                <w:noProof/>
                <w:sz w:val="24"/>
                <w:szCs w:val="24"/>
              </w:rPr>
            </w:pPr>
            <w:r>
              <w:rPr>
                <w:rFonts w:ascii="Times New Roman" w:hAnsi="Times New Roman"/>
                <w:i/>
                <w:noProof/>
                <w:sz w:val="24"/>
              </w:rPr>
              <w:t>reducerea violenței bazate pe gen, care a ajuns la un nivel inacceptabil de ridicat, cooperarea cu ALC în vederea promovării drepturilor politice, sociale și economice ale femeilor și fetelor și sprijinirea eforturilor de combatere a viole</w:t>
            </w:r>
            <w:r>
              <w:rPr>
                <w:rFonts w:ascii="Times New Roman" w:hAnsi="Times New Roman"/>
                <w:i/>
                <w:noProof/>
                <w:sz w:val="24"/>
              </w:rPr>
              <w:t>nței împotriva acestora;</w:t>
            </w:r>
          </w:p>
          <w:p w:rsidR="00183B2F" w:rsidRDefault="00204C9F">
            <w:pPr>
              <w:numPr>
                <w:ilvl w:val="0"/>
                <w:numId w:val="7"/>
              </w:numPr>
              <w:spacing w:after="120"/>
              <w:ind w:left="284" w:hanging="284"/>
              <w:contextualSpacing/>
              <w:jc w:val="both"/>
              <w:rPr>
                <w:rFonts w:ascii="Times New Roman" w:hAnsi="Times New Roman" w:cs="Times New Roman"/>
                <w:i/>
                <w:noProof/>
                <w:sz w:val="24"/>
                <w:szCs w:val="24"/>
              </w:rPr>
            </w:pPr>
            <w:r>
              <w:rPr>
                <w:rFonts w:ascii="Times New Roman" w:hAnsi="Times New Roman"/>
                <w:i/>
                <w:noProof/>
                <w:sz w:val="24"/>
              </w:rPr>
              <w:t>consolidarea sprijinului pentru funcționarea instituțiilor democratice, responsabile și transparente și pentru organizarea unor procese electorale echitabile și libere, prin furnizarea de consultanță de specialitate și prin interme</w:t>
            </w:r>
            <w:r>
              <w:rPr>
                <w:rFonts w:ascii="Times New Roman" w:hAnsi="Times New Roman"/>
                <w:i/>
                <w:noProof/>
                <w:sz w:val="24"/>
              </w:rPr>
              <w:t>diul unor misiuni de observare a alegerilor;</w:t>
            </w:r>
          </w:p>
          <w:p w:rsidR="00183B2F" w:rsidRDefault="00204C9F">
            <w:pPr>
              <w:numPr>
                <w:ilvl w:val="0"/>
                <w:numId w:val="7"/>
              </w:numPr>
              <w:spacing w:after="120"/>
              <w:ind w:left="284" w:hanging="284"/>
              <w:contextualSpacing/>
              <w:jc w:val="both"/>
              <w:rPr>
                <w:rFonts w:ascii="Times New Roman" w:hAnsi="Times New Roman" w:cs="Times New Roman"/>
                <w:i/>
                <w:noProof/>
                <w:sz w:val="24"/>
                <w:szCs w:val="24"/>
              </w:rPr>
            </w:pPr>
            <w:r>
              <w:rPr>
                <w:rFonts w:ascii="Times New Roman" w:hAnsi="Times New Roman"/>
                <w:i/>
                <w:noProof/>
                <w:sz w:val="24"/>
              </w:rPr>
              <w:t>intensificarea eforturilor comune de combatere a corupției, a spălării banilor și a finanțării terorismului prin intermediul asistenței tehnice, al schimbului de bune practici și al promovării ratificării și pun</w:t>
            </w:r>
            <w:r>
              <w:rPr>
                <w:rFonts w:ascii="Times New Roman" w:hAnsi="Times New Roman"/>
                <w:i/>
                <w:noProof/>
                <w:sz w:val="24"/>
              </w:rPr>
              <w:t>erii în aplicare a acordurilor internaționale relevante.</w:t>
            </w:r>
          </w:p>
        </w:tc>
      </w:tr>
    </w:tbl>
    <w:p w:rsidR="00183B2F" w:rsidRDefault="00183B2F">
      <w:pPr>
        <w:spacing w:after="0" w:line="240" w:lineRule="auto"/>
        <w:jc w:val="both"/>
        <w:rPr>
          <w:rFonts w:ascii="Times New Roman" w:hAnsi="Times New Roman" w:cs="Times New Roman"/>
          <w:noProof/>
          <w:sz w:val="24"/>
          <w:szCs w:val="24"/>
        </w:rPr>
      </w:pPr>
    </w:p>
    <w:p w:rsidR="00183B2F" w:rsidRDefault="00204C9F">
      <w:pPr>
        <w:keepNext/>
        <w:keepLines/>
        <w:spacing w:after="120" w:line="240" w:lineRule="auto"/>
        <w:jc w:val="both"/>
        <w:rPr>
          <w:rFonts w:ascii="Times New Roman" w:hAnsi="Times New Roman" w:cs="Times New Roman"/>
          <w:b/>
          <w:noProof/>
          <w:sz w:val="24"/>
        </w:rPr>
      </w:pPr>
      <w:r>
        <w:rPr>
          <w:rFonts w:ascii="Times New Roman" w:hAnsi="Times New Roman"/>
          <w:b/>
          <w:noProof/>
          <w:sz w:val="24"/>
        </w:rPr>
        <w:t>2.3. Asocierea pentru reziliență</w:t>
      </w:r>
    </w:p>
    <w:p w:rsidR="00183B2F" w:rsidRDefault="00204C9F">
      <w:pPr>
        <w:spacing w:after="120" w:line="240" w:lineRule="auto"/>
        <w:jc w:val="both"/>
        <w:rPr>
          <w:rFonts w:ascii="Times New Roman" w:hAnsi="Times New Roman" w:cs="Times New Roman"/>
          <w:noProof/>
          <w:sz w:val="24"/>
        </w:rPr>
      </w:pPr>
      <w:r>
        <w:rPr>
          <w:rFonts w:ascii="Times New Roman" w:hAnsi="Times New Roman"/>
          <w:noProof/>
          <w:sz w:val="24"/>
        </w:rPr>
        <w:t>Coeziunea socială este supusă unei presiuni constante într-un context marcat de globalizare, inegalități sociale, urbanizare rapidă, schimbări climatice, degradarea</w:t>
      </w:r>
      <w:r>
        <w:rPr>
          <w:rFonts w:ascii="Times New Roman" w:hAnsi="Times New Roman"/>
          <w:noProof/>
          <w:sz w:val="24"/>
        </w:rPr>
        <w:t xml:space="preserve"> mediului, dezastre recurente și tot mai intense, fluxuri de migrație și deplasări forțate. Toate aceste provocări creează probleme deosebite pentru țările cele mai vulnerabile din ALC și pot face obiectul unor schimburi de experiență și de bune practici î</w:t>
      </w:r>
      <w:r>
        <w:rPr>
          <w:rFonts w:ascii="Times New Roman" w:hAnsi="Times New Roman"/>
          <w:noProof/>
          <w:sz w:val="24"/>
        </w:rPr>
        <w:t>ntre cele două regiuni.</w:t>
      </w:r>
    </w:p>
    <w:p w:rsidR="00183B2F" w:rsidRDefault="00204C9F">
      <w:pPr>
        <w:spacing w:after="120" w:line="240" w:lineRule="auto"/>
        <w:jc w:val="both"/>
        <w:rPr>
          <w:rFonts w:ascii="Times New Roman" w:hAnsi="Times New Roman" w:cs="Times New Roman"/>
          <w:noProof/>
          <w:sz w:val="24"/>
        </w:rPr>
      </w:pPr>
      <w:r>
        <w:rPr>
          <w:rFonts w:ascii="Times New Roman" w:hAnsi="Times New Roman"/>
          <w:noProof/>
          <w:sz w:val="24"/>
        </w:rPr>
        <w:t xml:space="preserve">Pentru a susține progresul traiectoriilor de dezvoltare, UE propune o abordare multilaterală și adaptată pentru a aborda reziliența statului, a societății și a ecosistemelor în relațiile dintre cele două regiuni. În conformitate cu </w:t>
      </w:r>
      <w:r>
        <w:rPr>
          <w:rFonts w:ascii="Times New Roman" w:hAnsi="Times New Roman"/>
          <w:noProof/>
          <w:sz w:val="24"/>
        </w:rPr>
        <w:t>obiectivele de dezvoltare durabilă, cooperarea dintre UE și ALC ar trebui să se concentreze pe:</w:t>
      </w:r>
    </w:p>
    <w:p w:rsidR="00183B2F" w:rsidRDefault="00204C9F">
      <w:pPr>
        <w:spacing w:after="120" w:line="240" w:lineRule="auto"/>
        <w:jc w:val="both"/>
        <w:rPr>
          <w:rFonts w:ascii="Times New Roman" w:hAnsi="Times New Roman" w:cs="Times New Roman"/>
          <w:noProof/>
          <w:sz w:val="24"/>
        </w:rPr>
      </w:pPr>
      <w:r>
        <w:rPr>
          <w:rFonts w:ascii="Times New Roman" w:hAnsi="Times New Roman"/>
          <w:b/>
          <w:noProof/>
          <w:sz w:val="24"/>
          <w:u w:val="single"/>
        </w:rPr>
        <w:t>Agenda privind reziliența la schimbările climatice,</w:t>
      </w:r>
      <w:r>
        <w:rPr>
          <w:rFonts w:ascii="Times New Roman" w:hAnsi="Times New Roman"/>
          <w:b/>
          <w:noProof/>
          <w:sz w:val="24"/>
        </w:rPr>
        <w:t xml:space="preserve"> </w:t>
      </w:r>
      <w:r>
        <w:rPr>
          <w:rFonts w:ascii="Times New Roman" w:hAnsi="Times New Roman"/>
          <w:noProof/>
          <w:sz w:val="24"/>
        </w:rPr>
        <w:t>care vizează gestionarea riscurilor climatice, în special în statele insulare mici în curs de dezvoltare din</w:t>
      </w:r>
      <w:r>
        <w:rPr>
          <w:rFonts w:ascii="Times New Roman" w:hAnsi="Times New Roman"/>
          <w:noProof/>
          <w:sz w:val="24"/>
        </w:rPr>
        <w:t xml:space="preserve"> zona Caraibilor și promovarea unor abordări bazate pe ecosisteme care să sprijine tranziția spre o economie cu emisii scăzute de dioxid de carbon. Cooperarea viitoare se poate baza pe abordarea programului EUROCLIMA+</w:t>
      </w:r>
      <w:r>
        <w:rPr>
          <w:rStyle w:val="FootnoteReference"/>
          <w:rFonts w:ascii="Times New Roman" w:hAnsi="Times New Roman"/>
          <w:noProof/>
          <w:sz w:val="24"/>
        </w:rPr>
        <w:footnoteReference w:id="16"/>
      </w:r>
      <w:r>
        <w:rPr>
          <w:rFonts w:ascii="Times New Roman" w:hAnsi="Times New Roman"/>
          <w:noProof/>
          <w:sz w:val="24"/>
        </w:rPr>
        <w:t>, precum și pe finanțarea de către BEI</w:t>
      </w:r>
      <w:r>
        <w:rPr>
          <w:rFonts w:ascii="Times New Roman" w:hAnsi="Times New Roman"/>
          <w:noProof/>
          <w:sz w:val="24"/>
        </w:rPr>
        <w:t xml:space="preserve"> a proiectelor de investiții care contribuie la acțiunile în domeniul climei și la protecția mediului.</w:t>
      </w:r>
    </w:p>
    <w:p w:rsidR="00183B2F" w:rsidRDefault="00204C9F">
      <w:pPr>
        <w:spacing w:after="120" w:line="240" w:lineRule="auto"/>
        <w:jc w:val="both"/>
        <w:rPr>
          <w:rFonts w:ascii="Times New Roman" w:hAnsi="Times New Roman" w:cs="Times New Roman"/>
          <w:noProof/>
          <w:sz w:val="24"/>
        </w:rPr>
      </w:pPr>
      <w:r>
        <w:rPr>
          <w:rFonts w:ascii="Times New Roman" w:hAnsi="Times New Roman"/>
          <w:noProof/>
          <w:sz w:val="24"/>
        </w:rPr>
        <w:t xml:space="preserve">Cele două regiuni ar trebui să beneficieze de pe urma asigurării unei corelări între fluxurile de finanțare cu o direcție de evoluție către o dezvoltare </w:t>
      </w:r>
      <w:r>
        <w:rPr>
          <w:rFonts w:ascii="Times New Roman" w:hAnsi="Times New Roman"/>
          <w:noProof/>
          <w:sz w:val="24"/>
        </w:rPr>
        <w:t>cu un nivel scăzut de emisii de gaze cu efect de seră și rezilientă la schimbările climatice, de exemplu prin instituirea unor cadre de investiții care să asigure emisii scăzute de dioxid de carbon.</w:t>
      </w:r>
    </w:p>
    <w:p w:rsidR="00183B2F" w:rsidRDefault="00204C9F">
      <w:pPr>
        <w:spacing w:after="120" w:line="240" w:lineRule="auto"/>
        <w:jc w:val="both"/>
        <w:rPr>
          <w:rFonts w:ascii="Times New Roman" w:hAnsi="Times New Roman" w:cs="Times New Roman"/>
          <w:noProof/>
          <w:sz w:val="24"/>
        </w:rPr>
      </w:pPr>
      <w:r>
        <w:rPr>
          <w:rFonts w:ascii="Times New Roman" w:hAnsi="Times New Roman"/>
          <w:noProof/>
          <w:sz w:val="24"/>
        </w:rPr>
        <w:t>Cooperarea pentru dezvoltarea sistemelor alimentare durab</w:t>
      </w:r>
      <w:r>
        <w:rPr>
          <w:rFonts w:ascii="Times New Roman" w:hAnsi="Times New Roman"/>
          <w:noProof/>
          <w:sz w:val="24"/>
        </w:rPr>
        <w:t>ile este foarte importantă. Consolidarea măsurilor de adaptare și de atenuare în sectorul agricol ar trebui să rămână o prioritate.</w:t>
      </w:r>
    </w:p>
    <w:p w:rsidR="00183B2F" w:rsidRDefault="00204C9F">
      <w:pPr>
        <w:spacing w:after="120" w:line="240" w:lineRule="auto"/>
        <w:jc w:val="both"/>
        <w:rPr>
          <w:rFonts w:ascii="Times New Roman" w:hAnsi="Times New Roman" w:cs="Times New Roman"/>
          <w:b/>
          <w:noProof/>
          <w:sz w:val="24"/>
          <w:u w:val="single"/>
        </w:rPr>
      </w:pPr>
      <w:r>
        <w:rPr>
          <w:rFonts w:ascii="Times New Roman" w:hAnsi="Times New Roman"/>
          <w:noProof/>
          <w:sz w:val="24"/>
        </w:rPr>
        <w:t xml:space="preserve">Mecanismul de protecție civilă al Uniunii Europene și Centrul de coordonare a răspunsului la situații de urgență pot </w:t>
      </w:r>
      <w:r>
        <w:rPr>
          <w:rFonts w:ascii="Times New Roman" w:hAnsi="Times New Roman"/>
          <w:noProof/>
          <w:sz w:val="24"/>
        </w:rPr>
        <w:t>completa eforturile depuse de ALC pentru reducerea riscului de dezastre, inclusiv prin promovarea punerii în aplicare a Cadrului de la Sendai pentru reducerea riscurilor de dezastre în perioada 2015-2030.</w:t>
      </w:r>
    </w:p>
    <w:p w:rsidR="00183B2F" w:rsidRDefault="00204C9F">
      <w:pPr>
        <w:spacing w:after="120" w:line="240" w:lineRule="auto"/>
        <w:jc w:val="both"/>
        <w:rPr>
          <w:rFonts w:ascii="Times New Roman" w:hAnsi="Times New Roman" w:cs="Times New Roman"/>
          <w:noProof/>
          <w:sz w:val="24"/>
        </w:rPr>
      </w:pPr>
      <w:r>
        <w:rPr>
          <w:rFonts w:ascii="Times New Roman" w:hAnsi="Times New Roman"/>
          <w:b/>
          <w:noProof/>
          <w:sz w:val="24"/>
          <w:u w:val="single"/>
        </w:rPr>
        <w:t>Mediul și biodiversitatea</w:t>
      </w:r>
      <w:r>
        <w:rPr>
          <w:rFonts w:ascii="Times New Roman" w:hAnsi="Times New Roman"/>
          <w:noProof/>
          <w:sz w:val="24"/>
        </w:rPr>
        <w:t>. ALC deține 40 % din biod</w:t>
      </w:r>
      <w:r>
        <w:rPr>
          <w:rFonts w:ascii="Times New Roman" w:hAnsi="Times New Roman"/>
          <w:noProof/>
          <w:sz w:val="24"/>
        </w:rPr>
        <w:t>iversitatea mondială și 7 din cele 25 de „zone fierbinți” din punctul de vedere al biodiversității din întreaga lume</w:t>
      </w:r>
      <w:r>
        <w:rPr>
          <w:rStyle w:val="FootnoteReference"/>
          <w:rFonts w:ascii="Times New Roman" w:hAnsi="Times New Roman"/>
          <w:noProof/>
          <w:sz w:val="24"/>
        </w:rPr>
        <w:footnoteReference w:id="17"/>
      </w:r>
      <w:r>
        <w:rPr>
          <w:rFonts w:ascii="Times New Roman" w:hAnsi="Times New Roman"/>
          <w:noProof/>
          <w:sz w:val="24"/>
        </w:rPr>
        <w:t>. Pierderea biodiversității, extracțiile nesustenabile, gestionarea resurselor naturale și degradarea terenurilor, a pădurilor, a apei și a</w:t>
      </w:r>
      <w:r>
        <w:rPr>
          <w:rFonts w:ascii="Times New Roman" w:hAnsi="Times New Roman"/>
          <w:noProof/>
          <w:sz w:val="24"/>
        </w:rPr>
        <w:t xml:space="preserve"> zonelor de coastă reprezintă provocări critice din punctul de vedere al mediului, cu impact semnificativ asupra serviciilor ecosistemice și asupra bunăstării grupurilor vulnerabile, inclusiv asupra comunităților indigene și locale. Cererea mondială de pro</w:t>
      </w:r>
      <w:r>
        <w:rPr>
          <w:rFonts w:ascii="Times New Roman" w:hAnsi="Times New Roman"/>
          <w:noProof/>
          <w:sz w:val="24"/>
        </w:rPr>
        <w:t>duse de bază sporește presiunea asupra resurselor naturale și conduce la despăduriri masive și la degradarea gravă a mediului, afectând mijloacele de subzistență și dezvoltarea. Parteneriatul ar trebui să sprijine gestionarea durabilă a resurselor naturale</w:t>
      </w:r>
      <w:r>
        <w:rPr>
          <w:rFonts w:ascii="Times New Roman" w:hAnsi="Times New Roman"/>
          <w:noProof/>
          <w:sz w:val="24"/>
        </w:rPr>
        <w:t xml:space="preserve"> existente la nivel regional, inclusiv a terenurilor, a pădurilor și a apei, conservarea ecosistemelor și a lanțurilor de aprovizionare agricole durabile. De asemenea, parteneriatul ar trebui să promoveze punerea în aplicare a planului de acțiune pe termen</w:t>
      </w:r>
      <w:r>
        <w:rPr>
          <w:rFonts w:ascii="Times New Roman" w:hAnsi="Times New Roman"/>
          <w:noProof/>
          <w:sz w:val="24"/>
        </w:rPr>
        <w:t xml:space="preserve"> scurt privind refacerea ecosistemelor, adoptat în cadrul Convenției privind diversitatea biologică (1992), a Planului strategic pentru biodiversitate 2011-2020 și a Cadrului pentru biodiversitate post-2020, precum și a altor angajamente internaționale și </w:t>
      </w:r>
      <w:r>
        <w:rPr>
          <w:rFonts w:ascii="Times New Roman" w:hAnsi="Times New Roman"/>
          <w:noProof/>
          <w:sz w:val="24"/>
        </w:rPr>
        <w:t>acorduri multilaterale de mediu.</w:t>
      </w:r>
    </w:p>
    <w:p w:rsidR="00183B2F" w:rsidRDefault="00204C9F">
      <w:pPr>
        <w:spacing w:after="120" w:line="240" w:lineRule="auto"/>
        <w:jc w:val="both"/>
        <w:rPr>
          <w:rFonts w:ascii="Times New Roman" w:hAnsi="Times New Roman" w:cs="Times New Roman"/>
          <w:noProof/>
          <w:sz w:val="24"/>
        </w:rPr>
      </w:pPr>
      <w:r>
        <w:rPr>
          <w:rFonts w:ascii="Times New Roman" w:hAnsi="Times New Roman"/>
          <w:b/>
          <w:noProof/>
          <w:sz w:val="24"/>
          <w:u w:val="single"/>
        </w:rPr>
        <w:t>Lupta împotriva inegalității</w:t>
      </w:r>
      <w:r>
        <w:rPr>
          <w:rFonts w:ascii="Times New Roman" w:hAnsi="Times New Roman"/>
          <w:b/>
          <w:noProof/>
          <w:sz w:val="24"/>
        </w:rPr>
        <w:t xml:space="preserve">. </w:t>
      </w:r>
      <w:r>
        <w:rPr>
          <w:rFonts w:ascii="Times New Roman" w:hAnsi="Times New Roman"/>
          <w:noProof/>
          <w:sz w:val="24"/>
        </w:rPr>
        <w:t xml:space="preserve">Inegalitățile persistente împiedică coeziunea socială, ducând la pierderi în materie de oportunități și creștere economică, la infracțiuni și violență și la o încredere redusă în instituții, </w:t>
      </w:r>
      <w:r>
        <w:rPr>
          <w:rFonts w:ascii="Times New Roman" w:hAnsi="Times New Roman"/>
          <w:noProof/>
          <w:sz w:val="24"/>
        </w:rPr>
        <w:t>ceea ce are drept consecință, în cele din urmă, erodarea democrației și a statului de drept. Indicele GINI a înregistrat o scădere continuă în America Latină, de la 0,543 în 2002 la 0,466 în 2017, dar această scădere a încetinit în ultimii ani</w:t>
      </w:r>
      <w:r>
        <w:rPr>
          <w:rStyle w:val="FootnoteReference"/>
          <w:rFonts w:ascii="Times New Roman" w:hAnsi="Times New Roman"/>
          <w:noProof/>
          <w:sz w:val="24"/>
        </w:rPr>
        <w:footnoteReference w:id="18"/>
      </w:r>
      <w:r>
        <w:rPr>
          <w:rFonts w:ascii="Times New Roman" w:hAnsi="Times New Roman"/>
          <w:noProof/>
          <w:sz w:val="24"/>
        </w:rPr>
        <w:t>. În 2017, n</w:t>
      </w:r>
      <w:r>
        <w:rPr>
          <w:rFonts w:ascii="Times New Roman" w:hAnsi="Times New Roman"/>
          <w:noProof/>
          <w:sz w:val="24"/>
        </w:rPr>
        <w:t>umărul persoanelor care trăiesc în condiții de sărăcie a ajuns la 184 de milioane (30,2 % din populație), iar proporția persoanelor care trăiesc în sărăcie extremă a continuat să crească (62 de milioane, 10,2 % din populație, cel mai mare procent înregistr</w:t>
      </w:r>
      <w:r>
        <w:rPr>
          <w:rFonts w:ascii="Times New Roman" w:hAnsi="Times New Roman"/>
          <w:noProof/>
          <w:sz w:val="24"/>
        </w:rPr>
        <w:t>at din 2008 până în prezent)</w:t>
      </w:r>
      <w:r>
        <w:rPr>
          <w:rStyle w:val="FootnoteReference"/>
          <w:rFonts w:ascii="Times New Roman" w:hAnsi="Times New Roman"/>
          <w:noProof/>
          <w:sz w:val="24"/>
        </w:rPr>
        <w:footnoteReference w:id="19"/>
      </w:r>
      <w:r>
        <w:rPr>
          <w:rFonts w:ascii="Times New Roman" w:hAnsi="Times New Roman"/>
          <w:noProof/>
          <w:sz w:val="24"/>
        </w:rPr>
        <w:t xml:space="preserve">. În următorii ani, angajamentul comun în favoarea coeziunii sociale ar trebui să se concretizeze într-un dialog mai strâns, inclusiv prin schimburi de bune practici în acest domeniu. </w:t>
      </w:r>
    </w:p>
    <w:p w:rsidR="00183B2F" w:rsidRDefault="00204C9F">
      <w:pPr>
        <w:spacing w:after="120" w:line="240" w:lineRule="auto"/>
        <w:jc w:val="both"/>
        <w:rPr>
          <w:rFonts w:ascii="Times New Roman" w:hAnsi="Times New Roman" w:cs="Times New Roman"/>
          <w:noProof/>
          <w:sz w:val="24"/>
        </w:rPr>
      </w:pPr>
      <w:r>
        <w:rPr>
          <w:rFonts w:ascii="Times New Roman" w:hAnsi="Times New Roman"/>
          <w:noProof/>
          <w:sz w:val="24"/>
        </w:rPr>
        <w:t>Cele două regiuni ar trebui să consolideze</w:t>
      </w:r>
      <w:r>
        <w:rPr>
          <w:rFonts w:ascii="Times New Roman" w:hAnsi="Times New Roman"/>
          <w:noProof/>
          <w:sz w:val="24"/>
        </w:rPr>
        <w:t xml:space="preserve"> cooperarea privind sistemele fiscale echitabile și eficace și protecția socială ca instrumente esențiale pentru stimularea creșterii economice incluzive și combaterea inegalităților. În acest sens, ar trebui să se valorifice cooperarea emergentă privind </w:t>
      </w:r>
      <w:r>
        <w:rPr>
          <w:rFonts w:ascii="Times New Roman" w:hAnsi="Times New Roman"/>
          <w:b/>
          <w:noProof/>
          <w:sz w:val="24"/>
        </w:rPr>
        <w:t>b</w:t>
      </w:r>
      <w:r>
        <w:rPr>
          <w:rFonts w:ascii="Times New Roman" w:hAnsi="Times New Roman"/>
          <w:b/>
          <w:noProof/>
          <w:sz w:val="24"/>
        </w:rPr>
        <w:t>una guvernanță fiscală</w:t>
      </w:r>
      <w:r>
        <w:rPr>
          <w:rFonts w:ascii="Times New Roman" w:hAnsi="Times New Roman"/>
          <w:noProof/>
          <w:sz w:val="24"/>
        </w:rPr>
        <w:t>, cu un nivel ridicat de angajament în ceea ce privește combaterea fraudei fiscale, a evaziunii fiscale și a evitării obligațiilor fiscale. Prin intermediul unor programe precum EuroSOCIAL, cele două părți ar putea face schimb de expe</w:t>
      </w:r>
      <w:r>
        <w:rPr>
          <w:rFonts w:ascii="Times New Roman" w:hAnsi="Times New Roman"/>
          <w:noProof/>
          <w:sz w:val="24"/>
        </w:rPr>
        <w:t>riență în materie de impozitare, de politici de redistribuire și de asigurare a serviciilor sociale, inclusiv beneficiind de măsurile inovatoare aplicate în regiunea ALC în ceea ce privește digitalizarea procesului de asigurare a conformării fiscale. Ar tr</w:t>
      </w:r>
      <w:r>
        <w:rPr>
          <w:rFonts w:ascii="Times New Roman" w:hAnsi="Times New Roman"/>
          <w:noProof/>
          <w:sz w:val="24"/>
        </w:rPr>
        <w:t xml:space="preserve">ebui activat dialogul biregional privind coeziunea socială. Ambele regiuni ar trebui să coopereze în continuare pentru a asigura punerea în aplicare în viitor a standardelor mondiale, aflate în plină evoluție, în materie de transparență, precum și în ceea </w:t>
      </w:r>
      <w:r>
        <w:rPr>
          <w:rFonts w:ascii="Times New Roman" w:hAnsi="Times New Roman"/>
          <w:noProof/>
          <w:sz w:val="24"/>
        </w:rPr>
        <w:t>ce privește schimbul de informații, echitatea fiscală și standardele minime pentru combaterea erodării bazei impozabile și a transferului profiturilor</w:t>
      </w:r>
      <w:r>
        <w:rPr>
          <w:rStyle w:val="FootnoteReference"/>
          <w:rFonts w:ascii="Times New Roman" w:hAnsi="Times New Roman"/>
          <w:noProof/>
          <w:sz w:val="24"/>
        </w:rPr>
        <w:footnoteReference w:id="20"/>
      </w:r>
      <w:r>
        <w:rPr>
          <w:rFonts w:ascii="Times New Roman" w:hAnsi="Times New Roman"/>
          <w:noProof/>
          <w:sz w:val="24"/>
        </w:rPr>
        <w:t>.</w:t>
      </w:r>
    </w:p>
    <w:p w:rsidR="00183B2F" w:rsidRDefault="00204C9F">
      <w:pPr>
        <w:spacing w:after="120" w:line="240" w:lineRule="auto"/>
        <w:jc w:val="both"/>
        <w:rPr>
          <w:rFonts w:ascii="Times New Roman" w:hAnsi="Times New Roman" w:cs="Times New Roman"/>
          <w:noProof/>
          <w:sz w:val="24"/>
        </w:rPr>
      </w:pPr>
      <w:r>
        <w:rPr>
          <w:rFonts w:ascii="Times New Roman" w:hAnsi="Times New Roman"/>
          <w:b/>
          <w:noProof/>
          <w:sz w:val="24"/>
          <w:u w:val="single"/>
        </w:rPr>
        <w:t>Securitatea cetățenilor și combaterea crimei organizate.</w:t>
      </w:r>
      <w:r>
        <w:rPr>
          <w:rFonts w:ascii="Times New Roman" w:hAnsi="Times New Roman"/>
          <w:b/>
          <w:noProof/>
          <w:sz w:val="24"/>
        </w:rPr>
        <w:t xml:space="preserve"> </w:t>
      </w:r>
      <w:r>
        <w:rPr>
          <w:rFonts w:ascii="Times New Roman" w:hAnsi="Times New Roman"/>
          <w:noProof/>
          <w:sz w:val="24"/>
        </w:rPr>
        <w:t>Ambele regiuni ar trebui să consolideze dialog</w:t>
      </w:r>
      <w:r>
        <w:rPr>
          <w:rFonts w:ascii="Times New Roman" w:hAnsi="Times New Roman"/>
          <w:noProof/>
          <w:sz w:val="24"/>
        </w:rPr>
        <w:t>ul biregional privind securitatea cetățenilor ca mecanism de schimb de experiență și de identificare a posibilităților de dezvoltare a cooperării, inclusiv în ceea ce privește consecințele umanitare ale criminalității organizate</w:t>
      </w:r>
      <w:r>
        <w:rPr>
          <w:rStyle w:val="FootnoteReference"/>
          <w:rFonts w:ascii="Times New Roman" w:hAnsi="Times New Roman"/>
          <w:noProof/>
          <w:sz w:val="24"/>
        </w:rPr>
        <w:footnoteReference w:id="21"/>
      </w:r>
      <w:r>
        <w:rPr>
          <w:rFonts w:ascii="Times New Roman" w:hAnsi="Times New Roman"/>
          <w:noProof/>
          <w:sz w:val="24"/>
        </w:rPr>
        <w:t xml:space="preserve">. În acest scop, cele două </w:t>
      </w:r>
      <w:r>
        <w:rPr>
          <w:rFonts w:ascii="Times New Roman" w:hAnsi="Times New Roman"/>
          <w:noProof/>
          <w:sz w:val="24"/>
        </w:rPr>
        <w:t>părți s­ar putea baza pe seminariile care reunesc UE și</w:t>
      </w:r>
      <w:r>
        <w:rPr>
          <w:noProof/>
        </w:rPr>
        <w:tab/>
      </w:r>
      <w:r>
        <w:rPr>
          <w:rFonts w:ascii="Times New Roman" w:hAnsi="Times New Roman"/>
          <w:noProof/>
          <w:sz w:val="24"/>
        </w:rPr>
        <w:t xml:space="preserve">Comunitatea Statelor Latino-Americane și Caraibiene (CELAC) având drept temă securitatea cetățenilor și pe programele de cooperare bilaterală și regională în domeniul luptei împotriva drogurilor care </w:t>
      </w:r>
      <w:r>
        <w:rPr>
          <w:rFonts w:ascii="Times New Roman" w:hAnsi="Times New Roman"/>
          <w:noProof/>
          <w:sz w:val="24"/>
        </w:rPr>
        <w:t>au înregistrat rezultate pozitive (de exemplu, Programul de cooperare privind politicile în materie de droguri - COPOLAD, Programul „Ruta cocainei”), precum și pe programele de luptă împotriva criminalității organizate transnaționale (de exemplu, EL PAcCTO</w:t>
      </w:r>
      <w:r>
        <w:rPr>
          <w:rFonts w:ascii="Times New Roman" w:hAnsi="Times New Roman"/>
          <w:noProof/>
          <w:sz w:val="24"/>
        </w:rPr>
        <w:t>). În plus, dată fiind amploarea provocării, ar trebui instituită o cooperare practică între agențiile de aplicare a legii din ambele regiuni, precum și între agenții cum ar fi EUROPOL, Agenția Uniunii Europene pentru Formare în Materie de Aplicare a Legii</w:t>
      </w:r>
      <w:r>
        <w:rPr>
          <w:rFonts w:ascii="Times New Roman" w:hAnsi="Times New Roman"/>
          <w:noProof/>
          <w:sz w:val="24"/>
        </w:rPr>
        <w:t xml:space="preserve"> (CEPOL), Comunitatea forțelor de poliție din cele două Americi (AMERIPOL) și Agenția de punere în aplicare a măsurilor de combatere a infracțiunilor și de asigurare a securității a CARICOM (IMPACS). De asemenea, cooperarea ar trebui să continue să abordez</w:t>
      </w:r>
      <w:r>
        <w:rPr>
          <w:rFonts w:ascii="Times New Roman" w:hAnsi="Times New Roman"/>
          <w:noProof/>
          <w:sz w:val="24"/>
        </w:rPr>
        <w:t>e cauzele infracțiunilor, cum ar fi sărăcia, excluziunea socială și gestionarea defectuoasă a resurselor naturale.</w:t>
      </w:r>
    </w:p>
    <w:p w:rsidR="00183B2F" w:rsidRDefault="00204C9F">
      <w:pPr>
        <w:spacing w:after="120" w:line="240" w:lineRule="auto"/>
        <w:jc w:val="both"/>
        <w:rPr>
          <w:rFonts w:ascii="Times New Roman" w:hAnsi="Times New Roman" w:cs="Times New Roman"/>
          <w:noProof/>
          <w:sz w:val="24"/>
        </w:rPr>
      </w:pPr>
      <w:r>
        <w:rPr>
          <w:rFonts w:ascii="Times New Roman" w:hAnsi="Times New Roman"/>
          <w:b/>
          <w:noProof/>
          <w:sz w:val="24"/>
          <w:u w:val="single"/>
        </w:rPr>
        <w:t>Migrația și mobilitatea</w:t>
      </w:r>
      <w:r>
        <w:rPr>
          <w:rFonts w:ascii="Times New Roman" w:hAnsi="Times New Roman"/>
          <w:b/>
          <w:noProof/>
          <w:sz w:val="24"/>
        </w:rPr>
        <w:t>.</w:t>
      </w:r>
      <w:r>
        <w:rPr>
          <w:rFonts w:ascii="Times New Roman" w:hAnsi="Times New Roman"/>
          <w:noProof/>
          <w:sz w:val="24"/>
        </w:rPr>
        <w:t xml:space="preserve"> Baza legăturilor strânse dintre UE și ALC o constituie oamenii. În același timp, ambele regiuni s-au confruntat cu p</w:t>
      </w:r>
      <w:r>
        <w:rPr>
          <w:rFonts w:ascii="Times New Roman" w:hAnsi="Times New Roman"/>
          <w:noProof/>
          <w:sz w:val="24"/>
        </w:rPr>
        <w:t xml:space="preserve">rovocările legate de migrație și ar putea beneficia de pe urma schimbului de experiență și de bune practici. Criza din Venezuela a cauzat cea mai amplă deplasare de populație din istoria recentă a Americii Latine, peste trei milioane de venezueleni trăind </w:t>
      </w:r>
      <w:r>
        <w:rPr>
          <w:rFonts w:ascii="Times New Roman" w:hAnsi="Times New Roman"/>
          <w:noProof/>
          <w:sz w:val="24"/>
        </w:rPr>
        <w:t>în prezent în străinătate</w:t>
      </w:r>
      <w:r>
        <w:rPr>
          <w:rStyle w:val="FootnoteReference"/>
          <w:rFonts w:ascii="Times New Roman" w:hAnsi="Times New Roman"/>
          <w:noProof/>
          <w:sz w:val="24"/>
        </w:rPr>
        <w:footnoteReference w:id="22"/>
      </w:r>
      <w:r>
        <w:rPr>
          <w:rFonts w:ascii="Times New Roman" w:hAnsi="Times New Roman"/>
          <w:noProof/>
          <w:sz w:val="24"/>
        </w:rPr>
        <w:t xml:space="preserve"> și influențând astfel tendințele tradiționale în materie de migrație de pe acest continent.</w:t>
      </w:r>
    </w:p>
    <w:p w:rsidR="00183B2F" w:rsidRDefault="00204C9F">
      <w:pPr>
        <w:spacing w:after="120" w:line="240" w:lineRule="auto"/>
        <w:jc w:val="both"/>
        <w:rPr>
          <w:rFonts w:ascii="Times New Roman" w:hAnsi="Times New Roman" w:cs="Times New Roman"/>
          <w:noProof/>
          <w:sz w:val="24"/>
        </w:rPr>
      </w:pPr>
      <w:r>
        <w:rPr>
          <w:rFonts w:ascii="Times New Roman" w:hAnsi="Times New Roman"/>
          <w:noProof/>
          <w:sz w:val="24"/>
        </w:rPr>
        <w:t>UE ar trebui să depună eforturi pentru a intensifica dialogul și cooperarea în materie de migrație și mobilitate între cele două regiuni,</w:t>
      </w:r>
      <w:r>
        <w:rPr>
          <w:rFonts w:ascii="Times New Roman" w:hAnsi="Times New Roman"/>
          <w:noProof/>
          <w:sz w:val="24"/>
        </w:rPr>
        <w:t xml:space="preserve"> în special pentru a preveni migrația neregulamentară și traficul de persoane, pentru a crește ratele de returnare și readmisie, pentru a consolida gestionarea frontierelor, securitatea documentelor, integrarea migranților pe piețele forței de muncă și în </w:t>
      </w:r>
      <w:r>
        <w:rPr>
          <w:rFonts w:ascii="Times New Roman" w:hAnsi="Times New Roman"/>
          <w:noProof/>
          <w:sz w:val="24"/>
        </w:rPr>
        <w:t>cadrul societății și protecția persoanelor aflate în dificultate. Pe baza experienței ambelor părți, ar trebui să continue cooperarea biregională privind guvernanța multilaterală a migrației și mobilității, inclusiv în cadrul Organizației Națiunilor Unite.</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b/>
          <w:noProof/>
          <w:sz w:val="24"/>
          <w:u w:val="single"/>
        </w:rPr>
        <w:t>Reziliența instituțională</w:t>
      </w:r>
      <w:r>
        <w:rPr>
          <w:rFonts w:ascii="Times New Roman" w:hAnsi="Times New Roman"/>
          <w:noProof/>
          <w:sz w:val="24"/>
        </w:rPr>
        <w:t xml:space="preserve"> este esențială pentru o bună guvernanță politică și economică și pentru asigurarea respectării statului de drept. Reziliența ar trebui abordată la mai multe niveluri - al statului, al societății și al comunității. Autoritățile lo</w:t>
      </w:r>
      <w:r>
        <w:rPr>
          <w:rFonts w:ascii="Times New Roman" w:hAnsi="Times New Roman"/>
          <w:noProof/>
          <w:sz w:val="24"/>
        </w:rPr>
        <w:t xml:space="preserve">cale și societatea civilă reprezintă de multe ori baza pe care reziliența se poate sprijini și dezvolta la nivel de comunitate. UE ar trebui să consolideze dialogul sectorial în materie de politici cu țările ALC, pe baza bunelor practici ale UE în materie </w:t>
      </w:r>
      <w:r>
        <w:rPr>
          <w:rFonts w:ascii="Times New Roman" w:hAnsi="Times New Roman"/>
          <w:noProof/>
          <w:sz w:val="24"/>
        </w:rPr>
        <w:t>de promovare a rezilienței.</w:t>
      </w:r>
    </w:p>
    <w:p w:rsidR="00183B2F" w:rsidRDefault="00204C9F">
      <w:pPr>
        <w:spacing w:after="120" w:line="240" w:lineRule="auto"/>
        <w:jc w:val="both"/>
        <w:rPr>
          <w:rFonts w:ascii="Times New Roman" w:hAnsi="Times New Roman" w:cs="Times New Roman"/>
          <w:bCs/>
          <w:noProof/>
          <w:sz w:val="24"/>
        </w:rPr>
      </w:pPr>
      <w:r>
        <w:rPr>
          <w:rFonts w:ascii="Times New Roman" w:hAnsi="Times New Roman"/>
          <w:b/>
          <w:noProof/>
          <w:sz w:val="24"/>
          <w:u w:val="single"/>
        </w:rPr>
        <w:t>Cooperarea culturală</w:t>
      </w:r>
      <w:r>
        <w:rPr>
          <w:rFonts w:ascii="Times New Roman" w:hAnsi="Times New Roman"/>
          <w:noProof/>
          <w:sz w:val="24"/>
        </w:rPr>
        <w:t xml:space="preserve"> poate contribui la transformarea diversității culturale și a patrimoniului bogat, puncte forte ale ambelor regiuni, într-o resursă pentru dezvoltarea umană și creșterea economică. UE propune o abordare de ti</w:t>
      </w:r>
      <w:r>
        <w:rPr>
          <w:rFonts w:ascii="Times New Roman" w:hAnsi="Times New Roman"/>
          <w:noProof/>
          <w:sz w:val="24"/>
        </w:rPr>
        <w:t>p interpersonal a politicii culturale, care să vizeze operatorii culturali și să promoveze parteneriatele, coproducțiile și schimburile bazate pe trei piloni: (i) sprijinirea culturii ca motor al dezvoltării sociale și economice; (ii) promovarea culturii ș</w:t>
      </w:r>
      <w:r>
        <w:rPr>
          <w:rFonts w:ascii="Times New Roman" w:hAnsi="Times New Roman"/>
          <w:noProof/>
          <w:sz w:val="24"/>
        </w:rPr>
        <w:t>i a dialogului intercultural pentru relații intercomunitare pașnice și (iii) consolidarea cooperării în domeniul patrimoniului cultural. Acest lucru va contribui, de asemenea, la valorificarea potențialului imens al celor două regiuni în industriile cultur</w:t>
      </w:r>
      <w:r>
        <w:rPr>
          <w:rFonts w:ascii="Times New Roman" w:hAnsi="Times New Roman"/>
          <w:noProof/>
          <w:sz w:val="24"/>
        </w:rPr>
        <w:t>ale și creative, inclusiv în sectoare precum designul, serviciile digitale, moda, muzica și artele audiovizuale.</w:t>
      </w:r>
    </w:p>
    <w:p w:rsidR="00183B2F" w:rsidRDefault="00183B2F">
      <w:pPr>
        <w:spacing w:after="0" w:line="240" w:lineRule="auto"/>
        <w:jc w:val="both"/>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9288"/>
      </w:tblGrid>
      <w:tr w:rsidR="00183B2F">
        <w:tc>
          <w:tcPr>
            <w:tcW w:w="9288" w:type="dxa"/>
            <w:shd w:val="clear" w:color="auto" w:fill="F2F2F2" w:themeFill="background1" w:themeFillShade="F2"/>
          </w:tcPr>
          <w:p w:rsidR="00183B2F" w:rsidRDefault="00204C9F">
            <w:pPr>
              <w:spacing w:after="120"/>
              <w:contextualSpacing/>
              <w:jc w:val="both"/>
              <w:rPr>
                <w:rFonts w:ascii="Times New Roman" w:hAnsi="Times New Roman" w:cs="Times New Roman"/>
                <w:b/>
                <w:i/>
                <w:noProof/>
                <w:sz w:val="24"/>
              </w:rPr>
            </w:pPr>
            <w:r>
              <w:rPr>
                <w:rFonts w:ascii="Times New Roman" w:hAnsi="Times New Roman"/>
                <w:b/>
                <w:i/>
                <w:noProof/>
                <w:sz w:val="24"/>
              </w:rPr>
              <w:t>Asocierea pentru reziliență:</w:t>
            </w:r>
          </w:p>
          <w:p w:rsidR="00183B2F" w:rsidRDefault="00204C9F">
            <w:pPr>
              <w:numPr>
                <w:ilvl w:val="0"/>
                <w:numId w:val="1"/>
              </w:numPr>
              <w:spacing w:after="120"/>
              <w:contextualSpacing/>
              <w:jc w:val="both"/>
              <w:rPr>
                <w:rFonts w:ascii="Times New Roman" w:hAnsi="Times New Roman" w:cs="Times New Roman"/>
                <w:i/>
                <w:noProof/>
                <w:sz w:val="24"/>
              </w:rPr>
            </w:pPr>
            <w:r>
              <w:rPr>
                <w:rFonts w:ascii="Times New Roman" w:hAnsi="Times New Roman"/>
                <w:i/>
                <w:noProof/>
                <w:sz w:val="24"/>
              </w:rPr>
              <w:t xml:space="preserve">promovarea gestionării durabile a resurselor naturale și a ecosistemelor și punerea în aplicare în continuare a </w:t>
            </w:r>
            <w:r>
              <w:rPr>
                <w:rFonts w:ascii="Times New Roman" w:hAnsi="Times New Roman"/>
                <w:i/>
                <w:noProof/>
                <w:sz w:val="24"/>
              </w:rPr>
              <w:t>Planului strategic pentru biodiversitate și a Cadrului pentru biodiversitate post-2020;</w:t>
            </w:r>
          </w:p>
          <w:p w:rsidR="00183B2F" w:rsidRDefault="00204C9F">
            <w:pPr>
              <w:numPr>
                <w:ilvl w:val="0"/>
                <w:numId w:val="1"/>
              </w:numPr>
              <w:spacing w:after="120"/>
              <w:contextualSpacing/>
              <w:jc w:val="both"/>
              <w:rPr>
                <w:rFonts w:ascii="Times New Roman" w:hAnsi="Times New Roman" w:cs="Times New Roman"/>
                <w:i/>
                <w:noProof/>
                <w:sz w:val="24"/>
              </w:rPr>
            </w:pPr>
            <w:r>
              <w:rPr>
                <w:rFonts w:ascii="Times New Roman" w:hAnsi="Times New Roman"/>
                <w:i/>
                <w:noProof/>
                <w:sz w:val="24"/>
              </w:rPr>
              <w:t>facilitarea coordonării și aprofundarea cooperării în domeniul gestionării dezastrelor și în cel al protecției civile;</w:t>
            </w:r>
          </w:p>
          <w:p w:rsidR="00183B2F" w:rsidRDefault="00204C9F">
            <w:pPr>
              <w:numPr>
                <w:ilvl w:val="0"/>
                <w:numId w:val="1"/>
              </w:numPr>
              <w:spacing w:after="120"/>
              <w:contextualSpacing/>
              <w:jc w:val="both"/>
              <w:rPr>
                <w:rFonts w:ascii="Times New Roman" w:hAnsi="Times New Roman" w:cs="Times New Roman"/>
                <w:i/>
                <w:noProof/>
                <w:sz w:val="24"/>
              </w:rPr>
            </w:pPr>
            <w:r>
              <w:rPr>
                <w:rFonts w:ascii="Times New Roman" w:hAnsi="Times New Roman"/>
                <w:i/>
                <w:noProof/>
                <w:sz w:val="24"/>
              </w:rPr>
              <w:t>intensificarea dialogului și a cooperării în dome</w:t>
            </w:r>
            <w:r>
              <w:rPr>
                <w:rFonts w:ascii="Times New Roman" w:hAnsi="Times New Roman"/>
                <w:i/>
                <w:noProof/>
                <w:sz w:val="24"/>
              </w:rPr>
              <w:t>niile coeziunii sociale, protecției sociale, bunei guvernanțe fiscale și reglementării financiare;</w:t>
            </w:r>
          </w:p>
          <w:p w:rsidR="00183B2F" w:rsidRDefault="00204C9F">
            <w:pPr>
              <w:numPr>
                <w:ilvl w:val="0"/>
                <w:numId w:val="1"/>
              </w:numPr>
              <w:spacing w:after="120"/>
              <w:contextualSpacing/>
              <w:jc w:val="both"/>
              <w:rPr>
                <w:rFonts w:ascii="Times New Roman" w:hAnsi="Times New Roman" w:cs="Times New Roman"/>
                <w:i/>
                <w:noProof/>
                <w:sz w:val="24"/>
              </w:rPr>
            </w:pPr>
            <w:r>
              <w:rPr>
                <w:rFonts w:ascii="Times New Roman" w:hAnsi="Times New Roman"/>
                <w:i/>
                <w:noProof/>
                <w:sz w:val="24"/>
              </w:rPr>
              <w:t xml:space="preserve">accelerarea cooperării în domeniile securității și luptei împotriva criminalității organizate, prin recurgerea într-o mai mare măsură la dialogul biregional </w:t>
            </w:r>
            <w:r>
              <w:rPr>
                <w:rFonts w:ascii="Times New Roman" w:hAnsi="Times New Roman"/>
                <w:i/>
                <w:noProof/>
                <w:sz w:val="24"/>
              </w:rPr>
              <w:t>privind securitatea cetățenilor și la cooperarea dintre agențiile de aplicare a legii;</w:t>
            </w:r>
          </w:p>
          <w:p w:rsidR="00183B2F" w:rsidRDefault="00204C9F">
            <w:pPr>
              <w:numPr>
                <w:ilvl w:val="0"/>
                <w:numId w:val="1"/>
              </w:numPr>
              <w:spacing w:after="120"/>
              <w:contextualSpacing/>
              <w:jc w:val="both"/>
              <w:rPr>
                <w:rFonts w:ascii="Times New Roman" w:hAnsi="Times New Roman" w:cs="Times New Roman"/>
                <w:i/>
                <w:noProof/>
                <w:sz w:val="24"/>
              </w:rPr>
            </w:pPr>
            <w:r>
              <w:rPr>
                <w:rFonts w:ascii="Times New Roman" w:hAnsi="Times New Roman"/>
                <w:i/>
                <w:noProof/>
                <w:sz w:val="24"/>
              </w:rPr>
              <w:t>accelerarea dialogului și a cooperării în materie de migrație și mobilitate, inclusiv în cadrul Organizației Națiunilor Unite;</w:t>
            </w:r>
          </w:p>
          <w:p w:rsidR="00183B2F" w:rsidRDefault="00204C9F">
            <w:pPr>
              <w:numPr>
                <w:ilvl w:val="0"/>
                <w:numId w:val="1"/>
              </w:numPr>
              <w:spacing w:after="120"/>
              <w:contextualSpacing/>
              <w:jc w:val="both"/>
              <w:rPr>
                <w:rFonts w:ascii="Times New Roman" w:hAnsi="Times New Roman" w:cs="Times New Roman"/>
                <w:b/>
                <w:bCs/>
                <w:noProof/>
                <w:sz w:val="24"/>
              </w:rPr>
            </w:pPr>
            <w:r>
              <w:rPr>
                <w:rFonts w:ascii="Times New Roman" w:hAnsi="Times New Roman"/>
                <w:i/>
                <w:noProof/>
                <w:sz w:val="24"/>
              </w:rPr>
              <w:t>promovarea cooperării culturale prin promo</w:t>
            </w:r>
            <w:r>
              <w:rPr>
                <w:rFonts w:ascii="Times New Roman" w:hAnsi="Times New Roman"/>
                <w:i/>
                <w:noProof/>
                <w:sz w:val="24"/>
              </w:rPr>
              <w:t>varea programelor de schimb interpersonale, organizarea de dialoguri interculturale și sprijinirea proiectelor de coproducție și parteneriat în sectoarele culturale și creative.</w:t>
            </w:r>
          </w:p>
        </w:tc>
      </w:tr>
    </w:tbl>
    <w:p w:rsidR="00183B2F" w:rsidRDefault="00183B2F">
      <w:pPr>
        <w:spacing w:after="0" w:line="240" w:lineRule="auto"/>
        <w:jc w:val="both"/>
        <w:rPr>
          <w:rFonts w:ascii="Times New Roman" w:hAnsi="Times New Roman" w:cs="Times New Roman"/>
          <w:noProof/>
          <w:sz w:val="24"/>
          <w:szCs w:val="24"/>
        </w:rPr>
      </w:pPr>
    </w:p>
    <w:p w:rsidR="00183B2F" w:rsidRDefault="00204C9F">
      <w:pPr>
        <w:keepNext/>
        <w:keepLines/>
        <w:spacing w:after="120" w:line="240" w:lineRule="auto"/>
        <w:jc w:val="both"/>
        <w:rPr>
          <w:rFonts w:ascii="Times New Roman" w:hAnsi="Times New Roman" w:cs="Times New Roman"/>
          <w:b/>
          <w:noProof/>
          <w:sz w:val="24"/>
          <w:szCs w:val="24"/>
        </w:rPr>
      </w:pPr>
      <w:r>
        <w:rPr>
          <w:rFonts w:ascii="Times New Roman" w:hAnsi="Times New Roman"/>
          <w:b/>
          <w:noProof/>
          <w:sz w:val="24"/>
        </w:rPr>
        <w:t>2.4 Asocierea pentru o guvernanță mondială eficace</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noProof/>
          <w:sz w:val="24"/>
        </w:rPr>
        <w:t>Menținerea, reformarea și</w:t>
      </w:r>
      <w:r>
        <w:rPr>
          <w:rFonts w:ascii="Times New Roman" w:hAnsi="Times New Roman"/>
          <w:noProof/>
          <w:sz w:val="24"/>
        </w:rPr>
        <w:t xml:space="preserve"> consolidarea unui multilateralism eficace ar trebui să reprezinte în continuare un obiectiv central al parteneriatului UE-ALC. Împreună, cele două regiuni reprezintă aproximativ o treime din membrii ONU, un procent substanțial din membrii Grupului celor d</w:t>
      </w:r>
      <w:r>
        <w:rPr>
          <w:rFonts w:ascii="Times New Roman" w:hAnsi="Times New Roman"/>
          <w:noProof/>
          <w:sz w:val="24"/>
        </w:rPr>
        <w:t>ouăzeci (G20) și două treimi din membrii OCDE.</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noProof/>
          <w:sz w:val="24"/>
        </w:rPr>
        <w:t>Pentru a contribui la o guvernanță mondială eficace și pentru a defini și a promova în continuare agenda internațională, UE și ALC ar putea să își unească forțele la nivel multilateral urmărind:</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b/>
          <w:noProof/>
          <w:sz w:val="24"/>
          <w:u w:val="single"/>
        </w:rPr>
        <w:t>Consolidarea s</w:t>
      </w:r>
      <w:r>
        <w:rPr>
          <w:rFonts w:ascii="Times New Roman" w:hAnsi="Times New Roman"/>
          <w:b/>
          <w:noProof/>
          <w:sz w:val="24"/>
          <w:u w:val="single"/>
        </w:rPr>
        <w:t>istemului multilateral</w:t>
      </w:r>
      <w:r>
        <w:rPr>
          <w:rFonts w:ascii="Times New Roman" w:hAnsi="Times New Roman"/>
          <w:noProof/>
          <w:sz w:val="24"/>
        </w:rPr>
        <w:t>: UE și ALC ar trebui să continue să sprijine eforturile Secretarului General al ONU menite să contribuie la reforma cuprinzătoare a sistemului ONU, inclusiv a Consiliului de Securitate, precum și la revitalizarea Adunării Generale și</w:t>
      </w:r>
      <w:r>
        <w:rPr>
          <w:rFonts w:ascii="Times New Roman" w:hAnsi="Times New Roman"/>
          <w:noProof/>
          <w:sz w:val="24"/>
        </w:rPr>
        <w:t xml:space="preserve"> a Consiliului Economic și Social. Sprijinul acordat Curții Penale Internaționale ar trebui să rămână o prioritate.</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b/>
          <w:noProof/>
          <w:sz w:val="24"/>
          <w:u w:val="single"/>
        </w:rPr>
        <w:t>Intensificarea cooperării în domeniul păcii și al securității</w:t>
      </w:r>
      <w:r>
        <w:rPr>
          <w:rFonts w:ascii="Times New Roman" w:hAnsi="Times New Roman"/>
          <w:b/>
          <w:noProof/>
          <w:sz w:val="24"/>
        </w:rPr>
        <w:t xml:space="preserve">. </w:t>
      </w:r>
      <w:r>
        <w:rPr>
          <w:rFonts w:ascii="Times New Roman" w:hAnsi="Times New Roman"/>
          <w:noProof/>
          <w:sz w:val="24"/>
        </w:rPr>
        <w:t xml:space="preserve">Având în vedere istoricul soluționării conflictelor interstatale, UE este un </w:t>
      </w:r>
      <w:r>
        <w:rPr>
          <w:rFonts w:ascii="Times New Roman" w:hAnsi="Times New Roman"/>
          <w:noProof/>
          <w:sz w:val="24"/>
        </w:rPr>
        <w:t xml:space="preserve">partener natural al ALC în promovarea unei soluționări pe cale pașnică a conflictelor și, împreună, cele două regiuni pot acționa în sprijinul proceselor de mediere și de reconciliere. UE ar trebui să depună în continuare eforturi de cooperare în favoarea </w:t>
      </w:r>
      <w:r>
        <w:rPr>
          <w:rFonts w:ascii="Times New Roman" w:hAnsi="Times New Roman"/>
          <w:noProof/>
          <w:sz w:val="24"/>
        </w:rPr>
        <w:t xml:space="preserve">punerii în aplicare a Acordului de pace în Columbia. </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noProof/>
          <w:sz w:val="24"/>
        </w:rPr>
        <w:t>Ț</w:t>
      </w:r>
      <w:r>
        <w:rPr>
          <w:rFonts w:ascii="Times New Roman" w:hAnsi="Times New Roman"/>
          <w:noProof/>
          <w:sz w:val="24"/>
        </w:rPr>
        <w:t>ările din ALC s-au aflat, de asemenea, în prima linie a încheierii acordurilor-cadru de participare pentru a lua parte la operațiunile politicii de securitate și apărare comună (PSAC) a UE (în Chile și</w:t>
      </w:r>
      <w:r>
        <w:rPr>
          <w:rFonts w:ascii="Times New Roman" w:hAnsi="Times New Roman"/>
          <w:noProof/>
          <w:sz w:val="24"/>
        </w:rPr>
        <w:t xml:space="preserve"> Columbia) și au contribuit la unele dintre acestea (în Brazilia, Argentina și Republica Dominicană).</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noProof/>
          <w:sz w:val="24"/>
        </w:rPr>
        <w:t>Cooperarea ar trebui îmbunătățită și cu privire la o serie de aspecte legate de securitate, inclusiv amenințările hibride, securitatea cibernetică, reform</w:t>
      </w:r>
      <w:r>
        <w:rPr>
          <w:rFonts w:ascii="Times New Roman" w:hAnsi="Times New Roman"/>
          <w:noProof/>
          <w:sz w:val="24"/>
        </w:rPr>
        <w:t xml:space="preserve">a sectorului de securitate, securitatea frontierelor, traficul de persoane, criminalitatea organizată și traficul de arme, armele de calibru mic și armamentul ușor și combaterea radicalizării și a terorismului. Sunt necesare eforturi suplimentare pentru a </w:t>
      </w:r>
      <w:r>
        <w:rPr>
          <w:rFonts w:ascii="Times New Roman" w:hAnsi="Times New Roman"/>
          <w:noProof/>
          <w:sz w:val="24"/>
        </w:rPr>
        <w:t>pune în aplicare rezultatul sesiunii extraordinare a Adunării Generale a Organizației Națiunilor Unite din 2016 privind problema mondială a consumului de droguri.</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noProof/>
          <w:sz w:val="24"/>
        </w:rPr>
        <w:t>Dată fiind decizia țărilor din ALC de a deveni o zonă fără arme nucleare</w:t>
      </w:r>
      <w:r>
        <w:rPr>
          <w:rStyle w:val="FootnoteReference"/>
          <w:rFonts w:ascii="Times New Roman" w:hAnsi="Times New Roman"/>
          <w:noProof/>
        </w:rPr>
        <w:footnoteReference w:id="23"/>
      </w:r>
      <w:r>
        <w:rPr>
          <w:rFonts w:ascii="Times New Roman" w:hAnsi="Times New Roman"/>
          <w:noProof/>
          <w:sz w:val="24"/>
        </w:rPr>
        <w:t>, această regiune es</w:t>
      </w:r>
      <w:r>
        <w:rPr>
          <w:rFonts w:ascii="Times New Roman" w:hAnsi="Times New Roman"/>
          <w:noProof/>
          <w:sz w:val="24"/>
        </w:rPr>
        <w:t>te un partener-cheie în promovarea obiectivelor Tratatului cu privire la neproliferarea armelor nucleare și în ratificarea și punerea în aplicare a Tratatului privind comerțul cu arme.</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b/>
          <w:noProof/>
          <w:sz w:val="24"/>
          <w:u w:val="single"/>
        </w:rPr>
        <w:t>Promovarea unui climat multilateral și a guvernanței în materie de medi</w:t>
      </w:r>
      <w:r>
        <w:rPr>
          <w:rFonts w:ascii="Times New Roman" w:hAnsi="Times New Roman"/>
          <w:b/>
          <w:noProof/>
          <w:sz w:val="24"/>
          <w:u w:val="single"/>
        </w:rPr>
        <w:t>u</w:t>
      </w:r>
      <w:r>
        <w:rPr>
          <w:rFonts w:ascii="Times New Roman" w:hAnsi="Times New Roman"/>
          <w:b/>
          <w:noProof/>
          <w:sz w:val="24"/>
        </w:rPr>
        <w:t xml:space="preserve">. </w:t>
      </w:r>
      <w:r>
        <w:rPr>
          <w:rFonts w:ascii="Times New Roman" w:hAnsi="Times New Roman"/>
          <w:noProof/>
          <w:sz w:val="24"/>
        </w:rPr>
        <w:t>Având în vedere rolul important al</w:t>
      </w:r>
      <w:r>
        <w:rPr>
          <w:rFonts w:ascii="Times New Roman" w:hAnsi="Times New Roman"/>
          <w:b/>
          <w:noProof/>
          <w:sz w:val="24"/>
        </w:rPr>
        <w:t xml:space="preserve"> </w:t>
      </w:r>
      <w:r>
        <w:rPr>
          <w:rFonts w:ascii="Times New Roman" w:hAnsi="Times New Roman"/>
          <w:noProof/>
          <w:sz w:val="24"/>
        </w:rPr>
        <w:t>UE și al ALC în adoptarea Acordului de la Paris în 2015, sunt necesare eforturi colective pentru a asigura punerea în aplicare eficace a acestuia și o tranziție mondială către o energie curată. Regiunile ar trebui să m</w:t>
      </w:r>
      <w:r>
        <w:rPr>
          <w:rFonts w:ascii="Times New Roman" w:hAnsi="Times New Roman"/>
          <w:noProof/>
          <w:sz w:val="24"/>
        </w:rPr>
        <w:t>obilizeze partenerii să abordeze criza biodiversității, cooperând pentru o punere în aplicare mai eficace a acordurilor multilaterale de mediu, inclusiv a obiectivelor de la Aichi privind biodiversitatea, a Planului strategic pentru biodiversitate și a unu</w:t>
      </w:r>
      <w:r>
        <w:rPr>
          <w:rFonts w:ascii="Times New Roman" w:hAnsi="Times New Roman"/>
          <w:noProof/>
          <w:sz w:val="24"/>
        </w:rPr>
        <w:t>i cadru robust pentru biodiversitate post 2020. Viitoarea cooperare internațională poate valorifica experiențele unor inițiative precum Alianța mondială împotriva schimbărilor climatice</w:t>
      </w:r>
      <w:r>
        <w:rPr>
          <w:rStyle w:val="FootnoteReference"/>
          <w:rFonts w:ascii="Times New Roman" w:hAnsi="Times New Roman"/>
          <w:noProof/>
          <w:sz w:val="24"/>
        </w:rPr>
        <w:footnoteReference w:id="24"/>
      </w:r>
      <w:r>
        <w:rPr>
          <w:rFonts w:ascii="Times New Roman" w:hAnsi="Times New Roman"/>
          <w:noProof/>
          <w:sz w:val="24"/>
        </w:rPr>
        <w:t xml:space="preserve"> și parteneriatele strategice ale UE pentru punerea în aplicare a acordului de la Paris</w:t>
      </w:r>
      <w:r>
        <w:rPr>
          <w:rStyle w:val="FootnoteReference"/>
          <w:rFonts w:ascii="Times New Roman" w:hAnsi="Times New Roman"/>
          <w:noProof/>
          <w:sz w:val="24"/>
        </w:rPr>
        <w:footnoteReference w:id="25"/>
      </w:r>
      <w:r>
        <w:rPr>
          <w:rFonts w:ascii="Times New Roman" w:hAnsi="Times New Roman"/>
          <w:noProof/>
          <w:sz w:val="24"/>
        </w:rPr>
        <w:t xml:space="preserve">. </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b/>
          <w:noProof/>
          <w:sz w:val="24"/>
          <w:u w:val="single"/>
        </w:rPr>
        <w:t>Consolidarea guvernanței internaționale a oceanelor</w:t>
      </w:r>
      <w:r>
        <w:rPr>
          <w:rFonts w:ascii="Times New Roman" w:hAnsi="Times New Roman"/>
          <w:b/>
          <w:noProof/>
          <w:sz w:val="24"/>
        </w:rPr>
        <w:t>.</w:t>
      </w:r>
      <w:r>
        <w:rPr>
          <w:rFonts w:ascii="Times New Roman" w:hAnsi="Times New Roman"/>
          <w:noProof/>
          <w:sz w:val="24"/>
        </w:rPr>
        <w:t xml:space="preserve"> Cooperarea strânsă privind punerea în aplicare eficace a Convenției ONU asupra dreptului mării (UNCLOS) și a aco</w:t>
      </w:r>
      <w:r>
        <w:rPr>
          <w:rFonts w:ascii="Times New Roman" w:hAnsi="Times New Roman"/>
          <w:noProof/>
          <w:sz w:val="24"/>
        </w:rPr>
        <w:t>rdurilor de punere în aplicare a acesteia ar crea condițiile unei gestionări a oceanelor și unei economii albastre durabile. Va fi important să se coopereze în ceea ce privește activitatea în desfășurare de elaborare a unui instrument internațional cu cara</w:t>
      </w:r>
      <w:r>
        <w:rPr>
          <w:rFonts w:ascii="Times New Roman" w:hAnsi="Times New Roman"/>
          <w:noProof/>
          <w:sz w:val="24"/>
        </w:rPr>
        <w:t>cter juridic obligatoriu în cadrul UNCLOS referitor la conservarea și utilizarea durabilă a biodiversității marine a zonelor care nu intră sub jurisdicția națională și referitor la lupta împotriva pescuitului ilegal, nedeclarat și nereglementat. Este neces</w:t>
      </w:r>
      <w:r>
        <w:rPr>
          <w:rFonts w:ascii="Times New Roman" w:hAnsi="Times New Roman"/>
          <w:noProof/>
          <w:sz w:val="24"/>
        </w:rPr>
        <w:t>ar să se coopereze în mai mare măsură în cadrul organizațiilor regionale și multilaterale care au legătură cu oceanele, inclusiv în domeniul pescuitului, și să se sprijine dezvoltarea cunoștințelor și a consilierii științifice.</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b/>
          <w:noProof/>
          <w:sz w:val="24"/>
          <w:u w:val="single"/>
        </w:rPr>
        <w:t>Punerea în aplicare a Agende</w:t>
      </w:r>
      <w:r>
        <w:rPr>
          <w:rFonts w:ascii="Times New Roman" w:hAnsi="Times New Roman"/>
          <w:b/>
          <w:noProof/>
          <w:sz w:val="24"/>
          <w:u w:val="single"/>
        </w:rPr>
        <w:t>i 2030 pentru dezvoltare durabilă</w:t>
      </w:r>
      <w:r>
        <w:rPr>
          <w:rFonts w:ascii="Times New Roman" w:hAnsi="Times New Roman"/>
          <w:b/>
          <w:noProof/>
          <w:sz w:val="24"/>
        </w:rPr>
        <w:t>.</w:t>
      </w:r>
      <w:r>
        <w:rPr>
          <w:rFonts w:ascii="Times New Roman" w:hAnsi="Times New Roman"/>
          <w:noProof/>
          <w:sz w:val="24"/>
        </w:rPr>
        <w:t xml:space="preserve"> UE și ALC au jucat un rol-cheie în elaborarea acestui manifest multilateral pentru o dezvoltare durabilă și ar trebui, de asemenea, să își asume rolul de lider în punerea sa în aplicare. După cum prevede Agenda de acțiune</w:t>
      </w:r>
      <w:r>
        <w:rPr>
          <w:rFonts w:ascii="Times New Roman" w:hAnsi="Times New Roman"/>
          <w:noProof/>
          <w:sz w:val="24"/>
        </w:rPr>
        <w:t xml:space="preserve"> de la Addis Abeba, toate mijloacele disponibile de punere în aplicare, inclusiv fluxurile de investiții interne publice și private, trebuie să fie utilizate pe deplin în vederea îndeplinirii ODD.</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b/>
          <w:noProof/>
          <w:sz w:val="24"/>
          <w:u w:val="single"/>
        </w:rPr>
        <w:t>Reformarea Organizației Mondiale a Comerțului</w:t>
      </w:r>
      <w:r>
        <w:rPr>
          <w:rFonts w:ascii="Times New Roman" w:hAnsi="Times New Roman"/>
          <w:b/>
          <w:noProof/>
          <w:sz w:val="24"/>
        </w:rPr>
        <w:t>.</w:t>
      </w:r>
      <w:r>
        <w:rPr>
          <w:rFonts w:ascii="Times New Roman" w:hAnsi="Times New Roman"/>
          <w:noProof/>
          <w:sz w:val="24"/>
        </w:rPr>
        <w:t xml:space="preserve"> În contextul</w:t>
      </w:r>
      <w:r>
        <w:rPr>
          <w:rFonts w:ascii="Times New Roman" w:hAnsi="Times New Roman"/>
          <w:noProof/>
          <w:sz w:val="24"/>
        </w:rPr>
        <w:t xml:space="preserve"> tendințelor protecționiste de la nivel internațional, eforturile comune ar trebui să fie intensificate pentru a susține </w:t>
      </w:r>
      <w:r>
        <w:rPr>
          <w:rFonts w:ascii="Times New Roman" w:hAnsi="Times New Roman"/>
          <w:b/>
          <w:noProof/>
          <w:sz w:val="24"/>
        </w:rPr>
        <w:t xml:space="preserve">sistemul comercial multilateral deschis, </w:t>
      </w:r>
      <w:r>
        <w:rPr>
          <w:rFonts w:ascii="Times New Roman" w:hAnsi="Times New Roman"/>
          <w:b/>
          <w:noProof/>
          <w:sz w:val="24"/>
          <w:u w:val="single"/>
        </w:rPr>
        <w:t>nediscriminatoriu</w:t>
      </w:r>
      <w:r>
        <w:rPr>
          <w:rFonts w:ascii="Times New Roman" w:hAnsi="Times New Roman"/>
          <w:b/>
          <w:noProof/>
          <w:sz w:val="24"/>
        </w:rPr>
        <w:t xml:space="preserve"> și bazat pe norme, în centrul căruia să se afle o OMC puternică și funcționa</w:t>
      </w:r>
      <w:r>
        <w:rPr>
          <w:rFonts w:ascii="Times New Roman" w:hAnsi="Times New Roman"/>
          <w:b/>
          <w:noProof/>
          <w:sz w:val="24"/>
        </w:rPr>
        <w:t>lă</w:t>
      </w:r>
      <w:r>
        <w:rPr>
          <w:rFonts w:ascii="Times New Roman" w:hAnsi="Times New Roman"/>
          <w:noProof/>
          <w:sz w:val="24"/>
        </w:rPr>
        <w:t>, acționând în direcția unei reformei a funcțiilor acesteia de reglementare, monitorizare și soluționare a conflictelor.</w:t>
      </w:r>
    </w:p>
    <w:p w:rsidR="00183B2F" w:rsidRDefault="00204C9F">
      <w:pPr>
        <w:spacing w:after="120" w:line="240" w:lineRule="auto"/>
        <w:jc w:val="both"/>
        <w:rPr>
          <w:rFonts w:ascii="Times New Roman" w:hAnsi="Times New Roman" w:cs="Times New Roman"/>
          <w:b/>
          <w:noProof/>
          <w:sz w:val="24"/>
          <w:szCs w:val="24"/>
          <w:u w:val="single"/>
        </w:rPr>
      </w:pPr>
      <w:r>
        <w:rPr>
          <w:rFonts w:ascii="Times New Roman" w:hAnsi="Times New Roman"/>
          <w:b/>
          <w:noProof/>
          <w:sz w:val="24"/>
          <w:u w:val="single"/>
        </w:rPr>
        <w:t>Consolidarea rezilienței macroeconomice globale</w:t>
      </w:r>
      <w:r>
        <w:rPr>
          <w:rFonts w:ascii="Times New Roman" w:hAnsi="Times New Roman"/>
          <w:b/>
          <w:noProof/>
          <w:sz w:val="24"/>
        </w:rPr>
        <w:t xml:space="preserve">. </w:t>
      </w:r>
      <w:r>
        <w:rPr>
          <w:rFonts w:ascii="Times New Roman" w:hAnsi="Times New Roman"/>
          <w:noProof/>
          <w:sz w:val="24"/>
        </w:rPr>
        <w:t>Intensificarea schimburilor privind evoluțiile macroeconomice și strategiile de poli</w:t>
      </w:r>
      <w:r>
        <w:rPr>
          <w:rFonts w:ascii="Times New Roman" w:hAnsi="Times New Roman"/>
          <w:noProof/>
          <w:sz w:val="24"/>
        </w:rPr>
        <w:t>tică adecvate la nivel mondial și în ambele regiuni reprezintă elemente esențiale pentru asigurarea unei creșteri economice mondiale puternice, durabile, echilibrate și favorabile incluziunii.</w:t>
      </w:r>
    </w:p>
    <w:p w:rsidR="00183B2F" w:rsidRDefault="00183B2F">
      <w:pPr>
        <w:spacing w:after="0" w:line="240" w:lineRule="auto"/>
        <w:jc w:val="both"/>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9288"/>
      </w:tblGrid>
      <w:tr w:rsidR="00183B2F">
        <w:tc>
          <w:tcPr>
            <w:tcW w:w="9288" w:type="dxa"/>
            <w:shd w:val="clear" w:color="auto" w:fill="F2F2F2" w:themeFill="background1" w:themeFillShade="F2"/>
          </w:tcPr>
          <w:p w:rsidR="00183B2F" w:rsidRDefault="00204C9F">
            <w:pPr>
              <w:spacing w:after="120"/>
              <w:jc w:val="both"/>
              <w:rPr>
                <w:rFonts w:ascii="Times New Roman" w:hAnsi="Times New Roman" w:cs="Times New Roman"/>
                <w:b/>
                <w:i/>
                <w:noProof/>
                <w:sz w:val="24"/>
                <w:szCs w:val="24"/>
              </w:rPr>
            </w:pPr>
            <w:r>
              <w:rPr>
                <w:rFonts w:ascii="Times New Roman" w:hAnsi="Times New Roman"/>
                <w:b/>
                <w:i/>
                <w:noProof/>
                <w:sz w:val="24"/>
              </w:rPr>
              <w:t>Asocierea pentru o guvernanță mondială eficace la nivel multil</w:t>
            </w:r>
            <w:r>
              <w:rPr>
                <w:rFonts w:ascii="Times New Roman" w:hAnsi="Times New Roman"/>
                <w:b/>
                <w:i/>
                <w:noProof/>
                <w:sz w:val="24"/>
              </w:rPr>
              <w:t>ateral:</w:t>
            </w:r>
          </w:p>
          <w:p w:rsidR="00183B2F" w:rsidRDefault="00204C9F">
            <w:pPr>
              <w:numPr>
                <w:ilvl w:val="0"/>
                <w:numId w:val="3"/>
              </w:numPr>
              <w:spacing w:after="120"/>
              <w:ind w:left="284" w:hanging="284"/>
              <w:jc w:val="both"/>
              <w:rPr>
                <w:rFonts w:ascii="Times New Roman" w:hAnsi="Times New Roman" w:cs="Times New Roman"/>
                <w:i/>
                <w:noProof/>
                <w:sz w:val="24"/>
                <w:szCs w:val="24"/>
              </w:rPr>
            </w:pPr>
            <w:r>
              <w:rPr>
                <w:rFonts w:ascii="Times New Roman" w:hAnsi="Times New Roman"/>
                <w:i/>
                <w:noProof/>
                <w:sz w:val="24"/>
              </w:rPr>
              <w:t>promovarea unei participări sporite a ALC la misiunile și operațiunile desfășurate de UE în cadrul PSAC și colaborarea mai strânsă pentru promovarea securității și a păcii la nivel mondial;</w:t>
            </w:r>
          </w:p>
          <w:p w:rsidR="00183B2F" w:rsidRDefault="00204C9F">
            <w:pPr>
              <w:numPr>
                <w:ilvl w:val="0"/>
                <w:numId w:val="3"/>
              </w:numPr>
              <w:spacing w:after="120"/>
              <w:ind w:left="284" w:hanging="284"/>
              <w:jc w:val="both"/>
              <w:rPr>
                <w:rFonts w:ascii="Times New Roman" w:hAnsi="Times New Roman" w:cs="Times New Roman"/>
                <w:i/>
                <w:noProof/>
                <w:sz w:val="24"/>
                <w:szCs w:val="24"/>
              </w:rPr>
            </w:pPr>
            <w:r>
              <w:rPr>
                <w:rFonts w:ascii="Times New Roman" w:hAnsi="Times New Roman"/>
                <w:i/>
                <w:noProof/>
                <w:sz w:val="24"/>
              </w:rPr>
              <w:t>depunerea de eforturi pentru punerea în aplicare pe deplin</w:t>
            </w:r>
            <w:r>
              <w:rPr>
                <w:rFonts w:ascii="Times New Roman" w:hAnsi="Times New Roman"/>
                <w:i/>
                <w:noProof/>
                <w:sz w:val="24"/>
              </w:rPr>
              <w:t xml:space="preserve"> a reformelor sistemului ONU în domeniile păcii și securității, dezvoltării durabile și gestionării;</w:t>
            </w:r>
          </w:p>
          <w:p w:rsidR="00183B2F" w:rsidRDefault="00204C9F">
            <w:pPr>
              <w:numPr>
                <w:ilvl w:val="0"/>
                <w:numId w:val="3"/>
              </w:numPr>
              <w:spacing w:after="120"/>
              <w:ind w:left="284" w:hanging="284"/>
              <w:jc w:val="both"/>
              <w:rPr>
                <w:rFonts w:ascii="Times New Roman" w:hAnsi="Times New Roman" w:cs="Times New Roman"/>
                <w:i/>
                <w:noProof/>
                <w:sz w:val="24"/>
                <w:szCs w:val="24"/>
              </w:rPr>
            </w:pPr>
            <w:r>
              <w:rPr>
                <w:rFonts w:ascii="Times New Roman" w:hAnsi="Times New Roman"/>
                <w:i/>
                <w:noProof/>
                <w:sz w:val="24"/>
              </w:rPr>
              <w:t>unirea forțelor pentru a exercita presiuni în favoarea punerii în aplicare integrale a Acordului de la Paris privind schimbările climatice, mobilizând toto</w:t>
            </w:r>
            <w:r>
              <w:rPr>
                <w:rFonts w:ascii="Times New Roman" w:hAnsi="Times New Roman"/>
                <w:i/>
                <w:noProof/>
                <w:sz w:val="24"/>
              </w:rPr>
              <w:t>dată sprijinul mondial pentru o tranziție către energia curată și un cadru robust pentru biodiversitate post-2020;</w:t>
            </w:r>
          </w:p>
          <w:p w:rsidR="00183B2F" w:rsidRDefault="00204C9F">
            <w:pPr>
              <w:numPr>
                <w:ilvl w:val="0"/>
                <w:numId w:val="3"/>
              </w:numPr>
              <w:spacing w:after="120"/>
              <w:ind w:left="284" w:hanging="284"/>
              <w:jc w:val="both"/>
              <w:rPr>
                <w:rFonts w:ascii="Times New Roman" w:hAnsi="Times New Roman" w:cs="Times New Roman"/>
                <w:i/>
                <w:noProof/>
                <w:sz w:val="24"/>
                <w:szCs w:val="24"/>
              </w:rPr>
            </w:pPr>
            <w:r>
              <w:rPr>
                <w:rFonts w:ascii="Times New Roman" w:hAnsi="Times New Roman"/>
                <w:i/>
                <w:noProof/>
                <w:sz w:val="24"/>
              </w:rPr>
              <w:t xml:space="preserve">dezvoltarea în continuare a unei cooperări biregionale în domeniul guvernanței oceanelor, inclusiv în ceea ce privește punerea în aplicare a </w:t>
            </w:r>
            <w:r>
              <w:rPr>
                <w:rFonts w:ascii="Times New Roman" w:hAnsi="Times New Roman"/>
                <w:i/>
                <w:noProof/>
                <w:sz w:val="24"/>
              </w:rPr>
              <w:t>Convenției ONU asupra dreptului mării și lupta împotriva pescuitului ilegal, nedeclarat și nereglementat;</w:t>
            </w:r>
          </w:p>
          <w:p w:rsidR="00183B2F" w:rsidRDefault="00204C9F">
            <w:pPr>
              <w:numPr>
                <w:ilvl w:val="0"/>
                <w:numId w:val="3"/>
              </w:numPr>
              <w:spacing w:after="120"/>
              <w:ind w:left="284" w:hanging="284"/>
              <w:jc w:val="both"/>
              <w:rPr>
                <w:rFonts w:ascii="Times New Roman" w:hAnsi="Times New Roman" w:cs="Times New Roman"/>
                <w:i/>
                <w:noProof/>
                <w:sz w:val="24"/>
                <w:szCs w:val="24"/>
              </w:rPr>
            </w:pPr>
            <w:r>
              <w:rPr>
                <w:rFonts w:ascii="Times New Roman" w:hAnsi="Times New Roman"/>
                <w:i/>
                <w:noProof/>
                <w:sz w:val="24"/>
              </w:rPr>
              <w:t>asumarea rolului de lider în ceea ce privește calea de urmat pentru punerea în aplicare a Agendei 2030 pentru dezvoltare durabilă;</w:t>
            </w:r>
          </w:p>
          <w:p w:rsidR="00183B2F" w:rsidRDefault="00204C9F">
            <w:pPr>
              <w:numPr>
                <w:ilvl w:val="0"/>
                <w:numId w:val="3"/>
              </w:numPr>
              <w:spacing w:after="120"/>
              <w:ind w:left="284" w:hanging="284"/>
              <w:jc w:val="both"/>
              <w:rPr>
                <w:rFonts w:ascii="Times New Roman" w:hAnsi="Times New Roman" w:cs="Times New Roman"/>
                <w:noProof/>
                <w:sz w:val="24"/>
                <w:szCs w:val="24"/>
              </w:rPr>
            </w:pPr>
            <w:r>
              <w:rPr>
                <w:rFonts w:ascii="Times New Roman" w:hAnsi="Times New Roman"/>
                <w:i/>
                <w:noProof/>
                <w:sz w:val="24"/>
              </w:rPr>
              <w:t xml:space="preserve">elaborarea unei </w:t>
            </w:r>
            <w:r>
              <w:rPr>
                <w:rFonts w:ascii="Times New Roman" w:hAnsi="Times New Roman"/>
                <w:i/>
                <w:noProof/>
                <w:sz w:val="24"/>
              </w:rPr>
              <w:t>agende comune în vederea consolidării sistemului comercial multilateral prin punerea efectivă în aplicare a acordurilor OMC și prin reforma acestei organizații.</w:t>
            </w:r>
          </w:p>
        </w:tc>
      </w:tr>
    </w:tbl>
    <w:p w:rsidR="00183B2F" w:rsidRDefault="00183B2F">
      <w:pPr>
        <w:spacing w:after="0" w:line="240" w:lineRule="auto"/>
        <w:jc w:val="both"/>
        <w:rPr>
          <w:rFonts w:ascii="Times New Roman" w:hAnsi="Times New Roman" w:cs="Times New Roman"/>
          <w:noProof/>
          <w:sz w:val="24"/>
          <w:szCs w:val="24"/>
        </w:rPr>
      </w:pPr>
    </w:p>
    <w:p w:rsidR="00183B2F" w:rsidRDefault="00204C9F">
      <w:pPr>
        <w:keepNext/>
        <w:keepLines/>
        <w:spacing w:after="120" w:line="240" w:lineRule="auto"/>
        <w:jc w:val="both"/>
        <w:rPr>
          <w:rFonts w:ascii="Times New Roman" w:hAnsi="Times New Roman" w:cs="Times New Roman"/>
          <w:b/>
          <w:noProof/>
          <w:sz w:val="24"/>
          <w:szCs w:val="24"/>
        </w:rPr>
      </w:pPr>
      <w:r>
        <w:rPr>
          <w:rFonts w:ascii="Times New Roman" w:hAnsi="Times New Roman"/>
          <w:b/>
          <w:noProof/>
          <w:sz w:val="24"/>
        </w:rPr>
        <w:t>3. Tranziția de la viziune la acțiune</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noProof/>
          <w:sz w:val="24"/>
        </w:rPr>
        <w:t>Pentru a trece de la viziune la acțiune și pentru a pune în aplicare în mod eficace agenda prezentată mai sus, va trebui ca UE și ALC să își reînnoiască formele de angajament. În anii următori, urmând prioritățile prezentate în prezenta comunicare, UE va î</w:t>
      </w:r>
      <w:r>
        <w:rPr>
          <w:rFonts w:ascii="Times New Roman" w:hAnsi="Times New Roman"/>
          <w:noProof/>
          <w:sz w:val="24"/>
        </w:rPr>
        <w:t xml:space="preserve">ncerca să adopte o abordare mai strategică a relațiilor cu ALC, modernizându-și modalitățile de implicare în regiune din punct de vedere politic și prin intermediul instrumentelor sale comerciale, de investiții și de cooperare. </w:t>
      </w:r>
    </w:p>
    <w:p w:rsidR="00183B2F" w:rsidRDefault="00204C9F">
      <w:pPr>
        <w:keepNext/>
        <w:keepLines/>
        <w:spacing w:after="120" w:line="240" w:lineRule="auto"/>
        <w:jc w:val="both"/>
        <w:rPr>
          <w:rFonts w:ascii="Times New Roman" w:hAnsi="Times New Roman" w:cs="Times New Roman"/>
          <w:noProof/>
          <w:sz w:val="24"/>
          <w:szCs w:val="24"/>
        </w:rPr>
      </w:pPr>
      <w:r>
        <w:rPr>
          <w:rFonts w:ascii="Times New Roman" w:hAnsi="Times New Roman"/>
          <w:b/>
          <w:noProof/>
          <w:sz w:val="24"/>
        </w:rPr>
        <w:t>3.1. O implicare politică m</w:t>
      </w:r>
      <w:r>
        <w:rPr>
          <w:rFonts w:ascii="Times New Roman" w:hAnsi="Times New Roman"/>
          <w:b/>
          <w:noProof/>
          <w:sz w:val="24"/>
        </w:rPr>
        <w:t>ai strategică</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noProof/>
          <w:sz w:val="24"/>
        </w:rPr>
        <w:t>Pragmatismul bazat pe principii ar trebui să ghideze acțiunea externă a Europei față de ALC. O abordare universală a parteneriatului nu se potrivește cu multitudinea de realități diverse ale ALC; țările partenere au priorități diferite în mat</w:t>
      </w:r>
      <w:r>
        <w:rPr>
          <w:rFonts w:ascii="Times New Roman" w:hAnsi="Times New Roman"/>
          <w:noProof/>
          <w:sz w:val="24"/>
        </w:rPr>
        <w:t xml:space="preserve">erie de politici, nevoi și active. Menținând nivelurile actuale de angajament - multilateral, biregional, subregional, bilateral - UE ar trebui să încerce să </w:t>
      </w:r>
      <w:r>
        <w:rPr>
          <w:rFonts w:ascii="Times New Roman" w:hAnsi="Times New Roman"/>
          <w:b/>
          <w:noProof/>
          <w:sz w:val="24"/>
        </w:rPr>
        <w:t>consolideze asocierea cu grupurile regionale interesate și cu țările care doresc și pot să își int</w:t>
      </w:r>
      <w:r>
        <w:rPr>
          <w:rFonts w:ascii="Times New Roman" w:hAnsi="Times New Roman"/>
          <w:b/>
          <w:noProof/>
          <w:sz w:val="24"/>
        </w:rPr>
        <w:t>ensifice angajamentul</w:t>
      </w:r>
      <w:r>
        <w:rPr>
          <w:rFonts w:ascii="Times New Roman" w:hAnsi="Times New Roman"/>
          <w:noProof/>
          <w:sz w:val="24"/>
        </w:rPr>
        <w:t xml:space="preserve"> privind obiectivele comune. </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b/>
          <w:noProof/>
          <w:sz w:val="24"/>
        </w:rPr>
        <w:t>Dialogurile politice ale UE cu diferitele țări din ALC și grupuri regionale ar trebui să continue să ghideze relațiile UE-ALC</w:t>
      </w:r>
      <w:r>
        <w:rPr>
          <w:rFonts w:ascii="Times New Roman" w:hAnsi="Times New Roman"/>
          <w:noProof/>
          <w:sz w:val="24"/>
        </w:rPr>
        <w:t>. Dialogurile ar trebui să contribuie la identificarea priorităților și a intere</w:t>
      </w:r>
      <w:r>
        <w:rPr>
          <w:rFonts w:ascii="Times New Roman" w:hAnsi="Times New Roman"/>
          <w:noProof/>
          <w:sz w:val="24"/>
        </w:rPr>
        <w:t>selor comune și a noilor oportunități de cooperare. Acordurile de asociere încheiate sau în curs de negociere cu mai multe țări</w:t>
      </w:r>
      <w:r>
        <w:rPr>
          <w:rStyle w:val="FootnoteReference"/>
          <w:rFonts w:ascii="Times New Roman" w:hAnsi="Times New Roman"/>
          <w:noProof/>
          <w:sz w:val="24"/>
        </w:rPr>
        <w:footnoteReference w:id="26"/>
      </w:r>
      <w:r>
        <w:rPr>
          <w:rFonts w:ascii="Times New Roman" w:hAnsi="Times New Roman"/>
          <w:noProof/>
          <w:sz w:val="24"/>
        </w:rPr>
        <w:t xml:space="preserve"> și Acordul de dialog politic și de cooperare cu Cuba, semnat în 2016, au instituit dialoguri în materie de politici într-o gamă</w:t>
      </w:r>
      <w:r>
        <w:rPr>
          <w:rFonts w:ascii="Times New Roman" w:hAnsi="Times New Roman"/>
          <w:noProof/>
          <w:sz w:val="24"/>
        </w:rPr>
        <w:t xml:space="preserve"> largă de domenii, furnizând un cadru instituțional adecvat pentru consolidarea cooperării în chestiunile bilaterale și regionale.</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Sprijinirea </w:t>
      </w:r>
      <w:r>
        <w:rPr>
          <w:rFonts w:ascii="Times New Roman" w:hAnsi="Times New Roman"/>
          <w:b/>
          <w:noProof/>
          <w:sz w:val="24"/>
        </w:rPr>
        <w:t>integrării regionale ar trebui să rămână o prioritate</w:t>
      </w:r>
      <w:r>
        <w:rPr>
          <w:rFonts w:ascii="Times New Roman" w:hAnsi="Times New Roman"/>
          <w:noProof/>
          <w:sz w:val="24"/>
        </w:rPr>
        <w:t xml:space="preserve"> în relațiile UE cu țările din ALC, din convingerea - și exp</w:t>
      </w:r>
      <w:r>
        <w:rPr>
          <w:rFonts w:ascii="Times New Roman" w:hAnsi="Times New Roman"/>
          <w:noProof/>
          <w:sz w:val="24"/>
        </w:rPr>
        <w:t xml:space="preserve">eriența - că integrarea intraregională sporește siguranța și aduce câștiguri economice și sociale mai mari. Aceasta include mecanisme transregionale, cum ar fi CELAC, precum și eforturi depuse la nivel subregional, cum ar fi Alianța Pacificului, Mercosur, </w:t>
      </w:r>
      <w:r>
        <w:rPr>
          <w:rFonts w:ascii="Times New Roman" w:hAnsi="Times New Roman"/>
          <w:noProof/>
          <w:sz w:val="24"/>
        </w:rPr>
        <w:t xml:space="preserve">Sistemul de Integrare Central-Americană (SICA) și Forumul caraib (CARIFORUM)/ Comunitatea Caraibilor (CARICOM). </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noProof/>
          <w:sz w:val="24"/>
        </w:rPr>
        <w:t>Parteneriatul UE-ALC ar trebui să devină mai proeminent la nivel mondial și să fie mai eficace în ceea ce privește protejarea și furnizarea bun</w:t>
      </w:r>
      <w:r>
        <w:rPr>
          <w:rFonts w:ascii="Times New Roman" w:hAnsi="Times New Roman"/>
          <w:noProof/>
          <w:sz w:val="24"/>
        </w:rPr>
        <w:t xml:space="preserve">urilor publice mondiale, inclusiv prin poziții comune în forurile multilaterale. </w:t>
      </w:r>
      <w:r>
        <w:rPr>
          <w:rFonts w:ascii="Times New Roman" w:hAnsi="Times New Roman"/>
          <w:b/>
          <w:noProof/>
          <w:sz w:val="24"/>
        </w:rPr>
        <w:t>Ar trebui să se intensifice practicile de consultare informală între UE și țările din ALC înainte de conferințele internaționale importante</w:t>
      </w:r>
      <w:r>
        <w:rPr>
          <w:rFonts w:ascii="Times New Roman" w:hAnsi="Times New Roman"/>
          <w:noProof/>
          <w:sz w:val="24"/>
        </w:rPr>
        <w:t>. Cooperarea multilaterală ar trebui</w:t>
      </w:r>
      <w:r>
        <w:rPr>
          <w:rFonts w:ascii="Times New Roman" w:hAnsi="Times New Roman"/>
          <w:noProof/>
          <w:sz w:val="24"/>
        </w:rPr>
        <w:t xml:space="preserve"> să devină un element permanent al dialogurilor la toate nivelurile cu partenerii ALC.</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Angajamentul politic și abordările concertate între cele două regiuni sunt, de asemenea, instrumente de promovare a democrației, a păcii și a securității și de abordare </w:t>
      </w:r>
      <w:r>
        <w:rPr>
          <w:rFonts w:ascii="Times New Roman" w:hAnsi="Times New Roman"/>
          <w:noProof/>
          <w:sz w:val="24"/>
        </w:rPr>
        <w:t xml:space="preserve">a situațiilor de criză. În anii '80, America Latină și Europa și-au unit forțele în cadrul Grupului Contadora pentru a promova pacea în America Centrală, punând bazele Acordurilor de Pace de la Esquipulas. </w:t>
      </w:r>
      <w:r>
        <w:rPr>
          <w:rFonts w:ascii="Times New Roman" w:hAnsi="Times New Roman"/>
          <w:b/>
          <w:noProof/>
          <w:sz w:val="24"/>
        </w:rPr>
        <w:t>Grupul internațional de contact (GCI) privind Vene</w:t>
      </w:r>
      <w:r>
        <w:rPr>
          <w:rFonts w:ascii="Times New Roman" w:hAnsi="Times New Roman"/>
          <w:b/>
          <w:noProof/>
          <w:sz w:val="24"/>
        </w:rPr>
        <w:t>zuela</w:t>
      </w:r>
      <w:r>
        <w:rPr>
          <w:rFonts w:ascii="Times New Roman" w:hAnsi="Times New Roman"/>
          <w:noProof/>
          <w:sz w:val="24"/>
        </w:rPr>
        <w:t xml:space="preserve"> este un alt exemplu al unei inițiative care reunește membri din cele două regiuni, având drept obiectiv promovarea unor soluții politice, democratice și pașnice la criza din această țară, al cărei impact este resimțit cu mult în afara frontierelor Ve</w:t>
      </w:r>
      <w:r>
        <w:rPr>
          <w:rFonts w:ascii="Times New Roman" w:hAnsi="Times New Roman"/>
          <w:noProof/>
          <w:sz w:val="24"/>
        </w:rPr>
        <w:t>nezuelei. GIC se bazează pe valori împărtășite atât de UE, cât și de ALC, precum și pe necesitatea de a susține democrația, statul de drept și respectarea drepturilor omului în regiune. Grupul ilustrează abordarea bazată pe cooperare și reguli, care ghidea</w:t>
      </w:r>
      <w:r>
        <w:rPr>
          <w:rFonts w:ascii="Times New Roman" w:hAnsi="Times New Roman"/>
          <w:noProof/>
          <w:sz w:val="24"/>
        </w:rPr>
        <w:t>ză politica externă a UE: colaborând cu parteneri regionali și internaționali, acesta urmărește să creeze condițiile propice ajungerii la o soluție politică prin intermediul unor alegeri libere și corecte și al acordării de ajutoare în conformitate cu prin</w:t>
      </w:r>
      <w:r>
        <w:rPr>
          <w:rFonts w:ascii="Times New Roman" w:hAnsi="Times New Roman"/>
          <w:noProof/>
          <w:sz w:val="24"/>
        </w:rPr>
        <w:t xml:space="preserve">cipiile umanitare. De asemenea, UE este pregătită să participe la un efort internațional de reconstrucție a instituțiilor și a economiei acestei țări, după restabilirea democrației. Acțiunea diplomatică comună bazată pe cadre multilaterale și incluzive ar </w:t>
      </w:r>
      <w:r>
        <w:rPr>
          <w:rFonts w:ascii="Times New Roman" w:hAnsi="Times New Roman"/>
          <w:noProof/>
          <w:sz w:val="24"/>
        </w:rPr>
        <w:t>trebui promovată ca instrument în relațiile noastre biregionale pentru abordarea situațiilor de criză.</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noProof/>
          <w:sz w:val="24"/>
        </w:rPr>
        <w:t>Conștientă de faptul că, în lumea de astăzi, există diferiți actori internaționali care concurează pentru a câștiga influență sau pentru a-și impune prez</w:t>
      </w:r>
      <w:r>
        <w:rPr>
          <w:rFonts w:ascii="Times New Roman" w:hAnsi="Times New Roman"/>
          <w:noProof/>
          <w:sz w:val="24"/>
        </w:rPr>
        <w:t>ența economică sau chiar propriile modele politice și societale, UE ar trebui să se diferențieze prin politica sa bazată pe valori și să promoveze o logică a complementarității și a avantajelor reciproce. O viziune a relațiilor internaționale bazată pe exc</w:t>
      </w:r>
      <w:r>
        <w:rPr>
          <w:rFonts w:ascii="Times New Roman" w:hAnsi="Times New Roman"/>
          <w:noProof/>
          <w:sz w:val="24"/>
        </w:rPr>
        <w:t>ludere, în care avantajul câștigat de o parte se traduce prin pierderea suferită de o altă parte, este în detrimentul celor două regiuni; propunerea pe care UE a făcut-o ALC se bazează pe un</w:t>
      </w:r>
      <w:r>
        <w:rPr>
          <w:rFonts w:ascii="Times New Roman" w:hAnsi="Times New Roman"/>
          <w:b/>
          <w:noProof/>
          <w:sz w:val="24"/>
        </w:rPr>
        <w:t xml:space="preserve"> regionalism deschis și pe soluții avantajoase pentru toate părțil</w:t>
      </w:r>
      <w:r>
        <w:rPr>
          <w:rFonts w:ascii="Times New Roman" w:hAnsi="Times New Roman"/>
          <w:b/>
          <w:noProof/>
          <w:sz w:val="24"/>
        </w:rPr>
        <w:t>e implicate</w:t>
      </w:r>
      <w:r>
        <w:rPr>
          <w:rFonts w:ascii="Times New Roman" w:hAnsi="Times New Roman"/>
          <w:noProof/>
          <w:sz w:val="24"/>
        </w:rPr>
        <w:t>.</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relațiile sale cu ALC, UE ar trebui să aplice o </w:t>
      </w:r>
      <w:r>
        <w:rPr>
          <w:rFonts w:ascii="Times New Roman" w:hAnsi="Times New Roman"/>
          <w:b/>
          <w:noProof/>
          <w:sz w:val="24"/>
        </w:rPr>
        <w:t>politică comercială și de investiții responsabilă</w:t>
      </w:r>
      <w:r>
        <w:rPr>
          <w:rFonts w:ascii="Times New Roman" w:hAnsi="Times New Roman"/>
          <w:noProof/>
          <w:sz w:val="24"/>
        </w:rPr>
        <w:t>, utilizând acordurile sale comerciale ca pe un instrument de promovare a intereselor sale economice și a valorilor internaționale care stau la</w:t>
      </w:r>
      <w:r>
        <w:rPr>
          <w:rFonts w:ascii="Times New Roman" w:hAnsi="Times New Roman"/>
          <w:noProof/>
          <w:sz w:val="24"/>
        </w:rPr>
        <w:t xml:space="preserve"> baza parteneriatului UE­ALC, contribuind la promovarea democrației, a prosperității și a rezilienței, precum și la o globalizare mai favorabilă incluziunii și mai durabilă.</w:t>
      </w:r>
    </w:p>
    <w:p w:rsidR="00183B2F" w:rsidRDefault="00204C9F">
      <w:pPr>
        <w:keepNext/>
        <w:keepLines/>
        <w:spacing w:after="120" w:line="240" w:lineRule="auto"/>
        <w:jc w:val="both"/>
        <w:rPr>
          <w:rFonts w:ascii="Times New Roman" w:hAnsi="Times New Roman" w:cs="Times New Roman"/>
          <w:b/>
          <w:noProof/>
          <w:sz w:val="24"/>
          <w:szCs w:val="24"/>
        </w:rPr>
      </w:pPr>
      <w:r>
        <w:rPr>
          <w:rFonts w:ascii="Times New Roman" w:hAnsi="Times New Roman"/>
          <w:b/>
          <w:noProof/>
          <w:sz w:val="24"/>
        </w:rPr>
        <w:t>3.2 Cooperare pentru un impact puternic</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noProof/>
          <w:sz w:val="24"/>
        </w:rPr>
        <w:t>Pentru a transpune obiectivele comune în a</w:t>
      </w:r>
      <w:r>
        <w:rPr>
          <w:rFonts w:ascii="Times New Roman" w:hAnsi="Times New Roman"/>
          <w:noProof/>
          <w:sz w:val="24"/>
        </w:rPr>
        <w:t>cțiune și a contribui la realizarea potențialului parteneriatului UE-ALC, UE ar trebui să colaboreze cu partenerii din ALC în vederea punerii în aplicare a acestui cadru cuprinzător de cooperare propus. Cadrul ar trebui să răspundă celor patru domenii prio</w:t>
      </w:r>
      <w:r>
        <w:rPr>
          <w:rFonts w:ascii="Times New Roman" w:hAnsi="Times New Roman"/>
          <w:noProof/>
          <w:sz w:val="24"/>
        </w:rPr>
        <w:t>ritare prezentate mai sus - prosperitate, democrație, reziliență și guvernanță mondială eficace -, confirmând necesitatea unei acțiuni decisive privind interesele comune, la care regiunile participă ca parteneri egali.</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noProof/>
          <w:sz w:val="24"/>
        </w:rPr>
        <w:t>Acest nou cadru cuprinzător ar trebui</w:t>
      </w:r>
      <w:r>
        <w:rPr>
          <w:rFonts w:ascii="Times New Roman" w:hAnsi="Times New Roman"/>
          <w:noProof/>
          <w:sz w:val="24"/>
        </w:rPr>
        <w:t xml:space="preserve"> să fie:</w:t>
      </w:r>
    </w:p>
    <w:p w:rsidR="00183B2F" w:rsidRDefault="00204C9F">
      <w:pPr>
        <w:numPr>
          <w:ilvl w:val="0"/>
          <w:numId w:val="5"/>
        </w:numPr>
        <w:spacing w:after="120" w:line="240" w:lineRule="auto"/>
        <w:ind w:left="284" w:hanging="284"/>
        <w:jc w:val="both"/>
        <w:rPr>
          <w:rFonts w:ascii="Times New Roman" w:hAnsi="Times New Roman" w:cs="Times New Roman"/>
          <w:noProof/>
          <w:sz w:val="24"/>
          <w:szCs w:val="24"/>
        </w:rPr>
      </w:pPr>
      <w:r>
        <w:rPr>
          <w:rFonts w:ascii="Times New Roman" w:hAnsi="Times New Roman"/>
          <w:b/>
          <w:noProof/>
          <w:sz w:val="24"/>
          <w:u w:val="single"/>
        </w:rPr>
        <w:t>adaptat,</w:t>
      </w:r>
      <w:r>
        <w:rPr>
          <w:rFonts w:ascii="Times New Roman" w:hAnsi="Times New Roman"/>
          <w:noProof/>
          <w:sz w:val="24"/>
        </w:rPr>
        <w:t xml:space="preserve"> ținând seama de diversitatea realităților din cadrul regiunilor;</w:t>
      </w:r>
    </w:p>
    <w:p w:rsidR="00183B2F" w:rsidRDefault="00204C9F">
      <w:pPr>
        <w:numPr>
          <w:ilvl w:val="0"/>
          <w:numId w:val="5"/>
        </w:numPr>
        <w:spacing w:after="120" w:line="240" w:lineRule="auto"/>
        <w:ind w:left="284" w:hanging="284"/>
        <w:jc w:val="both"/>
        <w:rPr>
          <w:rFonts w:ascii="Times New Roman" w:hAnsi="Times New Roman" w:cs="Times New Roman"/>
          <w:noProof/>
          <w:sz w:val="24"/>
          <w:szCs w:val="24"/>
        </w:rPr>
      </w:pPr>
      <w:r>
        <w:rPr>
          <w:rFonts w:ascii="Times New Roman" w:hAnsi="Times New Roman"/>
          <w:b/>
          <w:noProof/>
          <w:sz w:val="24"/>
          <w:u w:val="single"/>
        </w:rPr>
        <w:t>receptiv la prioritățile politice</w:t>
      </w:r>
      <w:r>
        <w:rPr>
          <w:rFonts w:ascii="Times New Roman" w:hAnsi="Times New Roman"/>
          <w:noProof/>
          <w:sz w:val="24"/>
        </w:rPr>
        <w:t xml:space="preserve">, contribuind la promovarea obiectivelor și a intereselor comune ale parteneriatului (parteneriatelor) UE-ALC, astfel cum sunt definite de </w:t>
      </w:r>
      <w:r>
        <w:rPr>
          <w:rFonts w:ascii="Times New Roman" w:hAnsi="Times New Roman"/>
          <w:noProof/>
          <w:sz w:val="24"/>
        </w:rPr>
        <w:t>dialogurile politice care au loc la diferite niveluri ale relațiilor UE-ALC și prin consultări cu sectorul privat și cu grupuri ale societății civile;</w:t>
      </w:r>
    </w:p>
    <w:p w:rsidR="00183B2F" w:rsidRDefault="00204C9F">
      <w:pPr>
        <w:numPr>
          <w:ilvl w:val="0"/>
          <w:numId w:val="5"/>
        </w:numPr>
        <w:spacing w:after="120" w:line="240" w:lineRule="auto"/>
        <w:ind w:left="284" w:hanging="284"/>
        <w:jc w:val="both"/>
        <w:rPr>
          <w:rFonts w:ascii="Times New Roman" w:hAnsi="Times New Roman" w:cs="Times New Roman"/>
          <w:noProof/>
          <w:sz w:val="24"/>
          <w:szCs w:val="24"/>
        </w:rPr>
      </w:pPr>
      <w:r>
        <w:rPr>
          <w:rFonts w:ascii="Times New Roman" w:hAnsi="Times New Roman"/>
          <w:b/>
          <w:noProof/>
          <w:sz w:val="24"/>
          <w:u w:val="single"/>
        </w:rPr>
        <w:t>cuprinzător</w:t>
      </w:r>
      <w:r>
        <w:rPr>
          <w:rFonts w:ascii="Times New Roman" w:hAnsi="Times New Roman"/>
          <w:b/>
          <w:noProof/>
          <w:sz w:val="24"/>
        </w:rPr>
        <w:t>,</w:t>
      </w:r>
      <w:r>
        <w:rPr>
          <w:rFonts w:ascii="Times New Roman" w:hAnsi="Times New Roman"/>
          <w:noProof/>
          <w:sz w:val="24"/>
        </w:rPr>
        <w:t xml:space="preserve"> utilizând diferite domenii și instrumente de politică pentru a răspunde unei agende a parten</w:t>
      </w:r>
      <w:r>
        <w:rPr>
          <w:rFonts w:ascii="Times New Roman" w:hAnsi="Times New Roman"/>
          <w:noProof/>
          <w:sz w:val="24"/>
        </w:rPr>
        <w:t>eriatului tot mai extinse și unor provocări din ce în ce mai complexe;</w:t>
      </w:r>
    </w:p>
    <w:p w:rsidR="00183B2F" w:rsidRDefault="00204C9F">
      <w:pPr>
        <w:numPr>
          <w:ilvl w:val="0"/>
          <w:numId w:val="5"/>
        </w:numPr>
        <w:spacing w:after="120" w:line="240" w:lineRule="auto"/>
        <w:ind w:left="284" w:hanging="284"/>
        <w:jc w:val="both"/>
        <w:rPr>
          <w:rFonts w:ascii="Times New Roman" w:hAnsi="Times New Roman" w:cs="Times New Roman"/>
          <w:noProof/>
          <w:sz w:val="24"/>
          <w:szCs w:val="24"/>
        </w:rPr>
      </w:pPr>
      <w:r>
        <w:rPr>
          <w:rFonts w:ascii="Times New Roman" w:hAnsi="Times New Roman"/>
          <w:b/>
          <w:noProof/>
          <w:sz w:val="24"/>
          <w:u w:val="single"/>
        </w:rPr>
        <w:t>coerent</w:t>
      </w:r>
      <w:r>
        <w:rPr>
          <w:rFonts w:ascii="Times New Roman" w:hAnsi="Times New Roman"/>
          <w:b/>
          <w:noProof/>
          <w:sz w:val="24"/>
        </w:rPr>
        <w:t>,</w:t>
      </w:r>
      <w:r>
        <w:rPr>
          <w:rFonts w:ascii="Times New Roman" w:hAnsi="Times New Roman"/>
          <w:noProof/>
          <w:sz w:val="24"/>
        </w:rPr>
        <w:t xml:space="preserve"> asigurând faptul că diferitele politici și instrumente ale acțiunii externe a UE în ALC contribuie la îndeplinirea obiectivelor mai ample ale parteneriatului UE-ALC. </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noProof/>
          <w:sz w:val="24"/>
        </w:rPr>
        <w:t>Cooperare</w:t>
      </w:r>
      <w:r>
        <w:rPr>
          <w:rFonts w:ascii="Times New Roman" w:hAnsi="Times New Roman"/>
          <w:noProof/>
          <w:sz w:val="24"/>
        </w:rPr>
        <w:t xml:space="preserve">a în sprijinul </w:t>
      </w:r>
      <w:r>
        <w:rPr>
          <w:rFonts w:ascii="Times New Roman" w:hAnsi="Times New Roman"/>
          <w:b/>
          <w:noProof/>
          <w:sz w:val="24"/>
        </w:rPr>
        <w:t>punerii în aplicare a Agendei universale 2030 pentru dezvoltare durabilă și a altor angajamente internaționale comune va constitui o componentă esențială a noului cadru</w:t>
      </w:r>
      <w:r>
        <w:rPr>
          <w:rFonts w:ascii="Times New Roman" w:hAnsi="Times New Roman"/>
          <w:noProof/>
          <w:sz w:val="24"/>
        </w:rPr>
        <w:t>, care va necesita un angajament la nivel local, național, regional și mo</w:t>
      </w:r>
      <w:r>
        <w:rPr>
          <w:rFonts w:ascii="Times New Roman" w:hAnsi="Times New Roman"/>
          <w:noProof/>
          <w:sz w:val="24"/>
        </w:rPr>
        <w:t xml:space="preserve">ndial, precum și participarea societății civile. Un bun exemplu al acestui angajament îl oferă dialogurile privind dezvoltarea durabilă instituite în cadrul acordurilor încheiate cu mai multe țări. </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noProof/>
          <w:sz w:val="24"/>
        </w:rPr>
        <w:t>Acționând în cadrul Consensului european privind dezvolta</w:t>
      </w:r>
      <w:r>
        <w:rPr>
          <w:rFonts w:ascii="Times New Roman" w:hAnsi="Times New Roman"/>
          <w:noProof/>
          <w:sz w:val="24"/>
        </w:rPr>
        <w:t xml:space="preserve">rea, UE ar trebui să dialogheze în continuare cu țările ALC cu niveluri de dezvoltare diferite, într-un mod din ce în ce mai diversificat și mai adaptat fiecăreia dintre aceste țări, </w:t>
      </w:r>
      <w:r>
        <w:rPr>
          <w:rFonts w:ascii="Times New Roman" w:hAnsi="Times New Roman"/>
          <w:b/>
          <w:noProof/>
          <w:sz w:val="24"/>
        </w:rPr>
        <w:t>adresându-se în primul rând țărilor cu cele mai mari nevoi, în special ță</w:t>
      </w:r>
      <w:r>
        <w:rPr>
          <w:rFonts w:ascii="Times New Roman" w:hAnsi="Times New Roman"/>
          <w:b/>
          <w:noProof/>
          <w:sz w:val="24"/>
        </w:rPr>
        <w:t>rilor cel mai puțin dezvoltate și celor aflate în situații de fragilitate și de conflict</w:t>
      </w:r>
      <w:r>
        <w:rPr>
          <w:rFonts w:ascii="Times New Roman" w:hAnsi="Times New Roman"/>
          <w:noProof/>
          <w:sz w:val="24"/>
        </w:rPr>
        <w:t xml:space="preserve">, în care potențialul de a atrage finanțare este cel mai scăzut. </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noProof/>
          <w:sz w:val="24"/>
        </w:rPr>
        <w:t>Recunoscând punctele vulnerabile care există în continuare, precum și constrângerile structurale cu ca</w:t>
      </w:r>
      <w:r>
        <w:rPr>
          <w:rFonts w:ascii="Times New Roman" w:hAnsi="Times New Roman"/>
          <w:noProof/>
          <w:sz w:val="24"/>
        </w:rPr>
        <w:t xml:space="preserve">re se confruntă numeroase țări cu venituri medii în încercarea de a ajunge la o dezvoltare durabilă, UE ar trebui să depună eforturi pentru a valorifica avantajele reciproce ale colaborării și ale prosperității comune. UE ar trebui să continue într-un mod </w:t>
      </w:r>
      <w:r>
        <w:rPr>
          <w:rFonts w:ascii="Times New Roman" w:hAnsi="Times New Roman"/>
          <w:noProof/>
          <w:sz w:val="24"/>
        </w:rPr>
        <w:t>direcționat cooperarea pentru dezvoltare, acolo unde este cazul, și să se implice mai mult în dialogul politic și schimbul de experiență și de competențe cu privire la aspecte precum eradicarea sărăciei, guvernanța, crizele refugiaților și alte interese co</w:t>
      </w:r>
      <w:r>
        <w:rPr>
          <w:rFonts w:ascii="Times New Roman" w:hAnsi="Times New Roman"/>
          <w:noProof/>
          <w:sz w:val="24"/>
        </w:rPr>
        <w:t>mune.</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noProof/>
          <w:sz w:val="24"/>
        </w:rPr>
        <w:t>Dialogurile și inițiativele în materie de cooperare privind politica publică și reforma vor ține cont de diversitatea țărilor partenere, vor promova interesele reciproce și vor identifica prioritățile și provocările comune. UE recunoaște, de asemenea</w:t>
      </w:r>
      <w:r>
        <w:rPr>
          <w:rFonts w:ascii="Times New Roman" w:hAnsi="Times New Roman"/>
          <w:noProof/>
          <w:sz w:val="24"/>
        </w:rPr>
        <w:t xml:space="preserve">, </w:t>
      </w:r>
      <w:r>
        <w:rPr>
          <w:rFonts w:ascii="Times New Roman" w:hAnsi="Times New Roman"/>
          <w:b/>
          <w:noProof/>
          <w:sz w:val="24"/>
        </w:rPr>
        <w:t>rolul important al cooperării dintre țările în curs de dezvoltare mai avansate din ALC și alte țări în curs de dezvoltare</w:t>
      </w:r>
      <w:r>
        <w:rPr>
          <w:rFonts w:ascii="Times New Roman" w:hAnsi="Times New Roman"/>
          <w:noProof/>
          <w:sz w:val="24"/>
        </w:rPr>
        <w:t>, precum și impactul acestora asupra bunurilor publice și a provocărilor mondiale. Având în vedere că aceste țări au nevoie de mai pu</w:t>
      </w:r>
      <w:r>
        <w:rPr>
          <w:rFonts w:ascii="Times New Roman" w:hAnsi="Times New Roman"/>
          <w:noProof/>
          <w:sz w:val="24"/>
        </w:rPr>
        <w:t>ț</w:t>
      </w:r>
      <w:r>
        <w:rPr>
          <w:rFonts w:ascii="Times New Roman" w:hAnsi="Times New Roman"/>
          <w:noProof/>
          <w:sz w:val="24"/>
        </w:rPr>
        <w:t>ine forme concesionale de asistență sau deloc, UE ar trebui să încheie angajamente inovatoare cu acestea pentru a promova punerea în aplicare la nivel mondial a Agendei 2030.</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Pentru a sprijini noul cadru de cooperare, UE ar trebui să utilizeze pe deplin </w:t>
      </w:r>
      <w:r>
        <w:rPr>
          <w:rFonts w:ascii="Times New Roman" w:hAnsi="Times New Roman"/>
          <w:noProof/>
          <w:sz w:val="24"/>
        </w:rPr>
        <w:t>ș</w:t>
      </w:r>
      <w:r>
        <w:rPr>
          <w:rFonts w:ascii="Times New Roman" w:hAnsi="Times New Roman"/>
          <w:noProof/>
          <w:sz w:val="24"/>
        </w:rPr>
        <w:t>i în mod complementar gama sa de instrumente și programe, introducând în același timp mijloace inovatoare pentru a promova obiectivele parteneriatului UE-ALC. O importanță deosebită ar trebui să o aibă:</w:t>
      </w:r>
    </w:p>
    <w:p w:rsidR="00183B2F" w:rsidRDefault="00204C9F">
      <w:pPr>
        <w:numPr>
          <w:ilvl w:val="0"/>
          <w:numId w:val="4"/>
        </w:numPr>
        <w:spacing w:after="120" w:line="240" w:lineRule="auto"/>
        <w:ind w:left="284" w:hanging="284"/>
        <w:jc w:val="both"/>
        <w:rPr>
          <w:rFonts w:ascii="Times New Roman" w:hAnsi="Times New Roman" w:cs="Times New Roman"/>
          <w:noProof/>
          <w:sz w:val="24"/>
          <w:szCs w:val="24"/>
        </w:rPr>
      </w:pPr>
      <w:r>
        <w:rPr>
          <w:rFonts w:ascii="Times New Roman" w:hAnsi="Times New Roman"/>
          <w:b/>
          <w:noProof/>
          <w:sz w:val="24"/>
          <w:u w:val="single"/>
        </w:rPr>
        <w:t>dialogurile în materie de politici</w:t>
      </w:r>
      <w:r>
        <w:rPr>
          <w:rFonts w:ascii="Times New Roman" w:hAnsi="Times New Roman"/>
          <w:noProof/>
          <w:sz w:val="24"/>
        </w:rPr>
        <w:t xml:space="preserve"> menite să identif</w:t>
      </w:r>
      <w:r>
        <w:rPr>
          <w:rFonts w:ascii="Times New Roman" w:hAnsi="Times New Roman"/>
          <w:noProof/>
          <w:sz w:val="24"/>
        </w:rPr>
        <w:t xml:space="preserve">ice și să impulsioneze așteptările reciproce ale UE și ALC privind reformele interne, cooperarea bilaterală, regională și multilaterală; </w:t>
      </w:r>
    </w:p>
    <w:p w:rsidR="00183B2F" w:rsidRDefault="00204C9F">
      <w:pPr>
        <w:numPr>
          <w:ilvl w:val="0"/>
          <w:numId w:val="4"/>
        </w:numPr>
        <w:spacing w:after="120" w:line="240" w:lineRule="auto"/>
        <w:ind w:left="284" w:hanging="284"/>
        <w:jc w:val="both"/>
        <w:rPr>
          <w:rFonts w:ascii="Times New Roman" w:hAnsi="Times New Roman" w:cs="Times New Roman"/>
          <w:noProof/>
          <w:sz w:val="24"/>
          <w:szCs w:val="24"/>
        </w:rPr>
      </w:pPr>
      <w:r>
        <w:rPr>
          <w:rFonts w:ascii="Times New Roman" w:hAnsi="Times New Roman"/>
          <w:b/>
          <w:noProof/>
          <w:sz w:val="24"/>
          <w:u w:val="single"/>
        </w:rPr>
        <w:t>schimbul de cunoștințe și de experiență</w:t>
      </w:r>
      <w:r>
        <w:rPr>
          <w:rFonts w:ascii="Times New Roman" w:hAnsi="Times New Roman"/>
          <w:b/>
          <w:noProof/>
          <w:sz w:val="24"/>
        </w:rPr>
        <w:t xml:space="preserve"> </w:t>
      </w:r>
      <w:r>
        <w:rPr>
          <w:rFonts w:ascii="Times New Roman" w:hAnsi="Times New Roman"/>
          <w:noProof/>
          <w:sz w:val="24"/>
        </w:rPr>
        <w:t>pe teme de interes comun, inclusiv politica publică, consolidarea instituționa</w:t>
      </w:r>
      <w:r>
        <w:rPr>
          <w:rFonts w:ascii="Times New Roman" w:hAnsi="Times New Roman"/>
          <w:noProof/>
          <w:sz w:val="24"/>
        </w:rPr>
        <w:t>lă și cadrele de reglementare</w:t>
      </w:r>
      <w:r>
        <w:rPr>
          <w:rFonts w:ascii="Times New Roman" w:hAnsi="Times New Roman"/>
          <w:noProof/>
          <w:sz w:val="24"/>
          <w:u w:val="single"/>
        </w:rPr>
        <w:t>;</w:t>
      </w:r>
    </w:p>
    <w:p w:rsidR="00183B2F" w:rsidRDefault="00204C9F">
      <w:pPr>
        <w:numPr>
          <w:ilvl w:val="0"/>
          <w:numId w:val="4"/>
        </w:numPr>
        <w:spacing w:after="120" w:line="240" w:lineRule="auto"/>
        <w:ind w:left="284" w:hanging="284"/>
        <w:jc w:val="both"/>
        <w:rPr>
          <w:rFonts w:ascii="Times New Roman" w:hAnsi="Times New Roman" w:cs="Times New Roman"/>
          <w:noProof/>
          <w:sz w:val="24"/>
          <w:szCs w:val="24"/>
        </w:rPr>
      </w:pPr>
      <w:r>
        <w:rPr>
          <w:rFonts w:ascii="Times New Roman" w:hAnsi="Times New Roman"/>
          <w:b/>
          <w:noProof/>
          <w:sz w:val="24"/>
          <w:u w:val="single"/>
        </w:rPr>
        <w:t>promovarea și mobilizarea finanțării publice și private</w:t>
      </w:r>
      <w:r>
        <w:rPr>
          <w:rFonts w:ascii="Times New Roman" w:hAnsi="Times New Roman"/>
          <w:b/>
          <w:noProof/>
          <w:sz w:val="24"/>
        </w:rPr>
        <w:t xml:space="preserve"> </w:t>
      </w:r>
      <w:r>
        <w:rPr>
          <w:rFonts w:ascii="Times New Roman" w:hAnsi="Times New Roman"/>
          <w:noProof/>
          <w:sz w:val="24"/>
        </w:rPr>
        <w:t>pentru a debloca investițiile</w:t>
      </w:r>
      <w:r>
        <w:rPr>
          <w:rFonts w:ascii="Times New Roman" w:hAnsi="Times New Roman"/>
          <w:b/>
          <w:noProof/>
          <w:sz w:val="24"/>
        </w:rPr>
        <w:t xml:space="preserve"> </w:t>
      </w:r>
      <w:r>
        <w:rPr>
          <w:rFonts w:ascii="Times New Roman" w:hAnsi="Times New Roman"/>
          <w:noProof/>
          <w:sz w:val="24"/>
        </w:rPr>
        <w:t>cu o rentabilitate economică, de mediu și socială ridicată, inclusiv prin finanțări mixte și sprijin pentru investiții și prin dialog struc</w:t>
      </w:r>
      <w:r>
        <w:rPr>
          <w:rFonts w:ascii="Times New Roman" w:hAnsi="Times New Roman"/>
          <w:noProof/>
          <w:sz w:val="24"/>
        </w:rPr>
        <w:t>turat pentru îmbunătățirea climatului investițional, punând accentul pe țările cu cele mai mari nevoi.</w:t>
      </w:r>
    </w:p>
    <w:p w:rsidR="00183B2F" w:rsidRDefault="00204C9F">
      <w:pPr>
        <w:numPr>
          <w:ilvl w:val="0"/>
          <w:numId w:val="4"/>
        </w:numPr>
        <w:spacing w:after="120" w:line="240" w:lineRule="auto"/>
        <w:ind w:left="284" w:hanging="284"/>
        <w:jc w:val="both"/>
        <w:rPr>
          <w:rFonts w:ascii="Times New Roman" w:hAnsi="Times New Roman" w:cs="Times New Roman"/>
          <w:noProof/>
          <w:sz w:val="24"/>
          <w:szCs w:val="24"/>
        </w:rPr>
      </w:pPr>
      <w:r>
        <w:rPr>
          <w:rFonts w:ascii="Times New Roman" w:hAnsi="Times New Roman"/>
          <w:b/>
          <w:noProof/>
          <w:sz w:val="24"/>
          <w:u w:val="single"/>
        </w:rPr>
        <w:t>cooperarea tripartită</w:t>
      </w:r>
      <w:r>
        <w:rPr>
          <w:rFonts w:ascii="Times New Roman" w:hAnsi="Times New Roman"/>
          <w:noProof/>
          <w:sz w:val="24"/>
        </w:rPr>
        <w:t>, care mobilizează și sporește capacitățile de cooperare, inclusiv pentru îndeplinirea ODD.</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b/>
          <w:noProof/>
          <w:sz w:val="24"/>
        </w:rPr>
        <w:t>Banca Europeană de Investiții și institu</w:t>
      </w:r>
      <w:r>
        <w:rPr>
          <w:rFonts w:ascii="Times New Roman" w:hAnsi="Times New Roman"/>
          <w:b/>
          <w:noProof/>
          <w:sz w:val="24"/>
        </w:rPr>
        <w:t>ț</w:t>
      </w:r>
      <w:r>
        <w:rPr>
          <w:rFonts w:ascii="Times New Roman" w:hAnsi="Times New Roman"/>
          <w:b/>
          <w:noProof/>
          <w:sz w:val="24"/>
        </w:rPr>
        <w:t xml:space="preserve">iile de finanțare pentru dezvoltare din statele membre </w:t>
      </w:r>
      <w:r>
        <w:rPr>
          <w:rFonts w:ascii="Times New Roman" w:hAnsi="Times New Roman"/>
          <w:noProof/>
          <w:sz w:val="24"/>
        </w:rPr>
        <w:t>au un rol important în finanțarea dezvoltării durabile în ALC, în contextul reducerii fluxurilor de asistență oficială pentru dezvoltare.</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noProof/>
          <w:sz w:val="24"/>
        </w:rPr>
        <w:t>În fine, cooperarea UE-ALC ar avea de câștigat dacă instrument</w:t>
      </w:r>
      <w:r>
        <w:rPr>
          <w:rFonts w:ascii="Times New Roman" w:hAnsi="Times New Roman"/>
          <w:noProof/>
          <w:sz w:val="24"/>
        </w:rPr>
        <w:t>ele sale ar fi îmbunătățite, prin simplificarea arhitecturii instrumentelor externe de finanțare și prin introducerea unei flexibilități sporite pentru a răspunde provocărilor și pentru a maximiza oportunitățile parteneriatului biregional.</w:t>
      </w:r>
    </w:p>
    <w:p w:rsidR="00183B2F" w:rsidRDefault="00183B2F">
      <w:pPr>
        <w:spacing w:after="0" w:line="240" w:lineRule="auto"/>
        <w:jc w:val="both"/>
        <w:rPr>
          <w:rFonts w:ascii="Times New Roman" w:hAnsi="Times New Roman" w:cs="Times New Roman"/>
          <w:noProof/>
          <w:sz w:val="24"/>
          <w:szCs w:val="24"/>
        </w:rPr>
      </w:pPr>
    </w:p>
    <w:p w:rsidR="00183B2F" w:rsidRDefault="00204C9F">
      <w:pPr>
        <w:keepNext/>
        <w:keepLines/>
        <w:spacing w:after="120" w:line="240" w:lineRule="auto"/>
        <w:jc w:val="both"/>
        <w:rPr>
          <w:rFonts w:ascii="Times New Roman" w:hAnsi="Times New Roman" w:cs="Times New Roman"/>
          <w:b/>
          <w:noProof/>
          <w:sz w:val="24"/>
          <w:szCs w:val="24"/>
        </w:rPr>
      </w:pPr>
      <w:r>
        <w:rPr>
          <w:rFonts w:ascii="Times New Roman" w:hAnsi="Times New Roman"/>
          <w:b/>
          <w:noProof/>
          <w:sz w:val="24"/>
        </w:rPr>
        <w:t>3.3. Societățil</w:t>
      </w:r>
      <w:r>
        <w:rPr>
          <w:rFonts w:ascii="Times New Roman" w:hAnsi="Times New Roman"/>
          <w:b/>
          <w:noProof/>
          <w:sz w:val="24"/>
        </w:rPr>
        <w:t>e noastre la conducere</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noProof/>
          <w:sz w:val="24"/>
        </w:rPr>
        <w:t>UE ar trebui să promoveze în continuare un angajament strâns cu societatea civilă, grupurile de reflecție, guvernele locale, mediul de afaceri, organizațiile patronale și sindicale, organizațiile culturale, cadrele universitare și ti</w:t>
      </w:r>
      <w:r>
        <w:rPr>
          <w:rFonts w:ascii="Times New Roman" w:hAnsi="Times New Roman"/>
          <w:noProof/>
          <w:sz w:val="24"/>
        </w:rPr>
        <w:t>nerii.</w:t>
      </w:r>
      <w:r>
        <w:rPr>
          <w:rFonts w:ascii="Times New Roman" w:hAnsi="Times New Roman"/>
          <w:b/>
          <w:noProof/>
          <w:sz w:val="24"/>
        </w:rPr>
        <w:t xml:space="preserve"> </w:t>
      </w:r>
      <w:r>
        <w:rPr>
          <w:rFonts w:ascii="Times New Roman" w:hAnsi="Times New Roman"/>
          <w:noProof/>
          <w:sz w:val="24"/>
        </w:rPr>
        <w:t xml:space="preserve">Acest angajament ar trebui să stea în continuare la baza dialogurilor politice și în materie de politici dintre UE și ALC, asigurându­se astfel faptul că acestea răspund preocupărilor cetățenilor din ambele regiuni. Capacitatea societății civile de </w:t>
      </w:r>
      <w:r>
        <w:rPr>
          <w:rFonts w:ascii="Times New Roman" w:hAnsi="Times New Roman"/>
          <w:noProof/>
          <w:sz w:val="24"/>
        </w:rPr>
        <w:t xml:space="preserve">a se angaja în susținerea eficace și promovarea răspunderii guvernului și a transparenței ar trebui să fie un obiectiv permanent al inițiativelor privind cooperarea. </w:t>
      </w:r>
      <w:r>
        <w:rPr>
          <w:rFonts w:ascii="Times New Roman" w:hAnsi="Times New Roman"/>
          <w:b/>
          <w:noProof/>
          <w:sz w:val="24"/>
        </w:rPr>
        <w:t>Fundația UE-ALC</w:t>
      </w:r>
      <w:r>
        <w:rPr>
          <w:rFonts w:ascii="Times New Roman" w:hAnsi="Times New Roman"/>
          <w:noProof/>
          <w:sz w:val="24"/>
        </w:rPr>
        <w:t xml:space="preserve"> joacă, de asemenea, un rol important în această privință.</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b/>
          <w:noProof/>
          <w:sz w:val="24"/>
        </w:rPr>
        <w:t>Dimensiunea parl</w:t>
      </w:r>
      <w:r>
        <w:rPr>
          <w:rFonts w:ascii="Times New Roman" w:hAnsi="Times New Roman"/>
          <w:b/>
          <w:noProof/>
          <w:sz w:val="24"/>
        </w:rPr>
        <w:t>amentară</w:t>
      </w:r>
      <w:r>
        <w:rPr>
          <w:rFonts w:ascii="Times New Roman" w:hAnsi="Times New Roman"/>
          <w:noProof/>
          <w:sz w:val="24"/>
        </w:rPr>
        <w:t xml:space="preserve"> este o componentă esențială a angajamentului politic UE-ALC. Rolul constructiv și activ al Parlamentului European și al altor organisme parlamentare în cadrul parteneriatului biregional ar trebui să continue în viitor.</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noProof/>
          <w:sz w:val="24"/>
        </w:rPr>
        <w:t>UE ar trebui să își continue</w:t>
      </w:r>
      <w:r>
        <w:rPr>
          <w:rFonts w:ascii="Times New Roman" w:hAnsi="Times New Roman"/>
          <w:noProof/>
          <w:sz w:val="24"/>
        </w:rPr>
        <w:t xml:space="preserve"> colaborarea strânsă cu </w:t>
      </w:r>
      <w:r>
        <w:rPr>
          <w:rFonts w:ascii="Times New Roman" w:hAnsi="Times New Roman"/>
          <w:b/>
          <w:noProof/>
          <w:sz w:val="24"/>
        </w:rPr>
        <w:t>organizațiile regionale și biregionale</w:t>
      </w:r>
      <w:r>
        <w:rPr>
          <w:rFonts w:ascii="Times New Roman" w:hAnsi="Times New Roman"/>
          <w:noProof/>
          <w:sz w:val="24"/>
        </w:rPr>
        <w:t>, cum ar fi Comisia Economică a Organizației Națiunilor Unite pentru America Latină și Caraibi (CEPAL), Organizația Statelor Americane, Secretariatul General Ibero-American, Institutul italo-lat</w:t>
      </w:r>
      <w:r>
        <w:rPr>
          <w:rFonts w:ascii="Times New Roman" w:hAnsi="Times New Roman"/>
          <w:noProof/>
          <w:sz w:val="24"/>
        </w:rPr>
        <w:t>ino-american, Banca Interamericană pentru Dezvoltare sau Banca de Dezvoltare a Americii Latine.</w:t>
      </w:r>
    </w:p>
    <w:p w:rsidR="00183B2F" w:rsidRDefault="00183B2F">
      <w:pPr>
        <w:spacing w:after="0" w:line="240" w:lineRule="auto"/>
        <w:jc w:val="both"/>
        <w:rPr>
          <w:rFonts w:ascii="Times New Roman" w:hAnsi="Times New Roman" w:cs="Times New Roman"/>
          <w:noProof/>
          <w:sz w:val="24"/>
          <w:szCs w:val="24"/>
        </w:rPr>
      </w:pPr>
    </w:p>
    <w:p w:rsidR="00183B2F" w:rsidRDefault="00204C9F">
      <w:pPr>
        <w:keepNext/>
        <w:keepLines/>
        <w:spacing w:after="120" w:line="240" w:lineRule="auto"/>
        <w:jc w:val="both"/>
        <w:rPr>
          <w:rFonts w:ascii="Times New Roman" w:hAnsi="Times New Roman" w:cs="Times New Roman"/>
          <w:b/>
          <w:noProof/>
          <w:sz w:val="24"/>
          <w:szCs w:val="24"/>
        </w:rPr>
      </w:pPr>
      <w:r>
        <w:rPr>
          <w:rFonts w:ascii="Times New Roman" w:hAnsi="Times New Roman"/>
          <w:b/>
          <w:noProof/>
          <w:sz w:val="24"/>
        </w:rPr>
        <w:t>4. Către o agendă comună</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Prezenta comunicare expune o serie de propuneri de consolidare a parteneriatului dintre Uniunea Europeană și ALC. Aceasta reflectă </w:t>
      </w:r>
      <w:r>
        <w:rPr>
          <w:rFonts w:ascii="Times New Roman" w:hAnsi="Times New Roman"/>
          <w:noProof/>
          <w:sz w:val="24"/>
        </w:rPr>
        <w:t>interesul puternic al UE în ceea ce privește consolidarea relațiilor cu țările și grupurile regionale din ALC și păstrarea statutului de partener stabil și de încredere pentru regiune.</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noProof/>
          <w:sz w:val="24"/>
        </w:rPr>
        <w:t>UE consideră că parteneriatul ar trebui să adopte o poziție mai fermă î</w:t>
      </w:r>
      <w:r>
        <w:rPr>
          <w:rFonts w:ascii="Times New Roman" w:hAnsi="Times New Roman"/>
          <w:noProof/>
          <w:sz w:val="24"/>
        </w:rPr>
        <w:t xml:space="preserve">n favoarea valorilor și intereselor vitale - prosperitate, democrație, reziliență și guvernanță mondială eficace - și să utilizeze mai bine și într-un mod mai direcționat diferitele dimensiuni ale relațiilor UE-ALC în acest sens. UE va acționa în direcția </w:t>
      </w:r>
      <w:r>
        <w:rPr>
          <w:rFonts w:ascii="Times New Roman" w:hAnsi="Times New Roman"/>
          <w:noProof/>
          <w:sz w:val="24"/>
        </w:rPr>
        <w:t>asumării unui angajament politic cu un caracter strategic mai pronunțat, intensificând eforturile depuse pentru stabilirea de parteneriate cu țările sau grupurile regionale dornice să depună mai multe eforturi pentru a realiza obiective comune. UE va încer</w:t>
      </w:r>
      <w:r>
        <w:rPr>
          <w:rFonts w:ascii="Times New Roman" w:hAnsi="Times New Roman"/>
          <w:noProof/>
          <w:sz w:val="24"/>
        </w:rPr>
        <w:t xml:space="preserve">ca să promoveze politici comerciale și de investiții bazate pe norme, colaborând totodată cu ALC pentru a menține și a reforma sistemul comercial multilateral puternic. UE va coopera în ceea ce privește acțiunile care vor avea un impact puternic în cadrul </w:t>
      </w:r>
      <w:r>
        <w:rPr>
          <w:rFonts w:ascii="Times New Roman" w:hAnsi="Times New Roman"/>
          <w:noProof/>
          <w:sz w:val="24"/>
        </w:rPr>
        <w:t>priorităților comune și al Agendei 2030 pentru dezvoltare durabilă.</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noProof/>
          <w:sz w:val="24"/>
        </w:rPr>
        <w:t>În același timp, parteneriatul UE-ALC nu se rezumă nici pe departe la relațiile dintre guverne. Legăturile dintre cetățenii regiunilor sunt în prezent la fel de dinamice ca întotdeauna; ce</w:t>
      </w:r>
      <w:r>
        <w:rPr>
          <w:rFonts w:ascii="Times New Roman" w:hAnsi="Times New Roman"/>
          <w:noProof/>
          <w:sz w:val="24"/>
        </w:rPr>
        <w:t>tățenii sunt cei care construiesc punți între regiuni, cei care cercetează și inovează, cei care creează noi locuri de muncă și trag la răspundere factorii de decizie. Ar trebui depuse eforturi sporite pentru a-i ajuta să își realizeze potențialul.</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noProof/>
          <w:sz w:val="24"/>
        </w:rPr>
        <w:t>Acest l</w:t>
      </w:r>
      <w:r>
        <w:rPr>
          <w:rFonts w:ascii="Times New Roman" w:hAnsi="Times New Roman"/>
          <w:noProof/>
          <w:sz w:val="24"/>
        </w:rPr>
        <w:t xml:space="preserve">ucru ar trebui să conducă la </w:t>
      </w:r>
      <w:r>
        <w:rPr>
          <w:rFonts w:ascii="Times New Roman" w:hAnsi="Times New Roman"/>
          <w:b/>
          <w:noProof/>
          <w:sz w:val="24"/>
        </w:rPr>
        <w:t>o acțiune externă mai unitară și mai coerentă a UE în ALC</w:t>
      </w:r>
      <w:r>
        <w:rPr>
          <w:rFonts w:ascii="Times New Roman" w:hAnsi="Times New Roman"/>
          <w:noProof/>
          <w:sz w:val="24"/>
        </w:rPr>
        <w:t>, prin punerea în comun a forțelor și a resurselor. Punerea în aplicare a prezentei comunicări se va realiza în strânsă cooperare cu statele membre ale UE, ale căror legă</w:t>
      </w:r>
      <w:r>
        <w:rPr>
          <w:rFonts w:ascii="Times New Roman" w:hAnsi="Times New Roman"/>
          <w:noProof/>
          <w:sz w:val="24"/>
        </w:rPr>
        <w:t>turi diverse cu regiunea ALC vor consolida caracterul unic al parteneriatului UE-ALC. Programarea comună și inițiativele comune pentru eficientizarea acțiunii externe a Europei ar trebui explorate ori de câte ori este posibil.</w:t>
      </w:r>
    </w:p>
    <w:p w:rsidR="00183B2F" w:rsidRDefault="00204C9F">
      <w:pPr>
        <w:spacing w:after="120" w:line="240" w:lineRule="auto"/>
        <w:jc w:val="both"/>
        <w:rPr>
          <w:rFonts w:ascii="Times New Roman" w:hAnsi="Times New Roman" w:cs="Times New Roman"/>
          <w:noProof/>
          <w:sz w:val="24"/>
          <w:szCs w:val="24"/>
        </w:rPr>
      </w:pPr>
      <w:r>
        <w:rPr>
          <w:rFonts w:ascii="Times New Roman" w:hAnsi="Times New Roman"/>
          <w:noProof/>
          <w:sz w:val="24"/>
        </w:rPr>
        <w:t>Aceasta este viziunea UE pent</w:t>
      </w:r>
      <w:r>
        <w:rPr>
          <w:rFonts w:ascii="Times New Roman" w:hAnsi="Times New Roman"/>
          <w:noProof/>
          <w:sz w:val="24"/>
        </w:rPr>
        <w:t>ru viitorul parteneriatului UE-ALC. Dialogul cu partenerii din ALC va permite celor două regiuni să își unească forțele pentru un viitor comun.</w:t>
      </w:r>
      <w:r>
        <w:rPr>
          <w:noProof/>
        </w:rPr>
        <w:br w:type="page"/>
      </w:r>
    </w:p>
    <w:p w:rsidR="00183B2F" w:rsidRDefault="00204C9F">
      <w:pPr>
        <w:jc w:val="center"/>
        <w:rPr>
          <w:rFonts w:ascii="Times New Roman" w:hAnsi="Times New Roman" w:cs="Times New Roman"/>
          <w:i/>
          <w:noProof/>
        </w:rPr>
      </w:pPr>
      <w:r>
        <w:rPr>
          <w:rFonts w:ascii="Times New Roman" w:hAnsi="Times New Roman"/>
          <w:i/>
          <w:noProof/>
        </w:rPr>
        <w:t>Lista acronimelor (în ordine alfabetică)</w:t>
      </w:r>
    </w:p>
    <w:p w:rsidR="00183B2F" w:rsidRDefault="00183B2F">
      <w:pPr>
        <w:jc w:val="center"/>
        <w:rPr>
          <w:rFonts w:ascii="Times New Roman" w:hAnsi="Times New Roman" w:cs="Times New Roman"/>
          <w:i/>
          <w:noProof/>
        </w:rPr>
      </w:pPr>
    </w:p>
    <w:tbl>
      <w:tblPr>
        <w:tblStyle w:val="TableGrid"/>
        <w:tblW w:w="0" w:type="auto"/>
        <w:tblInd w:w="720" w:type="dxa"/>
        <w:tblLook w:val="04A0" w:firstRow="1" w:lastRow="0" w:firstColumn="1" w:lastColumn="0" w:noHBand="0" w:noVBand="1"/>
      </w:tblPr>
      <w:tblGrid>
        <w:gridCol w:w="4250"/>
        <w:gridCol w:w="4318"/>
      </w:tblGrid>
      <w:tr w:rsidR="00183B2F">
        <w:tc>
          <w:tcPr>
            <w:tcW w:w="4250" w:type="dxa"/>
          </w:tcPr>
          <w:p w:rsidR="00183B2F" w:rsidRDefault="00204C9F">
            <w:pPr>
              <w:pStyle w:val="ListParagraph"/>
              <w:ind w:left="0"/>
              <w:rPr>
                <w:rFonts w:ascii="Times New Roman" w:hAnsi="Times New Roman" w:cs="Times New Roman"/>
                <w:noProof/>
              </w:rPr>
            </w:pPr>
            <w:r>
              <w:rPr>
                <w:rFonts w:ascii="Times New Roman" w:hAnsi="Times New Roman"/>
                <w:noProof/>
              </w:rPr>
              <w:t>5G</w:t>
            </w:r>
          </w:p>
        </w:tc>
        <w:tc>
          <w:tcPr>
            <w:tcW w:w="4318" w:type="dxa"/>
          </w:tcPr>
          <w:p w:rsidR="00183B2F" w:rsidRDefault="00204C9F">
            <w:pPr>
              <w:pStyle w:val="ListParagraph"/>
              <w:ind w:left="0"/>
              <w:rPr>
                <w:rFonts w:ascii="Times New Roman" w:hAnsi="Times New Roman" w:cs="Times New Roman"/>
                <w:i/>
                <w:noProof/>
              </w:rPr>
            </w:pPr>
            <w:r>
              <w:rPr>
                <w:rFonts w:ascii="Times New Roman" w:hAnsi="Times New Roman"/>
                <w:i/>
                <w:noProof/>
              </w:rPr>
              <w:t>A 5-a generație (telecomunicații mobile celulare)</w:t>
            </w:r>
          </w:p>
        </w:tc>
      </w:tr>
      <w:tr w:rsidR="00183B2F">
        <w:tc>
          <w:tcPr>
            <w:tcW w:w="4250" w:type="dxa"/>
          </w:tcPr>
          <w:p w:rsidR="00183B2F" w:rsidRDefault="00204C9F">
            <w:pPr>
              <w:pStyle w:val="ListParagraph"/>
              <w:ind w:left="0"/>
              <w:rPr>
                <w:rFonts w:ascii="Times New Roman" w:hAnsi="Times New Roman" w:cs="Times New Roman"/>
                <w:noProof/>
              </w:rPr>
            </w:pPr>
            <w:r>
              <w:rPr>
                <w:rFonts w:ascii="Times New Roman" w:hAnsi="Times New Roman"/>
                <w:noProof/>
              </w:rPr>
              <w:t>ACP</w:t>
            </w:r>
          </w:p>
        </w:tc>
        <w:tc>
          <w:tcPr>
            <w:tcW w:w="4318" w:type="dxa"/>
          </w:tcPr>
          <w:p w:rsidR="00183B2F" w:rsidRDefault="00204C9F">
            <w:pPr>
              <w:pStyle w:val="ListParagraph"/>
              <w:ind w:left="0"/>
              <w:rPr>
                <w:rFonts w:ascii="Times New Roman" w:hAnsi="Times New Roman" w:cs="Times New Roman"/>
                <w:i/>
                <w:noProof/>
              </w:rPr>
            </w:pPr>
            <w:r>
              <w:rPr>
                <w:rFonts w:ascii="Times New Roman" w:hAnsi="Times New Roman"/>
                <w:i/>
                <w:noProof/>
              </w:rPr>
              <w:t xml:space="preserve">Africa, </w:t>
            </w:r>
            <w:r>
              <w:rPr>
                <w:rFonts w:ascii="Times New Roman" w:hAnsi="Times New Roman"/>
                <w:i/>
                <w:noProof/>
              </w:rPr>
              <w:t>zona Caraibilor și Pacific</w:t>
            </w:r>
          </w:p>
        </w:tc>
      </w:tr>
      <w:tr w:rsidR="00183B2F">
        <w:tc>
          <w:tcPr>
            <w:tcW w:w="4250" w:type="dxa"/>
          </w:tcPr>
          <w:p w:rsidR="00183B2F" w:rsidRDefault="00204C9F">
            <w:pPr>
              <w:pStyle w:val="ListParagraph"/>
              <w:ind w:left="0"/>
              <w:rPr>
                <w:rFonts w:ascii="Times New Roman" w:hAnsi="Times New Roman" w:cs="Times New Roman"/>
                <w:noProof/>
              </w:rPr>
            </w:pPr>
            <w:r>
              <w:rPr>
                <w:rFonts w:ascii="Times New Roman" w:hAnsi="Times New Roman"/>
                <w:noProof/>
              </w:rPr>
              <w:t>AMERIPOL</w:t>
            </w:r>
          </w:p>
        </w:tc>
        <w:tc>
          <w:tcPr>
            <w:tcW w:w="4318" w:type="dxa"/>
          </w:tcPr>
          <w:p w:rsidR="00183B2F" w:rsidRDefault="00204C9F">
            <w:pPr>
              <w:pStyle w:val="ListParagraph"/>
              <w:ind w:left="0"/>
              <w:jc w:val="both"/>
              <w:rPr>
                <w:rFonts w:ascii="Times New Roman" w:hAnsi="Times New Roman" w:cs="Times New Roman"/>
                <w:i/>
                <w:noProof/>
              </w:rPr>
            </w:pPr>
            <w:r>
              <w:rPr>
                <w:rFonts w:ascii="Times New Roman" w:hAnsi="Times New Roman"/>
                <w:i/>
                <w:noProof/>
              </w:rPr>
              <w:t>Comunidad de Policías de América</w:t>
            </w:r>
          </w:p>
          <w:p w:rsidR="00183B2F" w:rsidRDefault="00204C9F">
            <w:pPr>
              <w:pStyle w:val="ListParagraph"/>
              <w:ind w:left="0"/>
              <w:jc w:val="both"/>
              <w:rPr>
                <w:rFonts w:ascii="Times New Roman" w:hAnsi="Times New Roman" w:cs="Times New Roman"/>
                <w:i/>
                <w:noProof/>
              </w:rPr>
            </w:pPr>
            <w:r>
              <w:rPr>
                <w:rFonts w:ascii="Times New Roman" w:hAnsi="Times New Roman"/>
                <w:i/>
                <w:noProof/>
              </w:rPr>
              <w:t>Comunitatea forțelor de poliție din America Latină și din Caraibi</w:t>
            </w:r>
          </w:p>
        </w:tc>
      </w:tr>
      <w:tr w:rsidR="00183B2F">
        <w:tc>
          <w:tcPr>
            <w:tcW w:w="4250" w:type="dxa"/>
          </w:tcPr>
          <w:p w:rsidR="00183B2F" w:rsidRDefault="00204C9F">
            <w:pPr>
              <w:pStyle w:val="ListParagraph"/>
              <w:ind w:left="0"/>
              <w:jc w:val="both"/>
              <w:rPr>
                <w:rFonts w:ascii="Times New Roman" w:hAnsi="Times New Roman" w:cs="Times New Roman"/>
                <w:noProof/>
              </w:rPr>
            </w:pPr>
            <w:r>
              <w:rPr>
                <w:rFonts w:ascii="Times New Roman" w:hAnsi="Times New Roman"/>
                <w:noProof/>
              </w:rPr>
              <w:t>CARICOM IMPACS</w:t>
            </w:r>
          </w:p>
        </w:tc>
        <w:tc>
          <w:tcPr>
            <w:tcW w:w="4318" w:type="dxa"/>
          </w:tcPr>
          <w:p w:rsidR="00183B2F" w:rsidRDefault="00204C9F">
            <w:pPr>
              <w:pStyle w:val="ListParagraph"/>
              <w:ind w:left="0"/>
              <w:jc w:val="both"/>
              <w:rPr>
                <w:rFonts w:ascii="Times New Roman" w:hAnsi="Times New Roman" w:cs="Times New Roman"/>
                <w:i/>
                <w:noProof/>
              </w:rPr>
            </w:pPr>
            <w:r>
              <w:rPr>
                <w:rFonts w:ascii="Times New Roman" w:hAnsi="Times New Roman"/>
                <w:i/>
                <w:noProof/>
              </w:rPr>
              <w:t xml:space="preserve">Agenția de punere în aplicare a măsurilor de combatere a infracțiunilor și de asigurare a securității a </w:t>
            </w:r>
            <w:r>
              <w:rPr>
                <w:rFonts w:ascii="Times New Roman" w:hAnsi="Times New Roman"/>
                <w:i/>
                <w:noProof/>
              </w:rPr>
              <w:t>Comunității Caraibilor</w:t>
            </w:r>
          </w:p>
        </w:tc>
      </w:tr>
      <w:tr w:rsidR="00183B2F">
        <w:tc>
          <w:tcPr>
            <w:tcW w:w="4250" w:type="dxa"/>
          </w:tcPr>
          <w:p w:rsidR="00183B2F" w:rsidRDefault="00204C9F">
            <w:pPr>
              <w:pStyle w:val="ListParagraph"/>
              <w:ind w:left="0"/>
              <w:rPr>
                <w:rFonts w:ascii="Times New Roman" w:hAnsi="Times New Roman" w:cs="Times New Roman"/>
                <w:noProof/>
              </w:rPr>
            </w:pPr>
            <w:r>
              <w:rPr>
                <w:rFonts w:ascii="Times New Roman" w:hAnsi="Times New Roman"/>
                <w:noProof/>
              </w:rPr>
              <w:t>CELAC</w:t>
            </w:r>
          </w:p>
        </w:tc>
        <w:tc>
          <w:tcPr>
            <w:tcW w:w="4318" w:type="dxa"/>
          </w:tcPr>
          <w:p w:rsidR="00183B2F" w:rsidRDefault="00204C9F">
            <w:pPr>
              <w:pStyle w:val="ListParagraph"/>
              <w:ind w:left="0"/>
              <w:rPr>
                <w:rFonts w:ascii="Times New Roman" w:hAnsi="Times New Roman" w:cs="Times New Roman"/>
                <w:i/>
                <w:noProof/>
              </w:rPr>
            </w:pPr>
            <w:r>
              <w:rPr>
                <w:rFonts w:ascii="Times New Roman" w:hAnsi="Times New Roman"/>
                <w:i/>
                <w:noProof/>
              </w:rPr>
              <w:t>Comunitatea Statelor Latino-Americane și Caraibiene</w:t>
            </w:r>
          </w:p>
        </w:tc>
      </w:tr>
      <w:tr w:rsidR="00183B2F">
        <w:tc>
          <w:tcPr>
            <w:tcW w:w="4250" w:type="dxa"/>
          </w:tcPr>
          <w:p w:rsidR="00183B2F" w:rsidRDefault="00204C9F">
            <w:pPr>
              <w:pStyle w:val="ListParagraph"/>
              <w:ind w:left="0"/>
              <w:rPr>
                <w:rFonts w:ascii="Times New Roman" w:hAnsi="Times New Roman" w:cs="Times New Roman"/>
                <w:noProof/>
              </w:rPr>
            </w:pPr>
            <w:r>
              <w:rPr>
                <w:rFonts w:ascii="Times New Roman" w:hAnsi="Times New Roman"/>
                <w:noProof/>
              </w:rPr>
              <w:t>CEPOL</w:t>
            </w:r>
          </w:p>
        </w:tc>
        <w:tc>
          <w:tcPr>
            <w:tcW w:w="4318" w:type="dxa"/>
          </w:tcPr>
          <w:p w:rsidR="00183B2F" w:rsidRDefault="00204C9F">
            <w:pPr>
              <w:pStyle w:val="ListParagraph"/>
              <w:ind w:left="0"/>
              <w:rPr>
                <w:rFonts w:ascii="Times New Roman" w:hAnsi="Times New Roman" w:cs="Times New Roman"/>
                <w:i/>
                <w:noProof/>
              </w:rPr>
            </w:pPr>
            <w:r>
              <w:rPr>
                <w:rFonts w:ascii="Times New Roman" w:hAnsi="Times New Roman"/>
                <w:i/>
                <w:noProof/>
              </w:rPr>
              <w:t>Agenția Uniunii Europene pentru Formare în Materie de Aplicare a Legii</w:t>
            </w:r>
          </w:p>
        </w:tc>
      </w:tr>
      <w:tr w:rsidR="00183B2F">
        <w:tc>
          <w:tcPr>
            <w:tcW w:w="4250" w:type="dxa"/>
          </w:tcPr>
          <w:p w:rsidR="00183B2F" w:rsidRDefault="00204C9F">
            <w:pPr>
              <w:pStyle w:val="ListParagraph"/>
              <w:ind w:left="0"/>
              <w:rPr>
                <w:rFonts w:ascii="Times New Roman" w:hAnsi="Times New Roman" w:cs="Times New Roman"/>
                <w:noProof/>
              </w:rPr>
            </w:pPr>
            <w:r>
              <w:rPr>
                <w:rFonts w:ascii="Times New Roman" w:hAnsi="Times New Roman"/>
                <w:noProof/>
              </w:rPr>
              <w:t>COPOLAD</w:t>
            </w:r>
          </w:p>
        </w:tc>
        <w:tc>
          <w:tcPr>
            <w:tcW w:w="4318" w:type="dxa"/>
          </w:tcPr>
          <w:p w:rsidR="00183B2F" w:rsidRDefault="00204C9F">
            <w:pPr>
              <w:rPr>
                <w:rFonts w:ascii="Times New Roman" w:hAnsi="Times New Roman" w:cs="Times New Roman"/>
                <w:i/>
                <w:noProof/>
              </w:rPr>
            </w:pPr>
            <w:r>
              <w:rPr>
                <w:rFonts w:ascii="Times New Roman" w:hAnsi="Times New Roman"/>
                <w:i/>
                <w:noProof/>
              </w:rPr>
              <w:t>Programa de Cooperación entre América Latina, el Caribe y la Unión Europea en Políticas</w:t>
            </w:r>
            <w:r>
              <w:rPr>
                <w:rFonts w:ascii="Times New Roman" w:hAnsi="Times New Roman"/>
                <w:i/>
                <w:noProof/>
              </w:rPr>
              <w:t xml:space="preserve"> sobre Drogas</w:t>
            </w:r>
          </w:p>
          <w:p w:rsidR="00183B2F" w:rsidRDefault="00204C9F">
            <w:pPr>
              <w:rPr>
                <w:rFonts w:ascii="Times New Roman" w:hAnsi="Times New Roman" w:cs="Times New Roman"/>
                <w:i/>
                <w:noProof/>
              </w:rPr>
            </w:pPr>
            <w:r>
              <w:rPr>
                <w:rFonts w:ascii="Times New Roman" w:hAnsi="Times New Roman"/>
                <w:i/>
                <w:noProof/>
              </w:rPr>
              <w:t>Programul de cooperare între</w:t>
            </w:r>
          </w:p>
          <w:p w:rsidR="00183B2F" w:rsidRDefault="00204C9F">
            <w:pPr>
              <w:rPr>
                <w:rFonts w:ascii="Times New Roman" w:hAnsi="Times New Roman" w:cs="Times New Roman"/>
                <w:i/>
                <w:noProof/>
              </w:rPr>
            </w:pPr>
            <w:r>
              <w:rPr>
                <w:rFonts w:ascii="Times New Roman" w:hAnsi="Times New Roman"/>
                <w:i/>
                <w:noProof/>
              </w:rPr>
              <w:t>America Latină, Caraibi și Uniunea Europeană</w:t>
            </w:r>
          </w:p>
          <w:p w:rsidR="00183B2F" w:rsidRDefault="00204C9F">
            <w:pPr>
              <w:rPr>
                <w:rFonts w:ascii="Times New Roman" w:hAnsi="Times New Roman" w:cs="Times New Roman"/>
                <w:i/>
                <w:noProof/>
              </w:rPr>
            </w:pPr>
            <w:r>
              <w:rPr>
                <w:rFonts w:ascii="Times New Roman" w:hAnsi="Times New Roman"/>
                <w:i/>
                <w:noProof/>
              </w:rPr>
              <w:t>privind politicile în materie de droguri</w:t>
            </w:r>
          </w:p>
        </w:tc>
      </w:tr>
      <w:tr w:rsidR="00183B2F">
        <w:tc>
          <w:tcPr>
            <w:tcW w:w="4250" w:type="dxa"/>
          </w:tcPr>
          <w:p w:rsidR="00183B2F" w:rsidRDefault="00204C9F">
            <w:pPr>
              <w:pStyle w:val="ListParagraph"/>
              <w:ind w:left="0"/>
              <w:rPr>
                <w:rFonts w:ascii="Times New Roman" w:hAnsi="Times New Roman" w:cs="Times New Roman"/>
                <w:noProof/>
              </w:rPr>
            </w:pPr>
            <w:r>
              <w:rPr>
                <w:rFonts w:ascii="Times New Roman" w:hAnsi="Times New Roman"/>
                <w:noProof/>
              </w:rPr>
              <w:t>PSAC</w:t>
            </w:r>
          </w:p>
        </w:tc>
        <w:tc>
          <w:tcPr>
            <w:tcW w:w="4318" w:type="dxa"/>
          </w:tcPr>
          <w:p w:rsidR="00183B2F" w:rsidRDefault="00204C9F">
            <w:pPr>
              <w:pStyle w:val="ListParagraph"/>
              <w:ind w:left="0"/>
              <w:rPr>
                <w:rFonts w:ascii="Times New Roman" w:hAnsi="Times New Roman" w:cs="Times New Roman"/>
                <w:i/>
                <w:noProof/>
              </w:rPr>
            </w:pPr>
            <w:r>
              <w:rPr>
                <w:rFonts w:ascii="Times New Roman" w:hAnsi="Times New Roman"/>
                <w:i/>
                <w:noProof/>
              </w:rPr>
              <w:t>Politica de securitate și apărare comună (a UE)</w:t>
            </w:r>
          </w:p>
        </w:tc>
      </w:tr>
      <w:tr w:rsidR="00183B2F">
        <w:tc>
          <w:tcPr>
            <w:tcW w:w="4250" w:type="dxa"/>
          </w:tcPr>
          <w:p w:rsidR="00183B2F" w:rsidRDefault="00204C9F">
            <w:pPr>
              <w:pStyle w:val="ListParagraph"/>
              <w:ind w:left="0"/>
              <w:rPr>
                <w:rFonts w:ascii="Times New Roman" w:hAnsi="Times New Roman" w:cs="Times New Roman"/>
                <w:noProof/>
              </w:rPr>
            </w:pPr>
            <w:r>
              <w:rPr>
                <w:rFonts w:ascii="Times New Roman" w:hAnsi="Times New Roman"/>
                <w:noProof/>
              </w:rPr>
              <w:t>CEPAL</w:t>
            </w:r>
          </w:p>
        </w:tc>
        <w:tc>
          <w:tcPr>
            <w:tcW w:w="4318" w:type="dxa"/>
          </w:tcPr>
          <w:p w:rsidR="00183B2F" w:rsidRDefault="00204C9F">
            <w:pPr>
              <w:pStyle w:val="ListParagraph"/>
              <w:ind w:left="0"/>
              <w:rPr>
                <w:rFonts w:ascii="Times New Roman" w:hAnsi="Times New Roman" w:cs="Times New Roman"/>
                <w:i/>
                <w:noProof/>
              </w:rPr>
            </w:pPr>
            <w:r>
              <w:rPr>
                <w:rFonts w:ascii="Times New Roman" w:hAnsi="Times New Roman"/>
                <w:i/>
                <w:noProof/>
              </w:rPr>
              <w:t xml:space="preserve">Comisia Economică a Organizației Națiunilor Unite pentru America </w:t>
            </w:r>
            <w:r>
              <w:rPr>
                <w:rFonts w:ascii="Times New Roman" w:hAnsi="Times New Roman"/>
                <w:i/>
                <w:noProof/>
              </w:rPr>
              <w:t>Latină și Caraibi</w:t>
            </w:r>
          </w:p>
        </w:tc>
      </w:tr>
      <w:tr w:rsidR="00183B2F">
        <w:tc>
          <w:tcPr>
            <w:tcW w:w="4250" w:type="dxa"/>
          </w:tcPr>
          <w:p w:rsidR="00183B2F" w:rsidRDefault="00204C9F">
            <w:pPr>
              <w:pStyle w:val="ListParagraph"/>
              <w:ind w:left="0"/>
              <w:rPr>
                <w:rFonts w:ascii="Times New Roman" w:hAnsi="Times New Roman" w:cs="Times New Roman"/>
                <w:noProof/>
              </w:rPr>
            </w:pPr>
            <w:r>
              <w:rPr>
                <w:rFonts w:ascii="Times New Roman" w:hAnsi="Times New Roman"/>
                <w:noProof/>
              </w:rPr>
              <w:t>EGNOS</w:t>
            </w:r>
          </w:p>
        </w:tc>
        <w:tc>
          <w:tcPr>
            <w:tcW w:w="4318" w:type="dxa"/>
          </w:tcPr>
          <w:p w:rsidR="00183B2F" w:rsidRDefault="00204C9F">
            <w:pPr>
              <w:pStyle w:val="ListParagraph"/>
              <w:ind w:left="0"/>
              <w:rPr>
                <w:rFonts w:ascii="Times New Roman" w:hAnsi="Times New Roman" w:cs="Times New Roman"/>
                <w:i/>
                <w:noProof/>
              </w:rPr>
            </w:pPr>
            <w:r>
              <w:rPr>
                <w:rFonts w:ascii="Times New Roman" w:hAnsi="Times New Roman"/>
                <w:i/>
                <w:noProof/>
              </w:rPr>
              <w:t>Serviciul european geostaționar mixt de navigare</w:t>
            </w:r>
          </w:p>
        </w:tc>
      </w:tr>
      <w:tr w:rsidR="00183B2F">
        <w:tc>
          <w:tcPr>
            <w:tcW w:w="4250" w:type="dxa"/>
          </w:tcPr>
          <w:p w:rsidR="00183B2F" w:rsidRDefault="00204C9F">
            <w:pPr>
              <w:pStyle w:val="ListParagraph"/>
              <w:ind w:left="0"/>
              <w:rPr>
                <w:rFonts w:ascii="Times New Roman" w:hAnsi="Times New Roman" w:cs="Times New Roman"/>
                <w:noProof/>
              </w:rPr>
            </w:pPr>
            <w:r>
              <w:rPr>
                <w:rFonts w:ascii="Times New Roman" w:hAnsi="Times New Roman"/>
                <w:noProof/>
              </w:rPr>
              <w:t>BEI</w:t>
            </w:r>
          </w:p>
        </w:tc>
        <w:tc>
          <w:tcPr>
            <w:tcW w:w="4318" w:type="dxa"/>
          </w:tcPr>
          <w:p w:rsidR="00183B2F" w:rsidRDefault="00204C9F">
            <w:pPr>
              <w:pStyle w:val="ListParagraph"/>
              <w:ind w:left="0"/>
              <w:rPr>
                <w:rFonts w:ascii="Times New Roman" w:hAnsi="Times New Roman" w:cs="Times New Roman"/>
                <w:i/>
                <w:noProof/>
              </w:rPr>
            </w:pPr>
            <w:r>
              <w:rPr>
                <w:rFonts w:ascii="Times New Roman" w:hAnsi="Times New Roman"/>
                <w:i/>
                <w:noProof/>
              </w:rPr>
              <w:t>Banca Europeană de Investiții</w:t>
            </w:r>
          </w:p>
        </w:tc>
      </w:tr>
      <w:tr w:rsidR="00183B2F">
        <w:tc>
          <w:tcPr>
            <w:tcW w:w="4250" w:type="dxa"/>
          </w:tcPr>
          <w:p w:rsidR="00183B2F" w:rsidRDefault="00204C9F">
            <w:pPr>
              <w:pStyle w:val="ListParagraph"/>
              <w:ind w:left="0"/>
              <w:rPr>
                <w:rFonts w:ascii="Times New Roman" w:hAnsi="Times New Roman" w:cs="Times New Roman"/>
                <w:noProof/>
              </w:rPr>
            </w:pPr>
            <w:r>
              <w:rPr>
                <w:rFonts w:ascii="Times New Roman" w:hAnsi="Times New Roman"/>
                <w:noProof/>
              </w:rPr>
              <w:t>EL PAcCTO</w:t>
            </w:r>
          </w:p>
        </w:tc>
        <w:tc>
          <w:tcPr>
            <w:tcW w:w="4318" w:type="dxa"/>
          </w:tcPr>
          <w:p w:rsidR="00183B2F" w:rsidRDefault="00204C9F">
            <w:pPr>
              <w:rPr>
                <w:rFonts w:ascii="Times New Roman" w:hAnsi="Times New Roman" w:cs="Times New Roman"/>
                <w:i/>
                <w:noProof/>
              </w:rPr>
            </w:pPr>
            <w:r>
              <w:rPr>
                <w:rFonts w:ascii="Times New Roman" w:hAnsi="Times New Roman"/>
                <w:i/>
                <w:noProof/>
              </w:rPr>
              <w:t>Europa Latinoamérica Programa de Asistencia contra el Crimen Transnacional Organizado</w:t>
            </w:r>
          </w:p>
          <w:p w:rsidR="00183B2F" w:rsidRDefault="00204C9F">
            <w:pPr>
              <w:rPr>
                <w:rFonts w:ascii="Times New Roman" w:hAnsi="Times New Roman" w:cs="Times New Roman"/>
                <w:i/>
                <w:noProof/>
              </w:rPr>
            </w:pPr>
            <w:r>
              <w:rPr>
                <w:rFonts w:ascii="Times New Roman" w:hAnsi="Times New Roman"/>
                <w:i/>
                <w:noProof/>
              </w:rPr>
              <w:t>Programul de asistență împotriva criminalității tr</w:t>
            </w:r>
            <w:r>
              <w:rPr>
                <w:rFonts w:ascii="Times New Roman" w:hAnsi="Times New Roman"/>
                <w:i/>
                <w:noProof/>
              </w:rPr>
              <w:t>ansnaționale organizate între Europa și America Latină</w:t>
            </w:r>
          </w:p>
        </w:tc>
      </w:tr>
      <w:tr w:rsidR="00183B2F">
        <w:tc>
          <w:tcPr>
            <w:tcW w:w="4250" w:type="dxa"/>
          </w:tcPr>
          <w:p w:rsidR="00183B2F" w:rsidRDefault="00204C9F">
            <w:pPr>
              <w:pStyle w:val="ListParagraph"/>
              <w:ind w:left="0"/>
              <w:rPr>
                <w:rFonts w:ascii="Times New Roman" w:hAnsi="Times New Roman" w:cs="Times New Roman"/>
                <w:noProof/>
              </w:rPr>
            </w:pPr>
            <w:r>
              <w:rPr>
                <w:rFonts w:ascii="Times New Roman" w:hAnsi="Times New Roman"/>
                <w:noProof/>
              </w:rPr>
              <w:t>UE</w:t>
            </w:r>
          </w:p>
        </w:tc>
        <w:tc>
          <w:tcPr>
            <w:tcW w:w="4318" w:type="dxa"/>
          </w:tcPr>
          <w:p w:rsidR="00183B2F" w:rsidRDefault="00204C9F">
            <w:pPr>
              <w:pStyle w:val="ListParagraph"/>
              <w:ind w:left="0"/>
              <w:rPr>
                <w:rFonts w:ascii="Times New Roman" w:hAnsi="Times New Roman" w:cs="Times New Roman"/>
                <w:i/>
                <w:noProof/>
              </w:rPr>
            </w:pPr>
            <w:r>
              <w:rPr>
                <w:rFonts w:ascii="Times New Roman" w:hAnsi="Times New Roman"/>
                <w:i/>
                <w:noProof/>
              </w:rPr>
              <w:t>Uniunea Europeană</w:t>
            </w:r>
          </w:p>
        </w:tc>
      </w:tr>
      <w:tr w:rsidR="00183B2F">
        <w:tc>
          <w:tcPr>
            <w:tcW w:w="4250" w:type="dxa"/>
          </w:tcPr>
          <w:p w:rsidR="00183B2F" w:rsidRDefault="00204C9F">
            <w:pPr>
              <w:pStyle w:val="ListParagraph"/>
              <w:ind w:left="0"/>
              <w:rPr>
                <w:rFonts w:ascii="Times New Roman" w:hAnsi="Times New Roman" w:cs="Times New Roman"/>
                <w:noProof/>
              </w:rPr>
            </w:pPr>
            <w:r>
              <w:rPr>
                <w:rFonts w:ascii="Times New Roman" w:hAnsi="Times New Roman"/>
                <w:noProof/>
              </w:rPr>
              <w:t xml:space="preserve">EUR </w:t>
            </w:r>
          </w:p>
        </w:tc>
        <w:tc>
          <w:tcPr>
            <w:tcW w:w="4318" w:type="dxa"/>
          </w:tcPr>
          <w:p w:rsidR="00183B2F" w:rsidRDefault="00204C9F">
            <w:pPr>
              <w:pStyle w:val="ListParagraph"/>
              <w:ind w:left="0"/>
              <w:rPr>
                <w:rFonts w:ascii="Times New Roman" w:hAnsi="Times New Roman" w:cs="Times New Roman"/>
                <w:i/>
                <w:noProof/>
              </w:rPr>
            </w:pPr>
            <w:r>
              <w:rPr>
                <w:rFonts w:ascii="Times New Roman" w:hAnsi="Times New Roman"/>
                <w:i/>
                <w:noProof/>
              </w:rPr>
              <w:t>Euro - €</w:t>
            </w:r>
          </w:p>
        </w:tc>
      </w:tr>
      <w:tr w:rsidR="00183B2F">
        <w:tc>
          <w:tcPr>
            <w:tcW w:w="4250" w:type="dxa"/>
          </w:tcPr>
          <w:p w:rsidR="00183B2F" w:rsidRDefault="00204C9F">
            <w:pPr>
              <w:pStyle w:val="ListParagraph"/>
              <w:ind w:left="0"/>
              <w:rPr>
                <w:rFonts w:ascii="Times New Roman" w:hAnsi="Times New Roman" w:cs="Times New Roman"/>
                <w:noProof/>
              </w:rPr>
            </w:pPr>
            <w:r>
              <w:rPr>
                <w:rFonts w:ascii="Times New Roman" w:hAnsi="Times New Roman"/>
                <w:noProof/>
              </w:rPr>
              <w:t>EUROCLIMA+</w:t>
            </w:r>
          </w:p>
        </w:tc>
        <w:tc>
          <w:tcPr>
            <w:tcW w:w="4318" w:type="dxa"/>
          </w:tcPr>
          <w:p w:rsidR="00183B2F" w:rsidRDefault="00204C9F">
            <w:pPr>
              <w:pStyle w:val="ListParagraph"/>
              <w:ind w:left="0"/>
              <w:rPr>
                <w:rFonts w:ascii="Times New Roman" w:hAnsi="Times New Roman" w:cs="Times New Roman"/>
                <w:i/>
                <w:noProof/>
              </w:rPr>
            </w:pPr>
            <w:r>
              <w:rPr>
                <w:rFonts w:ascii="Times New Roman" w:hAnsi="Times New Roman"/>
                <w:i/>
                <w:noProof/>
              </w:rPr>
              <w:t>Programa Regional de Sostenibilidad Ambiental y Cambio Climático para América Latina</w:t>
            </w:r>
          </w:p>
          <w:p w:rsidR="00183B2F" w:rsidRDefault="00204C9F">
            <w:pPr>
              <w:pStyle w:val="ListParagraph"/>
              <w:ind w:left="0"/>
              <w:rPr>
                <w:rFonts w:ascii="Times New Roman" w:hAnsi="Times New Roman" w:cs="Times New Roman"/>
                <w:i/>
                <w:noProof/>
              </w:rPr>
            </w:pPr>
            <w:r>
              <w:rPr>
                <w:rFonts w:ascii="Times New Roman" w:hAnsi="Times New Roman"/>
                <w:i/>
                <w:noProof/>
              </w:rPr>
              <w:t xml:space="preserve">Programul regional de durabilitate a mediului și schimbări </w:t>
            </w:r>
            <w:r>
              <w:rPr>
                <w:rFonts w:ascii="Times New Roman" w:hAnsi="Times New Roman"/>
                <w:i/>
                <w:noProof/>
              </w:rPr>
              <w:t>climatice pentru America Latină</w:t>
            </w:r>
          </w:p>
        </w:tc>
      </w:tr>
      <w:tr w:rsidR="00183B2F">
        <w:tc>
          <w:tcPr>
            <w:tcW w:w="4250" w:type="dxa"/>
          </w:tcPr>
          <w:p w:rsidR="00183B2F" w:rsidRDefault="00204C9F">
            <w:pPr>
              <w:pStyle w:val="ListParagraph"/>
              <w:ind w:left="0"/>
              <w:rPr>
                <w:rFonts w:ascii="Times New Roman" w:hAnsi="Times New Roman" w:cs="Times New Roman"/>
                <w:noProof/>
              </w:rPr>
            </w:pPr>
            <w:r>
              <w:rPr>
                <w:rFonts w:ascii="Times New Roman" w:hAnsi="Times New Roman"/>
                <w:noProof/>
              </w:rPr>
              <w:t>EUROPOL</w:t>
            </w:r>
          </w:p>
        </w:tc>
        <w:tc>
          <w:tcPr>
            <w:tcW w:w="4318" w:type="dxa"/>
          </w:tcPr>
          <w:p w:rsidR="00183B2F" w:rsidRDefault="00204C9F">
            <w:pPr>
              <w:pStyle w:val="ListParagraph"/>
              <w:ind w:left="0"/>
              <w:rPr>
                <w:rFonts w:ascii="Times New Roman" w:hAnsi="Times New Roman" w:cs="Times New Roman"/>
                <w:i/>
                <w:noProof/>
              </w:rPr>
            </w:pPr>
            <w:r>
              <w:rPr>
                <w:rFonts w:ascii="Times New Roman" w:hAnsi="Times New Roman"/>
                <w:i/>
                <w:noProof/>
              </w:rPr>
              <w:t xml:space="preserve">Agenția Uniunii Europene pentru Cooperare în Materie de Aplicare a Legii </w:t>
            </w:r>
          </w:p>
        </w:tc>
      </w:tr>
      <w:tr w:rsidR="00183B2F">
        <w:tc>
          <w:tcPr>
            <w:tcW w:w="4250" w:type="dxa"/>
          </w:tcPr>
          <w:p w:rsidR="00183B2F" w:rsidRDefault="00204C9F">
            <w:pPr>
              <w:pStyle w:val="ListParagraph"/>
              <w:ind w:left="0"/>
              <w:rPr>
                <w:rFonts w:ascii="Times New Roman" w:hAnsi="Times New Roman" w:cs="Times New Roman"/>
                <w:noProof/>
              </w:rPr>
            </w:pPr>
            <w:r>
              <w:rPr>
                <w:rFonts w:ascii="Times New Roman" w:hAnsi="Times New Roman"/>
                <w:noProof/>
              </w:rPr>
              <w:t>EUROsociAL</w:t>
            </w:r>
          </w:p>
        </w:tc>
        <w:tc>
          <w:tcPr>
            <w:tcW w:w="4318" w:type="dxa"/>
          </w:tcPr>
          <w:p w:rsidR="00183B2F" w:rsidRDefault="00204C9F">
            <w:pPr>
              <w:pStyle w:val="ListParagraph"/>
              <w:ind w:left="0"/>
              <w:rPr>
                <w:rFonts w:ascii="Times New Roman" w:hAnsi="Times New Roman" w:cs="Times New Roman"/>
                <w:i/>
                <w:noProof/>
              </w:rPr>
            </w:pPr>
            <w:r>
              <w:rPr>
                <w:rFonts w:ascii="Times New Roman" w:hAnsi="Times New Roman"/>
                <w:i/>
                <w:noProof/>
              </w:rPr>
              <w:t>Programa para la Cohesión Social en América Latina</w:t>
            </w:r>
          </w:p>
          <w:p w:rsidR="00183B2F" w:rsidRDefault="00204C9F">
            <w:pPr>
              <w:pStyle w:val="ListParagraph"/>
              <w:ind w:left="0"/>
              <w:rPr>
                <w:rFonts w:ascii="Times New Roman" w:hAnsi="Times New Roman" w:cs="Times New Roman"/>
                <w:i/>
                <w:noProof/>
              </w:rPr>
            </w:pPr>
            <w:r>
              <w:rPr>
                <w:rFonts w:ascii="Times New Roman" w:hAnsi="Times New Roman"/>
                <w:i/>
                <w:noProof/>
              </w:rPr>
              <w:t>Programul de coeziune socială în America Latină</w:t>
            </w:r>
          </w:p>
        </w:tc>
      </w:tr>
      <w:tr w:rsidR="00183B2F">
        <w:tc>
          <w:tcPr>
            <w:tcW w:w="4250" w:type="dxa"/>
          </w:tcPr>
          <w:p w:rsidR="00183B2F" w:rsidRDefault="00204C9F">
            <w:pPr>
              <w:pStyle w:val="ListParagraph"/>
              <w:ind w:left="0"/>
              <w:rPr>
                <w:rFonts w:ascii="Times New Roman" w:hAnsi="Times New Roman" w:cs="Times New Roman"/>
                <w:noProof/>
              </w:rPr>
            </w:pPr>
            <w:r>
              <w:rPr>
                <w:rFonts w:ascii="Times New Roman" w:hAnsi="Times New Roman"/>
                <w:noProof/>
              </w:rPr>
              <w:t>ISD</w:t>
            </w:r>
          </w:p>
        </w:tc>
        <w:tc>
          <w:tcPr>
            <w:tcW w:w="4318" w:type="dxa"/>
          </w:tcPr>
          <w:p w:rsidR="00183B2F" w:rsidRDefault="00204C9F">
            <w:pPr>
              <w:pStyle w:val="ListParagraph"/>
              <w:ind w:left="0"/>
              <w:rPr>
                <w:rFonts w:ascii="Times New Roman" w:hAnsi="Times New Roman" w:cs="Times New Roman"/>
                <w:i/>
                <w:noProof/>
              </w:rPr>
            </w:pPr>
            <w:r>
              <w:rPr>
                <w:rFonts w:ascii="Times New Roman" w:hAnsi="Times New Roman"/>
                <w:i/>
                <w:noProof/>
              </w:rPr>
              <w:t>Investiții străine direct</w:t>
            </w:r>
            <w:r>
              <w:rPr>
                <w:rFonts w:ascii="Times New Roman" w:hAnsi="Times New Roman"/>
                <w:i/>
                <w:noProof/>
              </w:rPr>
              <w:t>e</w:t>
            </w:r>
          </w:p>
        </w:tc>
      </w:tr>
      <w:tr w:rsidR="00183B2F">
        <w:tc>
          <w:tcPr>
            <w:tcW w:w="4250" w:type="dxa"/>
          </w:tcPr>
          <w:p w:rsidR="00183B2F" w:rsidRDefault="00204C9F">
            <w:pPr>
              <w:pStyle w:val="ListParagraph"/>
              <w:ind w:left="0"/>
              <w:rPr>
                <w:rFonts w:ascii="Times New Roman" w:hAnsi="Times New Roman" w:cs="Times New Roman"/>
                <w:noProof/>
              </w:rPr>
            </w:pPr>
            <w:r>
              <w:rPr>
                <w:rFonts w:ascii="Times New Roman" w:hAnsi="Times New Roman"/>
                <w:noProof/>
              </w:rPr>
              <w:t>G20</w:t>
            </w:r>
          </w:p>
        </w:tc>
        <w:tc>
          <w:tcPr>
            <w:tcW w:w="4318" w:type="dxa"/>
          </w:tcPr>
          <w:p w:rsidR="00183B2F" w:rsidRDefault="00204C9F">
            <w:pPr>
              <w:pStyle w:val="ListParagraph"/>
              <w:ind w:left="0"/>
              <w:rPr>
                <w:rFonts w:ascii="Times New Roman" w:hAnsi="Times New Roman" w:cs="Times New Roman"/>
                <w:i/>
                <w:noProof/>
              </w:rPr>
            </w:pPr>
            <w:r>
              <w:rPr>
                <w:rFonts w:ascii="Times New Roman" w:hAnsi="Times New Roman"/>
                <w:i/>
                <w:noProof/>
              </w:rPr>
              <w:t>Grupul celor 20</w:t>
            </w:r>
          </w:p>
        </w:tc>
      </w:tr>
      <w:tr w:rsidR="00183B2F">
        <w:tc>
          <w:tcPr>
            <w:tcW w:w="4250" w:type="dxa"/>
          </w:tcPr>
          <w:p w:rsidR="00183B2F" w:rsidRDefault="00204C9F">
            <w:pPr>
              <w:pStyle w:val="ListParagraph"/>
              <w:ind w:left="0"/>
              <w:rPr>
                <w:rFonts w:ascii="Times New Roman" w:hAnsi="Times New Roman" w:cs="Times New Roman"/>
                <w:noProof/>
              </w:rPr>
            </w:pPr>
            <w:r>
              <w:rPr>
                <w:rFonts w:ascii="Times New Roman" w:hAnsi="Times New Roman"/>
                <w:noProof/>
              </w:rPr>
              <w:t>BID</w:t>
            </w:r>
          </w:p>
        </w:tc>
        <w:tc>
          <w:tcPr>
            <w:tcW w:w="4318" w:type="dxa"/>
          </w:tcPr>
          <w:p w:rsidR="00183B2F" w:rsidRDefault="00204C9F">
            <w:pPr>
              <w:pStyle w:val="ListParagraph"/>
              <w:ind w:left="0"/>
              <w:rPr>
                <w:rFonts w:ascii="Times New Roman" w:hAnsi="Times New Roman" w:cs="Times New Roman"/>
                <w:i/>
                <w:noProof/>
              </w:rPr>
            </w:pPr>
            <w:r>
              <w:rPr>
                <w:rFonts w:ascii="Times New Roman" w:hAnsi="Times New Roman"/>
                <w:i/>
                <w:noProof/>
              </w:rPr>
              <w:t>Banca Interamericană de Dezvoltare</w:t>
            </w:r>
          </w:p>
        </w:tc>
      </w:tr>
      <w:tr w:rsidR="00183B2F">
        <w:tc>
          <w:tcPr>
            <w:tcW w:w="4250" w:type="dxa"/>
          </w:tcPr>
          <w:p w:rsidR="00183B2F" w:rsidRDefault="00204C9F">
            <w:pPr>
              <w:pStyle w:val="ListParagraph"/>
              <w:ind w:left="0"/>
              <w:rPr>
                <w:rFonts w:ascii="Times New Roman" w:hAnsi="Times New Roman" w:cs="Times New Roman"/>
                <w:noProof/>
              </w:rPr>
            </w:pPr>
            <w:r>
              <w:rPr>
                <w:rFonts w:ascii="Times New Roman" w:hAnsi="Times New Roman"/>
                <w:noProof/>
              </w:rPr>
              <w:t>ALC</w:t>
            </w:r>
          </w:p>
        </w:tc>
        <w:tc>
          <w:tcPr>
            <w:tcW w:w="4318" w:type="dxa"/>
          </w:tcPr>
          <w:p w:rsidR="00183B2F" w:rsidRDefault="00204C9F">
            <w:pPr>
              <w:pStyle w:val="ListParagraph"/>
              <w:ind w:left="0"/>
              <w:rPr>
                <w:rFonts w:ascii="Times New Roman" w:hAnsi="Times New Roman" w:cs="Times New Roman"/>
                <w:i/>
                <w:noProof/>
              </w:rPr>
            </w:pPr>
            <w:r>
              <w:rPr>
                <w:rFonts w:ascii="Times New Roman" w:hAnsi="Times New Roman"/>
                <w:i/>
                <w:noProof/>
              </w:rPr>
              <w:t>America Latină și zona Caraibilor</w:t>
            </w:r>
          </w:p>
        </w:tc>
      </w:tr>
      <w:tr w:rsidR="00183B2F">
        <w:tc>
          <w:tcPr>
            <w:tcW w:w="4250" w:type="dxa"/>
          </w:tcPr>
          <w:p w:rsidR="00183B2F" w:rsidRDefault="00204C9F">
            <w:pPr>
              <w:pStyle w:val="ListParagraph"/>
              <w:ind w:left="0"/>
              <w:rPr>
                <w:rFonts w:ascii="Times New Roman" w:hAnsi="Times New Roman" w:cs="Times New Roman"/>
                <w:noProof/>
              </w:rPr>
            </w:pPr>
            <w:r>
              <w:rPr>
                <w:rFonts w:ascii="Times New Roman" w:hAnsi="Times New Roman"/>
                <w:noProof/>
              </w:rPr>
              <w:t>Persoane LGBTI</w:t>
            </w:r>
          </w:p>
        </w:tc>
        <w:tc>
          <w:tcPr>
            <w:tcW w:w="4318" w:type="dxa"/>
          </w:tcPr>
          <w:p w:rsidR="00183B2F" w:rsidRDefault="00204C9F">
            <w:pPr>
              <w:pStyle w:val="ListParagraph"/>
              <w:ind w:left="0"/>
              <w:rPr>
                <w:rFonts w:ascii="Times New Roman" w:hAnsi="Times New Roman" w:cs="Times New Roman"/>
                <w:i/>
                <w:noProof/>
              </w:rPr>
            </w:pPr>
            <w:r>
              <w:rPr>
                <w:rFonts w:ascii="Times New Roman" w:hAnsi="Times New Roman"/>
                <w:i/>
                <w:noProof/>
              </w:rPr>
              <w:t>Persoane lesbiene, gay, bisexuale, transgen și intersexuale</w:t>
            </w:r>
          </w:p>
        </w:tc>
      </w:tr>
      <w:tr w:rsidR="00183B2F">
        <w:tc>
          <w:tcPr>
            <w:tcW w:w="4250" w:type="dxa"/>
          </w:tcPr>
          <w:p w:rsidR="00183B2F" w:rsidRDefault="00204C9F">
            <w:pPr>
              <w:pStyle w:val="ListParagraph"/>
              <w:ind w:left="0"/>
              <w:rPr>
                <w:rFonts w:ascii="Times New Roman" w:hAnsi="Times New Roman" w:cs="Times New Roman"/>
                <w:noProof/>
              </w:rPr>
            </w:pPr>
            <w:r>
              <w:rPr>
                <w:rFonts w:ascii="Times New Roman" w:hAnsi="Times New Roman"/>
                <w:noProof/>
              </w:rPr>
              <w:t>MIMM</w:t>
            </w:r>
          </w:p>
        </w:tc>
        <w:tc>
          <w:tcPr>
            <w:tcW w:w="4318" w:type="dxa"/>
          </w:tcPr>
          <w:p w:rsidR="00183B2F" w:rsidRDefault="00204C9F">
            <w:pPr>
              <w:pStyle w:val="ListParagraph"/>
              <w:ind w:left="0"/>
              <w:rPr>
                <w:rFonts w:ascii="Times New Roman" w:hAnsi="Times New Roman" w:cs="Times New Roman"/>
                <w:i/>
                <w:noProof/>
              </w:rPr>
            </w:pPr>
            <w:r>
              <w:rPr>
                <w:rFonts w:ascii="Times New Roman" w:hAnsi="Times New Roman"/>
                <w:i/>
                <w:noProof/>
              </w:rPr>
              <w:t>Microîntreprinderi și întreprinderi mici și mijlocii</w:t>
            </w:r>
          </w:p>
        </w:tc>
      </w:tr>
      <w:tr w:rsidR="00183B2F">
        <w:tc>
          <w:tcPr>
            <w:tcW w:w="4250" w:type="dxa"/>
          </w:tcPr>
          <w:p w:rsidR="00183B2F" w:rsidRDefault="00204C9F">
            <w:pPr>
              <w:pStyle w:val="ListParagraph"/>
              <w:ind w:left="0"/>
              <w:rPr>
                <w:rFonts w:ascii="Times New Roman" w:hAnsi="Times New Roman" w:cs="Times New Roman"/>
                <w:noProof/>
              </w:rPr>
            </w:pPr>
            <w:r>
              <w:rPr>
                <w:rFonts w:ascii="Times New Roman" w:hAnsi="Times New Roman"/>
                <w:noProof/>
              </w:rPr>
              <w:t>CSN</w:t>
            </w:r>
          </w:p>
        </w:tc>
        <w:tc>
          <w:tcPr>
            <w:tcW w:w="4318" w:type="dxa"/>
          </w:tcPr>
          <w:p w:rsidR="00183B2F" w:rsidRDefault="00204C9F">
            <w:pPr>
              <w:pStyle w:val="ListParagraph"/>
              <w:ind w:left="0"/>
              <w:rPr>
                <w:rFonts w:ascii="Times New Roman" w:hAnsi="Times New Roman" w:cs="Times New Roman"/>
                <w:i/>
                <w:noProof/>
              </w:rPr>
            </w:pPr>
            <w:r>
              <w:rPr>
                <w:rFonts w:ascii="Times New Roman" w:hAnsi="Times New Roman"/>
                <w:i/>
                <w:noProof/>
              </w:rPr>
              <w:t xml:space="preserve">Contribuții </w:t>
            </w:r>
            <w:r>
              <w:rPr>
                <w:rFonts w:ascii="Times New Roman" w:hAnsi="Times New Roman"/>
                <w:i/>
                <w:noProof/>
              </w:rPr>
              <w:t>stabilite la nivel național</w:t>
            </w:r>
          </w:p>
        </w:tc>
      </w:tr>
      <w:tr w:rsidR="00183B2F">
        <w:tc>
          <w:tcPr>
            <w:tcW w:w="4250" w:type="dxa"/>
          </w:tcPr>
          <w:p w:rsidR="00183B2F" w:rsidRDefault="00204C9F">
            <w:pPr>
              <w:pStyle w:val="ListParagraph"/>
              <w:ind w:left="0"/>
              <w:rPr>
                <w:rFonts w:ascii="Times New Roman" w:hAnsi="Times New Roman" w:cs="Times New Roman"/>
                <w:noProof/>
              </w:rPr>
            </w:pPr>
            <w:r>
              <w:rPr>
                <w:rFonts w:ascii="Times New Roman" w:hAnsi="Times New Roman"/>
                <w:noProof/>
              </w:rPr>
              <w:t>OSA</w:t>
            </w:r>
          </w:p>
        </w:tc>
        <w:tc>
          <w:tcPr>
            <w:tcW w:w="4318" w:type="dxa"/>
          </w:tcPr>
          <w:p w:rsidR="00183B2F" w:rsidRDefault="00204C9F">
            <w:pPr>
              <w:pStyle w:val="ListParagraph"/>
              <w:ind w:left="0"/>
              <w:rPr>
                <w:rFonts w:ascii="Times New Roman" w:hAnsi="Times New Roman" w:cs="Times New Roman"/>
                <w:i/>
                <w:noProof/>
              </w:rPr>
            </w:pPr>
            <w:r>
              <w:rPr>
                <w:rFonts w:ascii="Times New Roman" w:hAnsi="Times New Roman"/>
                <w:i/>
                <w:noProof/>
              </w:rPr>
              <w:t>Organizația statelor americane</w:t>
            </w:r>
          </w:p>
        </w:tc>
      </w:tr>
      <w:tr w:rsidR="00183B2F">
        <w:tc>
          <w:tcPr>
            <w:tcW w:w="4250" w:type="dxa"/>
          </w:tcPr>
          <w:p w:rsidR="00183B2F" w:rsidRDefault="00204C9F">
            <w:pPr>
              <w:pStyle w:val="ListParagraph"/>
              <w:ind w:left="0"/>
              <w:rPr>
                <w:rFonts w:ascii="Times New Roman" w:hAnsi="Times New Roman" w:cs="Times New Roman"/>
                <w:noProof/>
              </w:rPr>
            </w:pPr>
            <w:r>
              <w:rPr>
                <w:rFonts w:ascii="Times New Roman" w:hAnsi="Times New Roman"/>
                <w:noProof/>
              </w:rPr>
              <w:t>AOD</w:t>
            </w:r>
          </w:p>
        </w:tc>
        <w:tc>
          <w:tcPr>
            <w:tcW w:w="4318" w:type="dxa"/>
          </w:tcPr>
          <w:p w:rsidR="00183B2F" w:rsidRDefault="00204C9F">
            <w:pPr>
              <w:pStyle w:val="ListParagraph"/>
              <w:ind w:left="0"/>
              <w:rPr>
                <w:rFonts w:ascii="Times New Roman" w:hAnsi="Times New Roman" w:cs="Times New Roman"/>
                <w:i/>
                <w:noProof/>
              </w:rPr>
            </w:pPr>
            <w:r>
              <w:rPr>
                <w:rFonts w:ascii="Times New Roman" w:hAnsi="Times New Roman"/>
                <w:i/>
                <w:noProof/>
              </w:rPr>
              <w:t>Asistență oficială pentru dezvoltare</w:t>
            </w:r>
          </w:p>
        </w:tc>
      </w:tr>
      <w:tr w:rsidR="00183B2F">
        <w:tc>
          <w:tcPr>
            <w:tcW w:w="4250" w:type="dxa"/>
          </w:tcPr>
          <w:p w:rsidR="00183B2F" w:rsidRDefault="00204C9F">
            <w:pPr>
              <w:pStyle w:val="ListParagraph"/>
              <w:ind w:left="0"/>
              <w:rPr>
                <w:rFonts w:ascii="Times New Roman" w:hAnsi="Times New Roman" w:cs="Times New Roman"/>
                <w:noProof/>
              </w:rPr>
            </w:pPr>
            <w:r>
              <w:rPr>
                <w:rFonts w:ascii="Times New Roman" w:hAnsi="Times New Roman"/>
                <w:noProof/>
              </w:rPr>
              <w:t>OCDE</w:t>
            </w:r>
          </w:p>
        </w:tc>
        <w:tc>
          <w:tcPr>
            <w:tcW w:w="4318" w:type="dxa"/>
          </w:tcPr>
          <w:p w:rsidR="00183B2F" w:rsidRDefault="00204C9F">
            <w:pPr>
              <w:pStyle w:val="ListParagraph"/>
              <w:ind w:left="0"/>
              <w:rPr>
                <w:rFonts w:ascii="Times New Roman" w:hAnsi="Times New Roman" w:cs="Times New Roman"/>
                <w:i/>
                <w:noProof/>
              </w:rPr>
            </w:pPr>
            <w:r>
              <w:rPr>
                <w:rFonts w:ascii="Times New Roman" w:hAnsi="Times New Roman"/>
                <w:i/>
                <w:noProof/>
              </w:rPr>
              <w:t>Organizația pentru Cooperare și Dezvoltare Economică</w:t>
            </w:r>
          </w:p>
        </w:tc>
      </w:tr>
      <w:tr w:rsidR="00183B2F">
        <w:tc>
          <w:tcPr>
            <w:tcW w:w="4250" w:type="dxa"/>
          </w:tcPr>
          <w:p w:rsidR="00183B2F" w:rsidRDefault="00204C9F">
            <w:pPr>
              <w:pStyle w:val="ListParagraph"/>
              <w:ind w:left="0"/>
              <w:rPr>
                <w:rFonts w:ascii="Times New Roman" w:hAnsi="Times New Roman" w:cs="Times New Roman"/>
                <w:noProof/>
              </w:rPr>
            </w:pPr>
            <w:r>
              <w:rPr>
                <w:rFonts w:ascii="Times New Roman" w:hAnsi="Times New Roman"/>
                <w:noProof/>
              </w:rPr>
              <w:t>ODD</w:t>
            </w:r>
          </w:p>
        </w:tc>
        <w:tc>
          <w:tcPr>
            <w:tcW w:w="4318" w:type="dxa"/>
          </w:tcPr>
          <w:p w:rsidR="00183B2F" w:rsidRDefault="00204C9F">
            <w:pPr>
              <w:pStyle w:val="ListParagraph"/>
              <w:ind w:left="0"/>
              <w:rPr>
                <w:rFonts w:ascii="Times New Roman" w:hAnsi="Times New Roman" w:cs="Times New Roman"/>
                <w:i/>
                <w:noProof/>
              </w:rPr>
            </w:pPr>
            <w:r>
              <w:rPr>
                <w:rFonts w:ascii="Times New Roman" w:hAnsi="Times New Roman"/>
                <w:i/>
                <w:noProof/>
              </w:rPr>
              <w:t>Obiectiv(e) de dezvoltare durabilă</w:t>
            </w:r>
          </w:p>
        </w:tc>
      </w:tr>
      <w:tr w:rsidR="00183B2F">
        <w:tc>
          <w:tcPr>
            <w:tcW w:w="4250" w:type="dxa"/>
          </w:tcPr>
          <w:p w:rsidR="00183B2F" w:rsidRDefault="00204C9F">
            <w:pPr>
              <w:pStyle w:val="ListParagraph"/>
              <w:ind w:left="0"/>
              <w:rPr>
                <w:rFonts w:ascii="Times New Roman" w:hAnsi="Times New Roman" w:cs="Times New Roman"/>
                <w:noProof/>
              </w:rPr>
            </w:pPr>
            <w:r>
              <w:rPr>
                <w:rFonts w:ascii="Times New Roman" w:hAnsi="Times New Roman"/>
                <w:noProof/>
              </w:rPr>
              <w:t>SICA</w:t>
            </w:r>
          </w:p>
        </w:tc>
        <w:tc>
          <w:tcPr>
            <w:tcW w:w="4318" w:type="dxa"/>
          </w:tcPr>
          <w:p w:rsidR="00183B2F" w:rsidRDefault="00204C9F">
            <w:pPr>
              <w:pStyle w:val="ListParagraph"/>
              <w:ind w:left="0"/>
              <w:rPr>
                <w:rFonts w:ascii="Times New Roman" w:hAnsi="Times New Roman" w:cs="Times New Roman"/>
                <w:i/>
                <w:noProof/>
              </w:rPr>
            </w:pPr>
            <w:r>
              <w:rPr>
                <w:rFonts w:ascii="Times New Roman" w:hAnsi="Times New Roman"/>
                <w:i/>
                <w:noProof/>
              </w:rPr>
              <w:t>Sistema de la Integración Centroamericana</w:t>
            </w:r>
          </w:p>
          <w:p w:rsidR="00183B2F" w:rsidRDefault="00204C9F">
            <w:pPr>
              <w:pStyle w:val="ListParagraph"/>
              <w:ind w:left="0"/>
              <w:rPr>
                <w:rFonts w:ascii="Times New Roman" w:hAnsi="Times New Roman" w:cs="Times New Roman"/>
                <w:i/>
                <w:noProof/>
              </w:rPr>
            </w:pPr>
            <w:r>
              <w:rPr>
                <w:rFonts w:ascii="Times New Roman" w:hAnsi="Times New Roman"/>
                <w:i/>
                <w:noProof/>
              </w:rPr>
              <w:t>Sis</w:t>
            </w:r>
            <w:r>
              <w:rPr>
                <w:rFonts w:ascii="Times New Roman" w:hAnsi="Times New Roman"/>
                <w:i/>
                <w:noProof/>
              </w:rPr>
              <w:t>temul de Integrare Central-Americană</w:t>
            </w:r>
          </w:p>
        </w:tc>
      </w:tr>
      <w:tr w:rsidR="00183B2F">
        <w:tc>
          <w:tcPr>
            <w:tcW w:w="4250" w:type="dxa"/>
          </w:tcPr>
          <w:p w:rsidR="00183B2F" w:rsidRDefault="00204C9F">
            <w:pPr>
              <w:pStyle w:val="ListParagraph"/>
              <w:ind w:left="0"/>
              <w:rPr>
                <w:rFonts w:ascii="Times New Roman" w:hAnsi="Times New Roman" w:cs="Times New Roman"/>
                <w:noProof/>
              </w:rPr>
            </w:pPr>
            <w:r>
              <w:rPr>
                <w:rFonts w:ascii="Times New Roman" w:hAnsi="Times New Roman"/>
                <w:noProof/>
              </w:rPr>
              <w:t>ONU</w:t>
            </w:r>
          </w:p>
        </w:tc>
        <w:tc>
          <w:tcPr>
            <w:tcW w:w="4318" w:type="dxa"/>
          </w:tcPr>
          <w:p w:rsidR="00183B2F" w:rsidRDefault="00204C9F">
            <w:pPr>
              <w:pStyle w:val="ListParagraph"/>
              <w:ind w:left="0"/>
              <w:rPr>
                <w:rFonts w:ascii="Times New Roman" w:hAnsi="Times New Roman" w:cs="Times New Roman"/>
                <w:i/>
                <w:noProof/>
              </w:rPr>
            </w:pPr>
            <w:r>
              <w:rPr>
                <w:rFonts w:ascii="Times New Roman" w:hAnsi="Times New Roman"/>
                <w:i/>
                <w:noProof/>
              </w:rPr>
              <w:t>Organizația Națiunilor Unite.</w:t>
            </w:r>
          </w:p>
        </w:tc>
      </w:tr>
      <w:tr w:rsidR="00183B2F">
        <w:tc>
          <w:tcPr>
            <w:tcW w:w="4250" w:type="dxa"/>
          </w:tcPr>
          <w:p w:rsidR="00183B2F" w:rsidRDefault="00204C9F">
            <w:pPr>
              <w:pStyle w:val="ListParagraph"/>
              <w:ind w:left="0"/>
              <w:rPr>
                <w:rFonts w:ascii="Times New Roman" w:hAnsi="Times New Roman" w:cs="Times New Roman"/>
                <w:noProof/>
              </w:rPr>
            </w:pPr>
            <w:r>
              <w:rPr>
                <w:rFonts w:ascii="Times New Roman" w:hAnsi="Times New Roman"/>
                <w:noProof/>
              </w:rPr>
              <w:t>OMC</w:t>
            </w:r>
          </w:p>
        </w:tc>
        <w:tc>
          <w:tcPr>
            <w:tcW w:w="4318" w:type="dxa"/>
          </w:tcPr>
          <w:p w:rsidR="00183B2F" w:rsidRDefault="00204C9F">
            <w:pPr>
              <w:pStyle w:val="ListParagraph"/>
              <w:ind w:left="0"/>
              <w:rPr>
                <w:rFonts w:ascii="Times New Roman" w:hAnsi="Times New Roman" w:cs="Times New Roman"/>
                <w:i/>
                <w:noProof/>
              </w:rPr>
            </w:pPr>
            <w:r>
              <w:rPr>
                <w:rFonts w:ascii="Times New Roman" w:hAnsi="Times New Roman"/>
                <w:i/>
                <w:noProof/>
              </w:rPr>
              <w:t>Organizația Mondială a Comerțului</w:t>
            </w:r>
          </w:p>
        </w:tc>
      </w:tr>
    </w:tbl>
    <w:p w:rsidR="00183B2F" w:rsidRDefault="00183B2F">
      <w:pPr>
        <w:spacing w:after="120" w:line="240" w:lineRule="auto"/>
        <w:jc w:val="both"/>
        <w:rPr>
          <w:rFonts w:ascii="Times New Roman" w:hAnsi="Times New Roman" w:cs="Times New Roman"/>
          <w:b/>
          <w:noProof/>
          <w:sz w:val="24"/>
          <w:szCs w:val="24"/>
        </w:rPr>
      </w:pPr>
    </w:p>
    <w:sectPr w:rsidR="00183B2F" w:rsidSect="00204C9F">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D839825" w16cid:durableId="202C23CB"/>
  <w16cid:commentId w16cid:paraId="64ED99D0" w16cid:durableId="202C23CC"/>
  <w16cid:commentId w16cid:paraId="66E9C3D6" w16cid:durableId="202C23CD"/>
  <w16cid:commentId w16cid:paraId="300B68C6" w16cid:durableId="202C23CE"/>
  <w16cid:commentId w16cid:paraId="22A65D4A" w16cid:durableId="202C23CF"/>
  <w16cid:commentId w16cid:paraId="58A637D4" w16cid:durableId="202C23D0"/>
  <w16cid:commentId w16cid:paraId="1F560C5C" w16cid:durableId="202C23D1"/>
  <w16cid:commentId w16cid:paraId="5B1C1F37" w16cid:durableId="202C23D2"/>
  <w16cid:commentId w16cid:paraId="04A303F7" w16cid:durableId="202C23D3"/>
  <w16cid:commentId w16cid:paraId="4CEC985F" w16cid:durableId="202C23D4"/>
  <w16cid:commentId w16cid:paraId="462B7D18" w16cid:durableId="202C23D5"/>
  <w16cid:commentId w16cid:paraId="7B99B632" w16cid:durableId="202C23D6"/>
  <w16cid:commentId w16cid:paraId="0A794E57" w16cid:durableId="202C23D7"/>
  <w16cid:commentId w16cid:paraId="562B9CDB" w16cid:durableId="202C23D8"/>
  <w16cid:commentId w16cid:paraId="75B650D2" w16cid:durableId="202C23D9"/>
  <w16cid:commentId w16cid:paraId="3893A6E4" w16cid:durableId="202C23DA"/>
  <w16cid:commentId w16cid:paraId="14A6D3E3" w16cid:durableId="202C23DB"/>
  <w16cid:commentId w16cid:paraId="6D8C10B1" w16cid:durableId="202C23DC"/>
  <w16cid:commentId w16cid:paraId="5C0AA631" w16cid:durableId="202C23DD"/>
  <w16cid:commentId w16cid:paraId="10D3518A" w16cid:durableId="202C23DE"/>
  <w16cid:commentId w16cid:paraId="03E0A523" w16cid:durableId="202C23DF"/>
  <w16cid:commentId w16cid:paraId="0A562C6D" w16cid:durableId="202C23E0"/>
  <w16cid:commentId w16cid:paraId="1A41ECEF" w16cid:durableId="202C23E1"/>
  <w16cid:commentId w16cid:paraId="670AF2B5" w16cid:durableId="202C23E2"/>
  <w16cid:commentId w16cid:paraId="5DA69134" w16cid:durableId="202C23E3"/>
  <w16cid:commentId w16cid:paraId="14770AE7" w16cid:durableId="202C23E4"/>
  <w16cid:commentId w16cid:paraId="4F180AC9" w16cid:durableId="202C23E5"/>
  <w16cid:commentId w16cid:paraId="6EA3404E" w16cid:durableId="202C23E6"/>
  <w16cid:commentId w16cid:paraId="501D14CC" w16cid:durableId="202C23E7"/>
  <w16cid:commentId w16cid:paraId="35884627" w16cid:durableId="202C23E8"/>
  <w16cid:commentId w16cid:paraId="3B8B7F5B" w16cid:durableId="202C23E9"/>
  <w16cid:commentId w16cid:paraId="2129E51F" w16cid:durableId="202C23EA"/>
  <w16cid:commentId w16cid:paraId="4FA24C0E" w16cid:durableId="202C23EB"/>
  <w16cid:commentId w16cid:paraId="2D7DD1D0" w16cid:durableId="202C23EC"/>
  <w16cid:commentId w16cid:paraId="24CF5ACE" w16cid:durableId="202C23ED"/>
  <w16cid:commentId w16cid:paraId="2F3E46CA" w16cid:durableId="202C23EE"/>
  <w16cid:commentId w16cid:paraId="6ED59537" w16cid:durableId="202C23EF"/>
  <w16cid:commentId w16cid:paraId="20E13B46" w16cid:durableId="202C23F0"/>
  <w16cid:commentId w16cid:paraId="51AB9870" w16cid:durableId="202C23F1"/>
  <w16cid:commentId w16cid:paraId="6ACE449F" w16cid:durableId="202C23F2"/>
  <w16cid:commentId w16cid:paraId="0D785081" w16cid:durableId="202C23F3"/>
  <w16cid:commentId w16cid:paraId="36EB2BAE" w16cid:durableId="202C23F4"/>
  <w16cid:commentId w16cid:paraId="0F3C22B6" w16cid:durableId="202C23F5"/>
  <w16cid:commentId w16cid:paraId="68325D5A" w16cid:durableId="202C23F6"/>
  <w16cid:commentId w16cid:paraId="5D73CCBF" w16cid:durableId="202C23F7"/>
  <w16cid:commentId w16cid:paraId="7FB39319" w16cid:durableId="202C23F8"/>
  <w16cid:commentId w16cid:paraId="7BF1A2F5" w16cid:durableId="202C23F9"/>
  <w16cid:commentId w16cid:paraId="6BF0B2D6" w16cid:durableId="202C23FA"/>
  <w16cid:commentId w16cid:paraId="3577F7FF" w16cid:durableId="202C23FB"/>
  <w16cid:commentId w16cid:paraId="357DD0FA" w16cid:durableId="202C23FC"/>
  <w16cid:commentId w16cid:paraId="37BF9D5F" w16cid:durableId="202C23F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3B2F" w:rsidRDefault="00204C9F">
      <w:pPr>
        <w:spacing w:after="0" w:line="240" w:lineRule="auto"/>
      </w:pPr>
      <w:r>
        <w:separator/>
      </w:r>
    </w:p>
  </w:endnote>
  <w:endnote w:type="continuationSeparator" w:id="0">
    <w:p w:rsidR="00183B2F" w:rsidRDefault="00204C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hronicle Text G1">
    <w:altName w:val="Chronicle Text G1"/>
    <w:panose1 w:val="00000000000000000000"/>
    <w:charset w:val="00"/>
    <w:family w:val="roman"/>
    <w:notTrueType/>
    <w:pitch w:val="default"/>
    <w:sig w:usb0="00000003" w:usb1="00000000" w:usb2="00000000" w:usb3="00000000" w:csb0="00000001" w:csb1="00000000"/>
  </w:font>
  <w:font w:name="font268">
    <w:altName w:val="Times New Roman"/>
    <w:charset w:val="00"/>
    <w:family w:val="auto"/>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C9F" w:rsidRDefault="00204C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B2F" w:rsidRDefault="00204C9F">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C9F" w:rsidRDefault="00204C9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B2F" w:rsidRDefault="00183B2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0589315"/>
      <w:docPartObj>
        <w:docPartGallery w:val="Page Numbers (Bottom of Page)"/>
        <w:docPartUnique/>
      </w:docPartObj>
    </w:sdtPr>
    <w:sdtEndPr>
      <w:rPr>
        <w:noProof/>
        <w:sz w:val="18"/>
        <w:szCs w:val="18"/>
      </w:rPr>
    </w:sdtEndPr>
    <w:sdtContent>
      <w:p w:rsidR="00183B2F" w:rsidRDefault="00204C9F">
        <w:pPr>
          <w:pStyle w:val="Footer"/>
          <w:jc w:val="right"/>
          <w:rPr>
            <w:sz w:val="18"/>
            <w:szCs w:val="18"/>
          </w:rPr>
        </w:pPr>
        <w:r>
          <w:rPr>
            <w:sz w:val="18"/>
            <w:szCs w:val="18"/>
          </w:rPr>
          <w:fldChar w:fldCharType="begin"/>
        </w:r>
        <w:r>
          <w:rPr>
            <w:sz w:val="18"/>
            <w:szCs w:val="18"/>
          </w:rPr>
          <w:instrText xml:space="preserve"> PAGE   \* MERGEFORMAT </w:instrText>
        </w:r>
        <w:r>
          <w:rPr>
            <w:sz w:val="18"/>
            <w:szCs w:val="18"/>
          </w:rPr>
          <w:fldChar w:fldCharType="separate"/>
        </w:r>
        <w:r>
          <w:rPr>
            <w:noProof/>
            <w:sz w:val="18"/>
            <w:szCs w:val="18"/>
          </w:rPr>
          <w:t>1</w:t>
        </w:r>
        <w:r>
          <w:rPr>
            <w:noProof/>
            <w:sz w:val="18"/>
            <w:szCs w:val="18"/>
          </w:rPr>
          <w:fldChar w:fldCharType="end"/>
        </w:r>
      </w:p>
    </w:sdtContent>
  </w:sdt>
  <w:p w:rsidR="00183B2F" w:rsidRDefault="00183B2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B2F" w:rsidRDefault="00183B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3B2F" w:rsidRDefault="00204C9F">
      <w:pPr>
        <w:spacing w:after="0" w:line="240" w:lineRule="auto"/>
      </w:pPr>
      <w:r>
        <w:separator/>
      </w:r>
    </w:p>
  </w:footnote>
  <w:footnote w:type="continuationSeparator" w:id="0">
    <w:p w:rsidR="00183B2F" w:rsidRDefault="00204C9F">
      <w:pPr>
        <w:spacing w:after="0" w:line="240" w:lineRule="auto"/>
      </w:pPr>
      <w:r>
        <w:continuationSeparator/>
      </w:r>
    </w:p>
  </w:footnote>
  <w:footnote w:id="1">
    <w:p w:rsidR="00183B2F" w:rsidRDefault="00204C9F">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Viziune comună, acțiuni comune: o Europă mai puternică. O strategie globală pentru politica externă și de securitate a Uniunii Europene (2016).</w:t>
      </w:r>
    </w:p>
  </w:footnote>
  <w:footnote w:id="2">
    <w:p w:rsidR="00183B2F" w:rsidRDefault="00204C9F">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Toate țările din ALC, exceptând Argentina, Bolivia, Brazilia, Paraguay, Uruguay și Venezuela. Cele mai import</w:t>
      </w:r>
      <w:r>
        <w:rPr>
          <w:rFonts w:ascii="Times New Roman" w:hAnsi="Times New Roman"/>
        </w:rPr>
        <w:t>ante dintre acestea sunt acordurile de asociere cu Mexic, Chile și America Centrală, Acordul de parteneriat economic cu Forumul caraib (CARIFORUM) și acordurile de liber schimb cu Columbia, Peru și Ecuador.</w:t>
      </w:r>
    </w:p>
  </w:footnote>
  <w:footnote w:id="3">
    <w:p w:rsidR="00183B2F" w:rsidRDefault="00204C9F">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Acordul de la Paris (2015).</w:t>
      </w:r>
    </w:p>
  </w:footnote>
  <w:footnote w:id="4">
    <w:p w:rsidR="00183B2F" w:rsidRDefault="00204C9F">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Transformarea lumii în care trăim: Agenda 2030 pentru dezvoltare durabilă (2015).</w:t>
      </w:r>
    </w:p>
  </w:footnote>
  <w:footnote w:id="5">
    <w:p w:rsidR="00183B2F" w:rsidRDefault="00204C9F">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Organizația Națiunilor Unite, Raportul privind migrația internațională, 2017.</w:t>
      </w:r>
    </w:p>
  </w:footnote>
  <w:footnote w:id="6">
    <w:p w:rsidR="00183B2F" w:rsidRDefault="00204C9F">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Eurostat 2019. Investițiile UE în ALC depășesc stocurile ISD în China (176,1 miliarde EUR, </w:t>
      </w:r>
      <w:r>
        <w:rPr>
          <w:rFonts w:ascii="Times New Roman" w:hAnsi="Times New Roman"/>
        </w:rPr>
        <w:t>exceptând Hong Kong), India (76,7 miliarde EUR) și Rusia (216,1 miliarde EUR). luate împreună.</w:t>
      </w:r>
    </w:p>
  </w:footnote>
  <w:footnote w:id="7">
    <w:p w:rsidR="00183B2F" w:rsidRDefault="00204C9F">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Punând accentul pe domenii critice precum securitatea și statul de drept, durabilitatea mediului și schimbările climatice, agricultura, securitatea alimentară și nutrițională, creșterea economică favorabilă incluziunii pentru crearea de locuri de muncă, r</w:t>
      </w:r>
      <w:r>
        <w:rPr>
          <w:rFonts w:ascii="Times New Roman" w:hAnsi="Times New Roman"/>
        </w:rPr>
        <w:t>eforma gestiunii finanțelor publice, modernizarea sectorului public și integrarea regională.</w:t>
      </w:r>
    </w:p>
  </w:footnote>
  <w:footnote w:id="8">
    <w:p w:rsidR="00183B2F" w:rsidRDefault="00204C9F">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Rapoartele anuale ale BEI sunt disponibile la adresa</w:t>
      </w:r>
      <w:r>
        <w:rPr>
          <w:rFonts w:ascii="Times New Roman" w:hAnsi="Times New Roman"/>
        </w:rPr>
        <w:tab/>
        <w:t xml:space="preserve"> </w:t>
      </w:r>
      <w:hyperlink r:id="rId1">
        <w:r>
          <w:rPr>
            <w:rStyle w:val="Hyperlink"/>
            <w:rFonts w:ascii="Times New Roman" w:hAnsi="Times New Roman"/>
          </w:rPr>
          <w:t>http://www.eib.org/en/infoce</w:t>
        </w:r>
        <w:r>
          <w:rPr>
            <w:rStyle w:val="Hyperlink"/>
            <w:rFonts w:ascii="Times New Roman" w:hAnsi="Times New Roman"/>
          </w:rPr>
          <w:t>ntre/publications/all/index.htm</w:t>
        </w:r>
      </w:hyperlink>
      <w:r>
        <w:t>.</w:t>
      </w:r>
      <w:r>
        <w:rPr>
          <w:rFonts w:ascii="Times New Roman" w:hAnsi="Times New Roman"/>
        </w:rPr>
        <w:t xml:space="preserve"> </w:t>
      </w:r>
    </w:p>
  </w:footnote>
  <w:footnote w:id="9">
    <w:p w:rsidR="00183B2F" w:rsidRDefault="00204C9F">
      <w:pPr>
        <w:pStyle w:val="ti-grseq-1"/>
        <w:shd w:val="clear" w:color="auto" w:fill="FFFFFF"/>
        <w:spacing w:before="0" w:beforeAutospacing="0" w:after="0" w:afterAutospacing="0"/>
        <w:jc w:val="both"/>
      </w:pPr>
      <w:r>
        <w:rPr>
          <w:rStyle w:val="FootnoteReference"/>
          <w:sz w:val="20"/>
        </w:rPr>
        <w:footnoteRef/>
      </w:r>
      <w:r>
        <w:rPr>
          <w:color w:val="444444"/>
          <w:sz w:val="20"/>
          <w:shd w:val="clear" w:color="auto" w:fill="FFFFFF"/>
        </w:rPr>
        <w:t xml:space="preserve"> </w:t>
      </w:r>
      <w:r>
        <w:rPr>
          <w:rFonts w:eastAsiaTheme="minorEastAsia"/>
          <w:sz w:val="20"/>
        </w:rPr>
        <w:t xml:space="preserve">Noul Consens european privind dezvoltarea: „Lumea noastră, demnitatea noastră, viitorul nostru”, </w:t>
      </w:r>
      <w:r>
        <w:rPr>
          <w:rFonts w:eastAsiaTheme="minorEastAsia"/>
          <w:sz w:val="20"/>
          <w:lang w:val="it-IT"/>
        </w:rPr>
        <w:t>JO C 210 din 2017, p</w:t>
      </w:r>
      <w:r>
        <w:rPr>
          <w:rFonts w:eastAsiaTheme="minorEastAsia"/>
          <w:sz w:val="20"/>
        </w:rPr>
        <w:t>. 1.</w:t>
      </w:r>
    </w:p>
  </w:footnote>
  <w:footnote w:id="10">
    <w:p w:rsidR="00183B2F" w:rsidRDefault="00204C9F">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„Comerț pentru toți: Către o politică comercială și de investiții mai responsabilă”, COM(2015) 0</w:t>
      </w:r>
      <w:r>
        <w:rPr>
          <w:rFonts w:ascii="Times New Roman" w:hAnsi="Times New Roman"/>
        </w:rPr>
        <w:t>497; Directive de negociere pentru un acord de parteneriat între Uniunea Europeană și statele membre ale acesteia, pe de o parte, și țările care fac parte din grupul statelor din Africa, zona Caraibilor și Pacific, pe de altă parte, CONSILIU (2018) 8094/18</w:t>
      </w:r>
      <w:r>
        <w:rPr>
          <w:rFonts w:ascii="Times New Roman" w:hAnsi="Times New Roman"/>
        </w:rPr>
        <w:t>/ADD1. Prezenta comunicare ar trebui citită, de asemenea, din perspectiva acordurilor care există sau sunt în curs de negociere între UE și fiecare dintre țările sau subregiunile din ALC; acoperind practic întreaga regiune, aceste acorduri reprezintă un in</w:t>
      </w:r>
      <w:r>
        <w:rPr>
          <w:rFonts w:ascii="Times New Roman" w:hAnsi="Times New Roman"/>
        </w:rPr>
        <w:t>strument important pentru punerea în aplicare a viziunii prevăzute în prezenta comunicare.</w:t>
      </w:r>
    </w:p>
  </w:footnote>
  <w:footnote w:id="11">
    <w:p w:rsidR="00183B2F" w:rsidRDefault="00204C9F">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În conformitate cu Planul de acțiune al Comisiei privind finanțarea creșterii durabile. „Plan de acțiune: finanțarea creșterii durabile” COM (2018) 97.</w:t>
      </w:r>
    </w:p>
  </w:footnote>
  <w:footnote w:id="12">
    <w:p w:rsidR="00183B2F" w:rsidRDefault="00204C9F">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Inițiativ</w:t>
      </w:r>
      <w:r>
        <w:rPr>
          <w:rFonts w:ascii="Times New Roman" w:hAnsi="Times New Roman"/>
        </w:rPr>
        <w:t xml:space="preserve">a oferă un cadru pe termen lung pentru a ajuta insulele să își genereze propria energie durabilă și ieftină. </w:t>
      </w:r>
    </w:p>
  </w:footnote>
  <w:footnote w:id="13">
    <w:p w:rsidR="00183B2F" w:rsidRDefault="00204C9F">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În 2018, 81 % din populația ALC locuia în zone urbane, în timp ce în Europa procentul populației din mediul urban era de 74 %. Departamentul pen</w:t>
      </w:r>
      <w:r>
        <w:rPr>
          <w:rFonts w:ascii="Times New Roman" w:hAnsi="Times New Roman"/>
        </w:rPr>
        <w:t>tru afaceri economice și sociale al Organizației Națiunilor Unite (2018), Revizuirea perspectivelor urbanizării mondiale.</w:t>
      </w:r>
    </w:p>
  </w:footnote>
  <w:footnote w:id="14">
    <w:p w:rsidR="00183B2F" w:rsidRDefault="00204C9F">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Conform OIM, ocuparea informală a forței de muncă a reprezentat, în 2014, 46,8 % din totalul ocupării forței de muncă în sectorul ne</w:t>
      </w:r>
      <w:r>
        <w:rPr>
          <w:rFonts w:ascii="Times New Roman" w:hAnsi="Times New Roman"/>
        </w:rPr>
        <w:t xml:space="preserve">agricol. În 2012, economia informală a reprezentat 18,4 % în UE-27. Comisia Europeană și OCDE (2017), Sinteză a politicilor privind antreprenoriatul informal. </w:t>
      </w:r>
    </w:p>
  </w:footnote>
  <w:footnote w:id="15">
    <w:p w:rsidR="00183B2F" w:rsidRDefault="00204C9F">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Semnate deja cu Brazilia, Chile și Columbia.</w:t>
      </w:r>
    </w:p>
  </w:footnote>
  <w:footnote w:id="16">
    <w:p w:rsidR="00183B2F" w:rsidRDefault="00204C9F">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EUROCLIMA+ este un program finanțat de UE care </w:t>
      </w:r>
      <w:r>
        <w:rPr>
          <w:rFonts w:ascii="Times New Roman" w:hAnsi="Times New Roman"/>
        </w:rPr>
        <w:t xml:space="preserve">sprijină punerea în aplicare a Acordului de la Paris, </w:t>
      </w:r>
      <w:hyperlink r:id="rId2">
        <w:r>
          <w:rPr>
            <w:rStyle w:val="Hyperlink"/>
            <w:rFonts w:ascii="Times New Roman" w:hAnsi="Times New Roman"/>
          </w:rPr>
          <w:t>http://euroclimaplus.org/</w:t>
        </w:r>
      </w:hyperlink>
      <w:r>
        <w:t>.</w:t>
      </w:r>
      <w:r>
        <w:rPr>
          <w:rFonts w:ascii="Times New Roman" w:hAnsi="Times New Roman"/>
        </w:rPr>
        <w:t xml:space="preserve"> </w:t>
      </w:r>
    </w:p>
  </w:footnote>
  <w:footnote w:id="17">
    <w:p w:rsidR="00183B2F" w:rsidRDefault="00204C9F">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Banca Inter-Americană de Dezvoltare (2012), Mobilizarea oportunităților de susținere a creșterii economice: Platforma BID în ma</w:t>
      </w:r>
      <w:r>
        <w:rPr>
          <w:rFonts w:ascii="Times New Roman" w:hAnsi="Times New Roman"/>
        </w:rPr>
        <w:t>terie de biodiversitate pentru America Latină și zona Caraibilor).</w:t>
      </w:r>
    </w:p>
  </w:footnote>
  <w:footnote w:id="18">
    <w:p w:rsidR="00183B2F" w:rsidRDefault="00204C9F">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CEPAL (2018), Panorama socială a Americii Latine.</w:t>
      </w:r>
    </w:p>
  </w:footnote>
  <w:footnote w:id="19">
    <w:p w:rsidR="00183B2F" w:rsidRDefault="00204C9F">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CEPAL, Panorama socială a Americii Latine, 2018.</w:t>
      </w:r>
    </w:p>
  </w:footnote>
  <w:footnote w:id="20">
    <w:p w:rsidR="00183B2F" w:rsidRDefault="00204C9F">
      <w:pPr>
        <w:pStyle w:val="Heading4"/>
        <w:spacing w:before="0"/>
        <w:jc w:val="both"/>
        <w:rPr>
          <w:rFonts w:ascii="Times New Roman" w:hAnsi="Times New Roman" w:cs="Times New Roman"/>
        </w:rPr>
      </w:pPr>
      <w:r>
        <w:rPr>
          <w:rStyle w:val="FootnoteReference"/>
          <w:rFonts w:ascii="Times New Roman" w:hAnsi="Times New Roman"/>
          <w:i w:val="0"/>
          <w:color w:val="auto"/>
          <w:sz w:val="20"/>
        </w:rPr>
        <w:footnoteRef/>
      </w:r>
      <w:r>
        <w:rPr>
          <w:rFonts w:ascii="Times New Roman" w:hAnsi="Times New Roman"/>
          <w:i w:val="0"/>
          <w:color w:val="auto"/>
          <w:sz w:val="20"/>
        </w:rPr>
        <w:t xml:space="preserve"> </w:t>
      </w:r>
      <w:r>
        <w:rPr>
          <w:rFonts w:ascii="Times New Roman" w:hAnsi="Times New Roman"/>
          <w:b w:val="0"/>
          <w:i w:val="0"/>
          <w:color w:val="auto"/>
          <w:sz w:val="20"/>
        </w:rPr>
        <w:t>Erodarea bazei impozabile și transferul profiturilor se referă la strategii de evazi</w:t>
      </w:r>
      <w:r>
        <w:rPr>
          <w:rFonts w:ascii="Times New Roman" w:hAnsi="Times New Roman"/>
          <w:b w:val="0"/>
          <w:i w:val="0"/>
          <w:color w:val="auto"/>
          <w:sz w:val="20"/>
        </w:rPr>
        <w:t>une fiscală care exploatează lacunele și neconcordanțele în materie de norme fiscale, pentru a transfera profitul în mod artificial către zone cu impozite scăzute sau zero (OCDE).</w:t>
      </w:r>
    </w:p>
  </w:footnote>
  <w:footnote w:id="21">
    <w:p w:rsidR="00183B2F" w:rsidRDefault="00204C9F">
      <w:pPr>
        <w:pStyle w:val="FootnoteText"/>
        <w:jc w:val="both"/>
      </w:pPr>
      <w:r>
        <w:rPr>
          <w:rStyle w:val="FootnoteReference"/>
          <w:rFonts w:ascii="Times New Roman" w:hAnsi="Times New Roman"/>
        </w:rPr>
        <w:footnoteRef/>
      </w:r>
      <w:r>
        <w:rPr>
          <w:rFonts w:ascii="Times New Roman" w:hAnsi="Times New Roman"/>
        </w:rPr>
        <w:t xml:space="preserve"> În conformitate cu Declarația celei de a doua reuniuni a miniștrilor de externe CELAC-UE din iulie 2018 și cu Strategia pentru securitatea cetățenilor din 2014.</w:t>
      </w:r>
    </w:p>
  </w:footnote>
  <w:footnote w:id="22">
    <w:p w:rsidR="00183B2F" w:rsidRDefault="00204C9F">
      <w:pPr>
        <w:pStyle w:val="FootnoteText"/>
      </w:pPr>
      <w:r>
        <w:rPr>
          <w:rStyle w:val="FootnoteReference"/>
        </w:rPr>
        <w:footnoteRef/>
      </w:r>
      <w:r>
        <w:t xml:space="preserve"> UNHCR (2019).</w:t>
      </w:r>
    </w:p>
  </w:footnote>
  <w:footnote w:id="23">
    <w:p w:rsidR="00183B2F" w:rsidRDefault="00204C9F">
      <w:pPr>
        <w:pStyle w:val="FootnoteText"/>
        <w:jc w:val="both"/>
        <w:rPr>
          <w:rFonts w:ascii="Times New Roman" w:hAnsi="Times New Roman" w:cs="Times New Roman"/>
          <w:b/>
        </w:rPr>
      </w:pPr>
      <w:r>
        <w:rPr>
          <w:rStyle w:val="FootnoteReference"/>
          <w:rFonts w:ascii="Times New Roman" w:hAnsi="Times New Roman"/>
        </w:rPr>
        <w:footnoteRef/>
      </w:r>
      <w:r>
        <w:rPr>
          <w:rFonts w:ascii="Times New Roman" w:hAnsi="Times New Roman"/>
        </w:rPr>
        <w:t xml:space="preserve"> Tratatul privind interzicerea armelor nucleare (Tratatul de la Tlatelolco), </w:t>
      </w:r>
      <w:r>
        <w:rPr>
          <w:rFonts w:ascii="Times New Roman" w:hAnsi="Times New Roman"/>
        </w:rPr>
        <w:t>în vigoare din 1968.</w:t>
      </w:r>
    </w:p>
  </w:footnote>
  <w:footnote w:id="24">
    <w:p w:rsidR="00183B2F" w:rsidRDefault="00204C9F">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Alianța mondială împotriva schimbărilor climatice este o inițiativă a UE menită să ajute țările cele mai vulnerabile din lume să abordeze problema schimbărilor climatice, inclusiv statele insulare mici în curs de dezvoltare și țările</w:t>
      </w:r>
      <w:r>
        <w:rPr>
          <w:rFonts w:ascii="Times New Roman" w:hAnsi="Times New Roman"/>
        </w:rPr>
        <w:t xml:space="preserve"> cel mai puțin dezvoltate.</w:t>
      </w:r>
    </w:p>
  </w:footnote>
  <w:footnote w:id="25">
    <w:p w:rsidR="00183B2F" w:rsidRDefault="00204C9F">
      <w:pPr>
        <w:pStyle w:val="FootnoteText"/>
        <w:jc w:val="both"/>
      </w:pPr>
      <w:r>
        <w:rPr>
          <w:rStyle w:val="FootnoteReference"/>
          <w:rFonts w:ascii="Times New Roman" w:hAnsi="Times New Roman"/>
        </w:rPr>
        <w:footnoteRef/>
      </w:r>
      <w:r>
        <w:rPr>
          <w:rFonts w:ascii="Times New Roman" w:hAnsi="Times New Roman"/>
        </w:rPr>
        <w:t xml:space="preserve"> Acest program promovează colaborarea europeană în materie de politici climatice cu principalele economii mondiale, cu accent pe G20, în special prin promovarea punerii în aplicare a contribuțiilor stabilite la nivel național (C</w:t>
      </w:r>
      <w:r>
        <w:rPr>
          <w:rFonts w:ascii="Times New Roman" w:hAnsi="Times New Roman"/>
        </w:rPr>
        <w:t>SN).</w:t>
      </w:r>
    </w:p>
  </w:footnote>
  <w:footnote w:id="26">
    <w:p w:rsidR="00183B2F" w:rsidRDefault="00204C9F">
      <w:pPr>
        <w:pStyle w:val="FootnoteText"/>
      </w:pPr>
      <w:r>
        <w:rPr>
          <w:rStyle w:val="FootnoteReference"/>
        </w:rPr>
        <w:footnoteRef/>
      </w:r>
      <w:r>
        <w:t xml:space="preserve"> </w:t>
      </w:r>
      <w:r>
        <w:rPr>
          <w:rFonts w:ascii="Times New Roman" w:hAnsi="Times New Roman"/>
        </w:rPr>
        <w:t>Mexic, Chile, America Centrală, MERCOSUR.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C9F" w:rsidRDefault="00204C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C9F" w:rsidRDefault="00204C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C9F" w:rsidRDefault="00204C9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B2F" w:rsidRDefault="00183B2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B2F" w:rsidRDefault="00183B2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B2F" w:rsidRDefault="00183B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B00655E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Num4"/>
    <w:lvl w:ilvl="0">
      <w:start w:val="1"/>
      <w:numFmt w:val="bullet"/>
      <w:lvlText w:val="-"/>
      <w:lvlJc w:val="left"/>
      <w:pPr>
        <w:tabs>
          <w:tab w:val="num" w:pos="0"/>
        </w:tabs>
        <w:ind w:left="720" w:hanging="360"/>
      </w:pPr>
      <w:rPr>
        <w:rFonts w:ascii="Calibri" w:hAnsi="Calibri" w:cs="Times New Roman"/>
      </w:rPr>
    </w:lvl>
    <w:lvl w:ilvl="1">
      <w:start w:val="1"/>
      <w:numFmt w:val="bullet"/>
      <w:lvlText w:val="-"/>
      <w:lvlJc w:val="left"/>
      <w:pPr>
        <w:tabs>
          <w:tab w:val="num" w:pos="0"/>
        </w:tabs>
        <w:ind w:left="1440" w:hanging="360"/>
      </w:pPr>
      <w:rPr>
        <w:rFonts w:ascii="Calibri" w:hAnsi="Calibri" w:cs="Times New Roman"/>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00000002"/>
    <w:multiLevelType w:val="multilevel"/>
    <w:tmpl w:val="00000002"/>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 w15:restartNumberingAfterBreak="0">
    <w:nsid w:val="00000003"/>
    <w:multiLevelType w:val="multilevel"/>
    <w:tmpl w:val="00000003"/>
    <w:name w:val="WWNum6"/>
    <w:lvl w:ilvl="0">
      <w:start w:val="1"/>
      <w:numFmt w:val="bullet"/>
      <w:lvlText w:val="-"/>
      <w:lvlJc w:val="left"/>
      <w:pPr>
        <w:tabs>
          <w:tab w:val="num" w:pos="0"/>
        </w:tabs>
        <w:ind w:left="720" w:hanging="360"/>
      </w:pPr>
      <w:rPr>
        <w:rFonts w:ascii="Calibri" w:hAnsi="Calibri"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4"/>
    <w:multiLevelType w:val="multilevel"/>
    <w:tmpl w:val="0000000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5" w15:restartNumberingAfterBreak="0">
    <w:nsid w:val="0C490FB7"/>
    <w:multiLevelType w:val="hybridMultilevel"/>
    <w:tmpl w:val="3E745A26"/>
    <w:lvl w:ilvl="0" w:tplc="F06635AA">
      <w:numFmt w:val="bullet"/>
      <w:lvlText w:val="-"/>
      <w:lvlJc w:val="left"/>
      <w:pPr>
        <w:ind w:left="720" w:hanging="360"/>
      </w:pPr>
      <w:rPr>
        <w:rFonts w:ascii="Calibri" w:eastAsia="SimSu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B2727E"/>
    <w:multiLevelType w:val="hybridMultilevel"/>
    <w:tmpl w:val="42840DB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7" w15:restartNumberingAfterBreak="0">
    <w:nsid w:val="215C0109"/>
    <w:multiLevelType w:val="hybridMultilevel"/>
    <w:tmpl w:val="DFAA2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882106"/>
    <w:multiLevelType w:val="hybridMultilevel"/>
    <w:tmpl w:val="3692D796"/>
    <w:lvl w:ilvl="0" w:tplc="F06635AA">
      <w:numFmt w:val="bullet"/>
      <w:lvlText w:val="-"/>
      <w:lvlJc w:val="left"/>
      <w:pPr>
        <w:ind w:left="720" w:hanging="360"/>
      </w:pPr>
      <w:rPr>
        <w:rFonts w:ascii="Calibri" w:eastAsia="SimSu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6F66B1"/>
    <w:multiLevelType w:val="hybridMultilevel"/>
    <w:tmpl w:val="2E3ABBDC"/>
    <w:lvl w:ilvl="0" w:tplc="04326B3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F297BDB"/>
    <w:multiLevelType w:val="hybridMultilevel"/>
    <w:tmpl w:val="B74A0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09336C"/>
    <w:multiLevelType w:val="hybridMultilevel"/>
    <w:tmpl w:val="0062065E"/>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354F50BE"/>
    <w:multiLevelType w:val="hybridMultilevel"/>
    <w:tmpl w:val="8682ABDA"/>
    <w:lvl w:ilvl="0" w:tplc="08090005">
      <w:start w:val="1"/>
      <w:numFmt w:val="bullet"/>
      <w:lvlText w:val=""/>
      <w:lvlJc w:val="left"/>
      <w:pPr>
        <w:ind w:left="770" w:hanging="360"/>
      </w:pPr>
      <w:rPr>
        <w:rFonts w:ascii="Wingdings" w:hAnsi="Wingdings" w:hint="default"/>
      </w:rPr>
    </w:lvl>
    <w:lvl w:ilvl="1" w:tplc="08090003">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3" w15:restartNumberingAfterBreak="0">
    <w:nsid w:val="38734091"/>
    <w:multiLevelType w:val="hybridMultilevel"/>
    <w:tmpl w:val="3E86E3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CC91DCA"/>
    <w:multiLevelType w:val="hybridMultilevel"/>
    <w:tmpl w:val="FDF078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3F642A33"/>
    <w:multiLevelType w:val="hybridMultilevel"/>
    <w:tmpl w:val="400EEDC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43386C9A"/>
    <w:multiLevelType w:val="hybridMultilevel"/>
    <w:tmpl w:val="0916DB7E"/>
    <w:lvl w:ilvl="0" w:tplc="08090001">
      <w:start w:val="1"/>
      <w:numFmt w:val="bullet"/>
      <w:lvlText w:val=""/>
      <w:lvlJc w:val="left"/>
      <w:pPr>
        <w:ind w:left="720" w:hanging="360"/>
      </w:pPr>
      <w:rPr>
        <w:rFonts w:ascii="Symbol" w:hAnsi="Symbol" w:hint="default"/>
      </w:rPr>
    </w:lvl>
    <w:lvl w:ilvl="1" w:tplc="1ECCBECE">
      <w:start w:val="4"/>
      <w:numFmt w:val="bullet"/>
      <w:lvlText w:val="•"/>
      <w:lvlJc w:val="left"/>
      <w:pPr>
        <w:ind w:left="1800" w:hanging="720"/>
      </w:pPr>
      <w:rPr>
        <w:rFonts w:ascii="Arial" w:eastAsia="SimSun" w:hAnsi="Arial" w:cs="Arial" w:hint="default"/>
        <w:color w:val="385623"/>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33C2921"/>
    <w:multiLevelType w:val="hybridMultilevel"/>
    <w:tmpl w:val="8E606F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7A53D4A"/>
    <w:multiLevelType w:val="hybridMultilevel"/>
    <w:tmpl w:val="FC923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E642B3"/>
    <w:multiLevelType w:val="hybridMultilevel"/>
    <w:tmpl w:val="36F48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21511D"/>
    <w:multiLevelType w:val="hybridMultilevel"/>
    <w:tmpl w:val="BF78EF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4DA15DF4"/>
    <w:multiLevelType w:val="hybridMultilevel"/>
    <w:tmpl w:val="6AB4DDB4"/>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15:restartNumberingAfterBreak="0">
    <w:nsid w:val="4DDF2D16"/>
    <w:multiLevelType w:val="hybridMultilevel"/>
    <w:tmpl w:val="A6AA6C92"/>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3" w15:restartNumberingAfterBreak="0">
    <w:nsid w:val="4FB4752C"/>
    <w:multiLevelType w:val="hybridMultilevel"/>
    <w:tmpl w:val="BC825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4307001"/>
    <w:multiLevelType w:val="hybridMultilevel"/>
    <w:tmpl w:val="4B22E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CA182B"/>
    <w:multiLevelType w:val="hybridMultilevel"/>
    <w:tmpl w:val="744A9F32"/>
    <w:lvl w:ilvl="0" w:tplc="6988224E">
      <w:numFmt w:val="bullet"/>
      <w:lvlText w:val="-"/>
      <w:lvlJc w:val="left"/>
      <w:pPr>
        <w:ind w:left="720" w:hanging="360"/>
      </w:pPr>
      <w:rPr>
        <w:rFonts w:ascii="Calibri" w:eastAsia="SimSu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7B45C9"/>
    <w:multiLevelType w:val="hybridMultilevel"/>
    <w:tmpl w:val="EA5C8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BE1169C"/>
    <w:multiLevelType w:val="hybridMultilevel"/>
    <w:tmpl w:val="13B08500"/>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15:restartNumberingAfterBreak="0">
    <w:nsid w:val="683B709E"/>
    <w:multiLevelType w:val="hybridMultilevel"/>
    <w:tmpl w:val="4AECC2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6C9D1E1C"/>
    <w:multiLevelType w:val="hybridMultilevel"/>
    <w:tmpl w:val="BD085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E4B7806"/>
    <w:multiLevelType w:val="hybridMultilevel"/>
    <w:tmpl w:val="437688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6F706F98"/>
    <w:multiLevelType w:val="hybridMultilevel"/>
    <w:tmpl w:val="D67E4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5420BF"/>
    <w:multiLevelType w:val="hybridMultilevel"/>
    <w:tmpl w:val="128E2502"/>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3" w15:restartNumberingAfterBreak="0">
    <w:nsid w:val="707E6D87"/>
    <w:multiLevelType w:val="hybridMultilevel"/>
    <w:tmpl w:val="6C187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6B6704A"/>
    <w:multiLevelType w:val="hybridMultilevel"/>
    <w:tmpl w:val="1DDAB30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5" w15:restartNumberingAfterBreak="0">
    <w:nsid w:val="7D590AC1"/>
    <w:multiLevelType w:val="hybridMultilevel"/>
    <w:tmpl w:val="A1E673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7E415C48"/>
    <w:multiLevelType w:val="hybridMultilevel"/>
    <w:tmpl w:val="B86442DE"/>
    <w:lvl w:ilvl="0" w:tplc="67AA3A7A">
      <w:start w:val="2"/>
      <w:numFmt w:val="bullet"/>
      <w:lvlText w:val="-"/>
      <w:lvlJc w:val="left"/>
      <w:pPr>
        <w:ind w:left="720" w:hanging="360"/>
      </w:pPr>
      <w:rPr>
        <w:rFonts w:ascii="Arial" w:eastAsia="SimSun" w:hAnsi="Arial" w:cs="Arial"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num w:numId="1">
    <w:abstractNumId w:val="13"/>
  </w:num>
  <w:num w:numId="2">
    <w:abstractNumId w:val="22"/>
  </w:num>
  <w:num w:numId="3">
    <w:abstractNumId w:val="6"/>
  </w:num>
  <w:num w:numId="4">
    <w:abstractNumId w:val="14"/>
  </w:num>
  <w:num w:numId="5">
    <w:abstractNumId w:val="24"/>
  </w:num>
  <w:num w:numId="6">
    <w:abstractNumId w:val="7"/>
  </w:num>
  <w:num w:numId="7">
    <w:abstractNumId w:val="23"/>
  </w:num>
  <w:num w:numId="8">
    <w:abstractNumId w:val="0"/>
  </w:num>
  <w:num w:numId="9">
    <w:abstractNumId w:val="19"/>
  </w:num>
  <w:num w:numId="10">
    <w:abstractNumId w:val="36"/>
  </w:num>
  <w:num w:numId="11">
    <w:abstractNumId w:val="16"/>
  </w:num>
  <w:num w:numId="12">
    <w:abstractNumId w:val="1"/>
  </w:num>
  <w:num w:numId="13">
    <w:abstractNumId w:val="2"/>
  </w:num>
  <w:num w:numId="14">
    <w:abstractNumId w:val="3"/>
  </w:num>
  <w:num w:numId="15">
    <w:abstractNumId w:val="4"/>
  </w:num>
  <w:num w:numId="16">
    <w:abstractNumId w:val="20"/>
  </w:num>
  <w:num w:numId="17">
    <w:abstractNumId w:val="28"/>
  </w:num>
  <w:num w:numId="18">
    <w:abstractNumId w:val="35"/>
  </w:num>
  <w:num w:numId="19">
    <w:abstractNumId w:val="32"/>
  </w:num>
  <w:num w:numId="20">
    <w:abstractNumId w:val="30"/>
  </w:num>
  <w:num w:numId="21">
    <w:abstractNumId w:val="27"/>
  </w:num>
  <w:num w:numId="22">
    <w:abstractNumId w:val="11"/>
  </w:num>
  <w:num w:numId="23">
    <w:abstractNumId w:val="21"/>
  </w:num>
  <w:num w:numId="24">
    <w:abstractNumId w:val="33"/>
  </w:num>
  <w:num w:numId="25">
    <w:abstractNumId w:val="25"/>
  </w:num>
  <w:num w:numId="26">
    <w:abstractNumId w:val="18"/>
  </w:num>
  <w:num w:numId="27">
    <w:abstractNumId w:val="9"/>
  </w:num>
  <w:num w:numId="28">
    <w:abstractNumId w:val="5"/>
  </w:num>
  <w:num w:numId="29">
    <w:abstractNumId w:val="8"/>
  </w:num>
  <w:num w:numId="30">
    <w:abstractNumId w:val="12"/>
  </w:num>
  <w:num w:numId="31">
    <w:abstractNumId w:val="29"/>
  </w:num>
  <w:num w:numId="32">
    <w:abstractNumId w:val="17"/>
  </w:num>
  <w:num w:numId="33">
    <w:abstractNumId w:val="15"/>
  </w:num>
  <w:num w:numId="34">
    <w:abstractNumId w:val="34"/>
  </w:num>
  <w:num w:numId="35">
    <w:abstractNumId w:val="26"/>
  </w:num>
  <w:num w:numId="36">
    <w:abstractNumId w:val="10"/>
  </w:num>
  <w:num w:numId="37">
    <w:abstractNumId w:val="3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0"/>
  <w:hideSpellingErrors/>
  <w:hideGrammaticalErrors/>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D4B38A2C-66D0-4CD1-A07C-179E4EF2C0BF"/>
    <w:docVar w:name="LW_COVERPAGE_TYPE" w:val="1"/>
    <w:docVar w:name="LW_CROSSREFERENCE" w:val="&lt;UNUSED&gt;"/>
    <w:docVar w:name="LW_DocType" w:val="NORMAL"/>
    <w:docVar w:name="LW_EMISSION" w:val="16.4.2019"/>
    <w:docVar w:name="LW_EMISSION_ISODATE" w:val="2019-04-16"/>
    <w:docVar w:name="LW_EMISSION_LOCATION" w:val="STR"/>
    <w:docVar w:name="LW_EMISSION_PREFIX" w:val="Strasbourg, "/>
    <w:docVar w:name="LW_EMISSION_SUFFIX" w:val=" "/>
    <w:docVar w:name="LW_ID_DOCTYPE_NONLW" w:val="CP-015"/>
    <w:docVar w:name="LW_LANGUE" w:val="RO"/>
    <w:docVar w:name="LW_LEVEL_OF_SENSITIVITY" w:val="Standard treatment"/>
    <w:docVar w:name="LW_NOM.INST" w:val="COMISIA EUROPEAN\u258?"/>
    <w:docVar w:name="LW_NOM.INST_JOINTDOC" w:val="ÎNALTUL REPREZENTANT AL_x000b_UNIUNII PENTRU AFACERI_x000b_ EXTERNE \u536?I POLITICA_x000b_DE SECURITATE"/>
    <w:docVar w:name="LW_PART_NBR" w:val="1"/>
    <w:docVar w:name="LW_PART_NBR_TOTAL" w:val="1"/>
    <w:docVar w:name="LW_REF.INST.NEW" w:val="JOIN"/>
    <w:docVar w:name="LW_REF.INST.NEW_ADOPTED" w:val="final"/>
    <w:docVar w:name="LW_REF.INST.NEW_TEXT" w:val="(2019) 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lt;FMT:Bold&gt;Uniunea European\u259?, America Latin\u259? \u537?i zona Caraibilor: unirea for\u539?elor pentru un viitor comun&lt;/FMT&gt;_x000d__x000d__x000d__x000b_"/>
    <w:docVar w:name="LW_TYPE.DOC.CP" w:val="COMUNICARE COMUN\u258? C\u258?TRE PARLAMENTUL EUROPEAN \u350?I CONSILIU"/>
    <w:docVar w:name="LW_TYPE.DOC.CP.USERTEXT" w:val="&lt;EMPTY&gt;"/>
  </w:docVars>
  <w:rsids>
    <w:rsidRoot w:val="00183B2F"/>
    <w:rsid w:val="00183B2F"/>
    <w:rsid w:val="00204C9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DF663B84-ABE4-4E4C-8947-61DA37B8F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lang w:eastAsia="ro-RO"/>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pPr>
      <w:ind w:left="720"/>
      <w:contextualSpacing/>
    </w:pPr>
    <w:rPr>
      <w:rFonts w:eastAsiaTheme="minorEastAsia"/>
    </w:rPr>
  </w:style>
  <w:style w:type="character" w:customStyle="1" w:styleId="BriefingtextChar">
    <w:name w:val="Briefing text Char"/>
    <w:link w:val="Briefingtext"/>
    <w:locked/>
    <w:rPr>
      <w:rFonts w:ascii="Arial" w:hAnsi="Arial" w:cs="Arial"/>
      <w:szCs w:val="24"/>
    </w:rPr>
  </w:style>
  <w:style w:type="paragraph" w:customStyle="1" w:styleId="Briefingtext">
    <w:name w:val="Briefing text"/>
    <w:basedOn w:val="Normal"/>
    <w:link w:val="BriefingtextChar"/>
    <w:pPr>
      <w:spacing w:after="240" w:line="240" w:lineRule="auto"/>
      <w:jc w:val="both"/>
    </w:pPr>
    <w:rPr>
      <w:rFonts w:ascii="Arial" w:hAnsi="Arial" w:cs="Arial"/>
      <w:szCs w:val="24"/>
    </w:rPr>
  </w:style>
  <w:style w:type="paragraph" w:styleId="BalloonText">
    <w:name w:val="Balloon Text"/>
    <w:basedOn w:val="Normal"/>
    <w:link w:val="BalloonTextChar"/>
    <w:unhideWhenUsed/>
    <w:pPr>
      <w:spacing w:after="0" w:line="240" w:lineRule="auto"/>
    </w:pPr>
    <w:rPr>
      <w:rFonts w:ascii="Tahoma" w:eastAsiaTheme="minorEastAsia" w:hAnsi="Tahoma" w:cs="Tahoma"/>
      <w:sz w:val="16"/>
      <w:szCs w:val="16"/>
    </w:rPr>
  </w:style>
  <w:style w:type="character" w:customStyle="1" w:styleId="BalloonTextChar">
    <w:name w:val="Balloon Text Char"/>
    <w:basedOn w:val="DefaultParagraphFont"/>
    <w:link w:val="BalloonText"/>
    <w:rPr>
      <w:rFonts w:ascii="Tahoma" w:eastAsiaTheme="minorEastAsia" w:hAnsi="Tahoma" w:cs="Tahoma"/>
      <w:sz w:val="16"/>
      <w:szCs w:val="16"/>
      <w:lang w:eastAsia="ro-RO"/>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rFonts w:eastAsiaTheme="minorEastAsia"/>
      <w:sz w:val="20"/>
      <w:szCs w:val="20"/>
    </w:rPr>
  </w:style>
  <w:style w:type="character" w:customStyle="1" w:styleId="CommentTextChar">
    <w:name w:val="Comment Text Char"/>
    <w:basedOn w:val="DefaultParagraphFont"/>
    <w:link w:val="CommentText"/>
    <w:uiPriority w:val="99"/>
    <w:rPr>
      <w:rFonts w:eastAsiaTheme="minorEastAsia"/>
      <w:sz w:val="20"/>
      <w:szCs w:val="20"/>
      <w:lang w:eastAsia="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rPr>
      <w:rFonts w:eastAsiaTheme="minorEastAsia"/>
      <w:b/>
      <w:bCs/>
      <w:sz w:val="20"/>
      <w:szCs w:val="20"/>
      <w:lang w:eastAsia="ro-RO"/>
    </w:rPr>
  </w:style>
  <w:style w:type="paragraph" w:styleId="Revision">
    <w:name w:val="Revision"/>
    <w:hidden/>
    <w:uiPriority w:val="99"/>
    <w:semiHidden/>
    <w:pPr>
      <w:spacing w:after="0" w:line="240" w:lineRule="auto"/>
    </w:pPr>
    <w:rPr>
      <w:rFonts w:eastAsiaTheme="minorEastAsia"/>
    </w:rPr>
  </w:style>
  <w:style w:type="character" w:styleId="Hyperlink">
    <w:name w:val="Hyperlink"/>
    <w:basedOn w:val="DefaultParagraphFont"/>
    <w:uiPriority w:val="99"/>
    <w:unhideWhenUsed/>
    <w:rPr>
      <w:color w:val="0000FF" w:themeColor="hyperlink"/>
      <w:u w:val="single"/>
    </w:rPr>
  </w:style>
  <w:style w:type="paragraph" w:customStyle="1" w:styleId="Char">
    <w:name w:val="Char"/>
    <w:basedOn w:val="Normal"/>
    <w:next w:val="Normal"/>
    <w:pPr>
      <w:spacing w:after="160" w:line="240" w:lineRule="exact"/>
    </w:pPr>
    <w:rPr>
      <w:rFonts w:ascii="Tahoma" w:eastAsia="Times New Roman" w:hAnsi="Tahoma" w:cs="Times New Roman"/>
      <w:sz w:val="24"/>
      <w:szCs w:val="20"/>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Pr>
      <w:rFonts w:eastAsiaTheme="minorEastAsia"/>
      <w:lang w:eastAsia="ro-RO"/>
    </w:rPr>
  </w:style>
  <w:style w:type="character" w:customStyle="1" w:styleId="Bodytext2">
    <w:name w:val="Body text (2)_"/>
    <w:basedOn w:val="DefaultParagraphFont"/>
    <w:link w:val="Bodytext20"/>
    <w:rPr>
      <w:shd w:val="clear" w:color="auto" w:fill="FFFFFF"/>
    </w:rPr>
  </w:style>
  <w:style w:type="paragraph" w:customStyle="1" w:styleId="Bodytext20">
    <w:name w:val="Body text (2)"/>
    <w:basedOn w:val="Normal"/>
    <w:link w:val="Bodytext2"/>
    <w:pPr>
      <w:widowControl w:val="0"/>
      <w:shd w:val="clear" w:color="auto" w:fill="FFFFFF"/>
      <w:spacing w:before="380" w:after="920" w:line="346" w:lineRule="exact"/>
      <w:ind w:hanging="420"/>
    </w:pPr>
  </w:style>
  <w:style w:type="table" w:styleId="TableGrid">
    <w:name w:val="Table Grid"/>
    <w:basedOn w:val="TableNormal"/>
    <w:uiPriority w:val="59"/>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nualHeading2">
    <w:name w:val="Manual Heading 2"/>
    <w:basedOn w:val="Normal"/>
    <w:next w:val="Normal"/>
    <w:pPr>
      <w:keepNext/>
      <w:tabs>
        <w:tab w:val="left" w:pos="850"/>
      </w:tabs>
      <w:spacing w:before="120" w:after="120" w:line="240" w:lineRule="auto"/>
      <w:ind w:left="850" w:hanging="850"/>
      <w:jc w:val="both"/>
      <w:outlineLvl w:val="1"/>
    </w:pPr>
    <w:rPr>
      <w:rFonts w:ascii="Times New Roman" w:eastAsia="Times New Roman" w:hAnsi="Times New Roman" w:cs="Times New Roman"/>
      <w:b/>
      <w:sz w:val="24"/>
      <w:szCs w:val="20"/>
    </w:rPr>
  </w:style>
  <w:style w:type="paragraph" w:customStyle="1" w:styleId="ManualHeading1">
    <w:name w:val="Manual Heading 1"/>
    <w:basedOn w:val="Normal"/>
    <w:next w:val="Normal"/>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szCs w:val="20"/>
    </w:rPr>
  </w:style>
  <w:style w:type="paragraph" w:customStyle="1" w:styleId="ManualHeading3">
    <w:name w:val="Manual Heading 3"/>
    <w:basedOn w:val="Normal"/>
    <w:next w:val="Normal"/>
    <w:pPr>
      <w:keepNext/>
      <w:tabs>
        <w:tab w:val="left" w:pos="850"/>
      </w:tabs>
      <w:spacing w:before="120" w:after="120" w:line="240" w:lineRule="auto"/>
      <w:ind w:left="850" w:hanging="850"/>
      <w:jc w:val="both"/>
      <w:outlineLvl w:val="2"/>
    </w:pPr>
    <w:rPr>
      <w:rFonts w:ascii="Times New Roman" w:eastAsia="Times New Roman" w:hAnsi="Times New Roman" w:cs="Times New Roman"/>
      <w:i/>
      <w:sz w:val="24"/>
      <w:szCs w:val="20"/>
    </w:rPr>
  </w:style>
  <w:style w:type="paragraph" w:customStyle="1" w:styleId="Default">
    <w:name w:val="Default"/>
    <w:pPr>
      <w:autoSpaceDE w:val="0"/>
      <w:autoSpaceDN w:val="0"/>
      <w:adjustRightInd w:val="0"/>
      <w:spacing w:after="0" w:line="240" w:lineRule="auto"/>
    </w:pPr>
    <w:rPr>
      <w:rFonts w:ascii="Arial" w:eastAsiaTheme="minorEastAsia" w:hAnsi="Arial" w:cs="Arial"/>
      <w:color w:val="000000"/>
      <w:sz w:val="24"/>
      <w:szCs w:val="24"/>
    </w:rPr>
  </w:style>
  <w:style w:type="paragraph" w:styleId="NoSpacing">
    <w:name w:val="No Spacing"/>
    <w:uiPriority w:val="1"/>
    <w:qFormat/>
    <w:pPr>
      <w:spacing w:after="0" w:line="240" w:lineRule="auto"/>
    </w:pPr>
    <w:rPr>
      <w:rFonts w:ascii="Times New Roman" w:hAnsi="Times New Roman" w:cs="Times New Roman"/>
      <w:sz w:val="24"/>
      <w:szCs w:val="24"/>
    </w:rPr>
  </w:style>
  <w:style w:type="character" w:styleId="FootnoteReference">
    <w:name w:val="footnote reference"/>
    <w:basedOn w:val="DefaultParagraphFont"/>
    <w:unhideWhenUsed/>
    <w:rPr>
      <w:vertAlign w:val="superscript"/>
    </w:rPr>
  </w:style>
  <w:style w:type="character" w:styleId="Strong">
    <w:name w:val="Strong"/>
    <w:basedOn w:val="DefaultParagraphFont"/>
    <w:uiPriority w:val="22"/>
    <w:qFormat/>
    <w:rPr>
      <w:b/>
      <w:bCs/>
    </w:rPr>
  </w:style>
  <w:style w:type="paragraph" w:styleId="FootnoteText">
    <w:name w:val="footnote text"/>
    <w:basedOn w:val="Normal"/>
    <w:link w:val="FootnoteTextChar"/>
    <w:unhideWhenUsed/>
    <w:pPr>
      <w:spacing w:after="0" w:line="240" w:lineRule="auto"/>
    </w:pPr>
    <w:rPr>
      <w:rFonts w:eastAsiaTheme="minorEastAsia"/>
      <w:sz w:val="20"/>
      <w:szCs w:val="20"/>
    </w:rPr>
  </w:style>
  <w:style w:type="character" w:customStyle="1" w:styleId="FootnoteTextChar">
    <w:name w:val="Footnote Text Char"/>
    <w:basedOn w:val="DefaultParagraphFont"/>
    <w:link w:val="FootnoteText"/>
    <w:rPr>
      <w:rFonts w:eastAsiaTheme="minorEastAsia"/>
      <w:sz w:val="20"/>
      <w:szCs w:val="20"/>
      <w:lang w:eastAsia="ro-RO"/>
    </w:rPr>
  </w:style>
  <w:style w:type="character" w:customStyle="1" w:styleId="st">
    <w:name w:val="st"/>
    <w:basedOn w:val="DefaultParagraphFont"/>
  </w:style>
  <w:style w:type="character" w:customStyle="1" w:styleId="Bodytext5">
    <w:name w:val="Body text (5)_"/>
    <w:basedOn w:val="DefaultParagraphFont"/>
    <w:link w:val="Bodytext50"/>
    <w:rPr>
      <w:b/>
      <w:bCs/>
      <w:shd w:val="clear" w:color="auto" w:fill="FFFFFF"/>
    </w:rPr>
  </w:style>
  <w:style w:type="paragraph" w:customStyle="1" w:styleId="Bodytext50">
    <w:name w:val="Body text (5)"/>
    <w:basedOn w:val="Normal"/>
    <w:link w:val="Bodytext5"/>
    <w:pPr>
      <w:widowControl w:val="0"/>
      <w:shd w:val="clear" w:color="auto" w:fill="FFFFFF"/>
      <w:spacing w:before="920" w:after="920" w:line="326" w:lineRule="exact"/>
    </w:pPr>
    <w:rPr>
      <w:b/>
      <w:bCs/>
    </w:rPr>
  </w:style>
  <w:style w:type="character" w:customStyle="1" w:styleId="A4">
    <w:name w:val="A4"/>
    <w:uiPriority w:val="99"/>
    <w:rPr>
      <w:rFonts w:cs="Chronicle Text G1"/>
      <w:color w:val="000000"/>
      <w:sz w:val="19"/>
      <w:szCs w:val="19"/>
    </w:r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rPr>
  </w:style>
  <w:style w:type="paragraph" w:styleId="EndnoteText">
    <w:name w:val="endnote text"/>
    <w:basedOn w:val="Normal"/>
    <w:link w:val="EndnoteTextChar"/>
    <w:uiPriority w:val="99"/>
    <w:semiHidden/>
    <w:unhideWhenUsed/>
    <w:pPr>
      <w:spacing w:after="0" w:line="240" w:lineRule="auto"/>
    </w:pPr>
    <w:rPr>
      <w:rFonts w:eastAsiaTheme="minorEastAsia"/>
      <w:sz w:val="20"/>
      <w:szCs w:val="20"/>
    </w:rPr>
  </w:style>
  <w:style w:type="character" w:customStyle="1" w:styleId="EndnoteTextChar">
    <w:name w:val="Endnote Text Char"/>
    <w:basedOn w:val="DefaultParagraphFont"/>
    <w:link w:val="EndnoteText"/>
    <w:uiPriority w:val="99"/>
    <w:semiHidden/>
    <w:rPr>
      <w:rFonts w:eastAsiaTheme="minorEastAsia"/>
      <w:sz w:val="20"/>
      <w:szCs w:val="20"/>
      <w:lang w:eastAsia="ro-RO"/>
    </w:rPr>
  </w:style>
  <w:style w:type="character" w:styleId="EndnoteReference">
    <w:name w:val="endnote reference"/>
    <w:basedOn w:val="DefaultParagraphFont"/>
    <w:unhideWhenUsed/>
    <w:rPr>
      <w:vertAlign w:val="superscript"/>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unhideWhenUsed/>
    <w:qFormat/>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TOC2">
    <w:name w:val="toc 2"/>
    <w:basedOn w:val="Normal"/>
    <w:next w:val="Normal"/>
    <w:autoRedefine/>
    <w:uiPriority w:val="39"/>
    <w:unhideWhenUsed/>
    <w:qFormat/>
    <w:pPr>
      <w:spacing w:after="100"/>
      <w:ind w:left="220"/>
    </w:pPr>
    <w:rPr>
      <w:rFonts w:eastAsiaTheme="minorEastAsia"/>
    </w:rPr>
  </w:style>
  <w:style w:type="paragraph" w:styleId="TOC1">
    <w:name w:val="toc 1"/>
    <w:basedOn w:val="Normal"/>
    <w:next w:val="Normal"/>
    <w:autoRedefine/>
    <w:uiPriority w:val="39"/>
    <w:semiHidden/>
    <w:unhideWhenUsed/>
    <w:qFormat/>
    <w:pPr>
      <w:spacing w:after="100"/>
    </w:pPr>
    <w:rPr>
      <w:rFonts w:eastAsiaTheme="minorEastAsia"/>
    </w:rPr>
  </w:style>
  <w:style w:type="paragraph" w:styleId="TOC3">
    <w:name w:val="toc 3"/>
    <w:basedOn w:val="Normal"/>
    <w:next w:val="Normal"/>
    <w:autoRedefine/>
    <w:uiPriority w:val="39"/>
    <w:semiHidden/>
    <w:unhideWhenUsed/>
    <w:qFormat/>
    <w:pPr>
      <w:spacing w:after="100"/>
      <w:ind w:left="440"/>
    </w:pPr>
    <w:rPr>
      <w:rFonts w:eastAsiaTheme="minorEastAsia"/>
    </w:rPr>
  </w:style>
  <w:style w:type="character" w:customStyle="1" w:styleId="FootnoteTextChar1">
    <w:name w:val="Footnote Text Char1"/>
    <w:basedOn w:val="DefaultParagraphFont"/>
    <w:locked/>
    <w:rPr>
      <w:rFonts w:ascii="Calibri" w:eastAsia="SimSun" w:hAnsi="Calibri" w:cs="font268"/>
      <w:sz w:val="20"/>
      <w:szCs w:val="20"/>
      <w:lang w:eastAsia="ro-RO"/>
    </w:rPr>
  </w:style>
  <w:style w:type="character" w:customStyle="1" w:styleId="CommentTextChar1">
    <w:name w:val="Comment Text Char1"/>
    <w:basedOn w:val="DefaultParagraphFont"/>
    <w:uiPriority w:val="99"/>
    <w:locked/>
    <w:rPr>
      <w:rFonts w:ascii="Calibri" w:eastAsia="SimSun" w:hAnsi="Calibri" w:cs="font268"/>
      <w:sz w:val="20"/>
      <w:szCs w:val="20"/>
      <w:lang w:eastAsia="ro-RO"/>
    </w:rPr>
  </w:style>
  <w:style w:type="character" w:styleId="Emphasis">
    <w:name w:val="Emphasis"/>
    <w:basedOn w:val="DefaultParagraphFont"/>
    <w:uiPriority w:val="20"/>
    <w:qFormat/>
    <w:rPr>
      <w:i/>
      <w:iCs/>
    </w:rPr>
  </w:style>
  <w:style w:type="character" w:customStyle="1" w:styleId="CommentReference1">
    <w:name w:val="Comment Reference1"/>
    <w:rPr>
      <w:sz w:val="16"/>
      <w:szCs w:val="16"/>
    </w:rPr>
  </w:style>
  <w:style w:type="character" w:customStyle="1" w:styleId="FootnoteReference1">
    <w:name w:val="Footnote Reference1"/>
    <w:rPr>
      <w:vertAlign w:val="superscript"/>
    </w:rPr>
  </w:style>
  <w:style w:type="character" w:customStyle="1" w:styleId="ListLabel1">
    <w:name w:val="ListLabel 1"/>
    <w:rPr>
      <w:rFonts w:cs="Courier New"/>
    </w:rPr>
  </w:style>
  <w:style w:type="character" w:customStyle="1" w:styleId="ListLabel2">
    <w:name w:val="ListLabel 2"/>
    <w:rPr>
      <w:rFonts w:eastAsia="Calibri" w:cs="Times New Roman"/>
    </w:rPr>
  </w:style>
  <w:style w:type="character" w:customStyle="1" w:styleId="Caractresdenotedebasdepage">
    <w:name w:val="Caractères de note de bas de page"/>
  </w:style>
  <w:style w:type="character" w:customStyle="1" w:styleId="Caractresdenotedefin">
    <w:name w:val="Caractères de note de fin"/>
  </w:style>
  <w:style w:type="paragraph" w:customStyle="1" w:styleId="Titre1">
    <w:name w:val="Titre1"/>
    <w:basedOn w:val="Normal"/>
    <w:next w:val="BodyText"/>
    <w:pPr>
      <w:keepNext/>
      <w:suppressAutoHyphens/>
      <w:spacing w:before="240" w:after="120"/>
    </w:pPr>
    <w:rPr>
      <w:rFonts w:ascii="Arial" w:eastAsia="Microsoft YaHei" w:hAnsi="Arial" w:cs="Mangal"/>
      <w:sz w:val="28"/>
      <w:szCs w:val="28"/>
    </w:rPr>
  </w:style>
  <w:style w:type="paragraph" w:styleId="BodyText">
    <w:name w:val="Body Text"/>
    <w:basedOn w:val="Normal"/>
    <w:link w:val="BodyTextChar"/>
    <w:pPr>
      <w:suppressAutoHyphens/>
      <w:spacing w:after="120"/>
    </w:pPr>
    <w:rPr>
      <w:rFonts w:ascii="Calibri" w:eastAsia="SimSun" w:hAnsi="Calibri" w:cs="font268"/>
    </w:rPr>
  </w:style>
  <w:style w:type="character" w:customStyle="1" w:styleId="BodyTextChar">
    <w:name w:val="Body Text Char"/>
    <w:basedOn w:val="DefaultParagraphFont"/>
    <w:link w:val="BodyText"/>
    <w:rPr>
      <w:rFonts w:ascii="Calibri" w:eastAsia="SimSun" w:hAnsi="Calibri" w:cs="font268"/>
      <w:lang w:eastAsia="ro-RO"/>
    </w:rPr>
  </w:style>
  <w:style w:type="paragraph" w:styleId="List">
    <w:name w:val="List"/>
    <w:basedOn w:val="BodyText"/>
    <w:rPr>
      <w:rFonts w:cs="Mangal"/>
    </w:rPr>
  </w:style>
  <w:style w:type="paragraph" w:customStyle="1" w:styleId="Lgende1">
    <w:name w:val="Légende1"/>
    <w:basedOn w:val="Normal"/>
    <w:pPr>
      <w:suppressLineNumbers/>
      <w:suppressAutoHyphens/>
      <w:spacing w:before="120" w:after="120"/>
    </w:pPr>
    <w:rPr>
      <w:rFonts w:ascii="Calibri" w:eastAsia="SimSun" w:hAnsi="Calibri" w:cs="Mangal"/>
      <w:i/>
      <w:iCs/>
      <w:sz w:val="24"/>
      <w:szCs w:val="24"/>
    </w:rPr>
  </w:style>
  <w:style w:type="paragraph" w:customStyle="1" w:styleId="Index">
    <w:name w:val="Index"/>
    <w:basedOn w:val="Normal"/>
    <w:pPr>
      <w:suppressLineNumbers/>
      <w:suppressAutoHyphens/>
    </w:pPr>
    <w:rPr>
      <w:rFonts w:ascii="Calibri" w:eastAsia="SimSun" w:hAnsi="Calibri" w:cs="Mangal"/>
    </w:rPr>
  </w:style>
  <w:style w:type="character" w:customStyle="1" w:styleId="BalloonTextChar1">
    <w:name w:val="Balloon Text Char1"/>
    <w:basedOn w:val="DefaultParagraphFont"/>
    <w:rPr>
      <w:rFonts w:ascii="Tahoma" w:eastAsia="SimSun" w:hAnsi="Tahoma" w:cs="Tahoma"/>
      <w:sz w:val="16"/>
      <w:szCs w:val="16"/>
      <w:lang w:val="ro-RO" w:eastAsia="ro-RO"/>
    </w:rPr>
  </w:style>
  <w:style w:type="paragraph" w:customStyle="1" w:styleId="CommentText1">
    <w:name w:val="Comment Text1"/>
    <w:basedOn w:val="Normal"/>
    <w:pPr>
      <w:suppressAutoHyphens/>
      <w:spacing w:line="100" w:lineRule="atLeast"/>
    </w:pPr>
    <w:rPr>
      <w:rFonts w:ascii="Calibri" w:eastAsia="SimSun" w:hAnsi="Calibri" w:cs="font268"/>
      <w:sz w:val="20"/>
      <w:szCs w:val="20"/>
    </w:rPr>
  </w:style>
  <w:style w:type="paragraph" w:customStyle="1" w:styleId="CommentSubject1">
    <w:name w:val="Comment Subject1"/>
    <w:basedOn w:val="CommentText1"/>
    <w:rPr>
      <w:b/>
      <w:bCs/>
    </w:rPr>
  </w:style>
  <w:style w:type="paragraph" w:customStyle="1" w:styleId="FootnoteText1">
    <w:name w:val="Footnote Text1"/>
    <w:basedOn w:val="Normal"/>
    <w:pPr>
      <w:suppressAutoHyphens/>
      <w:spacing w:after="0" w:line="100" w:lineRule="atLeast"/>
    </w:pPr>
    <w:rPr>
      <w:rFonts w:ascii="Calibri" w:eastAsia="SimSun" w:hAnsi="Calibri" w:cs="font268"/>
      <w:sz w:val="20"/>
      <w:szCs w:val="20"/>
    </w:rPr>
  </w:style>
  <w:style w:type="character" w:customStyle="1" w:styleId="CommentSubjectChar1">
    <w:name w:val="Comment Subject Char1"/>
    <w:basedOn w:val="CommentTextChar1"/>
    <w:uiPriority w:val="99"/>
    <w:semiHidden/>
    <w:rPr>
      <w:rFonts w:ascii="Calibri" w:eastAsia="SimSun" w:hAnsi="Calibri" w:cs="font268"/>
      <w:b/>
      <w:bCs/>
      <w:sz w:val="20"/>
      <w:szCs w:val="20"/>
      <w:lang w:eastAsia="ro-RO"/>
    </w:rPr>
  </w:style>
  <w:style w:type="paragraph" w:styleId="ListBullet">
    <w:name w:val="List Bullet"/>
    <w:basedOn w:val="Normal"/>
    <w:uiPriority w:val="99"/>
    <w:unhideWhenUsed/>
    <w:pPr>
      <w:numPr>
        <w:numId w:val="8"/>
      </w:numPr>
      <w:suppressAutoHyphens/>
      <w:contextualSpacing/>
    </w:pPr>
    <w:rPr>
      <w:rFonts w:ascii="Calibri" w:eastAsia="SimSun" w:hAnsi="Calibri" w:cs="font268"/>
    </w:rPr>
  </w:style>
  <w:style w:type="character" w:customStyle="1" w:styleId="ilfuvd">
    <w:name w:val="ilfuvd"/>
    <w:basedOn w:val="DefaultParagraphFont"/>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4F81BD" w:themeColor="accent1"/>
    </w:rPr>
  </w:style>
  <w:style w:type="paragraph" w:customStyle="1" w:styleId="ti-grseq-1">
    <w:name w:val="ti-grseq-1"/>
    <w:basedOn w:val="Normal"/>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859542">
      <w:bodyDiv w:val="1"/>
      <w:marLeft w:val="0"/>
      <w:marRight w:val="0"/>
      <w:marTop w:val="0"/>
      <w:marBottom w:val="0"/>
      <w:divBdr>
        <w:top w:val="none" w:sz="0" w:space="0" w:color="auto"/>
        <w:left w:val="none" w:sz="0" w:space="0" w:color="auto"/>
        <w:bottom w:val="none" w:sz="0" w:space="0" w:color="auto"/>
        <w:right w:val="none" w:sz="0" w:space="0" w:color="auto"/>
      </w:divBdr>
    </w:div>
    <w:div w:id="370039099">
      <w:bodyDiv w:val="1"/>
      <w:marLeft w:val="0"/>
      <w:marRight w:val="0"/>
      <w:marTop w:val="0"/>
      <w:marBottom w:val="0"/>
      <w:divBdr>
        <w:top w:val="none" w:sz="0" w:space="0" w:color="auto"/>
        <w:left w:val="none" w:sz="0" w:space="0" w:color="auto"/>
        <w:bottom w:val="none" w:sz="0" w:space="0" w:color="auto"/>
        <w:right w:val="none" w:sz="0" w:space="0" w:color="auto"/>
      </w:divBdr>
    </w:div>
    <w:div w:id="625426986">
      <w:bodyDiv w:val="1"/>
      <w:marLeft w:val="0"/>
      <w:marRight w:val="0"/>
      <w:marTop w:val="0"/>
      <w:marBottom w:val="0"/>
      <w:divBdr>
        <w:top w:val="none" w:sz="0" w:space="0" w:color="auto"/>
        <w:left w:val="none" w:sz="0" w:space="0" w:color="auto"/>
        <w:bottom w:val="none" w:sz="0" w:space="0" w:color="auto"/>
        <w:right w:val="none" w:sz="0" w:space="0" w:color="auto"/>
      </w:divBdr>
    </w:div>
    <w:div w:id="675575769">
      <w:bodyDiv w:val="1"/>
      <w:marLeft w:val="0"/>
      <w:marRight w:val="0"/>
      <w:marTop w:val="0"/>
      <w:marBottom w:val="0"/>
      <w:divBdr>
        <w:top w:val="none" w:sz="0" w:space="0" w:color="auto"/>
        <w:left w:val="none" w:sz="0" w:space="0" w:color="auto"/>
        <w:bottom w:val="none" w:sz="0" w:space="0" w:color="auto"/>
        <w:right w:val="none" w:sz="0" w:space="0" w:color="auto"/>
      </w:divBdr>
    </w:div>
    <w:div w:id="882207039">
      <w:bodyDiv w:val="1"/>
      <w:marLeft w:val="0"/>
      <w:marRight w:val="0"/>
      <w:marTop w:val="0"/>
      <w:marBottom w:val="0"/>
      <w:divBdr>
        <w:top w:val="none" w:sz="0" w:space="0" w:color="auto"/>
        <w:left w:val="none" w:sz="0" w:space="0" w:color="auto"/>
        <w:bottom w:val="none" w:sz="0" w:space="0" w:color="auto"/>
        <w:right w:val="none" w:sz="0" w:space="0" w:color="auto"/>
      </w:divBdr>
    </w:div>
    <w:div w:id="996226828">
      <w:bodyDiv w:val="1"/>
      <w:marLeft w:val="0"/>
      <w:marRight w:val="0"/>
      <w:marTop w:val="0"/>
      <w:marBottom w:val="0"/>
      <w:divBdr>
        <w:top w:val="none" w:sz="0" w:space="0" w:color="auto"/>
        <w:left w:val="none" w:sz="0" w:space="0" w:color="auto"/>
        <w:bottom w:val="none" w:sz="0" w:space="0" w:color="auto"/>
        <w:right w:val="none" w:sz="0" w:space="0" w:color="auto"/>
      </w:divBdr>
    </w:div>
    <w:div w:id="1106317116">
      <w:bodyDiv w:val="1"/>
      <w:marLeft w:val="0"/>
      <w:marRight w:val="0"/>
      <w:marTop w:val="0"/>
      <w:marBottom w:val="0"/>
      <w:divBdr>
        <w:top w:val="none" w:sz="0" w:space="0" w:color="auto"/>
        <w:left w:val="none" w:sz="0" w:space="0" w:color="auto"/>
        <w:bottom w:val="none" w:sz="0" w:space="0" w:color="auto"/>
        <w:right w:val="none" w:sz="0" w:space="0" w:color="auto"/>
      </w:divBdr>
    </w:div>
    <w:div w:id="1339885465">
      <w:bodyDiv w:val="1"/>
      <w:marLeft w:val="0"/>
      <w:marRight w:val="0"/>
      <w:marTop w:val="0"/>
      <w:marBottom w:val="0"/>
      <w:divBdr>
        <w:top w:val="none" w:sz="0" w:space="0" w:color="auto"/>
        <w:left w:val="none" w:sz="0" w:space="0" w:color="auto"/>
        <w:bottom w:val="none" w:sz="0" w:space="0" w:color="auto"/>
        <w:right w:val="none" w:sz="0" w:space="0" w:color="auto"/>
      </w:divBdr>
    </w:div>
    <w:div w:id="1475829055">
      <w:bodyDiv w:val="1"/>
      <w:marLeft w:val="0"/>
      <w:marRight w:val="0"/>
      <w:marTop w:val="0"/>
      <w:marBottom w:val="0"/>
      <w:divBdr>
        <w:top w:val="none" w:sz="0" w:space="0" w:color="auto"/>
        <w:left w:val="none" w:sz="0" w:space="0" w:color="auto"/>
        <w:bottom w:val="none" w:sz="0" w:space="0" w:color="auto"/>
        <w:right w:val="none" w:sz="0" w:space="0" w:color="auto"/>
      </w:divBdr>
    </w:div>
    <w:div w:id="1500732242">
      <w:bodyDiv w:val="1"/>
      <w:marLeft w:val="0"/>
      <w:marRight w:val="0"/>
      <w:marTop w:val="0"/>
      <w:marBottom w:val="0"/>
      <w:divBdr>
        <w:top w:val="none" w:sz="0" w:space="0" w:color="auto"/>
        <w:left w:val="none" w:sz="0" w:space="0" w:color="auto"/>
        <w:bottom w:val="none" w:sz="0" w:space="0" w:color="auto"/>
        <w:right w:val="none" w:sz="0" w:space="0" w:color="auto"/>
      </w:divBdr>
    </w:div>
    <w:div w:id="1510607823">
      <w:bodyDiv w:val="1"/>
      <w:marLeft w:val="0"/>
      <w:marRight w:val="0"/>
      <w:marTop w:val="0"/>
      <w:marBottom w:val="0"/>
      <w:divBdr>
        <w:top w:val="none" w:sz="0" w:space="0" w:color="auto"/>
        <w:left w:val="none" w:sz="0" w:space="0" w:color="auto"/>
        <w:bottom w:val="none" w:sz="0" w:space="0" w:color="auto"/>
        <w:right w:val="none" w:sz="0" w:space="0" w:color="auto"/>
      </w:divBdr>
    </w:div>
    <w:div w:id="1666476370">
      <w:bodyDiv w:val="1"/>
      <w:marLeft w:val="0"/>
      <w:marRight w:val="0"/>
      <w:marTop w:val="0"/>
      <w:marBottom w:val="0"/>
      <w:divBdr>
        <w:top w:val="none" w:sz="0" w:space="0" w:color="auto"/>
        <w:left w:val="none" w:sz="0" w:space="0" w:color="auto"/>
        <w:bottom w:val="none" w:sz="0" w:space="0" w:color="auto"/>
        <w:right w:val="none" w:sz="0" w:space="0" w:color="auto"/>
      </w:divBdr>
    </w:div>
    <w:div w:id="1757705293">
      <w:bodyDiv w:val="1"/>
      <w:marLeft w:val="0"/>
      <w:marRight w:val="0"/>
      <w:marTop w:val="0"/>
      <w:marBottom w:val="0"/>
      <w:divBdr>
        <w:top w:val="none" w:sz="0" w:space="0" w:color="auto"/>
        <w:left w:val="none" w:sz="0" w:space="0" w:color="auto"/>
        <w:bottom w:val="none" w:sz="0" w:space="0" w:color="auto"/>
        <w:right w:val="none" w:sz="0" w:space="0" w:color="auto"/>
      </w:divBdr>
    </w:div>
    <w:div w:id="2070379176">
      <w:bodyDiv w:val="1"/>
      <w:marLeft w:val="0"/>
      <w:marRight w:val="0"/>
      <w:marTop w:val="0"/>
      <w:marBottom w:val="0"/>
      <w:divBdr>
        <w:top w:val="none" w:sz="0" w:space="0" w:color="auto"/>
        <w:left w:val="none" w:sz="0" w:space="0" w:color="auto"/>
        <w:bottom w:val="none" w:sz="0" w:space="0" w:color="auto"/>
        <w:right w:val="none" w:sz="0" w:space="0" w:color="auto"/>
      </w:divBdr>
    </w:div>
    <w:div w:id="2140955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26" Type="http://schemas.microsoft.com/office/2016/09/relationships/commentsIds" Target="commentsIds.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euroclimaplus.org/" TargetMode="External"/><Relationship Id="rId1" Type="http://schemas.openxmlformats.org/officeDocument/2006/relationships/hyperlink" Target="http://www.eib.org/en/infocentre/publications/all/index.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60247F-78BE-44A3-9BAF-BAD0F9D44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21</Pages>
  <Words>8568</Words>
  <Characters>53727</Characters>
  <Application>Microsoft Office Word</Application>
  <DocSecurity>0</DocSecurity>
  <Lines>880</Lines>
  <Paragraphs>243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HEILEMANN Stefanie (SG)</cp:lastModifiedBy>
  <cp:revision>21</cp:revision>
  <cp:lastPrinted>2019-04-11T18:03:00Z</cp:lastPrinted>
  <dcterms:created xsi:type="dcterms:W3CDTF">2019-04-12T11:50:00Z</dcterms:created>
  <dcterms:modified xsi:type="dcterms:W3CDTF">2019-04-17T13:22:00Z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Last edited using">
    <vt:lpwstr>LW 6.0.1, Build 20180503</vt:lpwstr>
  </property>
  <property fmtid="{D5CDD505-2E9C-101B-9397-08002B2CF9AE}" pid="7" name="Created using">
    <vt:lpwstr>LW 6.0.1, Build 20180503</vt:lpwstr>
  </property>
</Properties>
</file>