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7D8E" w:rsidRDefault="004B2860" w:rsidP="004B2860">
      <w:pPr>
        <w:pStyle w:val="Pagedecouverture"/>
      </w:pPr>
      <w:bookmarkStart w:id="0" w:name="LW_BM_COVERPAGE"/>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70196A2E-959B-4F55-80D8-0F64858CF3AB" style="width:450.5pt;height:334.5pt">
            <v:imagedata r:id="rId11" o:title=""/>
          </v:shape>
        </w:pict>
      </w:r>
    </w:p>
    <w:bookmarkEnd w:id="0"/>
    <w:p w:rsidR="005A7D8E" w:rsidRDefault="005A7D8E">
      <w:pPr>
        <w:spacing w:after="120" w:line="240" w:lineRule="auto"/>
        <w:rPr>
          <w:rFonts w:ascii="Times New Roman" w:hAnsi="Times New Roman" w:cs="Times New Roman"/>
          <w:sz w:val="24"/>
          <w:szCs w:val="24"/>
          <w:lang w:val="en-GB"/>
        </w:rPr>
        <w:sectPr w:rsidR="005A7D8E" w:rsidSect="004B286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rsidR="005A7D8E" w:rsidRDefault="001F309D">
      <w:pPr>
        <w:rPr>
          <w:rFonts w:ascii="Times New Roman" w:eastAsiaTheme="majorEastAsia" w:hAnsi="Times New Roman" w:cs="Times New Roman"/>
          <w:b/>
          <w:sz w:val="24"/>
          <w:szCs w:val="32"/>
        </w:rPr>
      </w:pPr>
      <w:bookmarkStart w:id="1" w:name="_GoBack"/>
      <w:bookmarkEnd w:id="1"/>
      <w:r>
        <w:br w:type="page"/>
      </w:r>
    </w:p>
    <w:p w:rsidR="005A7D8E" w:rsidRDefault="001F309D">
      <w:pPr>
        <w:pStyle w:val="Heading1"/>
        <w:spacing w:before="0" w:after="120" w:line="240" w:lineRule="auto"/>
        <w:rPr>
          <w:rFonts w:ascii="Times New Roman" w:hAnsi="Times New Roman" w:cs="Times New Roman"/>
          <w:b/>
          <w:color w:val="auto"/>
          <w:sz w:val="24"/>
        </w:rPr>
      </w:pPr>
      <w:r>
        <w:rPr>
          <w:rFonts w:ascii="Times New Roman" w:hAnsi="Times New Roman"/>
          <w:b/>
          <w:color w:val="auto"/>
          <w:sz w:val="24"/>
        </w:rPr>
        <w:lastRenderedPageBreak/>
        <w:t>INTRODUCTION</w:t>
      </w:r>
    </w:p>
    <w:p w:rsidR="005A7D8E" w:rsidRDefault="001F309D">
      <w:pPr>
        <w:spacing w:after="120" w:line="240" w:lineRule="auto"/>
        <w:jc w:val="both"/>
        <w:rPr>
          <w:rFonts w:ascii="Times New Roman" w:hAnsi="Times New Roman" w:cs="Times New Roman"/>
          <w:sz w:val="24"/>
          <w:szCs w:val="24"/>
        </w:rPr>
      </w:pPr>
      <w:r>
        <w:rPr>
          <w:rFonts w:ascii="Times New Roman" w:hAnsi="Times New Roman"/>
          <w:sz w:val="24"/>
        </w:rPr>
        <w:t>La charte des droits fondamentaux de l’UE reconnaît que les enfants ont droit à la protection et aux soins nécessaires à leur bien-être, entre autres dispositions. La convention des Nations unies relative aux droits de l’enfant de 1989 établit le droit de l’enfant d’être protégé contre toute forme de violence</w:t>
      </w:r>
      <w:r>
        <w:rPr>
          <w:rStyle w:val="FootnoteReference"/>
          <w:rFonts w:ascii="Times New Roman" w:hAnsi="Times New Roman" w:cs="Times New Roman"/>
          <w:sz w:val="24"/>
          <w:lang w:val="en-GB"/>
        </w:rPr>
        <w:footnoteReference w:id="2"/>
      </w:r>
      <w:r>
        <w:rPr>
          <w:rFonts w:ascii="Times New Roman" w:hAnsi="Times New Roman"/>
          <w:sz w:val="24"/>
        </w:rPr>
        <w:t>.</w:t>
      </w:r>
    </w:p>
    <w:p w:rsidR="005A7D8E" w:rsidRDefault="001F309D">
      <w:pPr>
        <w:spacing w:after="120" w:line="240" w:lineRule="auto"/>
        <w:jc w:val="both"/>
        <w:rPr>
          <w:rFonts w:ascii="Times New Roman" w:hAnsi="Times New Roman" w:cs="Times New Roman"/>
          <w:sz w:val="24"/>
          <w:szCs w:val="24"/>
        </w:rPr>
      </w:pPr>
      <w:r>
        <w:rPr>
          <w:rFonts w:ascii="Times New Roman" w:hAnsi="Times New Roman"/>
          <w:sz w:val="24"/>
          <w:szCs w:val="24"/>
        </w:rPr>
        <w:t xml:space="preserve">Les abus sexuels commis contre des enfants constituent des crimes particulièrement graves, entraînant des </w:t>
      </w:r>
      <w:r>
        <w:rPr>
          <w:rFonts w:ascii="Times New Roman" w:hAnsi="Times New Roman"/>
          <w:b/>
          <w:sz w:val="24"/>
          <w:szCs w:val="24"/>
        </w:rPr>
        <w:t>conséquences graves et de grande ampleur, qui durent toute la vie</w:t>
      </w:r>
      <w:r>
        <w:rPr>
          <w:rFonts w:ascii="Times New Roman" w:hAnsi="Times New Roman"/>
          <w:sz w:val="24"/>
          <w:szCs w:val="24"/>
        </w:rPr>
        <w:t xml:space="preserve"> pour les victimes. Comme ils touchent les enfants, ces crimes entraînent également </w:t>
      </w:r>
      <w:r>
        <w:rPr>
          <w:rFonts w:ascii="Times New Roman" w:hAnsi="Times New Roman"/>
          <w:b/>
          <w:sz w:val="24"/>
          <w:szCs w:val="24"/>
        </w:rPr>
        <w:t>d’importants dommages sociaux à long terme</w:t>
      </w:r>
      <w:r>
        <w:rPr>
          <w:rFonts w:ascii="Times New Roman" w:hAnsi="Times New Roman"/>
          <w:sz w:val="24"/>
          <w:szCs w:val="24"/>
        </w:rPr>
        <w:t>. Dans de nombreux cas, les enfants sont victimes d’abus sexuels commis par des individus qu’ils connaissent et en qui ils ont confiance, et dont ils dépendent</w:t>
      </w:r>
      <w:r>
        <w:rPr>
          <w:rStyle w:val="FootnoteReference"/>
          <w:rFonts w:ascii="Times New Roman" w:hAnsi="Times New Roman" w:cs="Times New Roman"/>
          <w:sz w:val="24"/>
          <w:szCs w:val="24"/>
        </w:rPr>
        <w:footnoteReference w:id="3"/>
      </w:r>
      <w:r>
        <w:rPr>
          <w:rFonts w:ascii="Times New Roman" w:hAnsi="Times New Roman"/>
          <w:sz w:val="24"/>
          <w:szCs w:val="24"/>
        </w:rPr>
        <w:t xml:space="preserve">. C’est pourquoi ces crimes sont particulièrement difficiles à prévenir et à déceler. Certains éléments indiquent que la crise de la </w:t>
      </w:r>
      <w:r>
        <w:rPr>
          <w:rFonts w:ascii="Times New Roman" w:hAnsi="Times New Roman"/>
          <w:b/>
          <w:sz w:val="24"/>
          <w:szCs w:val="24"/>
        </w:rPr>
        <w:t>COVID-19</w:t>
      </w:r>
      <w:r>
        <w:rPr>
          <w:rFonts w:ascii="Times New Roman" w:hAnsi="Times New Roman"/>
          <w:sz w:val="24"/>
          <w:szCs w:val="24"/>
        </w:rPr>
        <w:t xml:space="preserve"> a exacerbé le problème</w:t>
      </w:r>
      <w:r>
        <w:rPr>
          <w:rStyle w:val="FootnoteReference"/>
          <w:rFonts w:ascii="Times New Roman" w:hAnsi="Times New Roman" w:cs="Times New Roman"/>
          <w:sz w:val="24"/>
          <w:szCs w:val="24"/>
          <w:lang w:val="en-GB"/>
        </w:rPr>
        <w:footnoteReference w:id="4"/>
      </w:r>
      <w:r>
        <w:rPr>
          <w:rFonts w:ascii="Times New Roman" w:hAnsi="Times New Roman"/>
          <w:sz w:val="24"/>
          <w:szCs w:val="24"/>
        </w:rPr>
        <w:t xml:space="preserve">, en particulier pour les </w:t>
      </w:r>
      <w:r>
        <w:rPr>
          <w:rFonts w:ascii="Times New Roman" w:hAnsi="Times New Roman"/>
          <w:b/>
          <w:sz w:val="24"/>
          <w:szCs w:val="24"/>
        </w:rPr>
        <w:t>enfants qui vivent avec les auteurs d’abus</w:t>
      </w:r>
      <w:r>
        <w:rPr>
          <w:rStyle w:val="FootnoteReference"/>
          <w:rFonts w:ascii="Times New Roman" w:hAnsi="Times New Roman" w:cs="Times New Roman"/>
          <w:sz w:val="24"/>
          <w:szCs w:val="24"/>
          <w:lang w:val="en-GB"/>
        </w:rPr>
        <w:footnoteReference w:id="5"/>
      </w:r>
      <w:r>
        <w:rPr>
          <w:rFonts w:ascii="Times New Roman" w:hAnsi="Times New Roman"/>
          <w:sz w:val="24"/>
          <w:szCs w:val="24"/>
        </w:rPr>
        <w:t xml:space="preserve">. En outre, les enfants </w:t>
      </w:r>
      <w:r>
        <w:rPr>
          <w:rFonts w:ascii="Times New Roman" w:hAnsi="Times New Roman"/>
          <w:b/>
          <w:sz w:val="24"/>
          <w:szCs w:val="24"/>
        </w:rPr>
        <w:t>passent plus de temps qu’auparavant sur l’internet, potentiellement sans surveillance</w:t>
      </w:r>
      <w:r>
        <w:rPr>
          <w:rFonts w:ascii="Times New Roman" w:hAnsi="Times New Roman"/>
          <w:sz w:val="24"/>
          <w:szCs w:val="24"/>
        </w:rPr>
        <w:t xml:space="preserve">. Bien que cela leur ait permis de poursuivre leurs études et de rester en contact avec leurs amis, il semblerait que le risque que les enfants entrent en contact avec des </w:t>
      </w:r>
      <w:r>
        <w:rPr>
          <w:rFonts w:ascii="Times New Roman" w:hAnsi="Times New Roman"/>
          <w:b/>
          <w:sz w:val="24"/>
          <w:szCs w:val="24"/>
        </w:rPr>
        <w:t>prédateurs en ligne</w:t>
      </w:r>
      <w:r>
        <w:rPr>
          <w:rFonts w:ascii="Times New Roman" w:hAnsi="Times New Roman"/>
          <w:sz w:val="24"/>
          <w:szCs w:val="24"/>
        </w:rPr>
        <w:t xml:space="preserve"> soit plus élevé</w:t>
      </w:r>
      <w:r>
        <w:rPr>
          <w:rStyle w:val="FootnoteReference"/>
          <w:rFonts w:ascii="Times New Roman" w:hAnsi="Times New Roman" w:cs="Times New Roman"/>
          <w:sz w:val="24"/>
          <w:szCs w:val="24"/>
          <w:lang w:val="en-GB"/>
        </w:rPr>
        <w:footnoteReference w:id="6"/>
      </w:r>
      <w:r>
        <w:rPr>
          <w:rFonts w:ascii="Times New Roman" w:hAnsi="Times New Roman"/>
          <w:sz w:val="24"/>
          <w:szCs w:val="24"/>
        </w:rPr>
        <w:t xml:space="preserve">. </w:t>
      </w:r>
      <w:r>
        <w:rPr>
          <w:rFonts w:ascii="Times New Roman" w:hAnsi="Times New Roman"/>
          <w:sz w:val="24"/>
        </w:rPr>
        <w:t xml:space="preserve">Les auteurs d’abus étant davantage isolés chez eux, la </w:t>
      </w:r>
      <w:r>
        <w:rPr>
          <w:rFonts w:ascii="Times New Roman" w:hAnsi="Times New Roman"/>
          <w:b/>
          <w:sz w:val="24"/>
        </w:rPr>
        <w:t>demande de contenus à caractère pédopornographique</w:t>
      </w:r>
      <w:r>
        <w:rPr>
          <w:rFonts w:ascii="Times New Roman" w:hAnsi="Times New Roman"/>
          <w:sz w:val="24"/>
        </w:rPr>
        <w:t xml:space="preserve"> a augmenté (de 25 % dans certains États membres</w:t>
      </w:r>
      <w:r>
        <w:rPr>
          <w:rStyle w:val="FootnoteReference"/>
          <w:rFonts w:ascii="Times New Roman" w:hAnsi="Times New Roman" w:cs="Times New Roman"/>
          <w:sz w:val="24"/>
          <w:szCs w:val="24"/>
          <w:lang w:val="en-GB"/>
        </w:rPr>
        <w:footnoteReference w:id="7"/>
      </w:r>
      <w:r>
        <w:rPr>
          <w:rFonts w:ascii="Times New Roman" w:hAnsi="Times New Roman"/>
          <w:sz w:val="24"/>
        </w:rPr>
        <w:t xml:space="preserve">), entraînant une demande accrue de nouveaux contenus, et par conséquent de </w:t>
      </w:r>
      <w:r>
        <w:rPr>
          <w:rFonts w:ascii="Times New Roman" w:hAnsi="Times New Roman"/>
          <w:b/>
          <w:sz w:val="24"/>
        </w:rPr>
        <w:t>nouveaux abus</w:t>
      </w:r>
      <w:r>
        <w:rPr>
          <w:rStyle w:val="FootnoteReference"/>
          <w:rFonts w:ascii="Times New Roman" w:hAnsi="Times New Roman"/>
          <w:sz w:val="24"/>
          <w:lang w:val="en-GB"/>
        </w:rPr>
        <w:footnoteReference w:id="8"/>
      </w:r>
      <w:r>
        <w:rPr>
          <w:rFonts w:ascii="Times New Roman" w:hAnsi="Times New Roman"/>
          <w:sz w:val="24"/>
        </w:rPr>
        <w:t>.</w:t>
      </w:r>
      <w:r>
        <w:rPr>
          <w:rFonts w:ascii="Times New Roman" w:hAnsi="Times New Roman"/>
          <w:sz w:val="24"/>
          <w:szCs w:val="24"/>
        </w:rPr>
        <w:t xml:space="preserve"> </w:t>
      </w:r>
    </w:p>
    <w:p w:rsidR="005A7D8E" w:rsidRDefault="001F309D">
      <w:pPr>
        <w:spacing w:after="120" w:line="240" w:lineRule="auto"/>
        <w:jc w:val="both"/>
        <w:rPr>
          <w:rFonts w:ascii="Times New Roman" w:hAnsi="Times New Roman" w:cs="Times New Roman"/>
          <w:sz w:val="24"/>
          <w:szCs w:val="24"/>
        </w:rPr>
      </w:pPr>
      <w:r>
        <w:rPr>
          <w:rFonts w:ascii="Times New Roman" w:hAnsi="Times New Roman"/>
          <w:sz w:val="24"/>
          <w:szCs w:val="24"/>
        </w:rPr>
        <w:t xml:space="preserve">Le Conseil de l’Europe estime qu’en Europe, </w:t>
      </w:r>
      <w:r>
        <w:rPr>
          <w:rFonts w:ascii="Times New Roman" w:hAnsi="Times New Roman"/>
          <w:b/>
          <w:sz w:val="24"/>
          <w:szCs w:val="24"/>
        </w:rPr>
        <w:t>un enfant sur cinq est victime</w:t>
      </w:r>
      <w:r>
        <w:rPr>
          <w:rFonts w:ascii="Times New Roman" w:hAnsi="Times New Roman"/>
          <w:sz w:val="24"/>
          <w:szCs w:val="24"/>
        </w:rPr>
        <w:t xml:space="preserve"> d’une forme ou l’autre de violence sexuelle</w:t>
      </w:r>
      <w:r>
        <w:rPr>
          <w:rStyle w:val="FootnoteReference"/>
          <w:rFonts w:ascii="Times New Roman" w:hAnsi="Times New Roman" w:cs="Times New Roman"/>
          <w:sz w:val="24"/>
          <w:szCs w:val="24"/>
          <w:lang w:val="en-GB"/>
        </w:rPr>
        <w:footnoteReference w:id="9"/>
      </w:r>
      <w:r>
        <w:rPr>
          <w:rFonts w:ascii="Times New Roman" w:hAnsi="Times New Roman"/>
          <w:sz w:val="24"/>
          <w:szCs w:val="24"/>
        </w:rPr>
        <w:t xml:space="preserve">. Les abus sexuels et l’exploitation sexuelle des enfants peuvent revêtir de nombreuses formes et se produire </w:t>
      </w:r>
      <w:r>
        <w:rPr>
          <w:rFonts w:ascii="Times New Roman" w:hAnsi="Times New Roman"/>
          <w:b/>
          <w:sz w:val="24"/>
          <w:szCs w:val="24"/>
        </w:rPr>
        <w:t>à la fois</w:t>
      </w:r>
      <w:r>
        <w:rPr>
          <w:rFonts w:ascii="Times New Roman" w:hAnsi="Times New Roman"/>
          <w:sz w:val="24"/>
          <w:szCs w:val="24"/>
        </w:rPr>
        <w:t xml:space="preserve"> </w:t>
      </w:r>
      <w:r>
        <w:rPr>
          <w:rFonts w:ascii="Times New Roman" w:hAnsi="Times New Roman"/>
          <w:b/>
          <w:sz w:val="24"/>
          <w:szCs w:val="24"/>
        </w:rPr>
        <w:t>en ligne</w:t>
      </w:r>
      <w:r>
        <w:rPr>
          <w:rFonts w:ascii="Times New Roman" w:hAnsi="Times New Roman"/>
          <w:sz w:val="24"/>
          <w:szCs w:val="24"/>
        </w:rPr>
        <w:t xml:space="preserve"> (par exemple, en forçant un enfant à se livrer à des activités sexuelles avec diffusion en direct ou en échangeant des contenus à caractère pédopornographique en ligne) </w:t>
      </w:r>
      <w:r>
        <w:rPr>
          <w:rFonts w:ascii="Times New Roman" w:hAnsi="Times New Roman"/>
          <w:b/>
          <w:sz w:val="24"/>
          <w:szCs w:val="24"/>
        </w:rPr>
        <w:t>et hors ligne</w:t>
      </w:r>
      <w:r>
        <w:rPr>
          <w:rFonts w:ascii="Times New Roman" w:hAnsi="Times New Roman"/>
          <w:sz w:val="24"/>
          <w:szCs w:val="24"/>
        </w:rPr>
        <w:t xml:space="preserve"> (par exemple, en se livrant à des activités sexuelles avec un enfant ou en favorisant la participation d’un enfant à la prostitution enfantine)</w:t>
      </w:r>
      <w:r>
        <w:rPr>
          <w:rStyle w:val="FootnoteReference"/>
          <w:rFonts w:ascii="Times New Roman" w:hAnsi="Times New Roman" w:cs="Times New Roman"/>
          <w:sz w:val="24"/>
          <w:szCs w:val="24"/>
          <w:lang w:val="en-GB"/>
        </w:rPr>
        <w:footnoteReference w:id="10"/>
      </w:r>
      <w:r>
        <w:rPr>
          <w:rFonts w:ascii="Times New Roman" w:hAnsi="Times New Roman"/>
          <w:sz w:val="24"/>
          <w:szCs w:val="24"/>
        </w:rPr>
        <w:t xml:space="preserve">. Lorsque l’abus est également enregistré et partagé en ligne, le préjudice se perpétue. Les victimes doivent vivre en sachant que des images et des vidéos des crimes montrant les pires moments de leur vie circulent et que n'importe qui, y compris leurs parents ou amis, est susceptible de les voir. </w:t>
      </w:r>
    </w:p>
    <w:p w:rsidR="005A7D8E" w:rsidRDefault="001F309D">
      <w:pPr>
        <w:spacing w:after="120" w:line="240" w:lineRule="auto"/>
        <w:jc w:val="both"/>
        <w:rPr>
          <w:rFonts w:ascii="Times New Roman" w:hAnsi="Times New Roman" w:cs="Times New Roman"/>
          <w:sz w:val="24"/>
          <w:szCs w:val="24"/>
        </w:rPr>
      </w:pPr>
      <w:r>
        <w:rPr>
          <w:rFonts w:ascii="Times New Roman" w:hAnsi="Times New Roman"/>
          <w:sz w:val="24"/>
          <w:szCs w:val="24"/>
        </w:rPr>
        <w:t xml:space="preserve">L’évolution exponentielle du monde numérique a été exploitée abusivement pour diffuser ces crimes </w:t>
      </w:r>
      <w:r>
        <w:rPr>
          <w:rFonts w:ascii="Times New Roman" w:hAnsi="Times New Roman"/>
          <w:b/>
          <w:sz w:val="24"/>
          <w:szCs w:val="24"/>
        </w:rPr>
        <w:t>à l’échelle mondiale</w:t>
      </w:r>
      <w:r>
        <w:rPr>
          <w:rFonts w:ascii="Times New Roman" w:hAnsi="Times New Roman"/>
          <w:sz w:val="24"/>
          <w:szCs w:val="24"/>
        </w:rPr>
        <w:t xml:space="preserve">, et a malheureusement facilité la création d’un marché mondial de la pédopornographie. Au cours des dernières années, on a constaté une </w:t>
      </w:r>
      <w:r>
        <w:rPr>
          <w:rFonts w:ascii="Times New Roman" w:hAnsi="Times New Roman"/>
          <w:b/>
          <w:sz w:val="24"/>
          <w:szCs w:val="24"/>
        </w:rPr>
        <w:t>augmentation considérable</w:t>
      </w:r>
      <w:r>
        <w:rPr>
          <w:rFonts w:ascii="Times New Roman" w:hAnsi="Times New Roman"/>
          <w:sz w:val="24"/>
          <w:szCs w:val="24"/>
        </w:rPr>
        <w:t xml:space="preserve"> du nombre de signalements d’abus sexuels commis contre des enfants en ligne au sein de l’UE (par exemple, images échangées dans l’UE, victimes dans l’UE, etc.): de 23 000 signalements en 2010 à plus de 725 000 en 2019, impliquant plus de 3 millions d’images et de vidéos</w:t>
      </w:r>
      <w:r>
        <w:rPr>
          <w:rStyle w:val="FootnoteReference"/>
          <w:rFonts w:ascii="Times New Roman" w:hAnsi="Times New Roman" w:cs="Times New Roman"/>
          <w:sz w:val="24"/>
          <w:szCs w:val="24"/>
        </w:rPr>
        <w:footnoteReference w:id="11"/>
      </w:r>
      <w:r>
        <w:rPr>
          <w:rFonts w:ascii="Times New Roman" w:hAnsi="Times New Roman"/>
          <w:sz w:val="24"/>
          <w:szCs w:val="24"/>
        </w:rPr>
        <w:t>. Une hausse tout aussi importante s’est produite à l’échelle mondiale: de 1 million de signalements en 2010 à près de 17 millions en 2019, impliquant quelque 70 millions d’images et de vidéos</w:t>
      </w:r>
      <w:r>
        <w:rPr>
          <w:rStyle w:val="FootnoteReference"/>
          <w:rFonts w:ascii="Times New Roman" w:hAnsi="Times New Roman" w:cs="Times New Roman"/>
          <w:sz w:val="24"/>
          <w:szCs w:val="24"/>
        </w:rPr>
        <w:footnoteReference w:id="12"/>
      </w:r>
      <w:r>
        <w:rPr>
          <w:rFonts w:ascii="Times New Roman" w:hAnsi="Times New Roman"/>
          <w:sz w:val="24"/>
          <w:szCs w:val="24"/>
        </w:rPr>
        <w:t xml:space="preserve">. Les signalements indiquent que l’UE est devenue </w:t>
      </w:r>
      <w:r>
        <w:rPr>
          <w:rFonts w:ascii="Times New Roman" w:hAnsi="Times New Roman"/>
          <w:b/>
          <w:sz w:val="24"/>
          <w:szCs w:val="24"/>
        </w:rPr>
        <w:t>le plus grand hébergeur de contenus à caractère pédopornographique dans le monde</w:t>
      </w:r>
      <w:r>
        <w:rPr>
          <w:rFonts w:ascii="Times New Roman" w:hAnsi="Times New Roman"/>
          <w:sz w:val="24"/>
          <w:szCs w:val="24"/>
        </w:rPr>
        <w:t xml:space="preserve"> (de plus de la moitié en 2016 à plus des deux tiers en 2019)</w:t>
      </w:r>
      <w:r>
        <w:rPr>
          <w:rStyle w:val="FootnoteReference"/>
          <w:rFonts w:ascii="Times New Roman" w:hAnsi="Times New Roman" w:cs="Times New Roman"/>
          <w:sz w:val="24"/>
          <w:szCs w:val="24"/>
        </w:rPr>
        <w:footnoteReference w:id="13"/>
      </w:r>
      <w:r>
        <w:rPr>
          <w:rFonts w:ascii="Times New Roman" w:hAnsi="Times New Roman"/>
          <w:sz w:val="24"/>
          <w:szCs w:val="24"/>
        </w:rPr>
        <w:t xml:space="preserve">. </w:t>
      </w:r>
    </w:p>
    <w:p w:rsidR="005A7D8E" w:rsidRDefault="001F309D">
      <w:pPr>
        <w:spacing w:after="120" w:line="240" w:lineRule="auto"/>
        <w:jc w:val="both"/>
        <w:rPr>
          <w:rFonts w:ascii="Times New Roman" w:hAnsi="Times New Roman" w:cs="Times New Roman"/>
          <w:sz w:val="24"/>
          <w:szCs w:val="24"/>
        </w:rPr>
      </w:pPr>
      <w:r>
        <w:rPr>
          <w:rFonts w:ascii="Times New Roman" w:hAnsi="Times New Roman"/>
          <w:sz w:val="24"/>
          <w:szCs w:val="24"/>
        </w:rPr>
        <w:t>Récemment, une enquête portant sur des abus sexuels commis contre des enfants en Allemagne a donné lieu à la découverte de potentiellement plus de 30 000 suspects utilisant des groupes de discussion et des services de messagerie pour partager des contenus, s’inciter mutuellement à créer de nouveaux contenus et échanger des conseils et astuces pour gagner la confiance des victimes et dissimuler leurs actes</w:t>
      </w:r>
      <w:r>
        <w:rPr>
          <w:rStyle w:val="FootnoteReference"/>
          <w:rFonts w:ascii="Times New Roman" w:hAnsi="Times New Roman" w:cs="Times New Roman"/>
          <w:sz w:val="24"/>
          <w:szCs w:val="24"/>
          <w:lang w:val="en-GB"/>
        </w:rPr>
        <w:footnoteReference w:id="14"/>
      </w:r>
      <w:r>
        <w:rPr>
          <w:rFonts w:ascii="Times New Roman" w:hAnsi="Times New Roman"/>
          <w:sz w:val="24"/>
          <w:szCs w:val="24"/>
        </w:rPr>
        <w:t>. Le recours au chiffrement de bout en bout rend l’identification des auteurs d’abus plus difficile, voire impossible. Dans cet exemple précis, à ce jour, seuls 72 suspects en Allemagne ont été identifiés, ainsi que 44 victimes.</w:t>
      </w:r>
    </w:p>
    <w:p w:rsidR="005A7D8E" w:rsidRDefault="001F309D">
      <w:pPr>
        <w:spacing w:after="120" w:line="240" w:lineRule="auto"/>
        <w:jc w:val="both"/>
        <w:rPr>
          <w:rFonts w:ascii="Times New Roman" w:hAnsi="Times New Roman" w:cs="Times New Roman"/>
          <w:sz w:val="24"/>
          <w:szCs w:val="24"/>
        </w:rPr>
      </w:pPr>
      <w:r>
        <w:rPr>
          <w:rFonts w:ascii="Times New Roman" w:hAnsi="Times New Roman"/>
          <w:sz w:val="24"/>
          <w:szCs w:val="24"/>
        </w:rPr>
        <w:t xml:space="preserve">L’introduction du </w:t>
      </w:r>
      <w:r>
        <w:rPr>
          <w:rFonts w:ascii="Times New Roman" w:hAnsi="Times New Roman"/>
          <w:b/>
          <w:sz w:val="24"/>
          <w:szCs w:val="24"/>
        </w:rPr>
        <w:t>chiffrement de bout en bout</w:t>
      </w:r>
      <w:r>
        <w:rPr>
          <w:rFonts w:ascii="Times New Roman" w:hAnsi="Times New Roman"/>
          <w:sz w:val="24"/>
          <w:szCs w:val="24"/>
        </w:rPr>
        <w:t xml:space="preserve">, bien qu’elle permette de garantir la confidentialité et la sécurité des communications, facilite également l’accès à des canaux sécurisés pour les auteurs d’abus, où ils peuvent dissimuler leurs actes aux services répressifs, comme l’échange d’images et de vidéos. Il convient donc de </w:t>
      </w:r>
      <w:r>
        <w:rPr>
          <w:rFonts w:ascii="Times New Roman" w:hAnsi="Times New Roman"/>
          <w:b/>
          <w:sz w:val="24"/>
          <w:szCs w:val="24"/>
        </w:rPr>
        <w:t>s’attaquer immédiatement</w:t>
      </w:r>
      <w:r>
        <w:rPr>
          <w:rFonts w:ascii="Times New Roman" w:hAnsi="Times New Roman"/>
          <w:sz w:val="24"/>
          <w:szCs w:val="24"/>
        </w:rPr>
        <w:t xml:space="preserve"> à la question de l’utilisation de la technologie de chiffrement à des fins criminelles grâce à des solutions pouvant permettre aux entreprises de </w:t>
      </w:r>
      <w:r>
        <w:rPr>
          <w:rFonts w:ascii="Times New Roman" w:hAnsi="Times New Roman"/>
          <w:b/>
          <w:sz w:val="24"/>
          <w:szCs w:val="24"/>
        </w:rPr>
        <w:t>détecter et signaler</w:t>
      </w:r>
      <w:r>
        <w:rPr>
          <w:rFonts w:ascii="Times New Roman" w:hAnsi="Times New Roman"/>
          <w:sz w:val="24"/>
          <w:szCs w:val="24"/>
        </w:rPr>
        <w:t xml:space="preserve"> des abus sexuels commis contre des enfants dans des communications électroniques chiffrées de bout en bout. Toute solution devrait garantir la confidentialité des communications électroniques et la protection des enfants contre les abus sexuels et l’exploitation sexuelle, ainsi que la protection de la vie privée des enfants figurant dans les contenus à caractère pédopornographique. </w:t>
      </w:r>
    </w:p>
    <w:p w:rsidR="005A7D8E" w:rsidRDefault="001F309D">
      <w:pPr>
        <w:spacing w:after="120" w:line="240" w:lineRule="auto"/>
        <w:jc w:val="both"/>
        <w:rPr>
          <w:rFonts w:ascii="Times New Roman" w:hAnsi="Times New Roman" w:cs="Times New Roman"/>
          <w:sz w:val="24"/>
          <w:szCs w:val="24"/>
        </w:rPr>
      </w:pPr>
      <w:r>
        <w:rPr>
          <w:rFonts w:ascii="Times New Roman" w:hAnsi="Times New Roman"/>
          <w:sz w:val="24"/>
          <w:szCs w:val="24"/>
        </w:rPr>
        <w:t xml:space="preserve">La lutte contre les abus sexuels commis contre des enfants constitue </w:t>
      </w:r>
      <w:r>
        <w:rPr>
          <w:rFonts w:ascii="Times New Roman" w:hAnsi="Times New Roman"/>
          <w:b/>
          <w:sz w:val="24"/>
          <w:szCs w:val="24"/>
        </w:rPr>
        <w:t>une priorité pour l’UE</w:t>
      </w:r>
      <w:r>
        <w:rPr>
          <w:rFonts w:ascii="Times New Roman" w:hAnsi="Times New Roman"/>
          <w:sz w:val="24"/>
          <w:szCs w:val="24"/>
        </w:rPr>
        <w:t>. Le Parlement européen</w:t>
      </w:r>
      <w:r>
        <w:rPr>
          <w:rStyle w:val="FootnoteReference"/>
          <w:rFonts w:ascii="Times New Roman" w:hAnsi="Times New Roman" w:cs="Times New Roman"/>
          <w:sz w:val="24"/>
          <w:szCs w:val="24"/>
        </w:rPr>
        <w:footnoteReference w:id="15"/>
      </w:r>
      <w:r>
        <w:rPr>
          <w:rFonts w:ascii="Times New Roman" w:hAnsi="Times New Roman"/>
          <w:sz w:val="24"/>
          <w:szCs w:val="24"/>
        </w:rPr>
        <w:t xml:space="preserve"> et le Conseil</w:t>
      </w:r>
      <w:r>
        <w:rPr>
          <w:rStyle w:val="FootnoteReference"/>
          <w:rFonts w:ascii="Times New Roman" w:hAnsi="Times New Roman" w:cs="Times New Roman"/>
          <w:sz w:val="24"/>
          <w:szCs w:val="24"/>
        </w:rPr>
        <w:footnoteReference w:id="16"/>
      </w:r>
      <w:r>
        <w:rPr>
          <w:rFonts w:ascii="Times New Roman" w:hAnsi="Times New Roman"/>
          <w:sz w:val="24"/>
          <w:szCs w:val="24"/>
        </w:rPr>
        <w:t xml:space="preserve"> ont tous deux demandé de nouvelles mesures concrètes. Des demandes similaires ont été formulées à l’échelle mondiale devant différentes instances</w:t>
      </w:r>
      <w:r>
        <w:rPr>
          <w:rStyle w:val="FootnoteReference"/>
          <w:rFonts w:ascii="Times New Roman" w:hAnsi="Times New Roman" w:cs="Times New Roman"/>
          <w:sz w:val="24"/>
          <w:szCs w:val="24"/>
        </w:rPr>
        <w:footnoteReference w:id="17"/>
      </w:r>
      <w:r>
        <w:rPr>
          <w:rFonts w:ascii="Times New Roman" w:hAnsi="Times New Roman"/>
          <w:sz w:val="24"/>
          <w:szCs w:val="24"/>
        </w:rPr>
        <w:t>, notamment par les médias</w:t>
      </w:r>
      <w:r>
        <w:rPr>
          <w:rStyle w:val="FootnoteReference"/>
          <w:rFonts w:ascii="Times New Roman" w:hAnsi="Times New Roman" w:cs="Times New Roman"/>
          <w:sz w:val="24"/>
          <w:szCs w:val="24"/>
        </w:rPr>
        <w:footnoteReference w:id="18"/>
      </w:r>
      <w:r>
        <w:rPr>
          <w:rFonts w:ascii="Times New Roman" w:hAnsi="Times New Roman"/>
          <w:sz w:val="24"/>
          <w:szCs w:val="24"/>
        </w:rPr>
        <w:t xml:space="preserve">, car il apparaît clairement que le monde entier </w:t>
      </w:r>
      <w:r>
        <w:rPr>
          <w:rFonts w:ascii="Times New Roman" w:hAnsi="Times New Roman"/>
          <w:b/>
          <w:sz w:val="24"/>
          <w:szCs w:val="24"/>
        </w:rPr>
        <w:t xml:space="preserve">perd la bataille </w:t>
      </w:r>
      <w:r>
        <w:rPr>
          <w:rFonts w:ascii="Times New Roman" w:hAnsi="Times New Roman"/>
          <w:sz w:val="24"/>
          <w:szCs w:val="24"/>
        </w:rPr>
        <w:t xml:space="preserve">contre ces crimes et ne parvient pas à protéger efficacement le droit de tout enfant de vivre à l’abri de la violence. Par conséquent, l’UE doit </w:t>
      </w:r>
      <w:r>
        <w:rPr>
          <w:rFonts w:ascii="Times New Roman" w:hAnsi="Times New Roman"/>
          <w:b/>
          <w:sz w:val="24"/>
          <w:szCs w:val="24"/>
        </w:rPr>
        <w:t>réévaluer</w:t>
      </w:r>
      <w:r>
        <w:rPr>
          <w:rFonts w:ascii="Times New Roman" w:hAnsi="Times New Roman"/>
          <w:sz w:val="24"/>
          <w:szCs w:val="24"/>
        </w:rPr>
        <w:t xml:space="preserve"> et </w:t>
      </w:r>
      <w:r>
        <w:rPr>
          <w:rFonts w:ascii="Times New Roman" w:hAnsi="Times New Roman"/>
          <w:b/>
          <w:sz w:val="24"/>
          <w:szCs w:val="24"/>
        </w:rPr>
        <w:t>renforcer ses efforts</w:t>
      </w:r>
      <w:r>
        <w:rPr>
          <w:rFonts w:ascii="Times New Roman" w:hAnsi="Times New Roman"/>
          <w:sz w:val="24"/>
          <w:szCs w:val="24"/>
        </w:rPr>
        <w:t xml:space="preserve">. </w:t>
      </w:r>
    </w:p>
    <w:p w:rsidR="005A7D8E" w:rsidRDefault="001F309D">
      <w:pPr>
        <w:spacing w:after="120" w:line="240" w:lineRule="auto"/>
        <w:jc w:val="both"/>
        <w:rPr>
          <w:rFonts w:ascii="Times New Roman" w:hAnsi="Times New Roman" w:cs="Times New Roman"/>
          <w:sz w:val="24"/>
          <w:szCs w:val="24"/>
        </w:rPr>
      </w:pPr>
      <w:r>
        <w:rPr>
          <w:rFonts w:ascii="Times New Roman" w:hAnsi="Times New Roman"/>
          <w:sz w:val="24"/>
          <w:szCs w:val="24"/>
        </w:rPr>
        <w:t xml:space="preserve">L’objectif de la présente stratégie est d’apporter une réponse efficace, au niveau de l’UE, en vue de la lutte contre les abus sexuels commis contre des enfants. Elle offre un cadre pour </w:t>
      </w:r>
      <w:r>
        <w:rPr>
          <w:rFonts w:ascii="Times New Roman" w:hAnsi="Times New Roman"/>
          <w:b/>
          <w:sz w:val="24"/>
          <w:szCs w:val="24"/>
        </w:rPr>
        <w:t>élaborer une réponse forte et globale</w:t>
      </w:r>
      <w:r>
        <w:rPr>
          <w:rFonts w:ascii="Times New Roman" w:hAnsi="Times New Roman"/>
          <w:sz w:val="24"/>
          <w:szCs w:val="24"/>
        </w:rPr>
        <w:t xml:space="preserve"> à ces crimes, perpétrés tant </w:t>
      </w:r>
      <w:r>
        <w:rPr>
          <w:rFonts w:ascii="Times New Roman" w:hAnsi="Times New Roman"/>
          <w:b/>
          <w:sz w:val="24"/>
          <w:szCs w:val="24"/>
        </w:rPr>
        <w:t>en ligne que hors ligne</w:t>
      </w:r>
      <w:r>
        <w:rPr>
          <w:rFonts w:ascii="Times New Roman" w:hAnsi="Times New Roman"/>
          <w:sz w:val="24"/>
          <w:szCs w:val="24"/>
        </w:rPr>
        <w:t xml:space="preserve">. Elle décrit </w:t>
      </w:r>
      <w:r>
        <w:rPr>
          <w:rFonts w:ascii="Times New Roman" w:hAnsi="Times New Roman"/>
          <w:b/>
          <w:sz w:val="24"/>
          <w:szCs w:val="24"/>
        </w:rPr>
        <w:t>huit initiatives</w:t>
      </w:r>
      <w:r>
        <w:rPr>
          <w:rFonts w:ascii="Times New Roman" w:hAnsi="Times New Roman"/>
          <w:sz w:val="24"/>
          <w:szCs w:val="24"/>
        </w:rPr>
        <w:t xml:space="preserve"> visant à mettre en application et à étoffer le cadre juridique adéquat, à renforcer la réaction des services répressifs et à susciter des actions coordonnées entreprises par plusieurs parties prenantes en matière de </w:t>
      </w:r>
      <w:r>
        <w:rPr>
          <w:rFonts w:ascii="Times New Roman" w:hAnsi="Times New Roman"/>
          <w:b/>
          <w:sz w:val="24"/>
          <w:szCs w:val="24"/>
        </w:rPr>
        <w:t>prévention, d’enquêtes et d’assistance aux victimes</w:t>
      </w:r>
      <w:r>
        <w:rPr>
          <w:rFonts w:ascii="Times New Roman" w:hAnsi="Times New Roman"/>
          <w:sz w:val="24"/>
          <w:szCs w:val="24"/>
        </w:rPr>
        <w:t>.</w:t>
      </w:r>
      <w:r>
        <w:rPr>
          <w:rFonts w:ascii="Times New Roman" w:hAnsi="Times New Roman"/>
          <w:b/>
          <w:sz w:val="24"/>
          <w:szCs w:val="24"/>
        </w:rPr>
        <w:t xml:space="preserve"> </w:t>
      </w:r>
      <w:r>
        <w:rPr>
          <w:rFonts w:ascii="Times New Roman" w:hAnsi="Times New Roman"/>
          <w:sz w:val="24"/>
        </w:rPr>
        <w:t xml:space="preserve">Les initiatives utilisent tous les </w:t>
      </w:r>
      <w:r>
        <w:rPr>
          <w:rFonts w:ascii="Times New Roman" w:hAnsi="Times New Roman"/>
          <w:b/>
          <w:sz w:val="24"/>
        </w:rPr>
        <w:t>outils disponibles</w:t>
      </w:r>
      <w:r>
        <w:rPr>
          <w:rFonts w:ascii="Times New Roman" w:hAnsi="Times New Roman"/>
          <w:sz w:val="24"/>
        </w:rPr>
        <w:t xml:space="preserve"> au niveau de l’UE, tant en matière de </w:t>
      </w:r>
      <w:r>
        <w:rPr>
          <w:rFonts w:ascii="Times New Roman" w:hAnsi="Times New Roman"/>
          <w:b/>
          <w:sz w:val="24"/>
        </w:rPr>
        <w:t>droit matériel de l’UE</w:t>
      </w:r>
      <w:r>
        <w:rPr>
          <w:rFonts w:ascii="Times New Roman" w:hAnsi="Times New Roman"/>
          <w:sz w:val="24"/>
        </w:rPr>
        <w:t xml:space="preserve"> (section I) que de </w:t>
      </w:r>
      <w:r>
        <w:rPr>
          <w:rFonts w:ascii="Times New Roman" w:hAnsi="Times New Roman"/>
          <w:b/>
          <w:sz w:val="24"/>
        </w:rPr>
        <w:t>financement et de coopération</w:t>
      </w:r>
      <w:r>
        <w:rPr>
          <w:rFonts w:ascii="Times New Roman" w:hAnsi="Times New Roman"/>
          <w:sz w:val="24"/>
        </w:rPr>
        <w:t>, (section II)</w:t>
      </w:r>
      <w:r>
        <w:rPr>
          <w:rStyle w:val="FootnoteReference"/>
          <w:rFonts w:ascii="Times New Roman" w:hAnsi="Times New Roman" w:cs="Times New Roman"/>
          <w:sz w:val="24"/>
          <w:szCs w:val="24"/>
        </w:rPr>
        <w:footnoteReference w:id="19"/>
      </w:r>
      <w:r>
        <w:rPr>
          <w:rStyle w:val="FootnoteReference"/>
          <w:rFonts w:ascii="Times New Roman" w:hAnsi="Times New Roman" w:cs="Times New Roman"/>
          <w:sz w:val="24"/>
          <w:szCs w:val="24"/>
          <w:vertAlign w:val="baseline"/>
        </w:rPr>
        <w:t>.</w:t>
      </w:r>
      <w:r>
        <w:rPr>
          <w:rStyle w:val="FootnoteReference"/>
          <w:rFonts w:ascii="Times New Roman" w:hAnsi="Times New Roman"/>
          <w:sz w:val="24"/>
          <w:vertAlign w:val="baseline"/>
        </w:rPr>
        <w:t>.</w:t>
      </w:r>
      <w:r>
        <w:rPr>
          <w:rFonts w:ascii="Times New Roman" w:hAnsi="Times New Roman"/>
          <w:sz w:val="24"/>
        </w:rPr>
        <w:t>.</w:t>
      </w:r>
      <w:r>
        <w:rPr>
          <w:rFonts w:ascii="Times New Roman" w:hAnsi="Times New Roman"/>
          <w:b/>
          <w:sz w:val="24"/>
          <w:szCs w:val="24"/>
        </w:rPr>
        <w:t xml:space="preserve"> </w:t>
      </w:r>
      <w:r>
        <w:rPr>
          <w:rFonts w:ascii="Times New Roman" w:hAnsi="Times New Roman"/>
          <w:sz w:val="24"/>
          <w:szCs w:val="24"/>
        </w:rPr>
        <w:t>Cette stratégie doit être mise en œuvre au cours des cinq prochaines années (2020-2025)</w:t>
      </w:r>
      <w:r>
        <w:rPr>
          <w:rStyle w:val="FootnoteReference"/>
          <w:rFonts w:ascii="Times New Roman" w:hAnsi="Times New Roman" w:cs="Times New Roman"/>
          <w:sz w:val="24"/>
          <w:szCs w:val="24"/>
        </w:rPr>
        <w:footnoteReference w:id="20"/>
      </w:r>
      <w:r>
        <w:rPr>
          <w:rFonts w:ascii="Times New Roman" w:hAnsi="Times New Roman"/>
          <w:sz w:val="24"/>
          <w:szCs w:val="24"/>
        </w:rPr>
        <w:t>.</w:t>
      </w:r>
    </w:p>
    <w:p w:rsidR="005A7D8E" w:rsidRDefault="001F309D">
      <w:pPr>
        <w:pStyle w:val="Heading1"/>
        <w:spacing w:before="0" w:after="120" w:line="240" w:lineRule="auto"/>
        <w:jc w:val="both"/>
        <w:rPr>
          <w:rFonts w:ascii="Times New Roman" w:hAnsi="Times New Roman" w:cs="Times New Roman"/>
          <w:b/>
          <w:color w:val="auto"/>
          <w:sz w:val="24"/>
        </w:rPr>
      </w:pPr>
      <w:r>
        <w:rPr>
          <w:rFonts w:ascii="Times New Roman" w:hAnsi="Times New Roman"/>
          <w:b/>
          <w:color w:val="auto"/>
          <w:sz w:val="24"/>
        </w:rPr>
        <w:t>I. APPLIQUER ET ÉTOFFER LE CADRE JURIDIQUE ADÉQUAT POUR PROTÉGER LES ENFANTS</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En 2011, l’UE a franchi une étape importante avec l’adoption de la directive relative aux abus sexuels commis contre des enfants (2011/93/UE</w:t>
      </w:r>
      <w:r>
        <w:rPr>
          <w:rStyle w:val="FootnoteReference"/>
          <w:rFonts w:ascii="Times New Roman" w:hAnsi="Times New Roman" w:cs="Times New Roman"/>
          <w:sz w:val="24"/>
          <w:lang w:val="en-GB"/>
        </w:rPr>
        <w:footnoteReference w:id="21"/>
      </w:r>
      <w:r>
        <w:rPr>
          <w:rFonts w:ascii="Times New Roman" w:hAnsi="Times New Roman"/>
          <w:sz w:val="24"/>
        </w:rPr>
        <w:t>), dont l'</w:t>
      </w:r>
      <w:r>
        <w:rPr>
          <w:rFonts w:ascii="Times New Roman" w:hAnsi="Times New Roman"/>
          <w:b/>
          <w:sz w:val="24"/>
        </w:rPr>
        <w:t>application</w:t>
      </w:r>
      <w:r>
        <w:rPr>
          <w:rFonts w:ascii="Times New Roman" w:hAnsi="Times New Roman"/>
          <w:sz w:val="24"/>
        </w:rPr>
        <w:t xml:space="preserve"> dans les États membres doit désormais être achevée de toute </w:t>
      </w:r>
      <w:r>
        <w:rPr>
          <w:rFonts w:ascii="Times New Roman" w:hAnsi="Times New Roman"/>
          <w:b/>
          <w:sz w:val="24"/>
        </w:rPr>
        <w:t>urgence</w:t>
      </w:r>
      <w:r>
        <w:rPr>
          <w:rFonts w:ascii="Times New Roman" w:hAnsi="Times New Roman"/>
          <w:sz w:val="24"/>
        </w:rPr>
        <w:t>. En parallèle, tous les vides juridiques recensés doivent être comblés par les moyens les plus appropriés.</w:t>
      </w:r>
    </w:p>
    <w:p w:rsidR="005A7D8E" w:rsidRDefault="001F309D">
      <w:pPr>
        <w:pStyle w:val="Heading2"/>
        <w:numPr>
          <w:ilvl w:val="0"/>
          <w:numId w:val="18"/>
        </w:numPr>
        <w:spacing w:before="0" w:after="120" w:line="240" w:lineRule="auto"/>
        <w:rPr>
          <w:rFonts w:ascii="Times New Roman" w:hAnsi="Times New Roman" w:cs="Times New Roman"/>
          <w:b/>
          <w:color w:val="auto"/>
          <w:sz w:val="24"/>
          <w:szCs w:val="24"/>
        </w:rPr>
      </w:pPr>
      <w:r>
        <w:rPr>
          <w:rFonts w:ascii="Times New Roman" w:hAnsi="Times New Roman"/>
          <w:b/>
          <w:color w:val="auto"/>
          <w:sz w:val="24"/>
          <w:szCs w:val="24"/>
        </w:rPr>
        <w:t>Assurer l’application complète de la législation actuelle (directive 2011/93/UE)</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 xml:space="preserve">La directive relative aux abus sexuels commis contre des enfants a été le premier </w:t>
      </w:r>
      <w:r>
        <w:rPr>
          <w:rFonts w:ascii="Times New Roman" w:hAnsi="Times New Roman"/>
          <w:b/>
          <w:sz w:val="24"/>
        </w:rPr>
        <w:t>instrument juridique global de l’UE</w:t>
      </w:r>
      <w:r>
        <w:rPr>
          <w:rFonts w:ascii="Times New Roman" w:hAnsi="Times New Roman"/>
          <w:sz w:val="24"/>
        </w:rPr>
        <w:t xml:space="preserve"> établissant des règles minimales relatives à la définition des infractions pénales et des sanctions dans le domaine des abus sexuels et de l’exploitation sexuelle des enfants, ainsi que de la pédopornographie. Elle couvre la prévention, les enquêtes et les poursuites concernant les infractions, ainsi que l’assistance et la protection des victimes. </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 xml:space="preserve">Les infractions pénales concernent les situations </w:t>
      </w:r>
      <w:r>
        <w:rPr>
          <w:rFonts w:ascii="Times New Roman" w:hAnsi="Times New Roman"/>
          <w:b/>
          <w:sz w:val="24"/>
        </w:rPr>
        <w:t>hors ligne et en ligne</w:t>
      </w:r>
      <w:r>
        <w:rPr>
          <w:rFonts w:ascii="Times New Roman" w:hAnsi="Times New Roman"/>
          <w:sz w:val="24"/>
        </w:rPr>
        <w:t xml:space="preserve">, telles que la visualisation et la diffusion de pédopornographie en ligne, le pédopiégeage (c.-à-d. l’établissement d’un lien émotionnel avec l’enfant en ligne dans un but d’abus sexuel) et les abus sexuels par webcam. Au-delà du droit pénal matériel et procédural, la directive impose également aux États membres de mettre en place des mesures administratives (c.-à-d. non législatives) de grande portée, telles qu’une formation relative à l’échange de casiers judiciaires entre les États membres via le système européen d’information sur les casiers judiciaires (ECRIS) en tant que présélection lors du recrutement pour des fonctions impliquant des contacts directs et réguliers avec des enfants, ou la formation des professionnels susceptibles d’entrer en contact avec des enfants victimes d’abus sexuels. Ces mesures requièrent la participation et la coordination de </w:t>
      </w:r>
      <w:r>
        <w:rPr>
          <w:rFonts w:ascii="Times New Roman" w:hAnsi="Times New Roman"/>
          <w:b/>
          <w:sz w:val="24"/>
        </w:rPr>
        <w:t>multiples acteurs</w:t>
      </w:r>
      <w:r>
        <w:rPr>
          <w:rFonts w:ascii="Times New Roman" w:hAnsi="Times New Roman"/>
          <w:sz w:val="24"/>
        </w:rPr>
        <w:t xml:space="preserve"> issus de différents domaines d’action publique (par exemple, services répressifs, soins de santé, éducation, services sociaux, autorités de protection de l’enfance, magistrats et professionnels du droit), ainsi que d’entités privées (par exemple, les entreprises et la société civile).</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 xml:space="preserve">Les États membres ont réalisé des </w:t>
      </w:r>
      <w:r>
        <w:rPr>
          <w:rFonts w:ascii="Times New Roman" w:hAnsi="Times New Roman"/>
          <w:b/>
          <w:sz w:val="24"/>
        </w:rPr>
        <w:t>progrès importants</w:t>
      </w:r>
      <w:r>
        <w:rPr>
          <w:rFonts w:ascii="Times New Roman" w:hAnsi="Times New Roman"/>
          <w:sz w:val="24"/>
        </w:rPr>
        <w:t xml:space="preserve"> quant à la mise en application de cette directive. Toutefois, il reste encore beaucoup à faire pour que la directive atteigne son plein potentiel par l’</w:t>
      </w:r>
      <w:r>
        <w:rPr>
          <w:rFonts w:ascii="Times New Roman" w:hAnsi="Times New Roman"/>
          <w:b/>
          <w:sz w:val="24"/>
        </w:rPr>
        <w:t>application intégrale</w:t>
      </w:r>
      <w:r>
        <w:rPr>
          <w:rFonts w:ascii="Times New Roman" w:hAnsi="Times New Roman"/>
          <w:sz w:val="24"/>
        </w:rPr>
        <w:t xml:space="preserve"> de toutes ses dispositions par tous les États membres. Des difficultés persistent dans les domaines de la </w:t>
      </w:r>
      <w:r>
        <w:rPr>
          <w:rFonts w:ascii="Times New Roman" w:hAnsi="Times New Roman"/>
          <w:b/>
          <w:sz w:val="24"/>
        </w:rPr>
        <w:t>prévention</w:t>
      </w:r>
      <w:r>
        <w:rPr>
          <w:rFonts w:ascii="Times New Roman" w:hAnsi="Times New Roman"/>
          <w:sz w:val="24"/>
        </w:rPr>
        <w:t xml:space="preserve"> (notamment les programmes de prévention destinés aux auteurs d’abus et aux individus craignant de commettre des abus), du </w:t>
      </w:r>
      <w:r>
        <w:rPr>
          <w:rFonts w:ascii="Times New Roman" w:hAnsi="Times New Roman"/>
          <w:b/>
          <w:sz w:val="24"/>
        </w:rPr>
        <w:t>droit pénal</w:t>
      </w:r>
      <w:r>
        <w:rPr>
          <w:rFonts w:ascii="Times New Roman" w:hAnsi="Times New Roman"/>
          <w:sz w:val="24"/>
        </w:rPr>
        <w:t xml:space="preserve"> (en particulier la définition des infractions et du niveau des sanctions) et des mesures d’</w:t>
      </w:r>
      <w:r>
        <w:rPr>
          <w:rFonts w:ascii="Times New Roman" w:hAnsi="Times New Roman"/>
          <w:b/>
          <w:sz w:val="24"/>
        </w:rPr>
        <w:t>assistance, d’aide et de protection</w:t>
      </w:r>
      <w:r>
        <w:rPr>
          <w:rFonts w:ascii="Times New Roman" w:hAnsi="Times New Roman"/>
          <w:sz w:val="24"/>
        </w:rPr>
        <w:t xml:space="preserve"> pour les </w:t>
      </w:r>
      <w:r>
        <w:rPr>
          <w:rFonts w:ascii="Times New Roman" w:hAnsi="Times New Roman"/>
          <w:b/>
          <w:sz w:val="24"/>
        </w:rPr>
        <w:t>enfants</w:t>
      </w:r>
      <w:r>
        <w:rPr>
          <w:rFonts w:ascii="Times New Roman" w:hAnsi="Times New Roman"/>
          <w:sz w:val="24"/>
        </w:rPr>
        <w:t xml:space="preserve"> </w:t>
      </w:r>
      <w:r>
        <w:rPr>
          <w:rFonts w:ascii="Times New Roman" w:hAnsi="Times New Roman"/>
          <w:b/>
          <w:sz w:val="24"/>
        </w:rPr>
        <w:t>victimes</w:t>
      </w:r>
      <w:r>
        <w:rPr>
          <w:rStyle w:val="FootnoteReference"/>
          <w:rFonts w:ascii="Times New Roman" w:hAnsi="Times New Roman" w:cs="Times New Roman"/>
          <w:sz w:val="24"/>
          <w:lang w:val="en-GB"/>
        </w:rPr>
        <w:footnoteReference w:id="22"/>
      </w:r>
      <w:r>
        <w:rPr>
          <w:rFonts w:ascii="Times New Roman" w:hAnsi="Times New Roman"/>
          <w:sz w:val="24"/>
        </w:rPr>
        <w:t xml:space="preserve">. En 2019, afin d’assurer une application complète, la Commission a ouvert des </w:t>
      </w:r>
      <w:r>
        <w:rPr>
          <w:rFonts w:ascii="Times New Roman" w:hAnsi="Times New Roman"/>
          <w:b/>
          <w:sz w:val="24"/>
        </w:rPr>
        <w:t>procédures d’infraction</w:t>
      </w:r>
      <w:r>
        <w:rPr>
          <w:rFonts w:ascii="Times New Roman" w:hAnsi="Times New Roman"/>
          <w:sz w:val="24"/>
        </w:rPr>
        <w:t xml:space="preserve"> à l’encontre de 23 États membres</w:t>
      </w:r>
      <w:r>
        <w:rPr>
          <w:rStyle w:val="FootnoteReference"/>
          <w:rFonts w:ascii="Times New Roman" w:hAnsi="Times New Roman" w:cs="Times New Roman"/>
          <w:sz w:val="24"/>
          <w:lang w:val="en-GB"/>
        </w:rPr>
        <w:footnoteReference w:id="23"/>
      </w:r>
      <w:r>
        <w:rPr>
          <w:rFonts w:ascii="Times New Roman" w:hAnsi="Times New Roman"/>
          <w:sz w:val="24"/>
        </w:rPr>
        <w:t xml:space="preserve">.  </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 xml:space="preserve">La Commission continuera de collaborer étroitement avec les États membres pour résoudre </w:t>
      </w:r>
      <w:r>
        <w:rPr>
          <w:rFonts w:ascii="Times New Roman" w:hAnsi="Times New Roman"/>
          <w:b/>
          <w:sz w:val="24"/>
        </w:rPr>
        <w:t>en priorité</w:t>
      </w:r>
      <w:r>
        <w:rPr>
          <w:rFonts w:ascii="Times New Roman" w:hAnsi="Times New Roman"/>
          <w:sz w:val="24"/>
        </w:rPr>
        <w:t xml:space="preserve"> toutes les questions en suspens et assurer l’application complète et le respect intégral de la directive dans l’ensemble de l’UE. La Commission aidera également les États membres à œuvrer dans ce domaine en continuant à encourager l’</w:t>
      </w:r>
      <w:r>
        <w:rPr>
          <w:rFonts w:ascii="Times New Roman" w:hAnsi="Times New Roman"/>
          <w:b/>
          <w:sz w:val="24"/>
        </w:rPr>
        <w:t>échange des bonnes pratiques</w:t>
      </w:r>
      <w:r>
        <w:rPr>
          <w:rFonts w:ascii="Times New Roman" w:hAnsi="Times New Roman"/>
          <w:sz w:val="24"/>
        </w:rPr>
        <w:t xml:space="preserve"> et des enseignements tirés</w:t>
      </w:r>
      <w:r>
        <w:rPr>
          <w:rStyle w:val="FootnoteReference"/>
          <w:rFonts w:ascii="Times New Roman" w:hAnsi="Times New Roman" w:cs="Times New Roman"/>
          <w:sz w:val="24"/>
          <w:lang w:eastAsia="en-GB"/>
        </w:rPr>
        <w:footnoteReference w:id="24"/>
      </w:r>
      <w:r>
        <w:rPr>
          <w:rFonts w:ascii="Times New Roman" w:hAnsi="Times New Roman"/>
          <w:sz w:val="24"/>
        </w:rPr>
        <w:t xml:space="preserve">. </w:t>
      </w:r>
    </w:p>
    <w:p w:rsidR="005A7D8E" w:rsidRDefault="001F309D">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i/>
          <w:sz w:val="24"/>
        </w:rPr>
      </w:pPr>
      <w:r>
        <w:rPr>
          <w:rFonts w:ascii="Times New Roman" w:hAnsi="Times New Roman"/>
          <w:b/>
          <w:i/>
          <w:sz w:val="24"/>
        </w:rPr>
        <w:t>Action clé:</w:t>
      </w:r>
    </w:p>
    <w:p w:rsidR="005A7D8E" w:rsidRDefault="001F309D">
      <w:pPr>
        <w:pStyle w:val="ListParagraph"/>
        <w:numPr>
          <w:ilvl w:val="0"/>
          <w:numId w:val="43"/>
        </w:numPr>
        <w:pBdr>
          <w:top w:val="single" w:sz="4" w:space="1" w:color="auto"/>
          <w:left w:val="single" w:sz="4" w:space="4" w:color="auto"/>
          <w:bottom w:val="single" w:sz="4" w:space="1" w:color="auto"/>
          <w:right w:val="single" w:sz="4" w:space="4" w:color="auto"/>
        </w:pBdr>
        <w:spacing w:after="120" w:line="240" w:lineRule="auto"/>
        <w:contextualSpacing w:val="0"/>
        <w:jc w:val="both"/>
        <w:rPr>
          <w:rFonts w:ascii="Times New Roman" w:hAnsi="Times New Roman" w:cs="Times New Roman"/>
          <w:i/>
          <w:sz w:val="24"/>
        </w:rPr>
      </w:pPr>
      <w:r>
        <w:rPr>
          <w:rFonts w:ascii="Times New Roman" w:hAnsi="Times New Roman"/>
          <w:i/>
          <w:sz w:val="24"/>
        </w:rPr>
        <w:t xml:space="preserve">Les États membres doivent </w:t>
      </w:r>
      <w:r>
        <w:rPr>
          <w:rFonts w:ascii="Times New Roman" w:hAnsi="Times New Roman"/>
          <w:b/>
          <w:i/>
          <w:sz w:val="24"/>
        </w:rPr>
        <w:t>achever en priorité la mise en application</w:t>
      </w:r>
      <w:r>
        <w:rPr>
          <w:rFonts w:ascii="Times New Roman" w:hAnsi="Times New Roman"/>
          <w:i/>
          <w:sz w:val="24"/>
        </w:rPr>
        <w:t xml:space="preserve"> de la directive relative aux abus sexuels commis contre des enfants. La Commission continuera de recourir aux </w:t>
      </w:r>
      <w:r>
        <w:rPr>
          <w:rFonts w:ascii="Times New Roman" w:hAnsi="Times New Roman"/>
          <w:b/>
          <w:i/>
          <w:sz w:val="24"/>
        </w:rPr>
        <w:t>pouvoirs d’exécution</w:t>
      </w:r>
      <w:r>
        <w:rPr>
          <w:rFonts w:ascii="Times New Roman" w:hAnsi="Times New Roman"/>
          <w:i/>
          <w:sz w:val="24"/>
        </w:rPr>
        <w:t xml:space="preserve"> qui lui sont conférés par les traités au moyen de procédures d’infraction, dans la mesure nécessaire à une application rapide. </w:t>
      </w:r>
    </w:p>
    <w:p w:rsidR="005A7D8E" w:rsidRDefault="001F309D">
      <w:pPr>
        <w:pStyle w:val="Heading2"/>
        <w:numPr>
          <w:ilvl w:val="0"/>
          <w:numId w:val="18"/>
        </w:numPr>
        <w:spacing w:before="0" w:after="120" w:line="240" w:lineRule="auto"/>
        <w:rPr>
          <w:rFonts w:ascii="Times New Roman" w:hAnsi="Times New Roman" w:cs="Times New Roman"/>
          <w:b/>
          <w:color w:val="auto"/>
          <w:sz w:val="24"/>
          <w:szCs w:val="24"/>
        </w:rPr>
      </w:pPr>
      <w:r>
        <w:rPr>
          <w:rFonts w:ascii="Times New Roman" w:hAnsi="Times New Roman"/>
          <w:b/>
          <w:color w:val="auto"/>
          <w:sz w:val="24"/>
          <w:szCs w:val="24"/>
        </w:rPr>
        <w:t xml:space="preserve">Garantir que la législation de l’UE permet une réaction efficace </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 xml:space="preserve">La Commission évaluera si la </w:t>
      </w:r>
      <w:r>
        <w:rPr>
          <w:rFonts w:ascii="Times New Roman" w:hAnsi="Times New Roman"/>
          <w:b/>
          <w:sz w:val="24"/>
        </w:rPr>
        <w:t>directive relative aux abus sexuels commis contre des enfants</w:t>
      </w:r>
      <w:r>
        <w:rPr>
          <w:rFonts w:ascii="Times New Roman" w:hAnsi="Times New Roman"/>
          <w:sz w:val="24"/>
        </w:rPr>
        <w:t xml:space="preserve"> nécessite une mise à jour, en tenant compte de l’étude visée dans la troisième initiative décrite ci-dessous. Outre la directive relative aux abus sexuels des enfants, il existe de nombreux </w:t>
      </w:r>
      <w:r>
        <w:rPr>
          <w:rFonts w:ascii="Times New Roman" w:hAnsi="Times New Roman"/>
          <w:b/>
          <w:sz w:val="24"/>
        </w:rPr>
        <w:t>instruments législatifs au niveau de l’UE</w:t>
      </w:r>
      <w:r>
        <w:rPr>
          <w:rFonts w:ascii="Times New Roman" w:hAnsi="Times New Roman"/>
          <w:sz w:val="24"/>
        </w:rPr>
        <w:t xml:space="preserve"> qui soutiennent et façonnent la lutte contre les abus sexuels commis sur des enfants, notamment en ce qui concerne le rôle que joue le secteur privé dans la prévention et la lutte contre ce phénomène. </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 xml:space="preserve">Les </w:t>
      </w:r>
      <w:r>
        <w:rPr>
          <w:rFonts w:ascii="Times New Roman" w:hAnsi="Times New Roman"/>
          <w:b/>
          <w:sz w:val="24"/>
        </w:rPr>
        <w:t>propositions relatives aux preuves électroniques</w:t>
      </w:r>
      <w:r>
        <w:rPr>
          <w:rStyle w:val="FootnoteReference"/>
          <w:rFonts w:ascii="Times New Roman" w:hAnsi="Times New Roman" w:cs="Times New Roman"/>
          <w:sz w:val="24"/>
          <w:lang w:val="en-GB"/>
        </w:rPr>
        <w:footnoteReference w:id="25"/>
      </w:r>
      <w:r>
        <w:rPr>
          <w:rFonts w:ascii="Times New Roman" w:hAnsi="Times New Roman"/>
          <w:sz w:val="24"/>
        </w:rPr>
        <w:t>, formulées par la Commission en avril 2018, jouent un rôle clé afin de faciliter l’accès rapide aux preuves essentielles détenues par le secteur privé, telles que l’identité des individus ayant téléchargé et partagé du matériel pédopornographique. La Commission réitère sa demande d’</w:t>
      </w:r>
      <w:r>
        <w:rPr>
          <w:rFonts w:ascii="Times New Roman" w:hAnsi="Times New Roman"/>
          <w:b/>
          <w:sz w:val="24"/>
        </w:rPr>
        <w:t>adoption rapide</w:t>
      </w:r>
      <w:r>
        <w:rPr>
          <w:rFonts w:ascii="Times New Roman" w:hAnsi="Times New Roman"/>
          <w:sz w:val="24"/>
        </w:rPr>
        <w:t>.</w:t>
      </w:r>
    </w:p>
    <w:p w:rsidR="005A7D8E" w:rsidRDefault="001F309D">
      <w:pPr>
        <w:pStyle w:val="CommentText"/>
        <w:spacing w:after="120"/>
        <w:jc w:val="both"/>
        <w:rPr>
          <w:rFonts w:ascii="Times New Roman" w:hAnsi="Times New Roman" w:cs="Times New Roman"/>
          <w:sz w:val="24"/>
        </w:rPr>
      </w:pPr>
      <w:r>
        <w:rPr>
          <w:rFonts w:ascii="Times New Roman" w:hAnsi="Times New Roman"/>
          <w:sz w:val="24"/>
        </w:rPr>
        <w:t xml:space="preserve">En outre, le cadre en question inclut la </w:t>
      </w:r>
      <w:r>
        <w:rPr>
          <w:rFonts w:ascii="Times New Roman" w:hAnsi="Times New Roman"/>
          <w:b/>
          <w:sz w:val="24"/>
        </w:rPr>
        <w:t>directive sur le commerce électronique</w:t>
      </w:r>
      <w:r>
        <w:rPr>
          <w:rStyle w:val="FootnoteReference"/>
          <w:rFonts w:ascii="Times New Roman" w:hAnsi="Times New Roman" w:cs="Times New Roman"/>
          <w:sz w:val="24"/>
          <w:lang w:val="en-GB" w:eastAsia="en-GB"/>
        </w:rPr>
        <w:footnoteReference w:id="26"/>
      </w:r>
      <w:r>
        <w:rPr>
          <w:rFonts w:ascii="Times New Roman" w:hAnsi="Times New Roman"/>
          <w:sz w:val="24"/>
        </w:rPr>
        <w:t xml:space="preserve">, qui détermine les règles existantes en matière de responsabilité applicables aux intermédiaires en ligne et autorise les procédures de notification et de retrait des contenus illégaux, et la </w:t>
      </w:r>
      <w:r>
        <w:rPr>
          <w:rFonts w:ascii="Times New Roman" w:hAnsi="Times New Roman"/>
          <w:b/>
          <w:sz w:val="24"/>
        </w:rPr>
        <w:t>directive vie privée et communications électroniques</w:t>
      </w:r>
      <w:r>
        <w:rPr>
          <w:rStyle w:val="FootnoteReference"/>
          <w:rFonts w:ascii="Times New Roman" w:hAnsi="Times New Roman" w:cs="Times New Roman"/>
          <w:sz w:val="24"/>
          <w:lang w:val="en-GB" w:eastAsia="en-GB"/>
        </w:rPr>
        <w:footnoteReference w:id="27"/>
      </w:r>
      <w:r>
        <w:rPr>
          <w:rFonts w:ascii="Times New Roman" w:hAnsi="Times New Roman"/>
          <w:sz w:val="24"/>
        </w:rPr>
        <w:t xml:space="preserve">. En outre, la proposition de </w:t>
      </w:r>
      <w:r>
        <w:rPr>
          <w:rFonts w:ascii="Times New Roman" w:hAnsi="Times New Roman"/>
          <w:b/>
          <w:sz w:val="24"/>
        </w:rPr>
        <w:t>règlement «vie privée et communications électroniques»</w:t>
      </w:r>
      <w:r>
        <w:rPr>
          <w:rStyle w:val="FootnoteReference"/>
          <w:rFonts w:ascii="Times New Roman" w:hAnsi="Times New Roman" w:cs="Times New Roman"/>
          <w:sz w:val="24"/>
          <w:lang w:val="en-GB" w:eastAsia="en-GB"/>
        </w:rPr>
        <w:footnoteReference w:id="28"/>
      </w:r>
      <w:r>
        <w:rPr>
          <w:rFonts w:ascii="Times New Roman" w:hAnsi="Times New Roman"/>
          <w:sz w:val="24"/>
        </w:rPr>
        <w:t xml:space="preserve"> présentée par la Commission, en cours d’examen par le Parlement européen et le Conseil, mettra à jour le cadre juridique et remplacera la directive vie privée et communications électroniques. À partir de décembre 2020, la directive vie privée et communications électroniques aura un champ d’application élargi en raison du </w:t>
      </w:r>
      <w:r>
        <w:rPr>
          <w:rFonts w:ascii="Times New Roman" w:hAnsi="Times New Roman"/>
          <w:b/>
          <w:sz w:val="24"/>
        </w:rPr>
        <w:t>code des communications électroniques européen</w:t>
      </w:r>
      <w:r>
        <w:rPr>
          <w:rStyle w:val="FootnoteReference"/>
          <w:rFonts w:ascii="Times New Roman" w:hAnsi="Times New Roman" w:cs="Times New Roman"/>
          <w:sz w:val="24"/>
          <w:lang w:val="en-GB" w:eastAsia="en-GB"/>
        </w:rPr>
        <w:footnoteReference w:id="29"/>
      </w:r>
      <w:r>
        <w:rPr>
          <w:rFonts w:ascii="Times New Roman" w:hAnsi="Times New Roman"/>
          <w:sz w:val="24"/>
        </w:rPr>
        <w:t>.</w:t>
      </w:r>
      <w:r>
        <w:rPr>
          <w:rFonts w:ascii="Times New Roman" w:hAnsi="Times New Roman"/>
          <w:b/>
          <w:sz w:val="24"/>
        </w:rPr>
        <w:t xml:space="preserve"> </w:t>
      </w:r>
      <w:r>
        <w:rPr>
          <w:rFonts w:ascii="Times New Roman" w:hAnsi="Times New Roman"/>
          <w:sz w:val="24"/>
        </w:rPr>
        <w:t xml:space="preserve">Cela empêcherait certaines entreprises (en l’absence de mesures législatives nationales adoptées en vertu de l’article 15, paragraphe 1, de la directive vie privée et communications électroniques) de continuer à appliquer leurs propres mesures concernant la détection, la suppression et le signalement volontaires d’abus sexuels commis contre des enfants en ligne. La Commission estime qu’il est impératif de </w:t>
      </w:r>
      <w:r>
        <w:rPr>
          <w:rFonts w:ascii="Times New Roman" w:hAnsi="Times New Roman"/>
          <w:b/>
          <w:sz w:val="24"/>
        </w:rPr>
        <w:t>prendre des mesures immédiates</w:t>
      </w:r>
      <w:r>
        <w:rPr>
          <w:rFonts w:ascii="Times New Roman" w:hAnsi="Times New Roman"/>
          <w:sz w:val="24"/>
        </w:rPr>
        <w:t xml:space="preserve"> afin d’y remédier. Elle proposera donc une solution législative très ciblée dont le seul objectif sera de permettre la poursuite des activités volontaires actuelles. Cette solution permettrait de disposer du temps nécessaire pour l’adoption d’un nouveau cadre juridique à long terme, tout en garantissant le respect des droits fondamentaux, y compris les droits à la vie privée et à la protection des données à caractère personnel.</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 xml:space="preserve">La Commission s’est engagée à formuler des propositions sur le cadre législatif applicable aux services numériques, ce qui aura des implications pour la lutte contre les contenus à caractère pédopornographique en ligne. Le </w:t>
      </w:r>
      <w:r>
        <w:rPr>
          <w:rFonts w:ascii="Times New Roman" w:hAnsi="Times New Roman"/>
          <w:b/>
          <w:sz w:val="24"/>
        </w:rPr>
        <w:t>paquet relatif aux services numériques</w:t>
      </w:r>
      <w:r>
        <w:rPr>
          <w:rFonts w:ascii="Times New Roman" w:hAnsi="Times New Roman"/>
          <w:sz w:val="24"/>
        </w:rPr>
        <w:t>, qui doit faire l’objet d’une proposition d’ici à la fin de l'année 2020</w:t>
      </w:r>
      <w:r>
        <w:rPr>
          <w:rStyle w:val="FootnoteReference"/>
          <w:rFonts w:ascii="Times New Roman" w:hAnsi="Times New Roman" w:cs="Times New Roman"/>
          <w:sz w:val="24"/>
          <w:lang w:val="en-GB" w:eastAsia="en-GB"/>
        </w:rPr>
        <w:footnoteReference w:id="30"/>
      </w:r>
      <w:r>
        <w:rPr>
          <w:rFonts w:ascii="Times New Roman" w:hAnsi="Times New Roman"/>
          <w:sz w:val="24"/>
        </w:rPr>
        <w:t xml:space="preserve">, précisera et modernisera les règles en matière de responsabilité et de sécurité des services numériques. Dans ce contexte, la Commission examinera la nécessité d’éliminer les entraves aux actions volontaires destinées à lutter contre les contenus, biens ou services illégaux fournis par des intermédiaires en ligne, notamment en ce qui concerne les services de plateformes en ligne. </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 xml:space="preserve">La Commission estime que la lutte contre les abus sexuels commis contre des enfants en ligne exige des </w:t>
      </w:r>
      <w:r>
        <w:rPr>
          <w:rFonts w:ascii="Times New Roman" w:hAnsi="Times New Roman"/>
          <w:b/>
          <w:sz w:val="24"/>
        </w:rPr>
        <w:t>obligations</w:t>
      </w:r>
      <w:r>
        <w:rPr>
          <w:rFonts w:ascii="Times New Roman" w:hAnsi="Times New Roman"/>
          <w:sz w:val="24"/>
        </w:rPr>
        <w:t xml:space="preserve"> claires quant à la détection et le signalement d’abus sexuels commis contre des enfants en ligne afin d’apporter davantage de clarté et de sécurité dans les travaux menés tant par les services répressifs que par les acteurs concernés du secteur privé pour combattre les abus en ligne. Elle commencera à préparer des </w:t>
      </w:r>
      <w:r>
        <w:rPr>
          <w:rFonts w:ascii="Times New Roman" w:hAnsi="Times New Roman"/>
          <w:b/>
          <w:sz w:val="24"/>
        </w:rPr>
        <w:t>dispositions législatives par secteur</w:t>
      </w:r>
      <w:r>
        <w:rPr>
          <w:rFonts w:ascii="Times New Roman" w:hAnsi="Times New Roman"/>
          <w:sz w:val="24"/>
        </w:rPr>
        <w:t xml:space="preserve"> afin de lutter plus efficacement contre les abus sexuels commis contre des enfants en ligne, dans le respect intégral des droits fondamentaux, y compris notamment les droits à la liberté d’expression, à la protection des données à caractère personnel et à la vie privée.  Les mécanismes visant à garantir la responsabilité et la transparence seront des éléments essentiels de la législation et le centre visé dans l’initiative n° 6 pourrait y être associé.</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 xml:space="preserve">Le </w:t>
      </w:r>
      <w:r>
        <w:rPr>
          <w:rFonts w:ascii="Times New Roman" w:hAnsi="Times New Roman"/>
          <w:b/>
          <w:sz w:val="24"/>
        </w:rPr>
        <w:t>règlement Europol</w:t>
      </w:r>
      <w:r>
        <w:rPr>
          <w:rStyle w:val="FootnoteReference"/>
          <w:rFonts w:ascii="Times New Roman" w:hAnsi="Times New Roman" w:cs="Times New Roman"/>
          <w:sz w:val="24"/>
          <w:lang w:val="en-GB" w:eastAsia="en-GB"/>
        </w:rPr>
        <w:footnoteReference w:id="31"/>
      </w:r>
      <w:r>
        <w:rPr>
          <w:rFonts w:ascii="Times New Roman" w:hAnsi="Times New Roman"/>
          <w:sz w:val="24"/>
        </w:rPr>
        <w:t>, qui détermine le champ d’application des activités d’Europol, est également pertinent</w:t>
      </w:r>
      <w:r>
        <w:rPr>
          <w:rStyle w:val="FootnoteReference"/>
          <w:rFonts w:ascii="Times New Roman" w:hAnsi="Times New Roman" w:cs="Times New Roman"/>
          <w:sz w:val="24"/>
          <w:lang w:val="en-GB" w:eastAsia="en-GB"/>
        </w:rPr>
        <w:footnoteReference w:id="32"/>
      </w:r>
      <w:r>
        <w:rPr>
          <w:rFonts w:ascii="Times New Roman" w:hAnsi="Times New Roman"/>
          <w:sz w:val="24"/>
        </w:rPr>
        <w:t xml:space="preserve">. La Commission a annoncé dans son programme de travail 2020 une proposition législative destinée à renforcer le </w:t>
      </w:r>
      <w:r>
        <w:rPr>
          <w:rFonts w:ascii="Times New Roman" w:hAnsi="Times New Roman"/>
          <w:b/>
          <w:sz w:val="24"/>
        </w:rPr>
        <w:t>mandat d’Europol</w:t>
      </w:r>
      <w:r>
        <w:rPr>
          <w:rFonts w:ascii="Times New Roman" w:hAnsi="Times New Roman"/>
          <w:sz w:val="24"/>
        </w:rPr>
        <w:t xml:space="preserve"> afin d’améliorer la coopération policière opérationnelle. </w:t>
      </w:r>
      <w:r>
        <w:rPr>
          <w:rFonts w:ascii="Times New Roman" w:hAnsi="Times New Roman"/>
          <w:sz w:val="24"/>
          <w:szCs w:val="24"/>
        </w:rPr>
        <w:t xml:space="preserve">Europol a rencontré des </w:t>
      </w:r>
      <w:r>
        <w:rPr>
          <w:rFonts w:ascii="Times New Roman" w:hAnsi="Times New Roman"/>
          <w:b/>
          <w:sz w:val="24"/>
          <w:szCs w:val="24"/>
        </w:rPr>
        <w:t>restrictions</w:t>
      </w:r>
      <w:r>
        <w:rPr>
          <w:rFonts w:ascii="Times New Roman" w:hAnsi="Times New Roman"/>
          <w:sz w:val="24"/>
          <w:szCs w:val="24"/>
        </w:rPr>
        <w:t xml:space="preserve"> dans le soutien qu’elle peut offrir, en raison de l’évolution rapide du problème des abus sexuels commis sur des enfants. En outre, la capacité d’Europol à soutenir les États membres est </w:t>
      </w:r>
      <w:r>
        <w:rPr>
          <w:rFonts w:ascii="Times New Roman" w:hAnsi="Times New Roman"/>
          <w:b/>
          <w:sz w:val="24"/>
          <w:szCs w:val="24"/>
        </w:rPr>
        <w:t>entravée par son incapacité à recevoir des données à caractère personnel directement depuis le secteur privé</w:t>
      </w:r>
      <w:r>
        <w:rPr>
          <w:rFonts w:ascii="Times New Roman" w:hAnsi="Times New Roman"/>
          <w:sz w:val="24"/>
          <w:szCs w:val="24"/>
        </w:rPr>
        <w:t xml:space="preserve">, dont l’infrastructure est détournée par les auteurs d’abus pour héberger et partager du matériel pédopornographique. La Commission européenne évaluera ces questions de manière plus approfondie dans le cadre de la </w:t>
      </w:r>
      <w:r>
        <w:rPr>
          <w:rFonts w:ascii="Times New Roman" w:hAnsi="Times New Roman"/>
          <w:b/>
          <w:sz w:val="24"/>
          <w:szCs w:val="24"/>
        </w:rPr>
        <w:t>révision du mandat d’Europol</w:t>
      </w:r>
      <w:r>
        <w:rPr>
          <w:rFonts w:ascii="Times New Roman" w:hAnsi="Times New Roman"/>
          <w:sz w:val="24"/>
          <w:szCs w:val="24"/>
        </w:rPr>
        <w:t xml:space="preserve"> à venir, dont l’adoption est prévue au dernier trimestre de 2020.</w:t>
      </w:r>
    </w:p>
    <w:p w:rsidR="005A7D8E" w:rsidRDefault="001F309D">
      <w:pPr>
        <w:spacing w:after="120" w:line="240" w:lineRule="auto"/>
        <w:jc w:val="both"/>
        <w:rPr>
          <w:rFonts w:ascii="Times New Roman" w:hAnsi="Times New Roman" w:cs="Times New Roman"/>
          <w:sz w:val="24"/>
          <w:szCs w:val="24"/>
        </w:rPr>
      </w:pPr>
      <w:r>
        <w:rPr>
          <w:rFonts w:ascii="Times New Roman" w:hAnsi="Times New Roman"/>
          <w:sz w:val="24"/>
        </w:rPr>
        <w:t xml:space="preserve">Ces modifications législatives éventuelles seront </w:t>
      </w:r>
      <w:r>
        <w:rPr>
          <w:rFonts w:ascii="Times New Roman" w:hAnsi="Times New Roman"/>
          <w:b/>
          <w:sz w:val="24"/>
        </w:rPr>
        <w:t>cohérentes</w:t>
      </w:r>
      <w:r>
        <w:rPr>
          <w:rFonts w:ascii="Times New Roman" w:hAnsi="Times New Roman"/>
          <w:sz w:val="24"/>
        </w:rPr>
        <w:t xml:space="preserve"> avec la politique de l’UE en matière de lutte contre les abus sexuels commis contre des enfants et devraient</w:t>
      </w:r>
      <w:r>
        <w:rPr>
          <w:rFonts w:ascii="Times New Roman" w:hAnsi="Times New Roman"/>
          <w:sz w:val="24"/>
          <w:szCs w:val="24"/>
        </w:rPr>
        <w:t xml:space="preserve"> garantir l’existence d’un cadre législatif à même de permettre aux parties prenantes concernées de </w:t>
      </w:r>
      <w:r>
        <w:rPr>
          <w:rFonts w:ascii="Times New Roman" w:hAnsi="Times New Roman"/>
          <w:b/>
          <w:sz w:val="24"/>
          <w:szCs w:val="24"/>
        </w:rPr>
        <w:t>prévenir</w:t>
      </w:r>
      <w:r>
        <w:rPr>
          <w:rFonts w:ascii="Times New Roman" w:hAnsi="Times New Roman"/>
          <w:sz w:val="24"/>
          <w:szCs w:val="24"/>
        </w:rPr>
        <w:t xml:space="preserve">, </w:t>
      </w:r>
      <w:r>
        <w:rPr>
          <w:rFonts w:ascii="Times New Roman" w:hAnsi="Times New Roman"/>
          <w:b/>
          <w:sz w:val="24"/>
          <w:szCs w:val="24"/>
        </w:rPr>
        <w:t>détecter, signaler et agir efficacement afin de protéger les enfants</w:t>
      </w:r>
      <w:r>
        <w:rPr>
          <w:rFonts w:ascii="Times New Roman" w:hAnsi="Times New Roman"/>
          <w:sz w:val="24"/>
          <w:szCs w:val="24"/>
        </w:rPr>
        <w:t xml:space="preserve"> dans tous les cas d’abus sexuels commis contre des enfants, et de les y aider. </w:t>
      </w:r>
    </w:p>
    <w:p w:rsidR="005A7D8E" w:rsidRDefault="005A7D8E">
      <w:pPr>
        <w:spacing w:after="120" w:line="240" w:lineRule="auto"/>
        <w:jc w:val="both"/>
        <w:rPr>
          <w:rFonts w:ascii="Times New Roman" w:hAnsi="Times New Roman" w:cs="Times New Roman"/>
          <w:sz w:val="24"/>
          <w:szCs w:val="24"/>
        </w:rPr>
      </w:pPr>
    </w:p>
    <w:p w:rsidR="005A7D8E" w:rsidRDefault="001F309D">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i/>
          <w:sz w:val="24"/>
        </w:rPr>
      </w:pPr>
      <w:r>
        <w:rPr>
          <w:rFonts w:ascii="Times New Roman" w:hAnsi="Times New Roman"/>
          <w:b/>
          <w:i/>
          <w:sz w:val="24"/>
        </w:rPr>
        <w:t>Actions clés:</w:t>
      </w:r>
    </w:p>
    <w:p w:rsidR="005A7D8E" w:rsidRDefault="001F309D">
      <w:pPr>
        <w:pStyle w:val="ListParagraph"/>
        <w:numPr>
          <w:ilvl w:val="0"/>
          <w:numId w:val="42"/>
        </w:numPr>
        <w:pBdr>
          <w:top w:val="single" w:sz="4" w:space="1" w:color="auto"/>
          <w:left w:val="single" w:sz="4" w:space="4" w:color="auto"/>
          <w:bottom w:val="single" w:sz="4" w:space="1" w:color="auto"/>
          <w:right w:val="single" w:sz="4" w:space="4" w:color="auto"/>
        </w:pBdr>
        <w:spacing w:after="120" w:line="240" w:lineRule="auto"/>
        <w:contextualSpacing w:val="0"/>
        <w:jc w:val="both"/>
        <w:rPr>
          <w:rFonts w:ascii="Times New Roman" w:hAnsi="Times New Roman" w:cs="Times New Roman"/>
          <w:i/>
          <w:sz w:val="24"/>
        </w:rPr>
      </w:pPr>
      <w:r>
        <w:rPr>
          <w:rFonts w:ascii="Times New Roman" w:hAnsi="Times New Roman"/>
          <w:i/>
          <w:sz w:val="24"/>
        </w:rPr>
        <w:t xml:space="preserve">En premier lieu, la Commission proposera </w:t>
      </w:r>
      <w:r>
        <w:rPr>
          <w:rFonts w:ascii="Times New Roman" w:hAnsi="Times New Roman"/>
          <w:b/>
          <w:i/>
          <w:sz w:val="24"/>
        </w:rPr>
        <w:t>en priorité</w:t>
      </w:r>
      <w:r>
        <w:rPr>
          <w:rFonts w:ascii="Times New Roman" w:hAnsi="Times New Roman"/>
          <w:i/>
          <w:sz w:val="24"/>
        </w:rPr>
        <w:t xml:space="preserve"> les dispositions législatives nécessaires pour faire en sorte que les fournisseurs de services de communications électroniques puissent poursuivre après décembre 2020 leurs pratiques volontaires actuelles visant à détecter, dans leurs systèmes, les abus sexuels commis contre des enfants.</w:t>
      </w:r>
    </w:p>
    <w:p w:rsidR="005A7D8E" w:rsidRDefault="001F309D">
      <w:pPr>
        <w:pStyle w:val="ListParagraph"/>
        <w:numPr>
          <w:ilvl w:val="0"/>
          <w:numId w:val="42"/>
        </w:numPr>
        <w:pBdr>
          <w:top w:val="single" w:sz="4" w:space="1" w:color="auto"/>
          <w:left w:val="single" w:sz="4" w:space="4" w:color="auto"/>
          <w:bottom w:val="single" w:sz="4" w:space="1" w:color="auto"/>
          <w:right w:val="single" w:sz="4" w:space="4" w:color="auto"/>
        </w:pBdr>
        <w:spacing w:after="120" w:line="240" w:lineRule="auto"/>
        <w:contextualSpacing w:val="0"/>
        <w:jc w:val="both"/>
        <w:rPr>
          <w:rFonts w:ascii="Times New Roman" w:hAnsi="Times New Roman" w:cs="Times New Roman"/>
          <w:i/>
          <w:sz w:val="24"/>
        </w:rPr>
      </w:pPr>
      <w:r>
        <w:rPr>
          <w:rFonts w:ascii="Times New Roman" w:hAnsi="Times New Roman"/>
          <w:i/>
          <w:sz w:val="24"/>
        </w:rPr>
        <w:t>En deuxième lieu, avant le deuxième trimestre 2021, la Commission proposera les dispositions législatives nécessaires pour lutter efficacement contre les abus sexuels commis contre des enfants en ligne, y compris des dispositions exigeant des fournisseurs de services en ligne concernés qu’ils détectent les contenus à caractère pédopornographique connus et signalent ces contenus aux autorités publiques.</w:t>
      </w:r>
    </w:p>
    <w:p w:rsidR="005A7D8E" w:rsidRDefault="001F309D">
      <w:pPr>
        <w:pStyle w:val="Heading2"/>
        <w:numPr>
          <w:ilvl w:val="0"/>
          <w:numId w:val="18"/>
        </w:numPr>
        <w:spacing w:before="0" w:after="120" w:line="240" w:lineRule="auto"/>
        <w:rPr>
          <w:rFonts w:ascii="Times New Roman" w:hAnsi="Times New Roman" w:cs="Times New Roman"/>
          <w:b/>
          <w:color w:val="auto"/>
          <w:sz w:val="24"/>
          <w:szCs w:val="24"/>
        </w:rPr>
      </w:pPr>
      <w:r>
        <w:rPr>
          <w:rFonts w:ascii="Times New Roman" w:hAnsi="Times New Roman"/>
          <w:b/>
          <w:color w:val="auto"/>
          <w:sz w:val="24"/>
          <w:szCs w:val="24"/>
        </w:rPr>
        <w:t xml:space="preserve">Recenser les vides juridiques, les bonnes pratiques et les actions prioritaires </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Les mesures de transposition que les États membres ont communiquées à la Commission comprennent des mesures qui ne sont pas spécifiquement requises par la directive relative aux abus sexuels commis contre des enfants, mais qui ont été considérées comme nécessaires dans la lutte contre ces abus par les États membres</w:t>
      </w:r>
      <w:r>
        <w:rPr>
          <w:rStyle w:val="FootnoteReference"/>
          <w:rFonts w:ascii="Times New Roman" w:hAnsi="Times New Roman" w:cs="Times New Roman"/>
          <w:sz w:val="24"/>
          <w:lang w:val="en-GB" w:eastAsia="en-GB"/>
        </w:rPr>
        <w:footnoteReference w:id="33"/>
      </w:r>
      <w:r>
        <w:rPr>
          <w:rFonts w:ascii="Times New Roman" w:hAnsi="Times New Roman"/>
          <w:sz w:val="24"/>
        </w:rPr>
        <w:t xml:space="preserve">. Il se peut donc qu’il existe des questions pertinentes que la directive </w:t>
      </w:r>
      <w:r>
        <w:rPr>
          <w:rFonts w:ascii="Times New Roman" w:hAnsi="Times New Roman"/>
          <w:b/>
          <w:sz w:val="24"/>
        </w:rPr>
        <w:t>ne traite pas suffisamment</w:t>
      </w:r>
      <w:r>
        <w:rPr>
          <w:rFonts w:ascii="Times New Roman" w:hAnsi="Times New Roman"/>
          <w:sz w:val="24"/>
        </w:rPr>
        <w:t xml:space="preserve">. La Commission a organisé un atelier spécialisé en septembre 2019 afin de collecter davantage d’informations sur ces vides juridiques potentiels et a conclu que de nouveaux travaux étaient nécessaires pour recueillir des preuves supplémentaires. </w:t>
      </w:r>
    </w:p>
    <w:p w:rsidR="005A7D8E" w:rsidRDefault="001F309D">
      <w:pPr>
        <w:spacing w:after="120" w:line="240" w:lineRule="auto"/>
        <w:jc w:val="both"/>
        <w:rPr>
          <w:rFonts w:ascii="Times New Roman" w:hAnsi="Times New Roman" w:cs="Times New Roman"/>
          <w:b/>
          <w:color w:val="FFFFFF" w:themeColor="background1"/>
          <w:sz w:val="24"/>
        </w:rPr>
      </w:pPr>
      <w:r>
        <w:rPr>
          <w:rFonts w:ascii="Times New Roman" w:hAnsi="Times New Roman"/>
          <w:sz w:val="24"/>
        </w:rPr>
        <w:t xml:space="preserve">La directive ayant été adoptée en 2011, elle devrait également faire l’objet d’une évaluation de son </w:t>
      </w:r>
      <w:r>
        <w:rPr>
          <w:rFonts w:ascii="Times New Roman" w:hAnsi="Times New Roman"/>
          <w:b/>
          <w:sz w:val="24"/>
        </w:rPr>
        <w:t>application dans la pratique</w:t>
      </w:r>
      <w:r>
        <w:rPr>
          <w:rFonts w:ascii="Times New Roman" w:hAnsi="Times New Roman"/>
          <w:sz w:val="24"/>
        </w:rPr>
        <w:t xml:space="preserve">, en ce qui concerne l’efficacité, l’efficience, la pertinence, la cohérence et la valeur ajoutée européenne, entre autres critères. Cette évaluation devrait prendre en considération, en particulier, les </w:t>
      </w:r>
      <w:r>
        <w:rPr>
          <w:rFonts w:ascii="Times New Roman" w:hAnsi="Times New Roman"/>
          <w:b/>
          <w:sz w:val="24"/>
        </w:rPr>
        <w:t>aspects en ligne</w:t>
      </w:r>
      <w:r>
        <w:rPr>
          <w:rFonts w:ascii="Times New Roman" w:hAnsi="Times New Roman"/>
          <w:sz w:val="24"/>
        </w:rPr>
        <w:t xml:space="preserve"> de ces crimes, lorsque des doutes existent quant au fait que le cadre actuel </w:t>
      </w:r>
      <w:r>
        <w:rPr>
          <w:rFonts w:ascii="Times New Roman" w:hAnsi="Times New Roman"/>
          <w:b/>
          <w:sz w:val="24"/>
        </w:rPr>
        <w:t>soit encore approprié neuf ans après son adoption</w:t>
      </w:r>
      <w:r>
        <w:rPr>
          <w:rFonts w:ascii="Times New Roman" w:hAnsi="Times New Roman"/>
          <w:sz w:val="24"/>
        </w:rPr>
        <w:t>. En effet, l’on a assisté durant cette période à des évolutions technologiques significatives et à une croissance exponentielle du partage en ligne. La technologie rend plus que jamais la tâche facile aux auteurs d’abus pour entrer en contact avec les enfants, partager des images d’abus, dissimuler leur identité et les revenus qu’ils tirent de leurs crimes, et conspirer pour éviter de rendre des comptes et pour commettre d’autres crimes</w:t>
      </w:r>
      <w:r>
        <w:rPr>
          <w:rStyle w:val="FootnoteReference"/>
          <w:rFonts w:ascii="Times New Roman" w:hAnsi="Times New Roman" w:cs="Times New Roman"/>
          <w:sz w:val="24"/>
          <w:lang w:val="en-GB" w:eastAsia="en-GB"/>
        </w:rPr>
        <w:footnoteReference w:id="34"/>
      </w:r>
      <w:r>
        <w:rPr>
          <w:rFonts w:ascii="Times New Roman" w:hAnsi="Times New Roman"/>
          <w:sz w:val="24"/>
        </w:rPr>
        <w:t>.</w:t>
      </w:r>
    </w:p>
    <w:p w:rsidR="005A7D8E" w:rsidRDefault="001F309D">
      <w:pPr>
        <w:spacing w:after="120" w:line="240" w:lineRule="auto"/>
        <w:jc w:val="both"/>
        <w:rPr>
          <w:rFonts w:ascii="Times New Roman" w:hAnsi="Times New Roman" w:cs="Times New Roman"/>
          <w:sz w:val="24"/>
          <w:szCs w:val="24"/>
        </w:rPr>
      </w:pPr>
      <w:r>
        <w:rPr>
          <w:rFonts w:ascii="Times New Roman" w:hAnsi="Times New Roman"/>
          <w:sz w:val="24"/>
          <w:szCs w:val="24"/>
        </w:rPr>
        <w:t xml:space="preserve">En outre, les auteurs d’abus ne cessent de perfectionner leur utilisation des technologies et leurs capacités techniques, notamment en matière de </w:t>
      </w:r>
      <w:r>
        <w:rPr>
          <w:rFonts w:ascii="Times New Roman" w:hAnsi="Times New Roman"/>
          <w:b/>
          <w:sz w:val="24"/>
          <w:szCs w:val="24"/>
        </w:rPr>
        <w:t>chiffrement</w:t>
      </w:r>
      <w:r>
        <w:rPr>
          <w:rFonts w:ascii="Times New Roman" w:hAnsi="Times New Roman"/>
          <w:sz w:val="24"/>
          <w:szCs w:val="24"/>
        </w:rPr>
        <w:t xml:space="preserve"> et d’</w:t>
      </w:r>
      <w:r>
        <w:rPr>
          <w:rFonts w:ascii="Times New Roman" w:hAnsi="Times New Roman"/>
          <w:b/>
          <w:sz w:val="24"/>
          <w:szCs w:val="24"/>
        </w:rPr>
        <w:t xml:space="preserve">anonymat </w:t>
      </w:r>
      <w:r>
        <w:rPr>
          <w:rFonts w:ascii="Times New Roman" w:hAnsi="Times New Roman"/>
          <w:sz w:val="24"/>
          <w:szCs w:val="24"/>
        </w:rPr>
        <w:t>(par exemple, échange de fichiers de poste à poste et utilisation du darknet). Cette activité criminelle crée des problèmes pour la société en général et pour les services répressifs, notamment dans leur rôle de protection de la société</w:t>
      </w:r>
      <w:r>
        <w:rPr>
          <w:rStyle w:val="FootnoteReference"/>
          <w:rFonts w:ascii="Times New Roman" w:hAnsi="Times New Roman" w:cs="Times New Roman"/>
          <w:sz w:val="24"/>
          <w:szCs w:val="24"/>
        </w:rPr>
        <w:footnoteReference w:id="35"/>
      </w:r>
      <w:r>
        <w:rPr>
          <w:rFonts w:ascii="Times New Roman" w:hAnsi="Times New Roman"/>
          <w:sz w:val="24"/>
          <w:szCs w:val="24"/>
        </w:rPr>
        <w:t xml:space="preserve">. </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 xml:space="preserve">Au vu de ce qui précède, la Commission lancera en priorité une </w:t>
      </w:r>
      <w:r>
        <w:rPr>
          <w:rFonts w:ascii="Times New Roman" w:hAnsi="Times New Roman"/>
          <w:b/>
          <w:sz w:val="24"/>
        </w:rPr>
        <w:t>étude destinée à recenser les vides juridiques et les lacunes dans la mise en œuvre, les bonnes pratiques et les actions prioritaires</w:t>
      </w:r>
      <w:r>
        <w:rPr>
          <w:rFonts w:ascii="Times New Roman" w:hAnsi="Times New Roman"/>
          <w:sz w:val="24"/>
        </w:rPr>
        <w:t xml:space="preserve"> au niveau de l’UE, en évaluant: </w:t>
      </w:r>
    </w:p>
    <w:p w:rsidR="005A7D8E" w:rsidRDefault="001F309D">
      <w:pPr>
        <w:pStyle w:val="ListParagraph"/>
        <w:numPr>
          <w:ilvl w:val="0"/>
          <w:numId w:val="19"/>
        </w:numPr>
        <w:spacing w:after="120" w:line="240" w:lineRule="auto"/>
        <w:contextualSpacing w:val="0"/>
        <w:jc w:val="both"/>
        <w:rPr>
          <w:rFonts w:ascii="Times New Roman" w:hAnsi="Times New Roman" w:cs="Times New Roman"/>
          <w:sz w:val="24"/>
        </w:rPr>
      </w:pPr>
      <w:r>
        <w:rPr>
          <w:rFonts w:ascii="Times New Roman" w:hAnsi="Times New Roman"/>
          <w:sz w:val="24"/>
        </w:rPr>
        <w:t xml:space="preserve">si la législation actuelle de l’UE résout les </w:t>
      </w:r>
      <w:r>
        <w:rPr>
          <w:rFonts w:ascii="Times New Roman" w:hAnsi="Times New Roman"/>
          <w:b/>
          <w:sz w:val="24"/>
        </w:rPr>
        <w:t>questions pour lesquelles elle a été mise en place</w:t>
      </w:r>
      <w:r>
        <w:rPr>
          <w:rFonts w:ascii="Times New Roman" w:hAnsi="Times New Roman"/>
          <w:sz w:val="24"/>
        </w:rPr>
        <w:t>, et</w:t>
      </w:r>
    </w:p>
    <w:p w:rsidR="005A7D8E" w:rsidRDefault="001F309D">
      <w:pPr>
        <w:pStyle w:val="ListParagraph"/>
        <w:numPr>
          <w:ilvl w:val="0"/>
          <w:numId w:val="19"/>
        </w:numPr>
        <w:spacing w:after="120" w:line="240" w:lineRule="auto"/>
        <w:contextualSpacing w:val="0"/>
        <w:jc w:val="both"/>
        <w:rPr>
          <w:rFonts w:ascii="Times New Roman" w:hAnsi="Times New Roman" w:cs="Times New Roman"/>
          <w:sz w:val="24"/>
        </w:rPr>
      </w:pPr>
      <w:r>
        <w:rPr>
          <w:rFonts w:ascii="Times New Roman" w:hAnsi="Times New Roman"/>
          <w:sz w:val="24"/>
        </w:rPr>
        <w:t xml:space="preserve">s’il existe de </w:t>
      </w:r>
      <w:r>
        <w:rPr>
          <w:rFonts w:ascii="Times New Roman" w:hAnsi="Times New Roman"/>
          <w:b/>
          <w:sz w:val="24"/>
        </w:rPr>
        <w:t>nouvelles questions</w:t>
      </w:r>
      <w:r>
        <w:rPr>
          <w:rFonts w:ascii="Times New Roman" w:hAnsi="Times New Roman"/>
          <w:sz w:val="24"/>
        </w:rPr>
        <w:t xml:space="preserve"> </w:t>
      </w:r>
      <w:r>
        <w:rPr>
          <w:rFonts w:ascii="Times New Roman" w:hAnsi="Times New Roman"/>
          <w:sz w:val="24"/>
          <w:szCs w:val="24"/>
        </w:rPr>
        <w:t xml:space="preserve">en rapport avec les crimes concernés que la législation actuelle n’aborde </w:t>
      </w:r>
      <w:r>
        <w:rPr>
          <w:rFonts w:ascii="Times New Roman" w:hAnsi="Times New Roman"/>
          <w:b/>
          <w:sz w:val="24"/>
          <w:szCs w:val="24"/>
        </w:rPr>
        <w:t>que partiellement, voire pas du tout</w:t>
      </w:r>
      <w:r>
        <w:rPr>
          <w:rFonts w:ascii="Times New Roman" w:hAnsi="Times New Roman"/>
          <w:sz w:val="24"/>
        </w:rPr>
        <w:t xml:space="preserve">. </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 xml:space="preserve">L’étude prendra en considération les travaux en cours du </w:t>
      </w:r>
      <w:r>
        <w:rPr>
          <w:rFonts w:ascii="Times New Roman" w:hAnsi="Times New Roman"/>
          <w:b/>
          <w:sz w:val="24"/>
        </w:rPr>
        <w:t>Conseil de l’Union européenne</w:t>
      </w:r>
      <w:r>
        <w:rPr>
          <w:rFonts w:ascii="Times New Roman" w:hAnsi="Times New Roman"/>
          <w:sz w:val="24"/>
        </w:rPr>
        <w:t xml:space="preserve"> afin de garantir une mise en œuvre effective de ses conclusions d’octobre 2019 sur la lutte contre les abus sexuels à l’encontre des enfants, ce qui mènerait à la création ou à la mise à jour de plans d’action nationaux visant à coordonner les mesures au niveau national. Elle tiendra également compte de la résolution du </w:t>
      </w:r>
      <w:r>
        <w:rPr>
          <w:rFonts w:ascii="Times New Roman" w:hAnsi="Times New Roman"/>
          <w:b/>
          <w:sz w:val="24"/>
        </w:rPr>
        <w:t>Parlement européen</w:t>
      </w:r>
      <w:r>
        <w:rPr>
          <w:rFonts w:ascii="Times New Roman" w:hAnsi="Times New Roman"/>
          <w:sz w:val="24"/>
        </w:rPr>
        <w:t xml:space="preserve"> de novembre 2019</w:t>
      </w:r>
      <w:r>
        <w:rPr>
          <w:rStyle w:val="FootnoteReference"/>
          <w:rFonts w:ascii="Times New Roman" w:hAnsi="Times New Roman" w:cs="Times New Roman"/>
          <w:sz w:val="24"/>
          <w:lang w:eastAsia="en-GB"/>
        </w:rPr>
        <w:footnoteReference w:id="36"/>
      </w:r>
      <w:r>
        <w:rPr>
          <w:rFonts w:ascii="Times New Roman" w:hAnsi="Times New Roman"/>
          <w:sz w:val="24"/>
        </w:rPr>
        <w:t>, du rapport du Parlement européen de décembre 2017 sur la mise en application de la directive 2011/93/UE relative à la lutte contre les abus sexuels et l’exploitation sexuelle des enfants, ainsi que la pédopornographie</w:t>
      </w:r>
      <w:r>
        <w:rPr>
          <w:rStyle w:val="FootnoteReference"/>
          <w:rFonts w:ascii="Times New Roman" w:hAnsi="Times New Roman" w:cs="Times New Roman"/>
          <w:sz w:val="24"/>
          <w:lang w:eastAsia="en-GB"/>
        </w:rPr>
        <w:footnoteReference w:id="37"/>
      </w:r>
      <w:r>
        <w:rPr>
          <w:rFonts w:ascii="Times New Roman" w:hAnsi="Times New Roman"/>
          <w:sz w:val="24"/>
        </w:rPr>
        <w:t>, et des travaux du Comité de Lanzarote du Conseil de l’Europe</w:t>
      </w:r>
      <w:r>
        <w:rPr>
          <w:rStyle w:val="FootnoteReference"/>
          <w:rFonts w:ascii="Times New Roman" w:hAnsi="Times New Roman" w:cs="Times New Roman"/>
          <w:sz w:val="24"/>
          <w:lang w:eastAsia="en-GB"/>
        </w:rPr>
        <w:footnoteReference w:id="38"/>
      </w:r>
      <w:r>
        <w:rPr>
          <w:rFonts w:ascii="Times New Roman" w:hAnsi="Times New Roman"/>
          <w:sz w:val="24"/>
        </w:rPr>
        <w:t>.</w:t>
      </w:r>
    </w:p>
    <w:p w:rsidR="005A7D8E" w:rsidRDefault="001F309D">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i/>
          <w:sz w:val="24"/>
        </w:rPr>
      </w:pPr>
      <w:r>
        <w:rPr>
          <w:rFonts w:ascii="Times New Roman" w:hAnsi="Times New Roman"/>
          <w:b/>
          <w:i/>
          <w:sz w:val="24"/>
        </w:rPr>
        <w:t>Action clé:</w:t>
      </w:r>
    </w:p>
    <w:p w:rsidR="005A7D8E" w:rsidRDefault="001F309D">
      <w:pPr>
        <w:pStyle w:val="ListParagraph"/>
        <w:numPr>
          <w:ilvl w:val="0"/>
          <w:numId w:val="41"/>
        </w:numPr>
        <w:pBdr>
          <w:top w:val="single" w:sz="4" w:space="1" w:color="auto"/>
          <w:left w:val="single" w:sz="4" w:space="4" w:color="auto"/>
          <w:bottom w:val="single" w:sz="4" w:space="1" w:color="auto"/>
          <w:right w:val="single" w:sz="4" w:space="4" w:color="auto"/>
        </w:pBdr>
        <w:spacing w:after="120" w:line="240" w:lineRule="auto"/>
        <w:contextualSpacing w:val="0"/>
        <w:jc w:val="both"/>
      </w:pPr>
      <w:r>
        <w:rPr>
          <w:rFonts w:ascii="Times New Roman" w:hAnsi="Times New Roman"/>
          <w:i/>
          <w:sz w:val="24"/>
        </w:rPr>
        <w:t xml:space="preserve">D’ici à la fin de l’année 2020, la Commission lancera une vaste étude afin de </w:t>
      </w:r>
      <w:r>
        <w:rPr>
          <w:rFonts w:ascii="Times New Roman" w:hAnsi="Times New Roman"/>
          <w:b/>
          <w:i/>
          <w:sz w:val="24"/>
        </w:rPr>
        <w:t>recenser les vides juridiques, les bonnes pratiques et les actions prioritaires</w:t>
      </w:r>
      <w:r>
        <w:rPr>
          <w:rFonts w:ascii="Times New Roman" w:hAnsi="Times New Roman"/>
          <w:i/>
          <w:sz w:val="24"/>
        </w:rPr>
        <w:t xml:space="preserve"> au niveau de l’UE dans le cadre de la lutte contre les abus sexuels commis contre des enfants en ligne et hors ligne. </w:t>
      </w:r>
    </w:p>
    <w:p w:rsidR="005A7D8E" w:rsidRDefault="001F309D">
      <w:pPr>
        <w:pStyle w:val="Heading1"/>
        <w:spacing w:after="120" w:line="240" w:lineRule="auto"/>
        <w:jc w:val="both"/>
        <w:rPr>
          <w:rFonts w:ascii="Times New Roman" w:hAnsi="Times New Roman" w:cs="Times New Roman"/>
          <w:b/>
          <w:color w:val="auto"/>
          <w:sz w:val="24"/>
        </w:rPr>
      </w:pPr>
      <w:r>
        <w:rPr>
          <w:rFonts w:ascii="Times New Roman" w:hAnsi="Times New Roman"/>
          <w:b/>
          <w:color w:val="auto"/>
          <w:sz w:val="24"/>
        </w:rPr>
        <w:t xml:space="preserve">II. RENFORCER LA RÉACTION DES SERVICES RÉPRESSIFS ET LA COOPÉRATION ENTRE TOUTES LES PARTIES PRENANTES </w:t>
      </w:r>
    </w:p>
    <w:p w:rsidR="005A7D8E" w:rsidRDefault="001F309D">
      <w:pPr>
        <w:spacing w:after="120" w:line="240" w:lineRule="auto"/>
        <w:jc w:val="both"/>
        <w:rPr>
          <w:rFonts w:ascii="Times New Roman" w:hAnsi="Times New Roman" w:cs="Times New Roman"/>
          <w:sz w:val="24"/>
          <w:szCs w:val="24"/>
        </w:rPr>
      </w:pPr>
      <w:r>
        <w:rPr>
          <w:rFonts w:ascii="Times New Roman" w:hAnsi="Times New Roman"/>
          <w:sz w:val="24"/>
          <w:szCs w:val="24"/>
        </w:rPr>
        <w:t xml:space="preserve">La lutte contre les abus sexuels commis contre des enfants doit être menée sur de nombreux fronts, notamment par la société dans son ensemble. Un réel progrès ne peut être réalisé que lorsque les travaux s’intensifient en matière de prévention, de signalement, d’orientation, d’enquête, de protection et d’identification, de traitement et de suivi pour chaque affaire. Les professionnels des services sociaux et des soins de santé, les universitaires, les chercheurs, les éducateurs, le système judiciaire, les services répressifs, les enfants, les familles, les ONG, les médias et la société au sens large ont chacun un rôle à jouer, au sein d’une approche réellement multipartite et pluridisciplinaire. </w:t>
      </w:r>
    </w:p>
    <w:p w:rsidR="005A7D8E" w:rsidRDefault="001F309D">
      <w:pPr>
        <w:pStyle w:val="Heading2"/>
        <w:numPr>
          <w:ilvl w:val="0"/>
          <w:numId w:val="18"/>
        </w:numPr>
        <w:spacing w:before="0" w:after="120" w:line="240" w:lineRule="auto"/>
        <w:rPr>
          <w:rFonts w:ascii="Times New Roman" w:hAnsi="Times New Roman" w:cs="Times New Roman"/>
          <w:b/>
          <w:color w:val="auto"/>
          <w:sz w:val="24"/>
          <w:szCs w:val="24"/>
        </w:rPr>
      </w:pPr>
      <w:r>
        <w:rPr>
          <w:rFonts w:ascii="Times New Roman" w:hAnsi="Times New Roman"/>
          <w:b/>
          <w:color w:val="auto"/>
          <w:sz w:val="24"/>
          <w:szCs w:val="24"/>
        </w:rPr>
        <w:t xml:space="preserve">Renforcer les efforts en matière d’application de la loi aux niveaux national et de l’UE </w:t>
      </w:r>
    </w:p>
    <w:p w:rsidR="005A7D8E" w:rsidRDefault="001F309D">
      <w:pPr>
        <w:spacing w:after="120" w:line="240" w:lineRule="auto"/>
        <w:jc w:val="both"/>
        <w:rPr>
          <w:rFonts w:ascii="Times New Roman" w:hAnsi="Times New Roman" w:cs="Times New Roman"/>
          <w:sz w:val="24"/>
          <w:szCs w:val="24"/>
        </w:rPr>
      </w:pPr>
      <w:r>
        <w:rPr>
          <w:rFonts w:ascii="Times New Roman" w:hAnsi="Times New Roman"/>
          <w:sz w:val="24"/>
          <w:szCs w:val="24"/>
        </w:rPr>
        <w:t xml:space="preserve">Les abus sexuels d’enfants requièrent une réponse </w:t>
      </w:r>
      <w:r>
        <w:rPr>
          <w:rFonts w:ascii="Times New Roman" w:hAnsi="Times New Roman"/>
          <w:b/>
          <w:sz w:val="24"/>
          <w:szCs w:val="24"/>
        </w:rPr>
        <w:t>compétente et globale</w:t>
      </w:r>
      <w:r>
        <w:rPr>
          <w:rFonts w:ascii="Times New Roman" w:hAnsi="Times New Roman"/>
          <w:sz w:val="24"/>
          <w:szCs w:val="24"/>
        </w:rPr>
        <w:t xml:space="preserve"> des services répressifs, aux niveaux national et européen. La crise de la </w:t>
      </w:r>
      <w:r>
        <w:rPr>
          <w:rFonts w:ascii="Times New Roman" w:hAnsi="Times New Roman"/>
          <w:b/>
          <w:sz w:val="24"/>
          <w:szCs w:val="24"/>
        </w:rPr>
        <w:t>COVID-19</w:t>
      </w:r>
      <w:r>
        <w:rPr>
          <w:rFonts w:ascii="Times New Roman" w:hAnsi="Times New Roman"/>
          <w:sz w:val="24"/>
          <w:szCs w:val="24"/>
        </w:rPr>
        <w:t xml:space="preserve"> a mis au jour la nécessité d’améliorer les </w:t>
      </w:r>
      <w:r>
        <w:rPr>
          <w:rFonts w:ascii="Times New Roman" w:hAnsi="Times New Roman"/>
          <w:b/>
          <w:sz w:val="24"/>
          <w:szCs w:val="24"/>
        </w:rPr>
        <w:t>capacités numériques</w:t>
      </w:r>
      <w:r>
        <w:rPr>
          <w:rFonts w:ascii="Times New Roman" w:hAnsi="Times New Roman"/>
          <w:sz w:val="24"/>
          <w:szCs w:val="24"/>
        </w:rPr>
        <w:t xml:space="preserve"> des services répressifs et des autorités judiciaires afin de préserver leur aptitude à protéger efficacement les citoyens, comme le souligne le plan de relance de mai 2020</w:t>
      </w:r>
      <w:r>
        <w:rPr>
          <w:rStyle w:val="FootnoteReference"/>
          <w:rFonts w:ascii="Times New Roman" w:hAnsi="Times New Roman" w:cs="Times New Roman"/>
          <w:sz w:val="24"/>
          <w:szCs w:val="24"/>
          <w:lang w:val="en-GB"/>
        </w:rPr>
        <w:footnoteReference w:id="39"/>
      </w:r>
      <w:r>
        <w:rPr>
          <w:rFonts w:ascii="Times New Roman" w:hAnsi="Times New Roman"/>
          <w:sz w:val="24"/>
          <w:szCs w:val="24"/>
        </w:rPr>
        <w:t xml:space="preserve">. </w:t>
      </w:r>
    </w:p>
    <w:p w:rsidR="005A7D8E" w:rsidRDefault="001F309D">
      <w:pPr>
        <w:spacing w:after="120" w:line="240" w:lineRule="auto"/>
        <w:jc w:val="both"/>
        <w:rPr>
          <w:rFonts w:ascii="Times New Roman" w:hAnsi="Times New Roman" w:cs="Times New Roman"/>
          <w:sz w:val="24"/>
          <w:szCs w:val="24"/>
        </w:rPr>
      </w:pPr>
      <w:r>
        <w:rPr>
          <w:rFonts w:ascii="Times New Roman" w:hAnsi="Times New Roman"/>
          <w:sz w:val="24"/>
          <w:szCs w:val="24"/>
        </w:rPr>
        <w:t xml:space="preserve">Les services répressifs des États membres ont des structures différentes pour lutter contre les abus sexuels commis contre des enfants. Afin d’assurer la protection des enfants au sein de leurs frontières et au-delà, il est important que les États membres puissent compter sur des </w:t>
      </w:r>
      <w:r>
        <w:rPr>
          <w:rFonts w:ascii="Times New Roman" w:hAnsi="Times New Roman"/>
          <w:b/>
          <w:sz w:val="24"/>
          <w:szCs w:val="24"/>
        </w:rPr>
        <w:t xml:space="preserve">unités spécialisées dotées des équipements adéquats et d’agents formés de manière appropriée </w:t>
      </w:r>
      <w:r>
        <w:rPr>
          <w:rFonts w:ascii="Times New Roman" w:hAnsi="Times New Roman"/>
          <w:sz w:val="24"/>
          <w:szCs w:val="24"/>
        </w:rPr>
        <w:t>au sein des structures nationales de maintien de l’ordre. En réponse à une vague récente d’affaires de grande envergure, un certain nombre d’États membres ont choisi d’accroître les effectifs chargés de la prévention et de la lutte contre les abus sexuels commis contre des enfants, ce dont la Commission se félicite vivement.</w:t>
      </w:r>
    </w:p>
    <w:p w:rsidR="005A7D8E" w:rsidRDefault="001F309D">
      <w:pPr>
        <w:spacing w:after="120" w:line="240" w:lineRule="auto"/>
        <w:jc w:val="both"/>
        <w:rPr>
          <w:rFonts w:ascii="Times New Roman" w:hAnsi="Times New Roman" w:cs="Times New Roman"/>
          <w:sz w:val="24"/>
          <w:szCs w:val="24"/>
        </w:rPr>
      </w:pPr>
      <w:r>
        <w:rPr>
          <w:rFonts w:ascii="Times New Roman" w:hAnsi="Times New Roman"/>
          <w:sz w:val="24"/>
          <w:szCs w:val="24"/>
        </w:rPr>
        <w:t>Outre ces unités, les États membres devraient envisager la mise en place d’équipes nationales spécialisées dans l’</w:t>
      </w:r>
      <w:r>
        <w:rPr>
          <w:rFonts w:ascii="Times New Roman" w:hAnsi="Times New Roman"/>
          <w:b/>
          <w:sz w:val="24"/>
          <w:szCs w:val="24"/>
        </w:rPr>
        <w:t>identification des victimes</w:t>
      </w:r>
      <w:r>
        <w:rPr>
          <w:rFonts w:ascii="Times New Roman" w:hAnsi="Times New Roman"/>
          <w:sz w:val="24"/>
          <w:szCs w:val="24"/>
        </w:rPr>
        <w:t xml:space="preserve">. Si de telles équipes existent d’ores et déjà, les États membres devraient envisager d’étendre les capacités du niveau national aux équipes locales et régionales pertinentes. </w:t>
      </w:r>
    </w:p>
    <w:p w:rsidR="005A7D8E" w:rsidRDefault="001F309D">
      <w:pPr>
        <w:spacing w:after="120" w:line="240" w:lineRule="auto"/>
        <w:jc w:val="both"/>
        <w:rPr>
          <w:rFonts w:ascii="Times New Roman" w:hAnsi="Times New Roman" w:cs="Times New Roman"/>
          <w:sz w:val="24"/>
          <w:szCs w:val="24"/>
        </w:rPr>
      </w:pPr>
      <w:r>
        <w:rPr>
          <w:rFonts w:ascii="Times New Roman" w:hAnsi="Times New Roman"/>
          <w:sz w:val="24"/>
          <w:szCs w:val="24"/>
        </w:rPr>
        <w:t xml:space="preserve">Pour lutter efficacement contre ces crimes, les États membres devraient également être en mesure de participer aux </w:t>
      </w:r>
      <w:r>
        <w:rPr>
          <w:rFonts w:ascii="Times New Roman" w:hAnsi="Times New Roman"/>
          <w:b/>
          <w:sz w:val="24"/>
          <w:szCs w:val="24"/>
        </w:rPr>
        <w:t>efforts collaboratifs au niveau de l’UE et à l’échelle internationale pour identifier les enfants</w:t>
      </w:r>
      <w:r>
        <w:rPr>
          <w:rFonts w:ascii="Times New Roman" w:hAnsi="Times New Roman"/>
          <w:sz w:val="24"/>
          <w:szCs w:val="24"/>
        </w:rPr>
        <w:t xml:space="preserve"> avec le Centre européen de lutte contre la cybercriminalité (EC3) d’Europol ou au moyen de la base de données internationale sur l’exploitation sexuelle des enfants hébergée par Interpol. Les ressources que chaque État membre alloue afin de lutter contre la menace des abus sexuels d’enfants tiennent également compte de la capacité de l’État à soutenir la collaboration internationale dans ce domaine.</w:t>
      </w:r>
    </w:p>
    <w:p w:rsidR="005A7D8E" w:rsidRDefault="001F309D">
      <w:pPr>
        <w:spacing w:after="120" w:line="240" w:lineRule="auto"/>
        <w:jc w:val="both"/>
        <w:rPr>
          <w:rFonts w:ascii="Times New Roman" w:hAnsi="Times New Roman" w:cs="Times New Roman"/>
          <w:sz w:val="24"/>
          <w:szCs w:val="24"/>
        </w:rPr>
      </w:pPr>
      <w:r>
        <w:rPr>
          <w:rFonts w:ascii="Times New Roman" w:hAnsi="Times New Roman"/>
          <w:sz w:val="24"/>
          <w:szCs w:val="24"/>
        </w:rPr>
        <w:t xml:space="preserve">Les affaires d’abus sexuels d’enfants, en particulier celles impliquant du matériel numérique, se limitent rarement à un État membre. Par conséquent, outre la tenue à jour des bases de données nationales de renseignement, les États membres devraient investir dans la transmission </w:t>
      </w:r>
      <w:r>
        <w:rPr>
          <w:rFonts w:ascii="Times New Roman" w:hAnsi="Times New Roman"/>
          <w:b/>
          <w:sz w:val="24"/>
          <w:szCs w:val="24"/>
        </w:rPr>
        <w:t>systématique</w:t>
      </w:r>
      <w:r>
        <w:rPr>
          <w:rFonts w:ascii="Times New Roman" w:hAnsi="Times New Roman"/>
          <w:sz w:val="24"/>
          <w:szCs w:val="24"/>
        </w:rPr>
        <w:t xml:space="preserve"> des renseignements pertinents à </w:t>
      </w:r>
      <w:r>
        <w:rPr>
          <w:rFonts w:ascii="Times New Roman" w:hAnsi="Times New Roman"/>
          <w:b/>
          <w:sz w:val="24"/>
          <w:szCs w:val="24"/>
        </w:rPr>
        <w:t>Europol</w:t>
      </w:r>
      <w:r>
        <w:rPr>
          <w:rFonts w:ascii="Times New Roman" w:hAnsi="Times New Roman"/>
          <w:sz w:val="24"/>
          <w:szCs w:val="24"/>
        </w:rPr>
        <w:t xml:space="preserve">, en tant que </w:t>
      </w:r>
      <w:r>
        <w:rPr>
          <w:rFonts w:ascii="Times New Roman" w:hAnsi="Times New Roman"/>
          <w:b/>
          <w:sz w:val="24"/>
          <w:szCs w:val="24"/>
        </w:rPr>
        <w:t>pôle central des informations de police criminelle dans l’UE</w:t>
      </w:r>
      <w:r>
        <w:rPr>
          <w:rFonts w:ascii="Times New Roman" w:hAnsi="Times New Roman"/>
          <w:sz w:val="24"/>
          <w:szCs w:val="24"/>
        </w:rPr>
        <w:t>, afin d’aider chaque État à traiter les affaires transfrontières</w:t>
      </w:r>
      <w:r>
        <w:rPr>
          <w:rStyle w:val="FootnoteReference"/>
          <w:rFonts w:ascii="Times New Roman" w:hAnsi="Times New Roman" w:cs="Times New Roman"/>
          <w:sz w:val="24"/>
          <w:szCs w:val="24"/>
        </w:rPr>
        <w:footnoteReference w:id="40"/>
      </w:r>
      <w:r>
        <w:rPr>
          <w:rFonts w:ascii="Times New Roman" w:hAnsi="Times New Roman"/>
          <w:sz w:val="24"/>
          <w:szCs w:val="24"/>
        </w:rPr>
        <w:t xml:space="preserve">. </w:t>
      </w:r>
    </w:p>
    <w:p w:rsidR="005A7D8E" w:rsidRDefault="001F309D">
      <w:pPr>
        <w:spacing w:after="120" w:line="240" w:lineRule="auto"/>
        <w:jc w:val="both"/>
        <w:rPr>
          <w:rFonts w:ascii="Times New Roman" w:hAnsi="Times New Roman" w:cs="Times New Roman"/>
          <w:sz w:val="24"/>
          <w:szCs w:val="24"/>
        </w:rPr>
      </w:pPr>
      <w:r>
        <w:rPr>
          <w:rFonts w:ascii="Times New Roman" w:hAnsi="Times New Roman"/>
          <w:sz w:val="24"/>
          <w:szCs w:val="24"/>
        </w:rPr>
        <w:t xml:space="preserve">Une lutte efficace contre les abus sexuels commis contre des enfants nécessite également des </w:t>
      </w:r>
      <w:r>
        <w:rPr>
          <w:rFonts w:ascii="Times New Roman" w:hAnsi="Times New Roman"/>
          <w:b/>
          <w:sz w:val="24"/>
          <w:szCs w:val="24"/>
        </w:rPr>
        <w:t>capacités techniques de pointe</w:t>
      </w:r>
      <w:r>
        <w:rPr>
          <w:rFonts w:ascii="Times New Roman" w:hAnsi="Times New Roman"/>
          <w:sz w:val="24"/>
          <w:szCs w:val="24"/>
        </w:rPr>
        <w:t xml:space="preserve">. Certaines équipes d’enquête nationales ne disposent pas des connaissances et/ou des instruments nécessaires, par exemple pour détecter les contenus à caractère pédopornographique dans un grand nombre de photos ou vidéos saisies, pour localiser les victimes ou les auteurs d’abus, ou encore pour mener des enquêtes sur le darknet ou sur des réseaux de poste à poste. Afin de </w:t>
      </w:r>
      <w:r>
        <w:rPr>
          <w:rFonts w:ascii="Times New Roman" w:hAnsi="Times New Roman"/>
          <w:b/>
          <w:sz w:val="24"/>
          <w:szCs w:val="24"/>
        </w:rPr>
        <w:t>contribuer au</w:t>
      </w:r>
      <w:r>
        <w:rPr>
          <w:rFonts w:ascii="Times New Roman" w:hAnsi="Times New Roman"/>
          <w:sz w:val="24"/>
          <w:szCs w:val="24"/>
        </w:rPr>
        <w:t xml:space="preserve"> </w:t>
      </w:r>
      <w:r>
        <w:rPr>
          <w:rFonts w:ascii="Times New Roman" w:hAnsi="Times New Roman"/>
          <w:b/>
          <w:sz w:val="24"/>
          <w:szCs w:val="24"/>
        </w:rPr>
        <w:t>renforcement des capacités nationales pour suivre les avancées technologiques</w:t>
      </w:r>
      <w:r>
        <w:rPr>
          <w:rFonts w:ascii="Times New Roman" w:hAnsi="Times New Roman"/>
          <w:sz w:val="24"/>
          <w:szCs w:val="24"/>
        </w:rPr>
        <w:t xml:space="preserve">, la Commission propose un financement aux États membres par l’intermédiaire du </w:t>
      </w:r>
      <w:r>
        <w:rPr>
          <w:rFonts w:ascii="Times New Roman" w:hAnsi="Times New Roman"/>
          <w:b/>
          <w:sz w:val="24"/>
          <w:szCs w:val="24"/>
        </w:rPr>
        <w:t>Fonds pour la sécurité intérieure</w:t>
      </w:r>
      <w:r>
        <w:rPr>
          <w:rFonts w:ascii="Times New Roman" w:hAnsi="Times New Roman"/>
          <w:sz w:val="24"/>
          <w:szCs w:val="24"/>
        </w:rPr>
        <w:t xml:space="preserve"> (FSI-Police)</w:t>
      </w:r>
      <w:r>
        <w:rPr>
          <w:rStyle w:val="FootnoteReference"/>
          <w:rFonts w:ascii="Times New Roman" w:hAnsi="Times New Roman" w:cs="Times New Roman"/>
          <w:sz w:val="24"/>
          <w:szCs w:val="24"/>
        </w:rPr>
        <w:footnoteReference w:id="41"/>
      </w:r>
      <w:r>
        <w:rPr>
          <w:rFonts w:ascii="Times New Roman" w:hAnsi="Times New Roman"/>
          <w:sz w:val="24"/>
          <w:szCs w:val="24"/>
        </w:rPr>
        <w:t xml:space="preserve">. En outre, la Commission alloue également des fonds au titre du </w:t>
      </w:r>
      <w:r>
        <w:rPr>
          <w:rFonts w:ascii="Times New Roman" w:hAnsi="Times New Roman"/>
          <w:b/>
          <w:sz w:val="24"/>
          <w:szCs w:val="24"/>
        </w:rPr>
        <w:t>FSI-Police</w:t>
      </w:r>
      <w:r>
        <w:rPr>
          <w:rFonts w:ascii="Times New Roman" w:hAnsi="Times New Roman"/>
          <w:sz w:val="24"/>
          <w:szCs w:val="24"/>
        </w:rPr>
        <w:t xml:space="preserve"> dans le cadre d'actions de l'Union comprenant, par exemple, des appels à propositions et des marchés publics visant à lutter contre les aspects </w:t>
      </w:r>
      <w:r>
        <w:rPr>
          <w:rFonts w:ascii="Times New Roman" w:hAnsi="Times New Roman"/>
          <w:b/>
          <w:sz w:val="24"/>
          <w:szCs w:val="24"/>
        </w:rPr>
        <w:t>en ligne et hors ligne</w:t>
      </w:r>
      <w:r>
        <w:rPr>
          <w:rFonts w:ascii="Times New Roman" w:hAnsi="Times New Roman"/>
          <w:sz w:val="24"/>
          <w:szCs w:val="24"/>
        </w:rPr>
        <w:t xml:space="preserve"> des abus sexuels commis contre des enfants</w:t>
      </w:r>
      <w:r>
        <w:rPr>
          <w:rStyle w:val="FootnoteReference"/>
          <w:rFonts w:ascii="Times New Roman" w:hAnsi="Times New Roman" w:cs="Times New Roman"/>
          <w:sz w:val="24"/>
          <w:szCs w:val="24"/>
        </w:rPr>
        <w:footnoteReference w:id="42"/>
      </w:r>
      <w:r>
        <w:rPr>
          <w:rFonts w:ascii="Times New Roman" w:hAnsi="Times New Roman"/>
          <w:sz w:val="24"/>
          <w:szCs w:val="24"/>
        </w:rPr>
        <w:t xml:space="preserve">. Un </w:t>
      </w:r>
      <w:r>
        <w:rPr>
          <w:rFonts w:ascii="Times New Roman" w:hAnsi="Times New Roman"/>
          <w:b/>
          <w:sz w:val="24"/>
          <w:szCs w:val="24"/>
        </w:rPr>
        <w:t>nouvel appel à propositions</w:t>
      </w:r>
      <w:r>
        <w:rPr>
          <w:rFonts w:ascii="Times New Roman" w:hAnsi="Times New Roman"/>
          <w:sz w:val="24"/>
          <w:szCs w:val="24"/>
        </w:rPr>
        <w:t xml:space="preserve"> dans le domaine de la lutte contre les abus sexuels commis contre des enfants aura lieu d'ici à la fin de l'année </w:t>
      </w:r>
      <w:r>
        <w:rPr>
          <w:rFonts w:ascii="Times New Roman" w:hAnsi="Times New Roman"/>
          <w:b/>
          <w:sz w:val="24"/>
          <w:szCs w:val="24"/>
        </w:rPr>
        <w:t>2020</w:t>
      </w:r>
      <w:r>
        <w:rPr>
          <w:rFonts w:ascii="Times New Roman" w:hAnsi="Times New Roman"/>
          <w:sz w:val="24"/>
          <w:szCs w:val="24"/>
        </w:rPr>
        <w:t xml:space="preserve">. La Commission finance également des projets de </w:t>
      </w:r>
      <w:r>
        <w:rPr>
          <w:rFonts w:ascii="Times New Roman" w:hAnsi="Times New Roman"/>
          <w:b/>
          <w:sz w:val="24"/>
          <w:szCs w:val="24"/>
        </w:rPr>
        <w:t>recherche</w:t>
      </w:r>
      <w:r>
        <w:rPr>
          <w:rFonts w:ascii="Times New Roman" w:hAnsi="Times New Roman"/>
          <w:sz w:val="24"/>
          <w:szCs w:val="24"/>
        </w:rPr>
        <w:t xml:space="preserve"> dans le cadre du programme </w:t>
      </w:r>
      <w:r>
        <w:rPr>
          <w:rFonts w:ascii="Times New Roman" w:hAnsi="Times New Roman"/>
          <w:b/>
          <w:sz w:val="24"/>
          <w:szCs w:val="24"/>
        </w:rPr>
        <w:t>Horizon 2020</w:t>
      </w:r>
      <w:r>
        <w:rPr>
          <w:rFonts w:ascii="Times New Roman" w:hAnsi="Times New Roman"/>
          <w:sz w:val="24"/>
          <w:szCs w:val="24"/>
        </w:rPr>
        <w:t xml:space="preserve"> afin de contribuer au renforcement des capacités nationales (en matière répressive et dans d’autres domaines) pour lutter contre les abus sexuels commis contre des enfants</w:t>
      </w:r>
      <w:r>
        <w:rPr>
          <w:rStyle w:val="FootnoteReference"/>
          <w:rFonts w:ascii="Times New Roman" w:hAnsi="Times New Roman" w:cs="Times New Roman"/>
          <w:sz w:val="24"/>
          <w:szCs w:val="24"/>
        </w:rPr>
        <w:footnoteReference w:id="43"/>
      </w:r>
      <w:r>
        <w:rPr>
          <w:rFonts w:ascii="Times New Roman" w:hAnsi="Times New Roman"/>
          <w:sz w:val="24"/>
          <w:szCs w:val="24"/>
        </w:rPr>
        <w:t xml:space="preserve">. Les futurs appels à propositions visant à lutter contre ces crimes seront ouverts au titre du nouveau programme-cadre pour la recherche et l'innovation, </w:t>
      </w:r>
      <w:r>
        <w:rPr>
          <w:rFonts w:ascii="Times New Roman" w:hAnsi="Times New Roman"/>
          <w:b/>
          <w:sz w:val="24"/>
          <w:szCs w:val="24"/>
        </w:rPr>
        <w:t>Horizon Europe</w:t>
      </w:r>
      <w:r>
        <w:rPr>
          <w:rStyle w:val="FootnoteReference"/>
          <w:rFonts w:ascii="Times New Roman" w:hAnsi="Times New Roman" w:cs="Times New Roman"/>
          <w:sz w:val="24"/>
          <w:szCs w:val="24"/>
        </w:rPr>
        <w:footnoteReference w:id="44"/>
      </w:r>
      <w:r>
        <w:rPr>
          <w:rFonts w:ascii="Times New Roman" w:hAnsi="Times New Roman"/>
          <w:sz w:val="24"/>
          <w:szCs w:val="24"/>
        </w:rPr>
        <w:t xml:space="preserve">. </w:t>
      </w:r>
    </w:p>
    <w:p w:rsidR="005A7D8E" w:rsidRDefault="001F309D">
      <w:pPr>
        <w:spacing w:after="120" w:line="240" w:lineRule="auto"/>
        <w:jc w:val="both"/>
        <w:rPr>
          <w:rFonts w:ascii="Times New Roman" w:hAnsi="Times New Roman" w:cs="Times New Roman"/>
          <w:b/>
          <w:color w:val="FFFFFF" w:themeColor="background1"/>
          <w:sz w:val="24"/>
        </w:rPr>
      </w:pPr>
      <w:r>
        <w:rPr>
          <w:rFonts w:ascii="Times New Roman" w:hAnsi="Times New Roman"/>
          <w:sz w:val="24"/>
          <w:szCs w:val="24"/>
        </w:rPr>
        <w:t xml:space="preserve">Le recours à des techniques </w:t>
      </w:r>
      <w:r>
        <w:rPr>
          <w:rFonts w:ascii="Times New Roman" w:hAnsi="Times New Roman"/>
          <w:b/>
          <w:sz w:val="24"/>
          <w:szCs w:val="24"/>
        </w:rPr>
        <w:t>d'enquête sous pseudonyme en ligne</w:t>
      </w:r>
      <w:r>
        <w:rPr>
          <w:rFonts w:ascii="Times New Roman" w:hAnsi="Times New Roman"/>
          <w:sz w:val="24"/>
          <w:szCs w:val="24"/>
        </w:rPr>
        <w:t xml:space="preserve"> constitue un atout important pour infiltrer les réseaux dissimulés derrière ce type de technologie. Ces méthodes se sont révélées très efficaces pour comprendre le comportement des auteurs d’abus et leur interaction sur les plateformes de services en ligne et ont en définitive facilité la fermeture de canaux de communication utilisés par ces auteurs d’abus, ainsi que les poursuites à leur encontre. Pour l’action répressive dans ces espaces, il est de plus en plus important d’avoir la capacité d’</w:t>
      </w:r>
      <w:r>
        <w:rPr>
          <w:rFonts w:ascii="Times New Roman" w:hAnsi="Times New Roman"/>
          <w:b/>
          <w:sz w:val="24"/>
          <w:szCs w:val="24"/>
        </w:rPr>
        <w:t>infiltrer</w:t>
      </w:r>
      <w:r>
        <w:rPr>
          <w:rFonts w:ascii="Times New Roman" w:hAnsi="Times New Roman"/>
          <w:sz w:val="24"/>
          <w:szCs w:val="24"/>
        </w:rPr>
        <w:t xml:space="preserve"> efficacement des groupes d’auteurs d’abus en ligne particulièrement dangereux. Cette action peut être menée selon un certain nombre de méthodes différentes, dont seul un petit nombre d’États membres et de partenaires non européens dispose actuellement. Il faudrait envisager de disposer de cette capacité dans l’ensemble de l’UE afin de cibler plus efficacement ces auteurs d’abus sans dépendre d’autres partenaires. Les valeurs et les droits fondamentaux de l’UE doivent rester au cœur de toutes les futures mesures.</w:t>
      </w:r>
    </w:p>
    <w:p w:rsidR="005A7D8E" w:rsidRDefault="001F309D">
      <w:pPr>
        <w:spacing w:after="120" w:line="240" w:lineRule="auto"/>
        <w:jc w:val="both"/>
        <w:rPr>
          <w:rFonts w:ascii="Times New Roman" w:hAnsi="Times New Roman" w:cs="Times New Roman"/>
          <w:sz w:val="24"/>
          <w:szCs w:val="24"/>
        </w:rPr>
      </w:pPr>
      <w:r>
        <w:rPr>
          <w:rFonts w:ascii="Times New Roman" w:hAnsi="Times New Roman"/>
          <w:sz w:val="24"/>
          <w:szCs w:val="24"/>
        </w:rPr>
        <w:t xml:space="preserve">Europol mettra en place un </w:t>
      </w:r>
      <w:r>
        <w:rPr>
          <w:rFonts w:ascii="Times New Roman" w:hAnsi="Times New Roman"/>
          <w:b/>
          <w:sz w:val="24"/>
          <w:szCs w:val="24"/>
        </w:rPr>
        <w:t>pôle et laboratoire d’innovation</w:t>
      </w:r>
      <w:r>
        <w:rPr>
          <w:rStyle w:val="FootnoteReference"/>
          <w:rFonts w:ascii="Times New Roman" w:hAnsi="Times New Roman" w:cs="Times New Roman"/>
          <w:sz w:val="24"/>
          <w:szCs w:val="24"/>
        </w:rPr>
        <w:footnoteReference w:id="45"/>
      </w:r>
      <w:r>
        <w:rPr>
          <w:rFonts w:ascii="Times New Roman" w:hAnsi="Times New Roman"/>
          <w:sz w:val="24"/>
          <w:szCs w:val="24"/>
        </w:rPr>
        <w:t xml:space="preserve"> afin de faciliter l’accès, pour les États membres, aux outils et connaissances techniques élaborés au niveau de l’UE. Cette initiative permettra également de recenser les besoins des États membres afin de remédier aux difficultés des enquêtes numériques, contribuant ainsi à déterminer la manière dont il convient d’allouer les fonds pour la recherche, l’innovation et le renforcement des capacités policières. </w:t>
      </w:r>
    </w:p>
    <w:p w:rsidR="005A7D8E" w:rsidRDefault="001F309D">
      <w:pPr>
        <w:spacing w:after="120" w:line="240" w:lineRule="auto"/>
        <w:jc w:val="both"/>
        <w:rPr>
          <w:rFonts w:ascii="Times New Roman" w:hAnsi="Times New Roman" w:cs="Times New Roman"/>
          <w:sz w:val="24"/>
          <w:szCs w:val="24"/>
        </w:rPr>
      </w:pPr>
      <w:r>
        <w:rPr>
          <w:rFonts w:ascii="Times New Roman" w:hAnsi="Times New Roman"/>
          <w:sz w:val="24"/>
          <w:szCs w:val="24"/>
        </w:rPr>
        <w:t xml:space="preserve">Le pôle et laboratoire d’innovation facilitera encore l’accès, pour les États membres, aux ressources et à l’expérience du </w:t>
      </w:r>
      <w:r>
        <w:rPr>
          <w:rFonts w:ascii="Times New Roman" w:hAnsi="Times New Roman"/>
          <w:b/>
          <w:sz w:val="24"/>
          <w:szCs w:val="24"/>
        </w:rPr>
        <w:t>Centre européen de lutte contre la cybercriminalité (EC3) d’Europol</w:t>
      </w:r>
      <w:r>
        <w:rPr>
          <w:rFonts w:ascii="Times New Roman" w:hAnsi="Times New Roman"/>
          <w:sz w:val="24"/>
          <w:szCs w:val="24"/>
        </w:rPr>
        <w:t>.</w:t>
      </w:r>
      <w:r>
        <w:rPr>
          <w:rFonts w:ascii="Times New Roman" w:hAnsi="Times New Roman"/>
          <w:b/>
          <w:sz w:val="24"/>
          <w:szCs w:val="24"/>
        </w:rPr>
        <w:t xml:space="preserve"> </w:t>
      </w:r>
      <w:r>
        <w:rPr>
          <w:rFonts w:ascii="Times New Roman" w:hAnsi="Times New Roman"/>
          <w:sz w:val="24"/>
          <w:szCs w:val="24"/>
        </w:rPr>
        <w:t>Depuis sa création, l’EC3 joue un rôle important afin de soutenir les États membres dans la lutte contre les abus sexuels commis contre des enfants. Ce soutien revêt différentes formes, notamment:</w:t>
      </w:r>
    </w:p>
    <w:p w:rsidR="005A7D8E" w:rsidRDefault="001F309D">
      <w:pPr>
        <w:pStyle w:val="ListParagraph"/>
        <w:numPr>
          <w:ilvl w:val="0"/>
          <w:numId w:val="35"/>
        </w:numPr>
        <w:spacing w:after="120" w:line="240" w:lineRule="auto"/>
        <w:ind w:left="714" w:hanging="357"/>
        <w:contextualSpacing w:val="0"/>
        <w:jc w:val="both"/>
        <w:rPr>
          <w:rFonts w:ascii="Times New Roman" w:hAnsi="Times New Roman" w:cs="Times New Roman"/>
          <w:sz w:val="24"/>
          <w:szCs w:val="24"/>
        </w:rPr>
      </w:pPr>
      <w:r>
        <w:rPr>
          <w:rFonts w:ascii="Times New Roman" w:hAnsi="Times New Roman"/>
          <w:sz w:val="24"/>
        </w:rPr>
        <w:t>l’EC3 contribue à l’identification des victimes depuis 2014.</w:t>
      </w:r>
      <w:r>
        <w:rPr>
          <w:rFonts w:ascii="Times New Roman" w:hAnsi="Times New Roman"/>
          <w:sz w:val="24"/>
          <w:szCs w:val="24"/>
        </w:rPr>
        <w:t xml:space="preserve"> Des actions de collaboration avec les États membres et les partenaires d’accords opérationnels, par l’intermédiaire du groupe de travail d'Europol sur l’identification des victimes</w:t>
      </w:r>
      <w:r>
        <w:rPr>
          <w:rStyle w:val="FootnoteReference"/>
          <w:rFonts w:ascii="Times New Roman" w:hAnsi="Times New Roman" w:cs="Times New Roman"/>
          <w:sz w:val="24"/>
          <w:szCs w:val="24"/>
        </w:rPr>
        <w:footnoteReference w:id="46"/>
      </w:r>
      <w:r>
        <w:rPr>
          <w:rFonts w:ascii="Times New Roman" w:hAnsi="Times New Roman"/>
          <w:sz w:val="24"/>
          <w:szCs w:val="24"/>
        </w:rPr>
        <w:t xml:space="preserve">, et l’utilisation de diverses méthodes d’enquête incluant la base de données internationale sur l’exploitation sexuelle des enfants ont permis l’identification de </w:t>
      </w:r>
      <w:r>
        <w:rPr>
          <w:rFonts w:ascii="Times New Roman" w:hAnsi="Times New Roman"/>
          <w:b/>
          <w:sz w:val="24"/>
          <w:szCs w:val="24"/>
        </w:rPr>
        <w:t>près de</w:t>
      </w:r>
      <w:r>
        <w:rPr>
          <w:rFonts w:ascii="Times New Roman" w:hAnsi="Times New Roman"/>
          <w:sz w:val="24"/>
          <w:szCs w:val="24"/>
        </w:rPr>
        <w:t xml:space="preserve"> </w:t>
      </w:r>
      <w:r>
        <w:rPr>
          <w:rFonts w:ascii="Times New Roman" w:hAnsi="Times New Roman"/>
          <w:b/>
          <w:sz w:val="24"/>
          <w:szCs w:val="24"/>
        </w:rPr>
        <w:t>360 enfants et 150 auteurs d’abus</w:t>
      </w:r>
      <w:r>
        <w:rPr>
          <w:rFonts w:ascii="Times New Roman" w:hAnsi="Times New Roman"/>
          <w:sz w:val="24"/>
          <w:szCs w:val="24"/>
        </w:rPr>
        <w:t xml:space="preserve">;  </w:t>
      </w:r>
    </w:p>
    <w:p w:rsidR="005A7D8E" w:rsidRDefault="001F309D">
      <w:pPr>
        <w:pStyle w:val="ListParagraph"/>
        <w:numPr>
          <w:ilvl w:val="0"/>
          <w:numId w:val="35"/>
        </w:numPr>
        <w:spacing w:after="120" w:line="240" w:lineRule="auto"/>
        <w:contextualSpacing w:val="0"/>
        <w:jc w:val="both"/>
        <w:rPr>
          <w:rFonts w:ascii="Times New Roman" w:hAnsi="Times New Roman" w:cs="Times New Roman"/>
          <w:sz w:val="24"/>
          <w:szCs w:val="24"/>
        </w:rPr>
      </w:pPr>
      <w:r>
        <w:rPr>
          <w:rFonts w:ascii="Times New Roman" w:hAnsi="Times New Roman"/>
          <w:sz w:val="24"/>
          <w:szCs w:val="24"/>
        </w:rPr>
        <w:t xml:space="preserve">Europol (souvent en coopération avec </w:t>
      </w:r>
      <w:r>
        <w:rPr>
          <w:rFonts w:ascii="Times New Roman" w:hAnsi="Times New Roman"/>
          <w:b/>
          <w:sz w:val="24"/>
          <w:szCs w:val="24"/>
        </w:rPr>
        <w:t>Eurojust</w:t>
      </w:r>
      <w:r>
        <w:rPr>
          <w:rFonts w:ascii="Times New Roman" w:hAnsi="Times New Roman"/>
          <w:sz w:val="24"/>
          <w:szCs w:val="24"/>
        </w:rPr>
        <w:t xml:space="preserve">) a aidé à coordonner de nombreuses </w:t>
      </w:r>
      <w:r>
        <w:rPr>
          <w:rFonts w:ascii="Times New Roman" w:hAnsi="Times New Roman"/>
          <w:b/>
          <w:sz w:val="24"/>
          <w:szCs w:val="24"/>
        </w:rPr>
        <w:t>enquêtes ayant abouti</w:t>
      </w:r>
      <w:r>
        <w:rPr>
          <w:rStyle w:val="FootnoteReference"/>
          <w:rFonts w:ascii="Times New Roman" w:hAnsi="Times New Roman" w:cs="Times New Roman"/>
          <w:sz w:val="24"/>
          <w:szCs w:val="24"/>
        </w:rPr>
        <w:footnoteReference w:id="47"/>
      </w:r>
      <w:r>
        <w:rPr>
          <w:rFonts w:ascii="Times New Roman" w:hAnsi="Times New Roman"/>
          <w:sz w:val="24"/>
          <w:szCs w:val="24"/>
        </w:rPr>
        <w:t>;</w:t>
      </w:r>
    </w:p>
    <w:p w:rsidR="005A7D8E" w:rsidRDefault="001F309D">
      <w:pPr>
        <w:pStyle w:val="ListParagraph"/>
        <w:numPr>
          <w:ilvl w:val="0"/>
          <w:numId w:val="35"/>
        </w:numPr>
        <w:spacing w:after="120" w:line="240" w:lineRule="auto"/>
        <w:contextualSpacing w:val="0"/>
        <w:jc w:val="both"/>
        <w:rPr>
          <w:rFonts w:ascii="Times New Roman" w:hAnsi="Times New Roman" w:cs="Times New Roman"/>
          <w:sz w:val="24"/>
          <w:szCs w:val="24"/>
        </w:rPr>
      </w:pPr>
      <w:r>
        <w:rPr>
          <w:rFonts w:ascii="Times New Roman" w:hAnsi="Times New Roman"/>
          <w:sz w:val="24"/>
          <w:szCs w:val="24"/>
        </w:rPr>
        <w:t xml:space="preserve">des plans d’action opérationnels (PAO) spécifiques en matière de lutte contre les abus sexuels et l’exploitation sexuelle des enfants sont mis en œuvre chaque année dans le cadre du </w:t>
      </w:r>
      <w:r>
        <w:rPr>
          <w:rFonts w:ascii="Times New Roman" w:hAnsi="Times New Roman"/>
          <w:b/>
          <w:sz w:val="24"/>
          <w:szCs w:val="24"/>
        </w:rPr>
        <w:t>cycle politique de l’UE/EMPACT</w:t>
      </w:r>
      <w:r>
        <w:rPr>
          <w:rFonts w:ascii="Times New Roman" w:hAnsi="Times New Roman"/>
          <w:sz w:val="24"/>
          <w:szCs w:val="24"/>
        </w:rPr>
        <w:t xml:space="preserve"> pour lutter contre la grande criminalité internationale organisée, avec le soutien d’Europol</w:t>
      </w:r>
      <w:r>
        <w:rPr>
          <w:rFonts w:ascii="Times New Roman" w:hAnsi="Times New Roman" w:cs="Times New Roman"/>
          <w:sz w:val="24"/>
          <w:szCs w:val="24"/>
          <w:vertAlign w:val="superscript"/>
        </w:rPr>
        <w:footnoteReference w:id="48"/>
      </w:r>
      <w:r>
        <w:rPr>
          <w:rFonts w:ascii="Times New Roman" w:hAnsi="Times New Roman"/>
          <w:sz w:val="24"/>
          <w:szCs w:val="24"/>
        </w:rPr>
        <w:t>;</w:t>
      </w:r>
    </w:p>
    <w:p w:rsidR="005A7D8E" w:rsidRDefault="001F309D">
      <w:pPr>
        <w:pStyle w:val="ListParagraph"/>
        <w:numPr>
          <w:ilvl w:val="0"/>
          <w:numId w:val="35"/>
        </w:numPr>
        <w:spacing w:after="120" w:line="240" w:lineRule="auto"/>
        <w:contextualSpacing w:val="0"/>
        <w:jc w:val="both"/>
        <w:rPr>
          <w:rFonts w:ascii="Times New Roman" w:hAnsi="Times New Roman" w:cs="Times New Roman"/>
          <w:sz w:val="24"/>
          <w:szCs w:val="24"/>
        </w:rPr>
      </w:pPr>
      <w:r>
        <w:rPr>
          <w:rFonts w:ascii="Times New Roman" w:hAnsi="Times New Roman"/>
          <w:sz w:val="24"/>
          <w:szCs w:val="24"/>
        </w:rPr>
        <w:t>Europol a apporté une contribution importante à la collecte de données et à l’établissement et à la publication de rapports tels que l’</w:t>
      </w:r>
      <w:r>
        <w:rPr>
          <w:rFonts w:ascii="Times New Roman" w:hAnsi="Times New Roman"/>
          <w:b/>
          <w:sz w:val="24"/>
          <w:szCs w:val="24"/>
        </w:rPr>
        <w:t>évaluation de la menace que représente la grande criminalité organisée (SOCTA)</w:t>
      </w:r>
      <w:r>
        <w:rPr>
          <w:rStyle w:val="FootnoteReference"/>
          <w:rFonts w:ascii="Times New Roman" w:hAnsi="Times New Roman" w:cs="Times New Roman"/>
          <w:sz w:val="24"/>
          <w:szCs w:val="24"/>
        </w:rPr>
        <w:footnoteReference w:id="49"/>
      </w:r>
      <w:r>
        <w:rPr>
          <w:rFonts w:ascii="Times New Roman" w:hAnsi="Times New Roman"/>
          <w:sz w:val="24"/>
          <w:szCs w:val="24"/>
        </w:rPr>
        <w:t xml:space="preserve"> et l’</w:t>
      </w:r>
      <w:r>
        <w:rPr>
          <w:rFonts w:ascii="Times New Roman" w:hAnsi="Times New Roman"/>
          <w:b/>
          <w:sz w:val="24"/>
          <w:szCs w:val="24"/>
        </w:rPr>
        <w:t>évaluation de la menace que représente la criminalité organisée sur l’internet (iOCTA)</w:t>
      </w:r>
      <w:r>
        <w:rPr>
          <w:rStyle w:val="FootnoteReference"/>
          <w:rFonts w:ascii="Times New Roman" w:hAnsi="Times New Roman" w:cs="Times New Roman"/>
          <w:sz w:val="24"/>
          <w:szCs w:val="24"/>
        </w:rPr>
        <w:footnoteReference w:id="50"/>
      </w:r>
      <w:r>
        <w:rPr>
          <w:rFonts w:ascii="Times New Roman" w:hAnsi="Times New Roman"/>
          <w:sz w:val="24"/>
          <w:szCs w:val="24"/>
        </w:rPr>
        <w:t xml:space="preserve">, qui comprennent des sections spécialement consacrées à la lutte contre les abus sexuels commis contre des enfants; </w:t>
      </w:r>
    </w:p>
    <w:p w:rsidR="005A7D8E" w:rsidRDefault="001F309D">
      <w:pPr>
        <w:pStyle w:val="ListParagraph"/>
        <w:numPr>
          <w:ilvl w:val="0"/>
          <w:numId w:val="35"/>
        </w:numPr>
        <w:spacing w:after="120" w:line="240" w:lineRule="auto"/>
        <w:contextualSpacing w:val="0"/>
        <w:jc w:val="both"/>
        <w:rPr>
          <w:rFonts w:ascii="Times New Roman" w:hAnsi="Times New Roman" w:cs="Times New Roman"/>
        </w:rPr>
      </w:pPr>
      <w:r>
        <w:rPr>
          <w:rFonts w:ascii="Times New Roman" w:hAnsi="Times New Roman"/>
          <w:sz w:val="24"/>
          <w:szCs w:val="24"/>
        </w:rPr>
        <w:t>Europol a également collaboré avec ses partenaires internationaux pour fournir des conseils sur la sécurité en ligne aux parents et aux personnes s’occupant d’enfants</w:t>
      </w:r>
      <w:r>
        <w:rPr>
          <w:rStyle w:val="FootnoteReference"/>
          <w:rFonts w:ascii="Times New Roman" w:eastAsia="Times New Roman" w:hAnsi="Times New Roman" w:cs="Times New Roman"/>
          <w:sz w:val="24"/>
          <w:szCs w:val="24"/>
          <w:lang w:val="de-DE" w:eastAsia="de-DE"/>
        </w:rPr>
        <w:footnoteReference w:id="51"/>
      </w:r>
      <w:r>
        <w:rPr>
          <w:rFonts w:ascii="Times New Roman" w:hAnsi="Times New Roman"/>
          <w:sz w:val="24"/>
          <w:szCs w:val="24"/>
        </w:rPr>
        <w:t xml:space="preserve"> afin de les aider à protéger les enfants en ligne pendant la crise de la COVID-19, outre la rédaction de trois rapports de renseignement hebdomadaires destinés à un public ciblé</w:t>
      </w:r>
      <w:r>
        <w:rPr>
          <w:rStyle w:val="FootnoteReference"/>
          <w:rFonts w:ascii="Times New Roman" w:hAnsi="Times New Roman"/>
          <w:sz w:val="24"/>
          <w:szCs w:val="24"/>
        </w:rPr>
        <w:t xml:space="preserve"> </w:t>
      </w:r>
      <w:r>
        <w:rPr>
          <w:rStyle w:val="FootnoteReference"/>
          <w:rFonts w:ascii="Times New Roman" w:hAnsi="Times New Roman" w:cs="Times New Roman"/>
          <w:sz w:val="24"/>
          <w:szCs w:val="24"/>
        </w:rPr>
        <w:footnoteReference w:id="52"/>
      </w:r>
      <w:r>
        <w:rPr>
          <w:rStyle w:val="FootnoteReference"/>
          <w:rFonts w:ascii="Times New Roman" w:hAnsi="Times New Roman" w:cs="Times New Roman"/>
          <w:sz w:val="24"/>
          <w:szCs w:val="24"/>
          <w:vertAlign w:val="baseline"/>
        </w:rPr>
        <w:t>.</w:t>
      </w:r>
      <w:r>
        <w:rPr>
          <w:rStyle w:val="FootnoteReference"/>
          <w:rFonts w:ascii="Times New Roman" w:hAnsi="Times New Roman"/>
          <w:sz w:val="24"/>
          <w:szCs w:val="24"/>
        </w:rPr>
        <w:t>.</w:t>
      </w:r>
      <w:r>
        <w:rPr>
          <w:rFonts w:ascii="Times New Roman" w:hAnsi="Times New Roman"/>
          <w:sz w:val="24"/>
          <w:szCs w:val="24"/>
        </w:rPr>
        <w:t xml:space="preserve">. </w:t>
      </w:r>
    </w:p>
    <w:p w:rsidR="005A7D8E" w:rsidRDefault="001F309D">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i/>
          <w:sz w:val="24"/>
          <w:szCs w:val="24"/>
        </w:rPr>
      </w:pPr>
      <w:r>
        <w:rPr>
          <w:rFonts w:ascii="Times New Roman" w:hAnsi="Times New Roman"/>
          <w:b/>
          <w:i/>
          <w:sz w:val="24"/>
          <w:szCs w:val="24"/>
        </w:rPr>
        <w:t>Action clé:</w:t>
      </w:r>
    </w:p>
    <w:p w:rsidR="005A7D8E" w:rsidRDefault="001F309D">
      <w:pPr>
        <w:pStyle w:val="ListParagraph"/>
        <w:numPr>
          <w:ilvl w:val="0"/>
          <w:numId w:val="41"/>
        </w:numPr>
        <w:pBdr>
          <w:top w:val="single" w:sz="4" w:space="1" w:color="auto"/>
          <w:left w:val="single" w:sz="4" w:space="4" w:color="auto"/>
          <w:bottom w:val="single" w:sz="4" w:space="1" w:color="auto"/>
          <w:right w:val="single" w:sz="4" w:space="4" w:color="auto"/>
        </w:pBdr>
        <w:spacing w:after="120" w:line="240" w:lineRule="auto"/>
        <w:contextualSpacing w:val="0"/>
        <w:jc w:val="both"/>
        <w:rPr>
          <w:rFonts w:ascii="Times New Roman" w:hAnsi="Times New Roman" w:cs="Times New Roman"/>
          <w:i/>
          <w:sz w:val="24"/>
          <w:szCs w:val="24"/>
        </w:rPr>
      </w:pPr>
      <w:r>
        <w:rPr>
          <w:rFonts w:ascii="Times New Roman" w:hAnsi="Times New Roman"/>
          <w:i/>
          <w:sz w:val="24"/>
          <w:szCs w:val="24"/>
        </w:rPr>
        <w:t xml:space="preserve">Europol mettra en place un </w:t>
      </w:r>
      <w:r>
        <w:rPr>
          <w:rFonts w:ascii="Times New Roman" w:hAnsi="Times New Roman"/>
          <w:b/>
          <w:i/>
          <w:sz w:val="24"/>
          <w:szCs w:val="24"/>
        </w:rPr>
        <w:t>pôle et laboratoire d’innovation</w:t>
      </w:r>
      <w:r>
        <w:rPr>
          <w:rFonts w:ascii="Times New Roman" w:hAnsi="Times New Roman"/>
          <w:i/>
          <w:sz w:val="24"/>
          <w:szCs w:val="24"/>
        </w:rPr>
        <w:t xml:space="preserve"> et la Commission fournira des </w:t>
      </w:r>
      <w:r>
        <w:rPr>
          <w:rFonts w:ascii="Times New Roman" w:hAnsi="Times New Roman"/>
          <w:b/>
          <w:i/>
          <w:sz w:val="24"/>
          <w:szCs w:val="24"/>
        </w:rPr>
        <w:t>fonds</w:t>
      </w:r>
      <w:r>
        <w:rPr>
          <w:rFonts w:ascii="Times New Roman" w:hAnsi="Times New Roman"/>
          <w:i/>
          <w:sz w:val="24"/>
          <w:szCs w:val="24"/>
        </w:rPr>
        <w:t xml:space="preserve"> afin de contribuer au renforcement des </w:t>
      </w:r>
      <w:r>
        <w:rPr>
          <w:rFonts w:ascii="Times New Roman" w:hAnsi="Times New Roman"/>
          <w:b/>
          <w:i/>
          <w:sz w:val="24"/>
          <w:szCs w:val="24"/>
        </w:rPr>
        <w:t>capacités nationales</w:t>
      </w:r>
      <w:r>
        <w:rPr>
          <w:rFonts w:ascii="Times New Roman" w:hAnsi="Times New Roman"/>
          <w:i/>
          <w:sz w:val="24"/>
          <w:szCs w:val="24"/>
        </w:rPr>
        <w:t xml:space="preserve"> pour suivre les </w:t>
      </w:r>
      <w:r>
        <w:rPr>
          <w:rFonts w:ascii="Times New Roman" w:hAnsi="Times New Roman"/>
          <w:b/>
          <w:i/>
          <w:sz w:val="24"/>
          <w:szCs w:val="24"/>
        </w:rPr>
        <w:t>avancées technologiques</w:t>
      </w:r>
      <w:r>
        <w:rPr>
          <w:rFonts w:ascii="Times New Roman" w:hAnsi="Times New Roman"/>
          <w:i/>
          <w:sz w:val="24"/>
          <w:szCs w:val="24"/>
        </w:rPr>
        <w:t xml:space="preserve"> et garantir une réaction efficace des services répressifs face aux crimes concernés. </w:t>
      </w:r>
    </w:p>
    <w:p w:rsidR="005A7D8E" w:rsidRDefault="001F309D">
      <w:pPr>
        <w:pStyle w:val="Heading2"/>
        <w:numPr>
          <w:ilvl w:val="0"/>
          <w:numId w:val="18"/>
        </w:numPr>
        <w:spacing w:before="0" w:after="120" w:line="240" w:lineRule="auto"/>
        <w:rPr>
          <w:rFonts w:ascii="Times New Roman" w:hAnsi="Times New Roman" w:cs="Times New Roman"/>
          <w:b/>
          <w:color w:val="auto"/>
          <w:sz w:val="24"/>
          <w:szCs w:val="24"/>
        </w:rPr>
      </w:pPr>
      <w:r>
        <w:rPr>
          <w:rFonts w:ascii="Times New Roman" w:hAnsi="Times New Roman"/>
          <w:b/>
          <w:color w:val="auto"/>
          <w:sz w:val="24"/>
          <w:szCs w:val="24"/>
        </w:rPr>
        <w:t xml:space="preserve">Permettre aux États membres de mieux protéger les enfants grâce à la prévention </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 xml:space="preserve">Certains des articles de la directive relative aux abus sexuels commis contre des enfants pour lesquels les États membres ont le plus de retard quant à leur mise en application complète sont ceux qui nécessitent la mise en place de </w:t>
      </w:r>
      <w:r>
        <w:rPr>
          <w:rFonts w:ascii="Times New Roman" w:hAnsi="Times New Roman"/>
          <w:b/>
          <w:sz w:val="24"/>
        </w:rPr>
        <w:t>programmes de prévention</w:t>
      </w:r>
      <w:r>
        <w:rPr>
          <w:rStyle w:val="FootnoteReference"/>
          <w:rFonts w:ascii="Times New Roman" w:hAnsi="Times New Roman" w:cs="Times New Roman"/>
          <w:sz w:val="24"/>
          <w:lang w:val="en-GB"/>
        </w:rPr>
        <w:footnoteReference w:id="53"/>
      </w:r>
      <w:r>
        <w:rPr>
          <w:rFonts w:ascii="Times New Roman" w:hAnsi="Times New Roman"/>
          <w:sz w:val="24"/>
        </w:rPr>
        <w:t xml:space="preserve">, pour lesquels plusieurs types de parties prenantes doivent prendre des mesures. </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 xml:space="preserve">En ce qui concerne la prévention visant plus particulièrement les auteurs d’abus (potentiels), les difficultés des États membres ont trait à </w:t>
      </w:r>
      <w:r>
        <w:rPr>
          <w:rFonts w:ascii="Times New Roman" w:hAnsi="Times New Roman"/>
          <w:b/>
          <w:sz w:val="24"/>
        </w:rPr>
        <w:t>toutes les étapes</w:t>
      </w:r>
      <w:r>
        <w:rPr>
          <w:rFonts w:ascii="Times New Roman" w:hAnsi="Times New Roman"/>
          <w:sz w:val="24"/>
        </w:rPr>
        <w:t xml:space="preserve"> des programmes: avant qu’un individu commette un abus pour la première fois, au cours ou après la procédure pénale, et en prison ou hors de prison. </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 xml:space="preserve">La recherche concernant ce qui incite les individus à commettre des abus </w:t>
      </w:r>
      <w:r>
        <w:rPr>
          <w:rFonts w:ascii="Times New Roman" w:hAnsi="Times New Roman"/>
          <w:b/>
          <w:sz w:val="24"/>
        </w:rPr>
        <w:t>est insuffisante et fragmentée</w:t>
      </w:r>
      <w:r>
        <w:rPr>
          <w:rFonts w:ascii="Times New Roman" w:hAnsi="Times New Roman"/>
          <w:sz w:val="24"/>
        </w:rPr>
        <w:t xml:space="preserve">, et la </w:t>
      </w:r>
      <w:r>
        <w:rPr>
          <w:rFonts w:ascii="Times New Roman" w:hAnsi="Times New Roman"/>
          <w:b/>
          <w:sz w:val="24"/>
        </w:rPr>
        <w:t>communication entre les spécialistes et les chercheurs est médiocre</w:t>
      </w:r>
      <w:r>
        <w:rPr>
          <w:rFonts w:ascii="Times New Roman" w:hAnsi="Times New Roman"/>
          <w:sz w:val="24"/>
        </w:rPr>
        <w:t xml:space="preserve">: </w:t>
      </w:r>
    </w:p>
    <w:p w:rsidR="005A7D8E" w:rsidRDefault="001F309D">
      <w:pPr>
        <w:pStyle w:val="ListParagraph"/>
        <w:numPr>
          <w:ilvl w:val="0"/>
          <w:numId w:val="44"/>
        </w:numPr>
        <w:spacing w:after="120" w:line="240" w:lineRule="auto"/>
        <w:ind w:left="714" w:hanging="357"/>
        <w:contextualSpacing w:val="0"/>
        <w:jc w:val="both"/>
        <w:rPr>
          <w:rFonts w:ascii="Times New Roman" w:hAnsi="Times New Roman" w:cs="Times New Roman"/>
          <w:sz w:val="24"/>
        </w:rPr>
      </w:pPr>
      <w:r>
        <w:rPr>
          <w:rFonts w:ascii="Times New Roman" w:hAnsi="Times New Roman"/>
          <w:sz w:val="24"/>
        </w:rPr>
        <w:t xml:space="preserve">le </w:t>
      </w:r>
      <w:r>
        <w:rPr>
          <w:rFonts w:ascii="Times New Roman" w:hAnsi="Times New Roman"/>
          <w:b/>
          <w:sz w:val="24"/>
        </w:rPr>
        <w:t>manque de recherches</w:t>
      </w:r>
      <w:r>
        <w:rPr>
          <w:rFonts w:ascii="Times New Roman" w:hAnsi="Times New Roman"/>
          <w:sz w:val="24"/>
        </w:rPr>
        <w:t xml:space="preserve"> actuel rend difficiles </w:t>
      </w:r>
      <w:r>
        <w:rPr>
          <w:rFonts w:ascii="Times New Roman" w:hAnsi="Times New Roman"/>
          <w:b/>
          <w:sz w:val="24"/>
        </w:rPr>
        <w:t>l’élaboration et la mise en place</w:t>
      </w:r>
      <w:r>
        <w:rPr>
          <w:rFonts w:ascii="Times New Roman" w:hAnsi="Times New Roman"/>
          <w:sz w:val="24"/>
        </w:rPr>
        <w:t xml:space="preserve"> de programmes efficaces à toutes les étapes. L’efficacité des quelques programmes mis en place</w:t>
      </w:r>
      <w:r>
        <w:rPr>
          <w:rStyle w:val="FootnoteReference"/>
          <w:rFonts w:ascii="Times New Roman" w:hAnsi="Times New Roman" w:cs="Times New Roman"/>
          <w:sz w:val="24"/>
          <w:lang w:val="en-GB"/>
        </w:rPr>
        <w:footnoteReference w:id="54"/>
      </w:r>
      <w:r>
        <w:rPr>
          <w:rFonts w:ascii="Times New Roman" w:hAnsi="Times New Roman"/>
          <w:sz w:val="24"/>
        </w:rPr>
        <w:t xml:space="preserve"> est </w:t>
      </w:r>
      <w:r>
        <w:rPr>
          <w:rFonts w:ascii="Times New Roman" w:hAnsi="Times New Roman"/>
          <w:b/>
          <w:sz w:val="24"/>
        </w:rPr>
        <w:t>rarement évaluée</w:t>
      </w:r>
      <w:r>
        <w:rPr>
          <w:rFonts w:ascii="Times New Roman" w:hAnsi="Times New Roman"/>
          <w:sz w:val="24"/>
        </w:rPr>
        <w:t xml:space="preserve">; </w:t>
      </w:r>
    </w:p>
    <w:p w:rsidR="005A7D8E" w:rsidRDefault="001F309D">
      <w:pPr>
        <w:pStyle w:val="ListParagraph"/>
        <w:numPr>
          <w:ilvl w:val="0"/>
          <w:numId w:val="44"/>
        </w:numPr>
        <w:spacing w:after="120" w:line="240" w:lineRule="auto"/>
        <w:contextualSpacing w:val="0"/>
        <w:jc w:val="both"/>
        <w:rPr>
          <w:rFonts w:ascii="Times New Roman" w:hAnsi="Times New Roman" w:cs="Times New Roman"/>
          <w:sz w:val="24"/>
        </w:rPr>
      </w:pPr>
      <w:r>
        <w:rPr>
          <w:rFonts w:ascii="Times New Roman" w:hAnsi="Times New Roman"/>
          <w:sz w:val="24"/>
        </w:rPr>
        <w:t xml:space="preserve">en outre, les différents types de </w:t>
      </w:r>
      <w:r>
        <w:rPr>
          <w:rFonts w:ascii="Times New Roman" w:hAnsi="Times New Roman"/>
          <w:b/>
          <w:sz w:val="24"/>
        </w:rPr>
        <w:t>spécialistes</w:t>
      </w:r>
      <w:r>
        <w:rPr>
          <w:rFonts w:ascii="Times New Roman" w:hAnsi="Times New Roman"/>
          <w:sz w:val="24"/>
        </w:rPr>
        <w:t xml:space="preserve"> dans ce domaine (par exemple, les autorités chargées des programmes de prévention aux individus craignant de commettre des abus, les autorités publiques chargées des programmes de prévention dans les prisons, les ONG proposant des programmes de prévention afin de contribuer à la réintégration de délinquants sexuels au sein de la communauté) </w:t>
      </w:r>
      <w:r>
        <w:rPr>
          <w:rFonts w:ascii="Times New Roman" w:hAnsi="Times New Roman"/>
          <w:b/>
          <w:sz w:val="24"/>
        </w:rPr>
        <w:t>ne communiquent pas suffisamment</w:t>
      </w:r>
      <w:r>
        <w:rPr>
          <w:rFonts w:ascii="Times New Roman" w:hAnsi="Times New Roman"/>
          <w:sz w:val="24"/>
        </w:rPr>
        <w:t xml:space="preserve"> entre eux sur l’efficacité des programmes, y compris </w:t>
      </w:r>
      <w:r>
        <w:rPr>
          <w:rFonts w:ascii="Times New Roman" w:hAnsi="Times New Roman"/>
          <w:b/>
          <w:sz w:val="24"/>
        </w:rPr>
        <w:t>les enseignements tirés et les bonnes pratiques</w:t>
      </w:r>
      <w:r>
        <w:rPr>
          <w:rFonts w:ascii="Times New Roman" w:hAnsi="Times New Roman"/>
          <w:sz w:val="24"/>
        </w:rPr>
        <w:t xml:space="preserve">. </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 xml:space="preserve">Pour pallier ces difficultés, la Commission s’efforcera d’établir un </w:t>
      </w:r>
      <w:r>
        <w:rPr>
          <w:rFonts w:ascii="Times New Roman" w:hAnsi="Times New Roman"/>
          <w:b/>
          <w:sz w:val="24"/>
        </w:rPr>
        <w:t>réseau de prévention composé de spécialistes et de chercheurs</w:t>
      </w:r>
      <w:r>
        <w:rPr>
          <w:rFonts w:ascii="Times New Roman" w:hAnsi="Times New Roman"/>
          <w:sz w:val="24"/>
        </w:rPr>
        <w:t xml:space="preserve"> pertinents et renommés afin d’aider les États membres à mettre en place des mesures de prévention </w:t>
      </w:r>
      <w:r>
        <w:rPr>
          <w:rFonts w:ascii="Times New Roman" w:hAnsi="Times New Roman"/>
          <w:b/>
          <w:sz w:val="24"/>
        </w:rPr>
        <w:t>exploitables, rigoureusement évaluées et efficaces</w:t>
      </w:r>
      <w:r>
        <w:rPr>
          <w:rFonts w:ascii="Times New Roman" w:hAnsi="Times New Roman"/>
          <w:sz w:val="24"/>
        </w:rPr>
        <w:t xml:space="preserve"> en vue de réduire la prévalence des abus sexuels commis contre des enfants dans l’UE et de </w:t>
      </w:r>
      <w:r>
        <w:rPr>
          <w:rFonts w:ascii="Times New Roman" w:hAnsi="Times New Roman"/>
          <w:b/>
          <w:sz w:val="24"/>
        </w:rPr>
        <w:t>favoriser l’échange de bonnes pratiques</w:t>
      </w:r>
      <w:r>
        <w:rPr>
          <w:rFonts w:ascii="Times New Roman" w:hAnsi="Times New Roman"/>
          <w:sz w:val="24"/>
        </w:rPr>
        <w:t>. Plus particulièrement, le réseau devrait:</w:t>
      </w:r>
    </w:p>
    <w:p w:rsidR="005A7D8E" w:rsidRDefault="001F309D">
      <w:pPr>
        <w:pStyle w:val="ListParagraph"/>
        <w:numPr>
          <w:ilvl w:val="0"/>
          <w:numId w:val="48"/>
        </w:numPr>
        <w:spacing w:after="120" w:line="240" w:lineRule="auto"/>
        <w:ind w:left="357" w:hanging="357"/>
        <w:contextualSpacing w:val="0"/>
        <w:jc w:val="both"/>
        <w:rPr>
          <w:rFonts w:ascii="Times New Roman" w:hAnsi="Times New Roman" w:cs="Times New Roman"/>
          <w:sz w:val="24"/>
        </w:rPr>
      </w:pPr>
      <w:r>
        <w:rPr>
          <w:rFonts w:ascii="Times New Roman" w:hAnsi="Times New Roman"/>
          <w:sz w:val="24"/>
        </w:rPr>
        <w:t xml:space="preserve">enclencher un </w:t>
      </w:r>
      <w:r>
        <w:rPr>
          <w:rFonts w:ascii="Times New Roman" w:hAnsi="Times New Roman"/>
          <w:b/>
          <w:sz w:val="24"/>
        </w:rPr>
        <w:t>cycle vertueux de la pratique à la recherche et de la recherche à la pratique</w:t>
      </w:r>
      <w:r>
        <w:rPr>
          <w:rFonts w:ascii="Times New Roman" w:hAnsi="Times New Roman"/>
          <w:sz w:val="24"/>
        </w:rPr>
        <w:t xml:space="preserve">: </w:t>
      </w:r>
    </w:p>
    <w:p w:rsidR="005A7D8E" w:rsidRDefault="001F309D">
      <w:pPr>
        <w:pStyle w:val="ListParagraph"/>
        <w:numPr>
          <w:ilvl w:val="0"/>
          <w:numId w:val="50"/>
        </w:numPr>
        <w:spacing w:after="120" w:line="240" w:lineRule="auto"/>
        <w:ind w:left="714" w:hanging="357"/>
        <w:contextualSpacing w:val="0"/>
        <w:jc w:val="both"/>
        <w:rPr>
          <w:rFonts w:ascii="Times New Roman" w:hAnsi="Times New Roman" w:cs="Times New Roman"/>
          <w:sz w:val="24"/>
        </w:rPr>
      </w:pPr>
      <w:r>
        <w:rPr>
          <w:rFonts w:ascii="Times New Roman" w:hAnsi="Times New Roman"/>
          <w:sz w:val="24"/>
        </w:rPr>
        <w:t xml:space="preserve">les chercheurs proposeraient aux spécialistes des initiatives </w:t>
      </w:r>
      <w:r>
        <w:rPr>
          <w:rFonts w:ascii="Times New Roman" w:hAnsi="Times New Roman"/>
          <w:b/>
          <w:sz w:val="24"/>
        </w:rPr>
        <w:t>testées scientifiquement</w:t>
      </w:r>
      <w:r>
        <w:rPr>
          <w:rFonts w:ascii="Times New Roman" w:hAnsi="Times New Roman"/>
          <w:sz w:val="24"/>
        </w:rPr>
        <w:t xml:space="preserve">, et les spécialistes proposeraient aux chercheurs des </w:t>
      </w:r>
      <w:r>
        <w:rPr>
          <w:rFonts w:ascii="Times New Roman" w:hAnsi="Times New Roman"/>
          <w:b/>
          <w:sz w:val="24"/>
        </w:rPr>
        <w:t>retours d’information continus</w:t>
      </w:r>
      <w:r>
        <w:rPr>
          <w:rFonts w:ascii="Times New Roman" w:hAnsi="Times New Roman"/>
          <w:sz w:val="24"/>
        </w:rPr>
        <w:t xml:space="preserve"> sur les initiatives de prévention afin de contribuer davantage à renforcer la base d’informations factuelles. Les </w:t>
      </w:r>
      <w:r>
        <w:rPr>
          <w:rFonts w:ascii="Times New Roman" w:hAnsi="Times New Roman"/>
          <w:b/>
          <w:sz w:val="24"/>
        </w:rPr>
        <w:t>perspectives</w:t>
      </w:r>
      <w:r>
        <w:rPr>
          <w:rFonts w:ascii="Times New Roman" w:hAnsi="Times New Roman"/>
          <w:sz w:val="24"/>
        </w:rPr>
        <w:t xml:space="preserve"> et opinions </w:t>
      </w:r>
      <w:r>
        <w:rPr>
          <w:rFonts w:ascii="Times New Roman" w:hAnsi="Times New Roman"/>
          <w:b/>
          <w:sz w:val="24"/>
        </w:rPr>
        <w:t>des victimes</w:t>
      </w:r>
      <w:r>
        <w:rPr>
          <w:rFonts w:ascii="Times New Roman" w:hAnsi="Times New Roman"/>
          <w:sz w:val="24"/>
        </w:rPr>
        <w:t xml:space="preserve"> devraient également être intégrées dans les travaux du réseau,</w:t>
      </w:r>
    </w:p>
    <w:p w:rsidR="005A7D8E" w:rsidRDefault="001F309D">
      <w:pPr>
        <w:pStyle w:val="ListParagraph"/>
        <w:numPr>
          <w:ilvl w:val="0"/>
          <w:numId w:val="50"/>
        </w:numPr>
        <w:spacing w:after="120" w:line="240" w:lineRule="auto"/>
        <w:contextualSpacing w:val="0"/>
        <w:jc w:val="both"/>
        <w:rPr>
          <w:rFonts w:ascii="Times New Roman" w:hAnsi="Times New Roman" w:cs="Times New Roman"/>
          <w:sz w:val="24"/>
        </w:rPr>
      </w:pPr>
      <w:r>
        <w:rPr>
          <w:rFonts w:ascii="Times New Roman" w:hAnsi="Times New Roman"/>
          <w:sz w:val="24"/>
        </w:rPr>
        <w:t xml:space="preserve">bien que les travaux du réseau couvriraient tous les domaines liés à la prévention des abus sexuels d’enfants, ils mettraient fortement l’accent sur les </w:t>
      </w:r>
      <w:r>
        <w:rPr>
          <w:rFonts w:ascii="Times New Roman" w:hAnsi="Times New Roman"/>
          <w:b/>
          <w:sz w:val="24"/>
        </w:rPr>
        <w:t>programmes de prévention pour les auteurs d’abus et pour les individus craignant de commettre un abus</w:t>
      </w:r>
      <w:r>
        <w:rPr>
          <w:rFonts w:ascii="Times New Roman" w:hAnsi="Times New Roman"/>
          <w:sz w:val="24"/>
        </w:rPr>
        <w:t xml:space="preserve">, car il s’agit du domaine où les États membres rencontrent le plus de difficultés, </w:t>
      </w:r>
    </w:p>
    <w:p w:rsidR="005A7D8E" w:rsidRDefault="001F309D">
      <w:pPr>
        <w:pStyle w:val="ListParagraph"/>
        <w:numPr>
          <w:ilvl w:val="0"/>
          <w:numId w:val="50"/>
        </w:numPr>
        <w:spacing w:after="120" w:line="240" w:lineRule="auto"/>
        <w:contextualSpacing w:val="0"/>
        <w:jc w:val="both"/>
        <w:rPr>
          <w:rFonts w:ascii="Times New Roman" w:hAnsi="Times New Roman" w:cs="Times New Roman"/>
          <w:sz w:val="24"/>
        </w:rPr>
      </w:pPr>
      <w:r>
        <w:rPr>
          <w:rFonts w:ascii="Times New Roman" w:hAnsi="Times New Roman"/>
          <w:sz w:val="24"/>
        </w:rPr>
        <w:t>on sait que les auteurs d’abus ne présentent pas tous un trouble d’ordre pédophile</w:t>
      </w:r>
      <w:r>
        <w:rPr>
          <w:rStyle w:val="FootnoteReference"/>
          <w:rFonts w:ascii="Times New Roman" w:hAnsi="Times New Roman" w:cs="Times New Roman"/>
          <w:sz w:val="24"/>
          <w:lang w:val="en-GB"/>
        </w:rPr>
        <w:footnoteReference w:id="55"/>
      </w:r>
      <w:r>
        <w:rPr>
          <w:rFonts w:ascii="Times New Roman" w:hAnsi="Times New Roman"/>
          <w:sz w:val="24"/>
        </w:rPr>
        <w:t xml:space="preserve"> (parmi les autres motivations à commettre un abus figure notamment l’exploitation pour en retirer un bénéfice financier) et tous ceux qui présentent un trouble d’ordre pédophile ne finissent pas par commettre un abus (certains sollicitent de l’aide pour lutter contre leur pédophilie). Des </w:t>
      </w:r>
      <w:r>
        <w:rPr>
          <w:rFonts w:ascii="Times New Roman" w:hAnsi="Times New Roman"/>
          <w:b/>
          <w:sz w:val="24"/>
        </w:rPr>
        <w:t>recherches</w:t>
      </w:r>
      <w:r>
        <w:rPr>
          <w:rFonts w:ascii="Times New Roman" w:hAnsi="Times New Roman"/>
          <w:sz w:val="24"/>
        </w:rPr>
        <w:t xml:space="preserve"> approfondies sont requises afin de comprendre le </w:t>
      </w:r>
      <w:r>
        <w:rPr>
          <w:rFonts w:ascii="Times New Roman" w:hAnsi="Times New Roman"/>
          <w:b/>
          <w:sz w:val="24"/>
        </w:rPr>
        <w:t>processus</w:t>
      </w:r>
      <w:r>
        <w:rPr>
          <w:rFonts w:ascii="Times New Roman" w:hAnsi="Times New Roman"/>
          <w:sz w:val="24"/>
        </w:rPr>
        <w:t xml:space="preserve"> conduisant un individu à commettre un abus, notamment les </w:t>
      </w:r>
      <w:r>
        <w:rPr>
          <w:rFonts w:ascii="Times New Roman" w:hAnsi="Times New Roman"/>
          <w:b/>
          <w:sz w:val="24"/>
        </w:rPr>
        <w:t>facteurs de risque et les éléments déclencheurs</w:t>
      </w:r>
      <w:r>
        <w:rPr>
          <w:rFonts w:ascii="Times New Roman" w:hAnsi="Times New Roman"/>
          <w:sz w:val="24"/>
        </w:rPr>
        <w:t>. Selon certaines statistiques, 85 % de ceux qui visionnent des images d’abus sexuels commis contre des enfants agressent aussi physiquement des enfants</w:t>
      </w:r>
      <w:r>
        <w:rPr>
          <w:rStyle w:val="FootnoteReference"/>
          <w:rFonts w:ascii="Times New Roman" w:hAnsi="Times New Roman" w:cs="Times New Roman"/>
          <w:sz w:val="24"/>
          <w:lang w:val="en-GB"/>
        </w:rPr>
        <w:footnoteReference w:id="56"/>
      </w:r>
      <w:r>
        <w:rPr>
          <w:rFonts w:ascii="Times New Roman" w:hAnsi="Times New Roman"/>
          <w:sz w:val="24"/>
        </w:rPr>
        <w:t>. La visualisation d’images pédopornographiques constitue également une infraction pénale, elle engendre également une demande de nouveaux contenus et par conséquent de nouveaux abus physiques</w:t>
      </w:r>
      <w:r>
        <w:rPr>
          <w:rStyle w:val="FootnoteReference"/>
          <w:rFonts w:ascii="Times New Roman" w:hAnsi="Times New Roman" w:cs="Times New Roman"/>
          <w:sz w:val="24"/>
          <w:lang w:val="en-GB"/>
        </w:rPr>
        <w:footnoteReference w:id="57"/>
      </w:r>
      <w:r>
        <w:rPr>
          <w:rFonts w:ascii="Times New Roman" w:hAnsi="Times New Roman"/>
          <w:sz w:val="24"/>
        </w:rPr>
        <w:t xml:space="preserve">, </w:t>
      </w:r>
    </w:p>
    <w:p w:rsidR="005A7D8E" w:rsidRDefault="001F309D">
      <w:pPr>
        <w:pStyle w:val="ListParagraph"/>
        <w:numPr>
          <w:ilvl w:val="0"/>
          <w:numId w:val="50"/>
        </w:numPr>
        <w:spacing w:after="120" w:line="240" w:lineRule="auto"/>
        <w:contextualSpacing w:val="0"/>
        <w:jc w:val="both"/>
        <w:rPr>
          <w:rFonts w:ascii="Times New Roman" w:hAnsi="Times New Roman" w:cs="Times New Roman"/>
          <w:sz w:val="24"/>
        </w:rPr>
      </w:pPr>
      <w:r>
        <w:rPr>
          <w:rFonts w:ascii="Times New Roman" w:hAnsi="Times New Roman"/>
          <w:sz w:val="24"/>
        </w:rPr>
        <w:t xml:space="preserve">le réseau suivrait une </w:t>
      </w:r>
      <w:r>
        <w:rPr>
          <w:rFonts w:ascii="Times New Roman" w:hAnsi="Times New Roman"/>
          <w:b/>
          <w:sz w:val="24"/>
        </w:rPr>
        <w:t>méthode scientifique</w:t>
      </w:r>
      <w:r>
        <w:rPr>
          <w:rFonts w:ascii="Times New Roman" w:hAnsi="Times New Roman"/>
          <w:sz w:val="24"/>
        </w:rPr>
        <w:t xml:space="preserve"> dans le cadre de la prévention. Bien que les données sur la prévalence soient lacunaires, des études indiquent que près de </w:t>
      </w:r>
      <w:r>
        <w:rPr>
          <w:rFonts w:ascii="Times New Roman" w:hAnsi="Times New Roman"/>
          <w:b/>
          <w:sz w:val="24"/>
        </w:rPr>
        <w:t>3 %</w:t>
      </w:r>
      <w:r>
        <w:rPr>
          <w:rFonts w:ascii="Times New Roman" w:hAnsi="Times New Roman"/>
          <w:sz w:val="24"/>
        </w:rPr>
        <w:t xml:space="preserve"> de la population masculine pourraient être sexuellement attirés par les enfants. Les spécialistes admettent que </w:t>
      </w:r>
      <w:r>
        <w:rPr>
          <w:rFonts w:ascii="Times New Roman" w:hAnsi="Times New Roman"/>
          <w:b/>
          <w:sz w:val="24"/>
        </w:rPr>
        <w:t>traiter le problème à sa racine</w:t>
      </w:r>
      <w:r>
        <w:rPr>
          <w:rFonts w:ascii="Times New Roman" w:hAnsi="Times New Roman"/>
          <w:sz w:val="24"/>
        </w:rPr>
        <w:t xml:space="preserve"> en reconnaissant cette réalité difficile et en mettant en place des mesures de prévention est la manière la plus efficace de protéger les victimes et d’alléger la charge de travail des services répressifs; </w:t>
      </w:r>
    </w:p>
    <w:p w:rsidR="005A7D8E" w:rsidRDefault="001F309D">
      <w:pPr>
        <w:pStyle w:val="ListParagraph"/>
        <w:numPr>
          <w:ilvl w:val="0"/>
          <w:numId w:val="48"/>
        </w:numPr>
        <w:spacing w:after="120" w:line="240" w:lineRule="auto"/>
        <w:ind w:left="357" w:hanging="357"/>
        <w:contextualSpacing w:val="0"/>
        <w:jc w:val="both"/>
        <w:rPr>
          <w:rFonts w:ascii="Times New Roman" w:hAnsi="Times New Roman" w:cs="Times New Roman"/>
          <w:sz w:val="24"/>
        </w:rPr>
      </w:pPr>
      <w:r>
        <w:rPr>
          <w:rFonts w:ascii="Times New Roman" w:hAnsi="Times New Roman"/>
          <w:sz w:val="24"/>
        </w:rPr>
        <w:t xml:space="preserve">contribuer aux travaux des États membres en matière de sensibilisation en créant </w:t>
      </w:r>
      <w:r>
        <w:rPr>
          <w:rFonts w:ascii="Times New Roman" w:hAnsi="Times New Roman"/>
          <w:b/>
          <w:sz w:val="24"/>
        </w:rPr>
        <w:t>des campagnes médiatiques et des supports de formation</w:t>
      </w:r>
      <w:r>
        <w:rPr>
          <w:rFonts w:ascii="Times New Roman" w:hAnsi="Times New Roman"/>
          <w:sz w:val="24"/>
        </w:rPr>
        <w:t xml:space="preserve"> ciblés:</w:t>
      </w:r>
    </w:p>
    <w:p w:rsidR="005A7D8E" w:rsidRDefault="001F309D">
      <w:pPr>
        <w:pStyle w:val="ListParagraph"/>
        <w:numPr>
          <w:ilvl w:val="0"/>
          <w:numId w:val="52"/>
        </w:numPr>
        <w:spacing w:after="120" w:line="240" w:lineRule="auto"/>
        <w:ind w:left="714" w:hanging="357"/>
        <w:contextualSpacing w:val="0"/>
        <w:jc w:val="both"/>
        <w:rPr>
          <w:rFonts w:ascii="Times New Roman" w:hAnsi="Times New Roman" w:cs="Times New Roman"/>
          <w:sz w:val="24"/>
        </w:rPr>
      </w:pPr>
      <w:r>
        <w:rPr>
          <w:rFonts w:ascii="Times New Roman" w:hAnsi="Times New Roman"/>
          <w:sz w:val="24"/>
        </w:rPr>
        <w:t xml:space="preserve">cela faciliterait l’échange d’informations sur les </w:t>
      </w:r>
      <w:r>
        <w:rPr>
          <w:rFonts w:ascii="Times New Roman" w:hAnsi="Times New Roman"/>
          <w:b/>
          <w:sz w:val="24"/>
        </w:rPr>
        <w:t>supports de formation et le renforcement des capacités</w:t>
      </w:r>
      <w:r>
        <w:rPr>
          <w:rFonts w:ascii="Times New Roman" w:hAnsi="Times New Roman"/>
          <w:sz w:val="24"/>
        </w:rPr>
        <w:t xml:space="preserve"> ainsi que la collecte d’</w:t>
      </w:r>
      <w:r>
        <w:rPr>
          <w:rFonts w:ascii="Times New Roman" w:hAnsi="Times New Roman"/>
          <w:b/>
          <w:sz w:val="24"/>
        </w:rPr>
        <w:t>exemples de «bonnes pratiques»</w:t>
      </w:r>
      <w:r>
        <w:rPr>
          <w:rFonts w:ascii="Times New Roman" w:hAnsi="Times New Roman"/>
          <w:sz w:val="24"/>
        </w:rPr>
        <w:t xml:space="preserve"> afin d’inspirer les </w:t>
      </w:r>
      <w:r>
        <w:rPr>
          <w:rFonts w:ascii="Times New Roman" w:hAnsi="Times New Roman"/>
          <w:b/>
          <w:sz w:val="24"/>
        </w:rPr>
        <w:t>campagnes médiatiques</w:t>
      </w:r>
      <w:r>
        <w:rPr>
          <w:rFonts w:ascii="Times New Roman" w:hAnsi="Times New Roman"/>
          <w:sz w:val="24"/>
        </w:rPr>
        <w:t xml:space="preserve"> et la formation dans tous les États membres. Cette collaboration permettrait d’</w:t>
      </w:r>
      <w:r>
        <w:rPr>
          <w:rFonts w:ascii="Times New Roman" w:hAnsi="Times New Roman"/>
          <w:b/>
          <w:sz w:val="24"/>
        </w:rPr>
        <w:t>éviter le chevauchement</w:t>
      </w:r>
      <w:r>
        <w:rPr>
          <w:rFonts w:ascii="Times New Roman" w:hAnsi="Times New Roman"/>
          <w:sz w:val="24"/>
        </w:rPr>
        <w:t xml:space="preserve"> des efforts, notamment en facilitant l’adaptation et la transposition dans le contexte national de supports créés dans d’autres États membres, </w:t>
      </w:r>
    </w:p>
    <w:p w:rsidR="005A7D8E" w:rsidRDefault="001F309D">
      <w:pPr>
        <w:pStyle w:val="ListParagraph"/>
        <w:numPr>
          <w:ilvl w:val="0"/>
          <w:numId w:val="52"/>
        </w:numPr>
        <w:spacing w:after="120" w:line="240" w:lineRule="auto"/>
        <w:contextualSpacing w:val="0"/>
        <w:jc w:val="both"/>
        <w:rPr>
          <w:rFonts w:ascii="Times New Roman" w:hAnsi="Times New Roman" w:cs="Times New Roman"/>
          <w:sz w:val="24"/>
        </w:rPr>
      </w:pPr>
      <w:r>
        <w:rPr>
          <w:rFonts w:ascii="Times New Roman" w:hAnsi="Times New Roman"/>
          <w:sz w:val="24"/>
        </w:rPr>
        <w:t xml:space="preserve">la Commission, avec l’aide du réseau, lancerait et soutiendrait des </w:t>
      </w:r>
      <w:r>
        <w:rPr>
          <w:rFonts w:ascii="Times New Roman" w:hAnsi="Times New Roman"/>
          <w:b/>
          <w:sz w:val="24"/>
        </w:rPr>
        <w:t>campagnes de sensibilisation</w:t>
      </w:r>
      <w:r>
        <w:rPr>
          <w:rFonts w:ascii="Times New Roman" w:hAnsi="Times New Roman"/>
          <w:sz w:val="24"/>
        </w:rPr>
        <w:t xml:space="preserve"> destinées aux enfants, aux parents, à l'entourage et aux éducateurs sur les risques et sur les mécanismes et procédures de prévention. Ces campagnes seraient élaborées avec le réseau,</w:t>
      </w:r>
    </w:p>
    <w:p w:rsidR="005A7D8E" w:rsidRDefault="001F309D">
      <w:pPr>
        <w:pStyle w:val="ListParagraph"/>
        <w:numPr>
          <w:ilvl w:val="0"/>
          <w:numId w:val="51"/>
        </w:numPr>
        <w:spacing w:after="120" w:line="240" w:lineRule="auto"/>
        <w:contextualSpacing w:val="0"/>
        <w:jc w:val="both"/>
        <w:rPr>
          <w:rFonts w:ascii="Times New Roman" w:hAnsi="Times New Roman" w:cs="Times New Roman"/>
          <w:sz w:val="24"/>
        </w:rPr>
      </w:pPr>
      <w:r>
        <w:rPr>
          <w:rFonts w:ascii="Times New Roman" w:hAnsi="Times New Roman"/>
          <w:sz w:val="24"/>
          <w:szCs w:val="24"/>
        </w:rPr>
        <w:t xml:space="preserve">des </w:t>
      </w:r>
      <w:r>
        <w:rPr>
          <w:rFonts w:ascii="Times New Roman" w:hAnsi="Times New Roman"/>
          <w:b/>
          <w:sz w:val="24"/>
          <w:szCs w:val="24"/>
        </w:rPr>
        <w:t>efforts de prévention</w:t>
      </w:r>
      <w:r>
        <w:rPr>
          <w:rFonts w:ascii="Times New Roman" w:hAnsi="Times New Roman"/>
          <w:sz w:val="24"/>
          <w:szCs w:val="24"/>
        </w:rPr>
        <w:t xml:space="preserve"> sont nécessaires dans les </w:t>
      </w:r>
      <w:r>
        <w:rPr>
          <w:rFonts w:ascii="Times New Roman" w:hAnsi="Times New Roman"/>
          <w:b/>
          <w:sz w:val="24"/>
          <w:szCs w:val="24"/>
        </w:rPr>
        <w:t>organisations travaillant avec des enfants</w:t>
      </w:r>
      <w:r>
        <w:rPr>
          <w:rFonts w:ascii="Times New Roman" w:hAnsi="Times New Roman"/>
          <w:sz w:val="24"/>
          <w:szCs w:val="24"/>
        </w:rPr>
        <w:t xml:space="preserve"> – clubs et centres sportifs, institutions religieuses, services de soins de santé, établissements scolaires, activités périscolaires – afin d’en </w:t>
      </w:r>
      <w:r>
        <w:rPr>
          <w:rFonts w:ascii="Times New Roman" w:hAnsi="Times New Roman"/>
          <w:b/>
          <w:sz w:val="24"/>
          <w:szCs w:val="24"/>
        </w:rPr>
        <w:t>sensibiliser</w:t>
      </w:r>
      <w:r>
        <w:rPr>
          <w:rFonts w:ascii="Times New Roman" w:hAnsi="Times New Roman"/>
          <w:sz w:val="24"/>
          <w:szCs w:val="24"/>
        </w:rPr>
        <w:t xml:space="preserve"> les intervenants et de les informer sur les manières de prévenir les abus, par exemple en proposant une </w:t>
      </w:r>
      <w:r>
        <w:rPr>
          <w:rFonts w:ascii="Times New Roman" w:hAnsi="Times New Roman"/>
          <w:b/>
          <w:sz w:val="24"/>
          <w:szCs w:val="24"/>
        </w:rPr>
        <w:t>formation</w:t>
      </w:r>
      <w:r>
        <w:rPr>
          <w:rFonts w:ascii="Times New Roman" w:hAnsi="Times New Roman"/>
          <w:sz w:val="24"/>
          <w:szCs w:val="24"/>
        </w:rPr>
        <w:t xml:space="preserve"> ciblée</w:t>
      </w:r>
      <w:r>
        <w:rPr>
          <w:rStyle w:val="FootnoteReference"/>
          <w:rFonts w:ascii="Times New Roman" w:hAnsi="Times New Roman" w:cs="Times New Roman"/>
          <w:sz w:val="24"/>
          <w:szCs w:val="24"/>
        </w:rPr>
        <w:footnoteReference w:id="58"/>
      </w:r>
      <w:r>
        <w:rPr>
          <w:rFonts w:ascii="Times New Roman" w:hAnsi="Times New Roman"/>
          <w:sz w:val="24"/>
          <w:szCs w:val="24"/>
        </w:rPr>
        <w:t>, en s’assurant de l’application de procédures appropriées et en utilisant leur habilitation juridique en vertu du droit de l’Union à demander les casiers judiciaires à l’échelle internationale via le système ECRIS</w:t>
      </w:r>
      <w:r>
        <w:rPr>
          <w:rStyle w:val="FootnoteReference"/>
          <w:rFonts w:ascii="Times New Roman" w:hAnsi="Times New Roman" w:cs="Times New Roman"/>
          <w:sz w:val="24"/>
          <w:szCs w:val="24"/>
        </w:rPr>
        <w:footnoteReference w:id="59"/>
      </w:r>
      <w:r>
        <w:rPr>
          <w:rFonts w:ascii="Times New Roman" w:hAnsi="Times New Roman"/>
          <w:sz w:val="24"/>
          <w:szCs w:val="24"/>
        </w:rPr>
        <w:t xml:space="preserve">. Ce système européen très efficace est un outil essentiel pour prévenir les abus sexuels puisqu’il permet de vérifier les antécédents d’une personne par la consultation de son éventuel casier judiciaire lors de son recrutement pour des activités professionnelles ou des activités bénévoles organisées impliquant des contacts directs et réguliers avec des enfants. </w:t>
      </w:r>
      <w:r>
        <w:rPr>
          <w:rFonts w:ascii="Times New Roman" w:hAnsi="Times New Roman"/>
          <w:sz w:val="24"/>
        </w:rPr>
        <w:t xml:space="preserve">Les professionnels de tous les secteurs susceptibles d’entrer en contact avec des enfants doivent être formés et dotés des outils appropriés afin de </w:t>
      </w:r>
      <w:r>
        <w:rPr>
          <w:rFonts w:ascii="Times New Roman" w:hAnsi="Times New Roman"/>
          <w:b/>
          <w:sz w:val="24"/>
        </w:rPr>
        <w:t>prévenir et détecter</w:t>
      </w:r>
      <w:r>
        <w:rPr>
          <w:rFonts w:ascii="Times New Roman" w:hAnsi="Times New Roman"/>
          <w:sz w:val="24"/>
        </w:rPr>
        <w:t xml:space="preserve"> des signes précoces de </w:t>
      </w:r>
      <w:r>
        <w:rPr>
          <w:rFonts w:ascii="Times New Roman" w:hAnsi="Times New Roman"/>
          <w:sz w:val="24"/>
          <w:szCs w:val="24"/>
        </w:rPr>
        <w:t>violence</w:t>
      </w:r>
      <w:r>
        <w:rPr>
          <w:rFonts w:ascii="Times New Roman" w:hAnsi="Times New Roman"/>
          <w:sz w:val="24"/>
        </w:rPr>
        <w:t xml:space="preserve"> et d’abus sexuels potentiels, et afin d’interagir avec les enfants et leurs familles de manière adéquate, en étant centrés sur les besoins particuliers et l’intérêt supérieur de l’enfant. Sont également concernés </w:t>
      </w:r>
      <w:r>
        <w:rPr>
          <w:rFonts w:ascii="Times New Roman" w:hAnsi="Times New Roman"/>
          <w:b/>
          <w:sz w:val="24"/>
        </w:rPr>
        <w:t>les services répressifs et le système judiciaire</w:t>
      </w:r>
      <w:r>
        <w:rPr>
          <w:rFonts w:ascii="Times New Roman" w:hAnsi="Times New Roman"/>
          <w:sz w:val="24"/>
        </w:rPr>
        <w:t xml:space="preserve"> lorsque des enfants victimes sont impliqués dans des enquêtes judiciaires contre leurs agresseurs. Les familles et l’entourage, ainsi que les professionnels et la société au sens large, doivent comprendre la gravité de ces crimes et leur effet dévastateur sur les enfants, et bénéficier de l’aide nécessaire pour signaler ces crimes et soutenir les enfants victimes. Cela nécessite </w:t>
      </w:r>
      <w:r>
        <w:rPr>
          <w:rFonts w:ascii="Times New Roman" w:hAnsi="Times New Roman"/>
          <w:b/>
          <w:sz w:val="24"/>
        </w:rPr>
        <w:t>des informations, des campagnes médiatiques et une formation spécialisées</w:t>
      </w:r>
      <w:r>
        <w:rPr>
          <w:rFonts w:ascii="Times New Roman" w:hAnsi="Times New Roman"/>
          <w:sz w:val="24"/>
        </w:rPr>
        <w:t>,</w:t>
      </w:r>
    </w:p>
    <w:p w:rsidR="005A7D8E" w:rsidRDefault="001F309D">
      <w:pPr>
        <w:pStyle w:val="ListParagraph"/>
        <w:numPr>
          <w:ilvl w:val="0"/>
          <w:numId w:val="51"/>
        </w:numPr>
        <w:spacing w:after="120" w:line="240" w:lineRule="auto"/>
        <w:contextualSpacing w:val="0"/>
        <w:jc w:val="both"/>
        <w:rPr>
          <w:rFonts w:ascii="Times New Roman" w:hAnsi="Times New Roman" w:cs="Times New Roman"/>
          <w:sz w:val="24"/>
          <w:szCs w:val="24"/>
        </w:rPr>
      </w:pPr>
      <w:r>
        <w:rPr>
          <w:rFonts w:ascii="Times New Roman" w:hAnsi="Times New Roman"/>
          <w:sz w:val="24"/>
          <w:szCs w:val="24"/>
        </w:rPr>
        <w:t xml:space="preserve">les enfants eux-mêmes doivent disposer des </w:t>
      </w:r>
      <w:r>
        <w:rPr>
          <w:rFonts w:ascii="Times New Roman" w:hAnsi="Times New Roman"/>
          <w:b/>
          <w:sz w:val="24"/>
          <w:szCs w:val="24"/>
        </w:rPr>
        <w:t>connaissances et outils</w:t>
      </w:r>
      <w:r>
        <w:rPr>
          <w:rFonts w:ascii="Times New Roman" w:hAnsi="Times New Roman"/>
          <w:sz w:val="24"/>
          <w:szCs w:val="24"/>
        </w:rPr>
        <w:t xml:space="preserve"> susceptibles de les aider à ne pas être confrontés aux abus lorsque cela est possible (par exemple, sur la façon d’utiliser l’internet en toute sécurité), et doivent être informés du fait que certains comportements sont inacceptables. Le réseau des centres pour un internet plus sûr</w:t>
      </w:r>
      <w:r>
        <w:rPr>
          <w:rStyle w:val="FootnoteReference"/>
          <w:rFonts w:ascii="Times New Roman" w:hAnsi="Times New Roman" w:cs="Times New Roman"/>
          <w:sz w:val="24"/>
          <w:szCs w:val="24"/>
          <w:lang w:val="en-GB"/>
        </w:rPr>
        <w:footnoteReference w:id="60"/>
      </w:r>
      <w:r>
        <w:rPr>
          <w:rFonts w:ascii="Times New Roman" w:hAnsi="Times New Roman"/>
          <w:sz w:val="24"/>
          <w:szCs w:val="24"/>
        </w:rPr>
        <w:t>, financé par la Commission, sensibilise sur la sécurité en ligne et fournit des informations, des ressources et une assistance via des lignes d’assistance téléphonique sur un large éventail de sujets liés à la sécurité numérique, notamment le pédopiégeage et la textopornographie</w:t>
      </w:r>
      <w:r>
        <w:rPr>
          <w:rStyle w:val="FootnoteReference"/>
          <w:rFonts w:ascii="Times New Roman" w:hAnsi="Times New Roman" w:cs="Times New Roman"/>
          <w:sz w:val="24"/>
          <w:szCs w:val="24"/>
          <w:lang w:val="en-GB"/>
        </w:rPr>
        <w:footnoteReference w:id="61"/>
      </w:r>
      <w:r>
        <w:rPr>
          <w:rFonts w:ascii="Times New Roman" w:hAnsi="Times New Roman"/>
          <w:sz w:val="24"/>
          <w:szCs w:val="24"/>
        </w:rPr>
        <w:t>. La campagne UN sur CINQ du Conseil de l’Europe</w:t>
      </w:r>
      <w:r>
        <w:rPr>
          <w:rStyle w:val="FootnoteReference"/>
          <w:rFonts w:ascii="Times New Roman" w:hAnsi="Times New Roman" w:cs="Times New Roman"/>
          <w:sz w:val="24"/>
          <w:szCs w:val="24"/>
          <w:lang w:val="en-GB"/>
        </w:rPr>
        <w:footnoteReference w:id="62"/>
      </w:r>
      <w:r>
        <w:rPr>
          <w:rFonts w:ascii="Times New Roman" w:hAnsi="Times New Roman"/>
          <w:sz w:val="24"/>
          <w:szCs w:val="24"/>
        </w:rPr>
        <w:t xml:space="preserve"> et l’initiative «#SayNo»</w:t>
      </w:r>
      <w:r>
        <w:rPr>
          <w:rFonts w:ascii="Times New Roman" w:hAnsi="Times New Roman"/>
          <w:sz w:val="24"/>
          <w:vertAlign w:val="superscript"/>
        </w:rPr>
        <w:footnoteReference w:id="63"/>
      </w:r>
      <w:r>
        <w:rPr>
          <w:rFonts w:ascii="Times New Roman" w:hAnsi="Times New Roman"/>
          <w:sz w:val="24"/>
          <w:szCs w:val="24"/>
        </w:rPr>
        <w:t xml:space="preserve"> d’Europol sont d’autres exemples de mesures dans ce domaine. Lorsque des abus surviennent, les enfants ont besoin de </w:t>
      </w:r>
      <w:r>
        <w:rPr>
          <w:rFonts w:ascii="Times New Roman" w:hAnsi="Times New Roman"/>
          <w:b/>
          <w:sz w:val="24"/>
          <w:szCs w:val="24"/>
        </w:rPr>
        <w:t xml:space="preserve">se sentir en sécurité et d’être encouragés </w:t>
      </w:r>
      <w:r>
        <w:rPr>
          <w:rFonts w:ascii="Times New Roman" w:hAnsi="Times New Roman"/>
          <w:sz w:val="24"/>
          <w:szCs w:val="24"/>
        </w:rPr>
        <w:t>à parler, à réagir et à dénoncer l’agression</w:t>
      </w:r>
      <w:r>
        <w:rPr>
          <w:rStyle w:val="FootnoteReference"/>
          <w:rFonts w:ascii="Times New Roman" w:hAnsi="Times New Roman" w:cs="Times New Roman"/>
          <w:sz w:val="24"/>
          <w:szCs w:val="24"/>
          <w:lang w:val="en-GB"/>
        </w:rPr>
        <w:footnoteReference w:id="64"/>
      </w:r>
      <w:r>
        <w:rPr>
          <w:rFonts w:ascii="Times New Roman" w:hAnsi="Times New Roman"/>
          <w:sz w:val="24"/>
          <w:szCs w:val="24"/>
        </w:rPr>
        <w:t xml:space="preserve">, et ce même lorsque les abus sont commis au sein de leur cercle de confiance (c.-à-d. par des proches ou des personnes qu’ils connaissent et en qui ils ont confiance), comme c’est souvent le cas. Ils doivent également avoir à leur disposition des moyens sûrs, accessibles et adaptés à leur âge pour signaler l’agression sans crainte. Les efforts de prévention doivent également prendre en considération les </w:t>
      </w:r>
      <w:r>
        <w:rPr>
          <w:rFonts w:ascii="Times New Roman" w:hAnsi="Times New Roman"/>
          <w:b/>
          <w:sz w:val="24"/>
          <w:szCs w:val="24"/>
        </w:rPr>
        <w:t>circonstances et besoins particuliers de différents groupes d’enfants</w:t>
      </w:r>
      <w:r>
        <w:rPr>
          <w:rFonts w:ascii="Times New Roman" w:hAnsi="Times New Roman"/>
          <w:sz w:val="24"/>
          <w:szCs w:val="24"/>
        </w:rPr>
        <w:t>, tels que les enfants handicapés</w:t>
      </w:r>
      <w:r>
        <w:rPr>
          <w:rStyle w:val="FootnoteReference"/>
          <w:rFonts w:ascii="Times New Roman" w:hAnsi="Times New Roman" w:cs="Times New Roman"/>
          <w:sz w:val="24"/>
          <w:szCs w:val="24"/>
          <w:lang w:val="en-GB"/>
        </w:rPr>
        <w:footnoteReference w:id="65"/>
      </w:r>
      <w:r>
        <w:rPr>
          <w:rFonts w:ascii="Times New Roman" w:hAnsi="Times New Roman"/>
          <w:sz w:val="24"/>
          <w:szCs w:val="24"/>
        </w:rPr>
        <w:t xml:space="preserve">, les enfants migrants (notamment les mineurs non accompagnés) et les enfants victimes de la traite (dont la majorité sont des filles), qui sont particulièrement exposés aux risques d’abus sexuels. </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 xml:space="preserve">L’objectif est d’organiser le réseau en </w:t>
      </w:r>
      <w:r>
        <w:rPr>
          <w:rFonts w:ascii="Times New Roman" w:hAnsi="Times New Roman"/>
          <w:b/>
          <w:sz w:val="24"/>
        </w:rPr>
        <w:t>groupes de travail</w:t>
      </w:r>
      <w:r>
        <w:rPr>
          <w:rFonts w:ascii="Times New Roman" w:hAnsi="Times New Roman"/>
          <w:sz w:val="24"/>
        </w:rPr>
        <w:t xml:space="preserve"> qui faciliteront l’échange de bonnes pratiques et les travaux sur des initiatives concrètes afin de produire des effets tangibles. Les groupes de travail pourraient être organisés </w:t>
      </w:r>
      <w:r>
        <w:rPr>
          <w:rFonts w:ascii="Times New Roman" w:hAnsi="Times New Roman"/>
          <w:b/>
          <w:sz w:val="24"/>
        </w:rPr>
        <w:t>par pratique</w:t>
      </w:r>
      <w:r>
        <w:rPr>
          <w:rFonts w:ascii="Times New Roman" w:hAnsi="Times New Roman"/>
          <w:sz w:val="24"/>
        </w:rPr>
        <w:t xml:space="preserve"> (c.-à-d. par profession, par ex. les professionnels des soins de santé, les travailleurs sociaux, les professionnels de l’éducation, les services répressifs, les autorités judiciaires, les autorités pénitentiaires, les décideurs politiques et les chercheurs) et </w:t>
      </w:r>
      <w:r>
        <w:rPr>
          <w:rFonts w:ascii="Times New Roman" w:hAnsi="Times New Roman"/>
          <w:b/>
          <w:sz w:val="24"/>
        </w:rPr>
        <w:t>par programme</w:t>
      </w:r>
      <w:r>
        <w:rPr>
          <w:rFonts w:ascii="Times New Roman" w:hAnsi="Times New Roman"/>
          <w:sz w:val="24"/>
        </w:rPr>
        <w:t xml:space="preserve"> (c.-à-d. par type de groupe cible du programme de prévention, par ex. les auteurs d’abus et les personnes craignant de commettre un abus, ou les programmes de formation et de sensibilisation destinés aux enfants, aux familles et à la collectivité). </w:t>
      </w:r>
    </w:p>
    <w:p w:rsidR="005A7D8E" w:rsidRDefault="001F309D">
      <w:pPr>
        <w:spacing w:after="120" w:line="240" w:lineRule="auto"/>
        <w:jc w:val="both"/>
        <w:rPr>
          <w:rFonts w:ascii="Times New Roman" w:hAnsi="Times New Roman" w:cs="Times New Roman"/>
          <w:b/>
          <w:sz w:val="24"/>
        </w:rPr>
      </w:pPr>
      <w:r>
        <w:rPr>
          <w:rFonts w:ascii="Times New Roman" w:hAnsi="Times New Roman"/>
          <w:sz w:val="24"/>
        </w:rPr>
        <w:t xml:space="preserve">L’optimisation des travaux destinés à prévenir les abus sexuels commis contre des enfants est fondamentale. </w:t>
      </w:r>
      <w:r>
        <w:rPr>
          <w:rFonts w:ascii="Times New Roman" w:hAnsi="Times New Roman"/>
          <w:b/>
          <w:sz w:val="24"/>
        </w:rPr>
        <w:t>Les services répressifs sont dépassés</w:t>
      </w:r>
      <w:r>
        <w:rPr>
          <w:rFonts w:ascii="Times New Roman" w:hAnsi="Times New Roman"/>
          <w:sz w:val="24"/>
        </w:rPr>
        <w:t xml:space="preserve"> par la hausse exponentielle des signalements d’abus sexuels contre des enfants dans l’UE et à l’échelle mondiale, réaffirmant le consensus au sein des spécialistes (y compris les services répressifs) selon lequel </w:t>
      </w:r>
      <w:r>
        <w:rPr>
          <w:rFonts w:ascii="Times New Roman" w:hAnsi="Times New Roman"/>
          <w:b/>
          <w:sz w:val="24"/>
        </w:rPr>
        <w:t>ce problème est impossible à résoudre uniquement par les mesures prises par les services répressifs et requiert la coordination des différents acteurs</w:t>
      </w:r>
      <w:r>
        <w:rPr>
          <w:rFonts w:ascii="Times New Roman" w:hAnsi="Times New Roman"/>
          <w:sz w:val="24"/>
        </w:rPr>
        <w:t>.</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 xml:space="preserve">Le réseau aurait pour objet de </w:t>
      </w:r>
      <w:r>
        <w:rPr>
          <w:rFonts w:ascii="Times New Roman" w:hAnsi="Times New Roman"/>
          <w:b/>
          <w:sz w:val="24"/>
        </w:rPr>
        <w:t>renforcer les capacités au sein de l’UE</w:t>
      </w:r>
      <w:r>
        <w:rPr>
          <w:rFonts w:ascii="Times New Roman" w:hAnsi="Times New Roman"/>
          <w:sz w:val="24"/>
        </w:rPr>
        <w:t xml:space="preserve"> en matière de prévention des abus sexuels commis contre des enfants et aurait une </w:t>
      </w:r>
      <w:r>
        <w:rPr>
          <w:rFonts w:ascii="Times New Roman" w:hAnsi="Times New Roman"/>
          <w:b/>
          <w:sz w:val="24"/>
        </w:rPr>
        <w:t>portée mondiale</w:t>
      </w:r>
      <w:r>
        <w:rPr>
          <w:rFonts w:ascii="Times New Roman" w:hAnsi="Times New Roman"/>
          <w:sz w:val="24"/>
        </w:rPr>
        <w:t xml:space="preserve"> afin de s’appuyer sur toutes les compétences utiles </w:t>
      </w:r>
      <w:r>
        <w:rPr>
          <w:rFonts w:ascii="Times New Roman" w:hAnsi="Times New Roman"/>
          <w:b/>
          <w:sz w:val="24"/>
        </w:rPr>
        <w:t>au sein de l’UE et au-delà</w:t>
      </w:r>
      <w:r>
        <w:rPr>
          <w:rFonts w:ascii="Times New Roman" w:hAnsi="Times New Roman"/>
          <w:sz w:val="24"/>
        </w:rPr>
        <w:t xml:space="preserve">. Il aurait également une importante </w:t>
      </w:r>
      <w:r>
        <w:rPr>
          <w:rFonts w:ascii="Times New Roman" w:hAnsi="Times New Roman"/>
          <w:b/>
          <w:sz w:val="24"/>
        </w:rPr>
        <w:t>présence en ligne</w:t>
      </w:r>
      <w:r>
        <w:rPr>
          <w:rFonts w:ascii="Times New Roman" w:hAnsi="Times New Roman"/>
          <w:sz w:val="24"/>
        </w:rPr>
        <w:t xml:space="preserve"> pour faciliter le partage de ses travaux au sein de l’UE et à l’échelle mondiale, de sorte que tous les pays puissent bénéficier de recherches et de méthodes d’avant-garde.</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 xml:space="preserve">En résumé, le réseau de prévention devrait permettre: a) une </w:t>
      </w:r>
      <w:r>
        <w:rPr>
          <w:rFonts w:ascii="Times New Roman" w:hAnsi="Times New Roman"/>
          <w:b/>
          <w:sz w:val="24"/>
        </w:rPr>
        <w:t>action</w:t>
      </w:r>
      <w:r>
        <w:rPr>
          <w:rFonts w:ascii="Times New Roman" w:hAnsi="Times New Roman"/>
          <w:sz w:val="24"/>
        </w:rPr>
        <w:t xml:space="preserve"> plus efficace dans la lutte contre les abus sexuels commis contre des enfants (</w:t>
      </w:r>
      <w:r>
        <w:rPr>
          <w:rFonts w:ascii="Times New Roman" w:hAnsi="Times New Roman"/>
          <w:b/>
          <w:sz w:val="24"/>
        </w:rPr>
        <w:t>en ligne et hors ligne</w:t>
      </w:r>
      <w:r>
        <w:rPr>
          <w:rFonts w:ascii="Times New Roman" w:hAnsi="Times New Roman"/>
          <w:sz w:val="24"/>
        </w:rPr>
        <w:t xml:space="preserve">) au sein de l’Union; b) une </w:t>
      </w:r>
      <w:r>
        <w:rPr>
          <w:rFonts w:ascii="Times New Roman" w:hAnsi="Times New Roman"/>
          <w:b/>
          <w:sz w:val="24"/>
        </w:rPr>
        <w:t>utilisation plus efficace et efficiente des ressources (limitées) existantes</w:t>
      </w:r>
      <w:r>
        <w:rPr>
          <w:rFonts w:ascii="Times New Roman" w:hAnsi="Times New Roman"/>
          <w:sz w:val="24"/>
        </w:rPr>
        <w:t xml:space="preserve"> allouées au sein de l’Union afin de prévenir les abus sexuels commis contre des enfants; et c) une </w:t>
      </w:r>
      <w:r>
        <w:rPr>
          <w:rFonts w:ascii="Times New Roman" w:hAnsi="Times New Roman"/>
          <w:b/>
          <w:sz w:val="24"/>
        </w:rPr>
        <w:t>coopération plus efficace avec les partenaires à l’échelle mondiale</w:t>
      </w:r>
      <w:r>
        <w:rPr>
          <w:rFonts w:ascii="Times New Roman" w:hAnsi="Times New Roman"/>
          <w:sz w:val="24"/>
        </w:rPr>
        <w:t xml:space="preserve">, de sorte que l’Union puisse bénéficier de l’expertise mondiale sans chevauchement des efforts. </w:t>
      </w:r>
    </w:p>
    <w:p w:rsidR="005A7D8E" w:rsidRDefault="001F309D">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i/>
          <w:sz w:val="24"/>
        </w:rPr>
      </w:pPr>
      <w:r>
        <w:rPr>
          <w:rFonts w:ascii="Times New Roman" w:hAnsi="Times New Roman"/>
          <w:b/>
          <w:i/>
          <w:sz w:val="24"/>
        </w:rPr>
        <w:t>Action clé:</w:t>
      </w:r>
    </w:p>
    <w:p w:rsidR="005A7D8E" w:rsidRDefault="001F309D">
      <w:pPr>
        <w:pStyle w:val="ListParagraph"/>
        <w:numPr>
          <w:ilvl w:val="0"/>
          <w:numId w:val="54"/>
        </w:numPr>
        <w:pBdr>
          <w:top w:val="single" w:sz="4" w:space="1" w:color="auto"/>
          <w:left w:val="single" w:sz="4" w:space="4" w:color="auto"/>
          <w:bottom w:val="single" w:sz="4" w:space="1" w:color="auto"/>
          <w:right w:val="single" w:sz="4" w:space="4" w:color="auto"/>
        </w:pBdr>
        <w:spacing w:after="120" w:line="240" w:lineRule="auto"/>
        <w:contextualSpacing w:val="0"/>
        <w:jc w:val="both"/>
        <w:rPr>
          <w:rFonts w:ascii="Times New Roman" w:hAnsi="Times New Roman" w:cs="Times New Roman"/>
          <w:i/>
          <w:sz w:val="24"/>
        </w:rPr>
      </w:pPr>
      <w:r>
        <w:rPr>
          <w:rFonts w:ascii="Times New Roman" w:hAnsi="Times New Roman"/>
          <w:i/>
          <w:sz w:val="24"/>
        </w:rPr>
        <w:t>La Commission commencera immédiatement à préparer l’établissement d’un réseau de prévention au niveau de l’UE afin de faciliter l’échange de bonnes pratiques et d’aider les États membres à mettre en place des mesures de prévention exploitables, rigoureusement évaluées et efficaces en vue de réduire la prévalence des abus sexuels commis sur des enfants dans l’UE.</w:t>
      </w:r>
    </w:p>
    <w:p w:rsidR="005A7D8E" w:rsidRDefault="001F309D">
      <w:pPr>
        <w:pStyle w:val="Heading2"/>
        <w:numPr>
          <w:ilvl w:val="0"/>
          <w:numId w:val="18"/>
        </w:numPr>
        <w:spacing w:before="0" w:after="120" w:line="240" w:lineRule="auto"/>
        <w:jc w:val="both"/>
        <w:rPr>
          <w:rFonts w:ascii="Times New Roman" w:hAnsi="Times New Roman" w:cs="Times New Roman"/>
          <w:b/>
          <w:color w:val="auto"/>
          <w:sz w:val="24"/>
          <w:szCs w:val="24"/>
        </w:rPr>
      </w:pPr>
      <w:r>
        <w:rPr>
          <w:rFonts w:ascii="Times New Roman" w:hAnsi="Times New Roman"/>
          <w:b/>
          <w:color w:val="auto"/>
          <w:sz w:val="24"/>
          <w:szCs w:val="24"/>
        </w:rPr>
        <w:t xml:space="preserve">Un centre européen pour prévenir et combattre les abus sexuels commis contre des enfants </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 xml:space="preserve">La Commission commencera à travailler à la création possible d’un centre européen destiné à prévenir et combattre les abus sexuels commis contre des enfants, sur la base d’une étude approfondie et d’une analyse d’impact. Le centre pourrait </w:t>
      </w:r>
      <w:r>
        <w:rPr>
          <w:rFonts w:ascii="Times New Roman" w:hAnsi="Times New Roman"/>
          <w:b/>
          <w:sz w:val="24"/>
        </w:rPr>
        <w:t>fournir un soutien global aux États membres</w:t>
      </w:r>
      <w:r>
        <w:rPr>
          <w:rFonts w:ascii="Times New Roman" w:hAnsi="Times New Roman"/>
          <w:sz w:val="24"/>
        </w:rPr>
        <w:t xml:space="preserve"> dans la lutte contre les abus sexuels d’enfants, </w:t>
      </w:r>
      <w:r>
        <w:rPr>
          <w:rFonts w:ascii="Times New Roman" w:hAnsi="Times New Roman"/>
          <w:b/>
          <w:sz w:val="24"/>
        </w:rPr>
        <w:t>en ligne et hors ligne</w:t>
      </w:r>
      <w:r>
        <w:rPr>
          <w:rFonts w:ascii="Times New Roman" w:hAnsi="Times New Roman"/>
          <w:sz w:val="24"/>
        </w:rPr>
        <w:t xml:space="preserve">, en assurant une </w:t>
      </w:r>
      <w:r>
        <w:rPr>
          <w:rFonts w:ascii="Times New Roman" w:hAnsi="Times New Roman"/>
          <w:b/>
          <w:sz w:val="24"/>
        </w:rPr>
        <w:t>coordination</w:t>
      </w:r>
      <w:r>
        <w:rPr>
          <w:rFonts w:ascii="Times New Roman" w:hAnsi="Times New Roman"/>
          <w:sz w:val="24"/>
        </w:rPr>
        <w:t xml:space="preserve"> afin d’optimiser l’utilisation efficace des ressources et </w:t>
      </w:r>
      <w:r>
        <w:rPr>
          <w:rFonts w:ascii="Times New Roman" w:hAnsi="Times New Roman"/>
          <w:b/>
          <w:sz w:val="24"/>
        </w:rPr>
        <w:t>d’éviter le chevauchement</w:t>
      </w:r>
      <w:r>
        <w:rPr>
          <w:rFonts w:ascii="Times New Roman" w:hAnsi="Times New Roman"/>
          <w:sz w:val="24"/>
        </w:rPr>
        <w:t xml:space="preserve"> des efforts. </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 xml:space="preserve">Le </w:t>
      </w:r>
      <w:r>
        <w:rPr>
          <w:rFonts w:ascii="Times New Roman" w:hAnsi="Times New Roman"/>
          <w:b/>
          <w:sz w:val="24"/>
        </w:rPr>
        <w:t>Parlement européen</w:t>
      </w:r>
      <w:r>
        <w:rPr>
          <w:rFonts w:ascii="Times New Roman" w:hAnsi="Times New Roman"/>
          <w:sz w:val="24"/>
        </w:rPr>
        <w:t xml:space="preserve"> a demandé la création d’un centre dans sa </w:t>
      </w:r>
      <w:r>
        <w:rPr>
          <w:rFonts w:ascii="Times New Roman" w:hAnsi="Times New Roman"/>
          <w:b/>
          <w:sz w:val="24"/>
        </w:rPr>
        <w:t>résolution</w:t>
      </w:r>
      <w:r>
        <w:rPr>
          <w:rFonts w:ascii="Times New Roman" w:hAnsi="Times New Roman"/>
          <w:sz w:val="24"/>
        </w:rPr>
        <w:t xml:space="preserve"> de novembre 2019</w:t>
      </w:r>
      <w:r>
        <w:rPr>
          <w:rStyle w:val="FootnoteReference"/>
          <w:rFonts w:ascii="Times New Roman" w:hAnsi="Times New Roman" w:cs="Times New Roman"/>
          <w:sz w:val="24"/>
          <w:lang w:val="en-GB"/>
        </w:rPr>
        <w:footnoteReference w:id="66"/>
      </w:r>
      <w:r>
        <w:rPr>
          <w:rFonts w:ascii="Times New Roman" w:hAnsi="Times New Roman"/>
          <w:sz w:val="24"/>
        </w:rPr>
        <w:t xml:space="preserve"> et les </w:t>
      </w:r>
      <w:r>
        <w:rPr>
          <w:rFonts w:ascii="Times New Roman" w:hAnsi="Times New Roman"/>
          <w:b/>
          <w:sz w:val="24"/>
        </w:rPr>
        <w:t>États membres</w:t>
      </w:r>
      <w:r>
        <w:rPr>
          <w:rFonts w:ascii="Times New Roman" w:hAnsi="Times New Roman"/>
          <w:sz w:val="24"/>
        </w:rPr>
        <w:t xml:space="preserve"> ont souligné, dans les conclusions du Conseil d’octobre 2019, la nécessité d’une </w:t>
      </w:r>
      <w:r>
        <w:rPr>
          <w:rFonts w:ascii="Times New Roman" w:hAnsi="Times New Roman"/>
          <w:b/>
          <w:sz w:val="24"/>
        </w:rPr>
        <w:t>approche coordonnée et multipartite</w:t>
      </w:r>
      <w:r>
        <w:rPr>
          <w:rStyle w:val="FootnoteReference"/>
          <w:rFonts w:ascii="Times New Roman" w:hAnsi="Times New Roman" w:cs="Times New Roman"/>
          <w:sz w:val="24"/>
          <w:lang w:val="en-GB"/>
        </w:rPr>
        <w:footnoteReference w:id="67"/>
      </w:r>
      <w:r>
        <w:rPr>
          <w:rFonts w:ascii="Times New Roman" w:hAnsi="Times New Roman"/>
          <w:sz w:val="24"/>
        </w:rPr>
        <w:t xml:space="preserve">. Le centre pourrait s’appuyer sur les bonnes pratiques et les enseignements tirés de </w:t>
      </w:r>
      <w:r>
        <w:rPr>
          <w:rFonts w:ascii="Times New Roman" w:hAnsi="Times New Roman"/>
          <w:b/>
          <w:sz w:val="24"/>
        </w:rPr>
        <w:t>centres similaires dans le monde</w:t>
      </w:r>
      <w:r>
        <w:rPr>
          <w:rFonts w:ascii="Times New Roman" w:hAnsi="Times New Roman"/>
          <w:sz w:val="24"/>
        </w:rPr>
        <w:t xml:space="preserve">, tels que le National Centre for Missing and Exploited Children (NCMEC) aux États-Unis, le Centre canadien de protection de l’enfance et l’Australian Centre to Counter Child Exploitation. </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 xml:space="preserve">Afin d’assurer un </w:t>
      </w:r>
      <w:r>
        <w:rPr>
          <w:rFonts w:ascii="Times New Roman" w:hAnsi="Times New Roman"/>
          <w:b/>
          <w:sz w:val="24"/>
        </w:rPr>
        <w:t>soutien global</w:t>
      </w:r>
      <w:r>
        <w:rPr>
          <w:rFonts w:ascii="Times New Roman" w:hAnsi="Times New Roman"/>
          <w:sz w:val="24"/>
        </w:rPr>
        <w:t xml:space="preserve"> aux États membres dans la lutte contre les abus sexuels commis contre des enfants, et sous réserve d’une évaluation ultérieure, les fonctions du centre pourraient couvrir </w:t>
      </w:r>
      <w:r>
        <w:rPr>
          <w:rFonts w:ascii="Times New Roman" w:hAnsi="Times New Roman"/>
          <w:b/>
          <w:sz w:val="24"/>
        </w:rPr>
        <w:t>trois domaines</w:t>
      </w:r>
      <w:r>
        <w:rPr>
          <w:rFonts w:ascii="Times New Roman" w:hAnsi="Times New Roman"/>
          <w:sz w:val="24"/>
        </w:rPr>
        <w:t xml:space="preserve">: </w:t>
      </w:r>
    </w:p>
    <w:p w:rsidR="005A7D8E" w:rsidRDefault="001F309D">
      <w:pPr>
        <w:pStyle w:val="ListParagraph"/>
        <w:numPr>
          <w:ilvl w:val="0"/>
          <w:numId w:val="56"/>
        </w:numPr>
        <w:spacing w:after="120" w:line="240" w:lineRule="auto"/>
        <w:contextualSpacing w:val="0"/>
        <w:jc w:val="both"/>
        <w:rPr>
          <w:rFonts w:ascii="Times New Roman" w:hAnsi="Times New Roman" w:cs="Times New Roman"/>
          <w:sz w:val="24"/>
          <w:szCs w:val="24"/>
        </w:rPr>
      </w:pPr>
      <w:r>
        <w:rPr>
          <w:rFonts w:ascii="Times New Roman" w:hAnsi="Times New Roman"/>
          <w:b/>
          <w:sz w:val="24"/>
          <w:szCs w:val="24"/>
        </w:rPr>
        <w:t>L’application de la loi</w:t>
      </w:r>
      <w:r>
        <w:rPr>
          <w:rFonts w:ascii="Times New Roman" w:hAnsi="Times New Roman"/>
          <w:sz w:val="24"/>
          <w:szCs w:val="24"/>
        </w:rPr>
        <w:t xml:space="preserve">: Europol est un acteur clé dans la lutte contre les abus sexuels commis contre des enfants, notamment grâce à l’analyse et la transmission de signalements d’abus communiqués par les États-Unis. En s’appuyant sur le rôle et l’expérience d’Europol, le centre pourrait travailler avec les services répressifs de l’Union et de pays tiers afin de s’assurer que les victimes sont identifiées et soutenues dès que possible, et que les auteurs d’abus sont traduits en justice. Il pourrait soutenir les États membres en recevant des signalements d’abus sexuels contre des enfants dans l’Union provenant d’entreprises </w:t>
      </w:r>
      <w:r>
        <w:rPr>
          <w:rFonts w:ascii="Times New Roman" w:hAnsi="Times New Roman"/>
          <w:b/>
          <w:sz w:val="24"/>
          <w:szCs w:val="24"/>
        </w:rPr>
        <w:t>proposant leurs services au sein de l’Union</w:t>
      </w:r>
      <w:r>
        <w:rPr>
          <w:rFonts w:ascii="Times New Roman" w:hAnsi="Times New Roman"/>
          <w:sz w:val="24"/>
          <w:szCs w:val="24"/>
        </w:rPr>
        <w:t>, s’assurer de leur pertinence et les transmettre aux services répressifs en vue de l’application de mesures. Le centre pourrait</w:t>
      </w:r>
      <w:r>
        <w:rPr>
          <w:rFonts w:ascii="Times New Roman" w:hAnsi="Times New Roman"/>
          <w:sz w:val="24"/>
        </w:rPr>
        <w:t xml:space="preserve"> également aider les entreprises, par exemple en tenant à jour une </w:t>
      </w:r>
      <w:r>
        <w:rPr>
          <w:rFonts w:ascii="Times New Roman" w:hAnsi="Times New Roman"/>
          <w:b/>
          <w:sz w:val="24"/>
        </w:rPr>
        <w:t>base de données unique</w:t>
      </w:r>
      <w:r>
        <w:rPr>
          <w:rFonts w:ascii="Times New Roman" w:hAnsi="Times New Roman"/>
          <w:sz w:val="24"/>
        </w:rPr>
        <w:t xml:space="preserve"> au sein de l’Union de contenus à caractère pédopornographique connu afin de faciliter sa détection dans les systèmes des entreprises, conformément aux règles en matière de protection des données de l’Union européenne. </w:t>
      </w:r>
      <w:r>
        <w:rPr>
          <w:rFonts w:ascii="Times New Roman" w:hAnsi="Times New Roman"/>
          <w:sz w:val="24"/>
          <w:szCs w:val="24"/>
        </w:rPr>
        <w:t xml:space="preserve">En outre, le centre pourrait également contribuer à l’application de la loi en coordonnant et en facilitant le retrait de contenus à caractère pédopornographique en ligne repérés grâce aux </w:t>
      </w:r>
      <w:r>
        <w:rPr>
          <w:rFonts w:ascii="Times New Roman" w:hAnsi="Times New Roman"/>
          <w:b/>
          <w:sz w:val="24"/>
          <w:szCs w:val="24"/>
        </w:rPr>
        <w:t>lignes d’assistance téléphonique</w:t>
      </w:r>
      <w:r>
        <w:rPr>
          <w:rFonts w:ascii="Times New Roman" w:hAnsi="Times New Roman"/>
          <w:sz w:val="24"/>
          <w:szCs w:val="24"/>
        </w:rPr>
        <w:t xml:space="preserve">. </w:t>
      </w:r>
    </w:p>
    <w:p w:rsidR="005A7D8E" w:rsidRDefault="001F309D">
      <w:pPr>
        <w:pStyle w:val="ListParagraph"/>
        <w:spacing w:after="120" w:line="240" w:lineRule="auto"/>
        <w:ind w:left="360"/>
        <w:contextualSpacing w:val="0"/>
        <w:jc w:val="both"/>
        <w:rPr>
          <w:rFonts w:ascii="Times New Roman" w:hAnsi="Times New Roman" w:cs="Times New Roman"/>
          <w:sz w:val="24"/>
          <w:szCs w:val="24"/>
        </w:rPr>
      </w:pPr>
      <w:r>
        <w:rPr>
          <w:rFonts w:ascii="Times New Roman" w:hAnsi="Times New Roman"/>
          <w:sz w:val="24"/>
        </w:rPr>
        <w:t xml:space="preserve">Le centre pourrait agir selon des mécanismes de contrôle stricts afin de garantir les principes de </w:t>
      </w:r>
      <w:r>
        <w:rPr>
          <w:rFonts w:ascii="Times New Roman" w:hAnsi="Times New Roman"/>
          <w:b/>
          <w:sz w:val="24"/>
        </w:rPr>
        <w:t>responsabilité et de transparence</w:t>
      </w:r>
      <w:r>
        <w:rPr>
          <w:rFonts w:ascii="Times New Roman" w:hAnsi="Times New Roman"/>
          <w:sz w:val="24"/>
        </w:rPr>
        <w:t xml:space="preserve">. Notamment, le centre pourrait contribuer à veiller à ce qu’il n’y ait pas de retrait erroné ni d’utilisation abusive des outils de recherche afin de signaler du contenu légitime (y compris une mauvaise utilisation des outils à des fins différentes de celles de la lutte contre les abus sexuels d’enfants), et jouer un rôle dans la </w:t>
      </w:r>
      <w:r>
        <w:rPr>
          <w:rFonts w:ascii="Times New Roman" w:hAnsi="Times New Roman"/>
          <w:b/>
          <w:sz w:val="24"/>
        </w:rPr>
        <w:t>réception des plaintes</w:t>
      </w:r>
      <w:r>
        <w:rPr>
          <w:rFonts w:ascii="Times New Roman" w:hAnsi="Times New Roman"/>
          <w:sz w:val="24"/>
        </w:rPr>
        <w:t xml:space="preserve"> provenant d’utilisateurs ayant le sentiment que leur contenu a été retiré par erreur</w:t>
      </w:r>
      <w:r>
        <w:rPr>
          <w:rFonts w:ascii="Times New Roman" w:hAnsi="Times New Roman"/>
          <w:sz w:val="24"/>
          <w:szCs w:val="24"/>
        </w:rPr>
        <w:t>. La responsabilité et la transparence seront des éléments essentiels de la législation visée dans les actions clés de l’initiative n° 2.</w:t>
      </w:r>
    </w:p>
    <w:p w:rsidR="005A7D8E" w:rsidRDefault="001F309D">
      <w:pPr>
        <w:pStyle w:val="ListParagraph"/>
        <w:numPr>
          <w:ilvl w:val="0"/>
          <w:numId w:val="56"/>
        </w:numPr>
        <w:spacing w:after="120" w:line="240" w:lineRule="auto"/>
        <w:contextualSpacing w:val="0"/>
        <w:jc w:val="both"/>
        <w:rPr>
          <w:rFonts w:ascii="Times New Roman" w:hAnsi="Times New Roman" w:cs="Times New Roman"/>
          <w:sz w:val="24"/>
        </w:rPr>
      </w:pPr>
      <w:r>
        <w:rPr>
          <w:rFonts w:ascii="Times New Roman" w:hAnsi="Times New Roman"/>
          <w:b/>
          <w:sz w:val="24"/>
        </w:rPr>
        <w:t>La prévention</w:t>
      </w:r>
      <w:r>
        <w:rPr>
          <w:rFonts w:ascii="Times New Roman" w:hAnsi="Times New Roman"/>
          <w:sz w:val="24"/>
        </w:rPr>
        <w:t xml:space="preserve">: en s’appuyant sur les travaux du réseau de prévention, le centre pourrait soutenir les États membres en mettant en place des mesures de prévention pluridisciplinaires </w:t>
      </w:r>
      <w:r>
        <w:rPr>
          <w:rFonts w:ascii="Times New Roman" w:hAnsi="Times New Roman"/>
          <w:b/>
          <w:sz w:val="24"/>
        </w:rPr>
        <w:t>exploitables, rigoureusement évaluées et efficaces</w:t>
      </w:r>
      <w:r>
        <w:rPr>
          <w:rFonts w:ascii="Times New Roman" w:hAnsi="Times New Roman"/>
          <w:sz w:val="24"/>
        </w:rPr>
        <w:t xml:space="preserve"> afin de réduire la prévalence des abus sexuels commis contre des enfants dans l’Union européenne, en tenant compte des vulnérabilités différentes des enfants selon leur âge, leur genre, leur développement et leur situation particulière. Il pourrait faciliter la </w:t>
      </w:r>
      <w:r>
        <w:rPr>
          <w:rFonts w:ascii="Times New Roman" w:hAnsi="Times New Roman"/>
          <w:b/>
          <w:sz w:val="24"/>
        </w:rPr>
        <w:t>coordination</w:t>
      </w:r>
      <w:r>
        <w:rPr>
          <w:rFonts w:ascii="Times New Roman" w:hAnsi="Times New Roman"/>
          <w:sz w:val="24"/>
        </w:rPr>
        <w:t xml:space="preserve"> afin de favoriser l’utilisation la plus efficace des ressources investies et des compétences disponibles dans le cadre de la prévention au sein de l’UE, </w:t>
      </w:r>
      <w:r>
        <w:rPr>
          <w:rFonts w:ascii="Times New Roman" w:hAnsi="Times New Roman"/>
          <w:b/>
          <w:sz w:val="24"/>
        </w:rPr>
        <w:t>en évitant le chevauchement</w:t>
      </w:r>
      <w:r>
        <w:rPr>
          <w:rFonts w:ascii="Times New Roman" w:hAnsi="Times New Roman"/>
          <w:sz w:val="24"/>
        </w:rPr>
        <w:t xml:space="preserve"> des efforts. En tant que </w:t>
      </w:r>
      <w:r>
        <w:rPr>
          <w:rFonts w:ascii="Times New Roman" w:hAnsi="Times New Roman"/>
          <w:b/>
          <w:sz w:val="24"/>
        </w:rPr>
        <w:t>plateforme permettant de relier, élargir et diffuser les recherches et les compétences</w:t>
      </w:r>
      <w:r>
        <w:rPr>
          <w:rFonts w:ascii="Times New Roman" w:hAnsi="Times New Roman"/>
          <w:sz w:val="24"/>
        </w:rPr>
        <w:t xml:space="preserve">, le centre pourrait faciliter et encourager le dialogue entre toutes les parties prenantes pertinentes et contribuer au développement </w:t>
      </w:r>
      <w:r>
        <w:rPr>
          <w:rFonts w:ascii="Times New Roman" w:hAnsi="Times New Roman"/>
          <w:b/>
          <w:sz w:val="24"/>
        </w:rPr>
        <w:t>de recherches et de connaissances d’avant-garde, y compris de données de meilleure qualité</w:t>
      </w:r>
      <w:r>
        <w:rPr>
          <w:rFonts w:ascii="Times New Roman" w:hAnsi="Times New Roman"/>
          <w:sz w:val="24"/>
        </w:rPr>
        <w:t xml:space="preserve">. Il pourrait également </w:t>
      </w:r>
      <w:r>
        <w:rPr>
          <w:rFonts w:ascii="Times New Roman" w:hAnsi="Times New Roman"/>
          <w:b/>
          <w:sz w:val="24"/>
        </w:rPr>
        <w:t>fournir des informations aux décideurs politiques</w:t>
      </w:r>
      <w:r>
        <w:rPr>
          <w:rFonts w:ascii="Times New Roman" w:hAnsi="Times New Roman"/>
          <w:sz w:val="24"/>
        </w:rPr>
        <w:t xml:space="preserve"> aux niveaux national et européen sur les lacunes en matière de prévention et les solutions possibles pour les combler.</w:t>
      </w:r>
    </w:p>
    <w:p w:rsidR="005A7D8E" w:rsidRDefault="001F309D">
      <w:pPr>
        <w:pStyle w:val="ListParagraph"/>
        <w:numPr>
          <w:ilvl w:val="0"/>
          <w:numId w:val="56"/>
        </w:numPr>
        <w:spacing w:after="120" w:line="240" w:lineRule="auto"/>
        <w:contextualSpacing w:val="0"/>
        <w:jc w:val="both"/>
        <w:rPr>
          <w:rFonts w:ascii="Times New Roman" w:hAnsi="Times New Roman" w:cs="Times New Roman"/>
          <w:sz w:val="24"/>
        </w:rPr>
      </w:pPr>
      <w:r>
        <w:rPr>
          <w:rFonts w:ascii="Times New Roman" w:hAnsi="Times New Roman"/>
          <w:b/>
          <w:sz w:val="24"/>
        </w:rPr>
        <w:t>L’assistance aux victimes</w:t>
      </w:r>
      <w:r>
        <w:rPr>
          <w:rFonts w:ascii="Times New Roman" w:hAnsi="Times New Roman"/>
          <w:sz w:val="24"/>
        </w:rPr>
        <w:t xml:space="preserve">: le centre pourrait travailler en étroite collaboration avec les autorités nationales et les experts à l’échelle mondiale afin de veiller à ce que les </w:t>
      </w:r>
      <w:r>
        <w:rPr>
          <w:rFonts w:ascii="Times New Roman" w:hAnsi="Times New Roman"/>
          <w:b/>
          <w:sz w:val="24"/>
        </w:rPr>
        <w:t>victimes</w:t>
      </w:r>
      <w:r>
        <w:rPr>
          <w:rFonts w:ascii="Times New Roman" w:hAnsi="Times New Roman"/>
          <w:sz w:val="24"/>
        </w:rPr>
        <w:t xml:space="preserve"> reçoivent le soutien </w:t>
      </w:r>
      <w:r>
        <w:rPr>
          <w:rFonts w:ascii="Times New Roman" w:hAnsi="Times New Roman"/>
          <w:b/>
          <w:sz w:val="24"/>
        </w:rPr>
        <w:t>approprié et global</w:t>
      </w:r>
      <w:r>
        <w:rPr>
          <w:rFonts w:ascii="Times New Roman" w:hAnsi="Times New Roman"/>
          <w:sz w:val="24"/>
        </w:rPr>
        <w:t>, conformément à la directive relative aux abus sexuels commis contre des enfants et à la directive sur les droits des victimes</w:t>
      </w:r>
      <w:r>
        <w:rPr>
          <w:rStyle w:val="FootnoteReference"/>
          <w:rFonts w:ascii="Times New Roman" w:hAnsi="Times New Roman" w:cs="Times New Roman"/>
          <w:sz w:val="24"/>
          <w:lang w:val="en-GB"/>
        </w:rPr>
        <w:footnoteReference w:id="68"/>
      </w:r>
      <w:r>
        <w:rPr>
          <w:rStyle w:val="FootnoteReference"/>
          <w:rFonts w:ascii="Times New Roman" w:hAnsi="Times New Roman" w:cs="Times New Roman"/>
          <w:sz w:val="24"/>
          <w:lang w:val="en-GB"/>
        </w:rPr>
        <w:footnoteReference w:id="69"/>
      </w:r>
      <w:r>
        <w:rPr>
          <w:rFonts w:ascii="Times New Roman" w:hAnsi="Times New Roman"/>
          <w:sz w:val="24"/>
        </w:rPr>
        <w:t>. Il pourrait également œuvrer en faveur de l’</w:t>
      </w:r>
      <w:r>
        <w:rPr>
          <w:rFonts w:ascii="Times New Roman" w:hAnsi="Times New Roman"/>
          <w:b/>
          <w:sz w:val="24"/>
        </w:rPr>
        <w:t>échange de bonnes pratiques</w:t>
      </w:r>
      <w:r>
        <w:rPr>
          <w:rFonts w:ascii="Times New Roman" w:hAnsi="Times New Roman"/>
          <w:sz w:val="24"/>
        </w:rPr>
        <w:t xml:space="preserve"> sur les mesures de protection pour les enfants victimes, mais aussi soutenir les États membres</w:t>
      </w:r>
      <w:r>
        <w:rPr>
          <w:rFonts w:ascii="Times New Roman" w:hAnsi="Times New Roman"/>
          <w:b/>
          <w:sz w:val="24"/>
        </w:rPr>
        <w:t xml:space="preserve"> en menant des activités de recherche</w:t>
      </w:r>
      <w:r>
        <w:rPr>
          <w:rFonts w:ascii="Times New Roman" w:hAnsi="Times New Roman"/>
          <w:sz w:val="24"/>
        </w:rPr>
        <w:t xml:space="preserve"> (par exemple sur les effets à court et à long terme des abus sexuels d’enfants sur les victimes) pour </w:t>
      </w:r>
      <w:r>
        <w:rPr>
          <w:rFonts w:ascii="Times New Roman" w:hAnsi="Times New Roman"/>
          <w:b/>
          <w:sz w:val="24"/>
        </w:rPr>
        <w:t>soutenir une stratégie fondée sur les faits</w:t>
      </w:r>
      <w:r>
        <w:rPr>
          <w:rFonts w:ascii="Times New Roman" w:hAnsi="Times New Roman"/>
          <w:sz w:val="24"/>
        </w:rPr>
        <w:t xml:space="preserve"> relative à l’assistance et au soutien aux victimes, et intervenir </w:t>
      </w:r>
      <w:r>
        <w:rPr>
          <w:rFonts w:ascii="Times New Roman" w:hAnsi="Times New Roman"/>
          <w:b/>
          <w:sz w:val="24"/>
        </w:rPr>
        <w:t>en tant que pôle d’expertise</w:t>
      </w:r>
      <w:r>
        <w:rPr>
          <w:rFonts w:ascii="Times New Roman" w:hAnsi="Times New Roman"/>
          <w:sz w:val="24"/>
        </w:rPr>
        <w:t xml:space="preserve"> afin de contribuer à une meilleure coordination et d’éviter le chevauchement des efforts. Le centre pourrait également </w:t>
      </w:r>
      <w:r>
        <w:rPr>
          <w:rFonts w:ascii="Times New Roman" w:hAnsi="Times New Roman"/>
          <w:b/>
          <w:sz w:val="24"/>
        </w:rPr>
        <w:t>soutenir les victimes en retirant leurs images et vidéos</w:t>
      </w:r>
      <w:r>
        <w:rPr>
          <w:rFonts w:ascii="Times New Roman" w:hAnsi="Times New Roman"/>
          <w:sz w:val="24"/>
        </w:rPr>
        <w:t xml:space="preserve"> afin de protéger leur vie privée, notamment </w:t>
      </w:r>
      <w:r>
        <w:rPr>
          <w:rFonts w:ascii="Times New Roman" w:hAnsi="Times New Roman"/>
          <w:b/>
          <w:sz w:val="24"/>
        </w:rPr>
        <w:t>en recherchant de manière proactive</w:t>
      </w:r>
      <w:r>
        <w:rPr>
          <w:rFonts w:ascii="Times New Roman" w:hAnsi="Times New Roman"/>
          <w:sz w:val="24"/>
        </w:rPr>
        <w:t xml:space="preserve"> le matériel en ligne et en informant les entreprises</w:t>
      </w:r>
      <w:r>
        <w:rPr>
          <w:rStyle w:val="FootnoteReference"/>
          <w:rFonts w:ascii="Times New Roman" w:hAnsi="Times New Roman" w:cs="Times New Roman"/>
          <w:sz w:val="24"/>
          <w:lang w:val="en-GB"/>
        </w:rPr>
        <w:footnoteReference w:id="70"/>
      </w:r>
      <w:r>
        <w:rPr>
          <w:rFonts w:ascii="Times New Roman" w:hAnsi="Times New Roman"/>
          <w:sz w:val="24"/>
        </w:rPr>
        <w:t xml:space="preserve">. </w:t>
      </w:r>
    </w:p>
    <w:p w:rsidR="005A7D8E" w:rsidRDefault="001F309D">
      <w:pPr>
        <w:spacing w:after="120" w:line="240" w:lineRule="auto"/>
        <w:jc w:val="both"/>
        <w:rPr>
          <w:rFonts w:ascii="Times New Roman" w:hAnsi="Times New Roman" w:cs="Times New Roman"/>
          <w:sz w:val="24"/>
          <w:szCs w:val="24"/>
        </w:rPr>
      </w:pPr>
      <w:r>
        <w:rPr>
          <w:rFonts w:ascii="Times New Roman" w:hAnsi="Times New Roman"/>
          <w:sz w:val="24"/>
          <w:szCs w:val="24"/>
        </w:rPr>
        <w:t xml:space="preserve">Le centre </w:t>
      </w:r>
      <w:r>
        <w:rPr>
          <w:rFonts w:ascii="Times New Roman" w:hAnsi="Times New Roman"/>
          <w:sz w:val="24"/>
        </w:rPr>
        <w:t xml:space="preserve">pourrait </w:t>
      </w:r>
      <w:r>
        <w:rPr>
          <w:rFonts w:ascii="Times New Roman" w:hAnsi="Times New Roman"/>
          <w:b/>
          <w:sz w:val="24"/>
          <w:szCs w:val="24"/>
        </w:rPr>
        <w:t>réunir toutes les initiatives</w:t>
      </w:r>
      <w:r>
        <w:rPr>
          <w:rFonts w:ascii="Times New Roman" w:hAnsi="Times New Roman"/>
          <w:sz w:val="24"/>
          <w:szCs w:val="24"/>
        </w:rPr>
        <w:t xml:space="preserve"> de la présente stratégie en permettant une </w:t>
      </w:r>
      <w:r>
        <w:rPr>
          <w:rFonts w:ascii="Times New Roman" w:hAnsi="Times New Roman"/>
          <w:b/>
          <w:sz w:val="24"/>
          <w:szCs w:val="24"/>
        </w:rPr>
        <w:t>coopération plus efficace</w:t>
      </w:r>
      <w:r>
        <w:rPr>
          <w:rFonts w:ascii="Times New Roman" w:hAnsi="Times New Roman"/>
          <w:sz w:val="24"/>
          <w:szCs w:val="24"/>
        </w:rPr>
        <w:t xml:space="preserve"> entre les autorités publiques (y compris les services répressifs), les entreprises et la société civile au sein de l’UE et à l’échelle mondiale, et en devenant l’</w:t>
      </w:r>
      <w:r>
        <w:rPr>
          <w:rFonts w:ascii="Times New Roman" w:hAnsi="Times New Roman"/>
          <w:b/>
          <w:sz w:val="24"/>
          <w:szCs w:val="24"/>
        </w:rPr>
        <w:t>entité de référence dans l’UE en matière d’expertise</w:t>
      </w:r>
      <w:r>
        <w:rPr>
          <w:rFonts w:ascii="Times New Roman" w:hAnsi="Times New Roman"/>
          <w:sz w:val="24"/>
          <w:szCs w:val="24"/>
        </w:rPr>
        <w:t xml:space="preserve"> dans ce domaine:</w:t>
      </w:r>
    </w:p>
    <w:p w:rsidR="005A7D8E" w:rsidRDefault="001F309D">
      <w:pPr>
        <w:pStyle w:val="ListParagraph"/>
        <w:numPr>
          <w:ilvl w:val="0"/>
          <w:numId w:val="32"/>
        </w:numPr>
        <w:spacing w:after="120" w:line="240" w:lineRule="auto"/>
        <w:contextualSpacing w:val="0"/>
        <w:jc w:val="both"/>
        <w:rPr>
          <w:rFonts w:ascii="Times New Roman" w:hAnsi="Times New Roman" w:cs="Times New Roman"/>
          <w:sz w:val="24"/>
          <w:szCs w:val="24"/>
        </w:rPr>
      </w:pPr>
      <w:r>
        <w:rPr>
          <w:rFonts w:ascii="Times New Roman" w:hAnsi="Times New Roman"/>
          <w:b/>
          <w:sz w:val="24"/>
          <w:szCs w:val="24"/>
        </w:rPr>
        <w:t>initiatives axées sur la législation</w:t>
      </w:r>
      <w:r>
        <w:rPr>
          <w:rFonts w:ascii="Times New Roman" w:hAnsi="Times New Roman"/>
          <w:sz w:val="24"/>
          <w:szCs w:val="24"/>
        </w:rPr>
        <w:t xml:space="preserve">: le centre </w:t>
      </w:r>
      <w:r>
        <w:rPr>
          <w:rFonts w:ascii="Times New Roman" w:hAnsi="Times New Roman"/>
          <w:sz w:val="24"/>
        </w:rPr>
        <w:t xml:space="preserve">pourrait </w:t>
      </w:r>
      <w:r>
        <w:rPr>
          <w:rFonts w:ascii="Times New Roman" w:hAnsi="Times New Roman"/>
          <w:b/>
          <w:sz w:val="24"/>
          <w:szCs w:val="24"/>
        </w:rPr>
        <w:t>apporter son expertise à la Commission</w:t>
      </w:r>
      <w:r>
        <w:rPr>
          <w:rFonts w:ascii="Times New Roman" w:hAnsi="Times New Roman"/>
          <w:sz w:val="24"/>
          <w:szCs w:val="24"/>
        </w:rPr>
        <w:t xml:space="preserve"> et l'aider dans son rôle de soutien aux États membres dans la mise en application de la directive relative aux abus sexuels commis contre des enfants. Cette expertise, qui grandirait au fur et à mesure que le centre continuera à recenser les lacunes et les bonnes pratiques dans l’UE et au-delà, faciliterait la </w:t>
      </w:r>
      <w:r>
        <w:rPr>
          <w:rFonts w:ascii="Times New Roman" w:hAnsi="Times New Roman"/>
          <w:b/>
          <w:sz w:val="24"/>
          <w:szCs w:val="24"/>
        </w:rPr>
        <w:t>stratégie fondée sur les faits</w:t>
      </w:r>
      <w:r>
        <w:rPr>
          <w:rFonts w:ascii="Times New Roman" w:hAnsi="Times New Roman"/>
          <w:sz w:val="24"/>
          <w:szCs w:val="24"/>
        </w:rPr>
        <w:t xml:space="preserve"> de la Commission, qui pourrait également garantir que la législation de l’UE soit à jour pour permettre une réponse efficace;</w:t>
      </w:r>
    </w:p>
    <w:p w:rsidR="005A7D8E" w:rsidRDefault="001F309D">
      <w:pPr>
        <w:pStyle w:val="ListParagraph"/>
        <w:numPr>
          <w:ilvl w:val="0"/>
          <w:numId w:val="32"/>
        </w:numPr>
        <w:spacing w:after="120" w:line="240" w:lineRule="auto"/>
        <w:contextualSpacing w:val="0"/>
        <w:jc w:val="both"/>
        <w:rPr>
          <w:rFonts w:ascii="Times New Roman" w:hAnsi="Times New Roman" w:cs="Times New Roman"/>
          <w:sz w:val="24"/>
          <w:szCs w:val="24"/>
        </w:rPr>
      </w:pPr>
      <w:r>
        <w:rPr>
          <w:rFonts w:ascii="Times New Roman" w:hAnsi="Times New Roman"/>
          <w:b/>
          <w:sz w:val="24"/>
          <w:szCs w:val="24"/>
        </w:rPr>
        <w:t>initiatives axées sur la coopération et le financement</w:t>
      </w:r>
      <w:r>
        <w:rPr>
          <w:rFonts w:ascii="Times New Roman" w:hAnsi="Times New Roman"/>
          <w:sz w:val="24"/>
          <w:szCs w:val="24"/>
        </w:rPr>
        <w:t xml:space="preserve">: en collaborant étroitement avec la Commission et des centres similaires dans d’autres pays, et avec l’Alliance mondiale WePROTECT visant à mettre fin à l’exploitation sexuelle des enfants, le centre </w:t>
      </w:r>
      <w:r>
        <w:rPr>
          <w:rFonts w:ascii="Times New Roman" w:hAnsi="Times New Roman"/>
          <w:sz w:val="24"/>
        </w:rPr>
        <w:t xml:space="preserve">pourrait </w:t>
      </w:r>
      <w:r>
        <w:rPr>
          <w:rFonts w:ascii="Times New Roman" w:hAnsi="Times New Roman"/>
          <w:sz w:val="24"/>
          <w:szCs w:val="24"/>
        </w:rPr>
        <w:t xml:space="preserve">veiller à ce que tous les États membres disposent d’un </w:t>
      </w:r>
      <w:r>
        <w:rPr>
          <w:rFonts w:ascii="Times New Roman" w:hAnsi="Times New Roman"/>
          <w:b/>
          <w:sz w:val="24"/>
          <w:szCs w:val="24"/>
        </w:rPr>
        <w:t>accès immédiat et centralisé aux bonnes pratiques à l’échelle mondiale</w:t>
      </w:r>
      <w:r>
        <w:rPr>
          <w:rFonts w:ascii="Times New Roman" w:hAnsi="Times New Roman"/>
          <w:sz w:val="24"/>
          <w:szCs w:val="24"/>
        </w:rPr>
        <w:t xml:space="preserve">, et à ce que les enfants du monde entier puissent bénéficier des bonnes pratiques de l’UE. Le centre pourrait également s’appuyer sur les résultats du </w:t>
      </w:r>
      <w:r>
        <w:rPr>
          <w:rFonts w:ascii="Times New Roman" w:hAnsi="Times New Roman"/>
          <w:b/>
          <w:sz w:val="24"/>
          <w:szCs w:val="24"/>
        </w:rPr>
        <w:t>réseau de prévention</w:t>
      </w:r>
      <w:r>
        <w:rPr>
          <w:rFonts w:ascii="Times New Roman" w:hAnsi="Times New Roman"/>
          <w:sz w:val="24"/>
          <w:szCs w:val="24"/>
        </w:rPr>
        <w:t xml:space="preserve"> et sur l’expérience des centres pour un internet plus sûr.</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 xml:space="preserve">La Commission travaillera étroitement avec le Parlement européen et les États membres pour </w:t>
      </w:r>
      <w:r>
        <w:rPr>
          <w:rFonts w:ascii="Times New Roman" w:hAnsi="Times New Roman"/>
          <w:b/>
          <w:sz w:val="24"/>
        </w:rPr>
        <w:t>explorer les différentes options de mise en application</w:t>
      </w:r>
      <w:r>
        <w:rPr>
          <w:rFonts w:ascii="Times New Roman" w:hAnsi="Times New Roman"/>
          <w:sz w:val="24"/>
        </w:rPr>
        <w:t xml:space="preserve">, notamment </w:t>
      </w:r>
      <w:r>
        <w:rPr>
          <w:rFonts w:ascii="Times New Roman" w:hAnsi="Times New Roman"/>
          <w:b/>
          <w:sz w:val="24"/>
        </w:rPr>
        <w:t>en utilisant les structures existantes</w:t>
      </w:r>
      <w:r>
        <w:rPr>
          <w:rFonts w:ascii="Times New Roman" w:hAnsi="Times New Roman"/>
          <w:sz w:val="24"/>
        </w:rPr>
        <w:t xml:space="preserve"> pour les fonctions du centre, le cas échéant, en vue d’optimiser la valeur ajoutée, l’efficacité et la durabilité du centre. La Commission réalisera une </w:t>
      </w:r>
      <w:r>
        <w:rPr>
          <w:rFonts w:ascii="Times New Roman" w:hAnsi="Times New Roman"/>
          <w:b/>
          <w:sz w:val="24"/>
        </w:rPr>
        <w:t>analyse d’impact</w:t>
      </w:r>
      <w:r>
        <w:rPr>
          <w:rFonts w:ascii="Times New Roman" w:hAnsi="Times New Roman"/>
          <w:sz w:val="24"/>
        </w:rPr>
        <w:t xml:space="preserve"> et lancera immédiatement une étude afin de déterminer la meilleure voie à suivre, y compris les meilleurs mécanismes de financement et la meilleure forme juridique que ce centre devrait adopter.</w:t>
      </w:r>
    </w:p>
    <w:p w:rsidR="005A7D8E" w:rsidRDefault="001F309D">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i/>
          <w:sz w:val="24"/>
          <w:szCs w:val="24"/>
        </w:rPr>
      </w:pPr>
      <w:r>
        <w:rPr>
          <w:rFonts w:ascii="Times New Roman" w:hAnsi="Times New Roman"/>
          <w:b/>
          <w:i/>
          <w:sz w:val="24"/>
          <w:szCs w:val="24"/>
        </w:rPr>
        <w:t>Action clé:</w:t>
      </w:r>
    </w:p>
    <w:p w:rsidR="005A7D8E" w:rsidRDefault="001F309D">
      <w:pPr>
        <w:pStyle w:val="ListParagraph"/>
        <w:numPr>
          <w:ilvl w:val="0"/>
          <w:numId w:val="54"/>
        </w:numPr>
        <w:pBdr>
          <w:top w:val="single" w:sz="4" w:space="1" w:color="auto"/>
          <w:left w:val="single" w:sz="4" w:space="4" w:color="auto"/>
          <w:bottom w:val="single" w:sz="4" w:space="1" w:color="auto"/>
          <w:right w:val="single" w:sz="4" w:space="4" w:color="auto"/>
        </w:pBdr>
        <w:spacing w:after="120" w:line="240" w:lineRule="auto"/>
        <w:contextualSpacing w:val="0"/>
        <w:jc w:val="both"/>
        <w:rPr>
          <w:rFonts w:ascii="Times New Roman" w:hAnsi="Times New Roman" w:cs="Times New Roman"/>
          <w:sz w:val="24"/>
          <w:szCs w:val="24"/>
        </w:rPr>
      </w:pPr>
      <w:r>
        <w:rPr>
          <w:rFonts w:ascii="Times New Roman" w:hAnsi="Times New Roman"/>
          <w:i/>
          <w:sz w:val="24"/>
        </w:rPr>
        <w:t>La Commission commandera immédiatement une étude en vue de la création d’un centre européen pour prévenir et combattre les abus sexuels commis contre des enfants, afin de permettre une réponse globale et efficace de l’UE aux abus sexuels commis contre des enfants en ligne et hors ligne.</w:t>
      </w:r>
    </w:p>
    <w:p w:rsidR="005A7D8E" w:rsidRDefault="001F309D">
      <w:pPr>
        <w:pStyle w:val="Heading2"/>
        <w:numPr>
          <w:ilvl w:val="0"/>
          <w:numId w:val="18"/>
        </w:numPr>
        <w:spacing w:before="0" w:after="120" w:line="240" w:lineRule="auto"/>
        <w:jc w:val="both"/>
        <w:rPr>
          <w:rFonts w:ascii="Times New Roman" w:hAnsi="Times New Roman" w:cs="Times New Roman"/>
          <w:b/>
          <w:color w:val="auto"/>
          <w:sz w:val="24"/>
          <w:szCs w:val="24"/>
        </w:rPr>
      </w:pPr>
      <w:r>
        <w:rPr>
          <w:rFonts w:ascii="Times New Roman" w:hAnsi="Times New Roman"/>
          <w:b/>
          <w:color w:val="auto"/>
          <w:sz w:val="24"/>
          <w:szCs w:val="24"/>
        </w:rPr>
        <w:t xml:space="preserve">Galvaniser les efforts des entreprises afin d’assurer la protection des enfants dans leurs produits </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 xml:space="preserve">Les fournisseurs de certains services en ligne sont </w:t>
      </w:r>
      <w:r>
        <w:rPr>
          <w:rFonts w:ascii="Times New Roman" w:hAnsi="Times New Roman"/>
          <w:b/>
          <w:sz w:val="24"/>
        </w:rPr>
        <w:t>particulièrement bien placés</w:t>
      </w:r>
      <w:r>
        <w:rPr>
          <w:rFonts w:ascii="Times New Roman" w:hAnsi="Times New Roman"/>
          <w:sz w:val="24"/>
        </w:rPr>
        <w:t xml:space="preserve"> pour prévenir, </w:t>
      </w:r>
      <w:r>
        <w:rPr>
          <w:rFonts w:ascii="Times New Roman" w:hAnsi="Times New Roman"/>
          <w:b/>
          <w:sz w:val="24"/>
        </w:rPr>
        <w:t>détecter et signaler</w:t>
      </w:r>
      <w:r>
        <w:rPr>
          <w:rFonts w:ascii="Times New Roman" w:hAnsi="Times New Roman"/>
          <w:sz w:val="24"/>
        </w:rPr>
        <w:t xml:space="preserve"> les abus sexuels commis contre des enfants survenant en utilisant leur infrastructure ou leurs services. </w:t>
      </w:r>
    </w:p>
    <w:p w:rsidR="005A7D8E" w:rsidRDefault="001F309D">
      <w:pPr>
        <w:spacing w:after="120" w:line="240" w:lineRule="auto"/>
        <w:jc w:val="both"/>
        <w:rPr>
          <w:rFonts w:ascii="Times New Roman" w:hAnsi="Times New Roman" w:cs="Times New Roman"/>
          <w:sz w:val="24"/>
          <w:szCs w:val="24"/>
        </w:rPr>
      </w:pPr>
      <w:r>
        <w:rPr>
          <w:rFonts w:ascii="Times New Roman" w:hAnsi="Times New Roman"/>
          <w:sz w:val="24"/>
          <w:szCs w:val="24"/>
        </w:rPr>
        <w:t xml:space="preserve">À ce jour, un certain nombre d’entreprises détectent volontairement les abus sexuels commis contre des enfants. Le NCMEC a reçu près de </w:t>
      </w:r>
      <w:r>
        <w:rPr>
          <w:rFonts w:ascii="Times New Roman" w:hAnsi="Times New Roman"/>
          <w:b/>
          <w:sz w:val="24"/>
          <w:szCs w:val="24"/>
        </w:rPr>
        <w:t>17 millions</w:t>
      </w:r>
      <w:r>
        <w:rPr>
          <w:rFonts w:ascii="Times New Roman" w:hAnsi="Times New Roman"/>
          <w:sz w:val="24"/>
          <w:szCs w:val="24"/>
        </w:rPr>
        <w:t xml:space="preserve"> de signalements d’abus sexuels commis contre des enfants de la part de ces entreprises rien qu’en 2019</w:t>
      </w:r>
      <w:r>
        <w:rPr>
          <w:rStyle w:val="FootnoteReference"/>
          <w:rFonts w:ascii="Times New Roman" w:hAnsi="Times New Roman" w:cs="Times New Roman"/>
          <w:sz w:val="24"/>
          <w:szCs w:val="24"/>
          <w:lang w:val="en-GB"/>
        </w:rPr>
        <w:footnoteReference w:id="71"/>
      </w:r>
      <w:r>
        <w:rPr>
          <w:rFonts w:ascii="Times New Roman" w:hAnsi="Times New Roman"/>
          <w:sz w:val="24"/>
          <w:szCs w:val="24"/>
        </w:rPr>
        <w:t xml:space="preserve">. Ces signalements </w:t>
      </w:r>
      <w:r>
        <w:rPr>
          <w:rFonts w:ascii="Times New Roman" w:hAnsi="Times New Roman"/>
          <w:sz w:val="24"/>
        </w:rPr>
        <w:t xml:space="preserve">comprennent non seulement des images et vidéos d’abus, mais également des situations qui constituent un </w:t>
      </w:r>
      <w:r>
        <w:rPr>
          <w:rFonts w:ascii="Times New Roman" w:hAnsi="Times New Roman"/>
          <w:b/>
          <w:sz w:val="24"/>
        </w:rPr>
        <w:t>danger imminent pour les enfants</w:t>
      </w:r>
      <w:r>
        <w:rPr>
          <w:rFonts w:ascii="Times New Roman" w:hAnsi="Times New Roman"/>
          <w:sz w:val="24"/>
        </w:rPr>
        <w:t xml:space="preserve"> (par exemple, des méthodes détaillées pour rencontrer les enfants en vue d’abus physiques ou des menaces de suicide de la part de l’enfant à la suite d’un chantage par l’agresseur). Ces signalements </w:t>
      </w:r>
      <w:r>
        <w:rPr>
          <w:rFonts w:ascii="Times New Roman" w:hAnsi="Times New Roman"/>
          <w:b/>
          <w:sz w:val="24"/>
          <w:szCs w:val="24"/>
        </w:rPr>
        <w:t>contribuent</w:t>
      </w:r>
      <w:r>
        <w:rPr>
          <w:rFonts w:ascii="Times New Roman" w:hAnsi="Times New Roman"/>
          <w:sz w:val="24"/>
          <w:szCs w:val="24"/>
        </w:rPr>
        <w:t xml:space="preserve"> depuis des années à </w:t>
      </w:r>
      <w:r>
        <w:rPr>
          <w:rFonts w:ascii="Times New Roman" w:hAnsi="Times New Roman"/>
          <w:b/>
          <w:sz w:val="24"/>
          <w:szCs w:val="24"/>
        </w:rPr>
        <w:t>sauver des enfants d’abus persistants au sein de l’UE</w:t>
      </w:r>
      <w:r>
        <w:rPr>
          <w:rFonts w:ascii="Times New Roman" w:hAnsi="Times New Roman"/>
          <w:sz w:val="24"/>
          <w:szCs w:val="24"/>
        </w:rPr>
        <w:t xml:space="preserve">. Ils ont notamment permis: </w:t>
      </w:r>
    </w:p>
    <w:p w:rsidR="005A7D8E" w:rsidRDefault="001F309D">
      <w:pPr>
        <w:pStyle w:val="ListParagraph"/>
        <w:numPr>
          <w:ilvl w:val="0"/>
          <w:numId w:val="19"/>
        </w:numPr>
        <w:spacing w:after="120" w:line="240" w:lineRule="auto"/>
        <w:contextualSpacing w:val="0"/>
        <w:jc w:val="both"/>
        <w:rPr>
          <w:rFonts w:ascii="Times New Roman" w:hAnsi="Times New Roman" w:cs="Times New Roman"/>
          <w:sz w:val="24"/>
          <w:szCs w:val="24"/>
        </w:rPr>
      </w:pPr>
      <w:r>
        <w:rPr>
          <w:rFonts w:ascii="Times New Roman" w:hAnsi="Times New Roman"/>
          <w:sz w:val="24"/>
          <w:szCs w:val="24"/>
        </w:rPr>
        <w:t>le sauvetage de 11 enfants, dont certains âgés de seulement deux ans, qui étaient exploités par un réseau d’auteurs d’abus en Suède</w:t>
      </w:r>
      <w:r>
        <w:rPr>
          <w:rStyle w:val="FootnoteReference"/>
          <w:rFonts w:ascii="Times New Roman" w:hAnsi="Times New Roman" w:cs="Times New Roman"/>
          <w:sz w:val="24"/>
          <w:szCs w:val="24"/>
        </w:rPr>
        <w:footnoteReference w:id="72"/>
      </w:r>
      <w:r>
        <w:rPr>
          <w:rFonts w:ascii="Times New Roman" w:hAnsi="Times New Roman"/>
          <w:sz w:val="24"/>
          <w:szCs w:val="24"/>
        </w:rPr>
        <w:t>;</w:t>
      </w:r>
    </w:p>
    <w:p w:rsidR="005A7D8E" w:rsidRDefault="001F309D">
      <w:pPr>
        <w:pStyle w:val="ListParagraph"/>
        <w:numPr>
          <w:ilvl w:val="0"/>
          <w:numId w:val="19"/>
        </w:numPr>
        <w:spacing w:after="120" w:line="240" w:lineRule="auto"/>
        <w:contextualSpacing w:val="0"/>
        <w:jc w:val="both"/>
        <w:rPr>
          <w:rFonts w:ascii="Times New Roman" w:hAnsi="Times New Roman" w:cs="Times New Roman"/>
          <w:sz w:val="24"/>
          <w:szCs w:val="24"/>
        </w:rPr>
      </w:pPr>
      <w:r>
        <w:rPr>
          <w:rFonts w:ascii="Times New Roman" w:hAnsi="Times New Roman"/>
          <w:sz w:val="24"/>
          <w:szCs w:val="24"/>
        </w:rPr>
        <w:t>la plus grande opération de tous les temps contre les abus sexuels commis contre des enfants au Danemark</w:t>
      </w:r>
      <w:r>
        <w:rPr>
          <w:rStyle w:val="FootnoteReference"/>
          <w:rFonts w:ascii="Times New Roman" w:hAnsi="Times New Roman" w:cs="Times New Roman"/>
          <w:sz w:val="24"/>
          <w:szCs w:val="24"/>
        </w:rPr>
        <w:footnoteReference w:id="73"/>
      </w:r>
      <w:r>
        <w:rPr>
          <w:rFonts w:ascii="Times New Roman" w:hAnsi="Times New Roman"/>
          <w:sz w:val="24"/>
          <w:szCs w:val="24"/>
        </w:rPr>
        <w:t>;</w:t>
      </w:r>
    </w:p>
    <w:p w:rsidR="005A7D8E" w:rsidRDefault="001F309D">
      <w:pPr>
        <w:pStyle w:val="ListParagraph"/>
        <w:numPr>
          <w:ilvl w:val="0"/>
          <w:numId w:val="19"/>
        </w:numPr>
        <w:spacing w:after="120" w:line="240" w:lineRule="auto"/>
        <w:contextualSpacing w:val="0"/>
        <w:jc w:val="both"/>
        <w:rPr>
          <w:rFonts w:ascii="Times New Roman" w:hAnsi="Times New Roman" w:cs="Times New Roman"/>
          <w:sz w:val="24"/>
          <w:szCs w:val="24"/>
        </w:rPr>
      </w:pPr>
      <w:r>
        <w:rPr>
          <w:rFonts w:ascii="Times New Roman" w:hAnsi="Times New Roman"/>
          <w:sz w:val="24"/>
          <w:szCs w:val="24"/>
        </w:rPr>
        <w:t>le sauvetage d’une fillette de neuf ans en Roumanie, abusée par son père pendant plus d’un an</w:t>
      </w:r>
      <w:r>
        <w:rPr>
          <w:rStyle w:val="FootnoteReference"/>
          <w:rFonts w:ascii="Times New Roman" w:hAnsi="Times New Roman" w:cs="Times New Roman"/>
          <w:sz w:val="24"/>
          <w:szCs w:val="24"/>
        </w:rPr>
        <w:footnoteReference w:id="74"/>
      </w:r>
      <w:r>
        <w:rPr>
          <w:rFonts w:ascii="Times New Roman" w:hAnsi="Times New Roman"/>
          <w:sz w:val="24"/>
          <w:szCs w:val="24"/>
        </w:rPr>
        <w:t>;</w:t>
      </w:r>
    </w:p>
    <w:p w:rsidR="005A7D8E" w:rsidRDefault="001F309D">
      <w:pPr>
        <w:pStyle w:val="ListParagraph"/>
        <w:numPr>
          <w:ilvl w:val="0"/>
          <w:numId w:val="19"/>
        </w:numPr>
        <w:spacing w:after="120" w:line="240" w:lineRule="auto"/>
        <w:contextualSpacing w:val="0"/>
        <w:jc w:val="both"/>
        <w:rPr>
          <w:rFonts w:ascii="Times New Roman" w:hAnsi="Times New Roman" w:cs="Times New Roman"/>
          <w:sz w:val="24"/>
          <w:szCs w:val="24"/>
        </w:rPr>
      </w:pPr>
      <w:r>
        <w:rPr>
          <w:rFonts w:ascii="Times New Roman" w:hAnsi="Times New Roman"/>
          <w:sz w:val="24"/>
          <w:szCs w:val="24"/>
        </w:rPr>
        <w:t>le sauvetage d’une fillette de quatre ans et de son frère de dix ans en Allemagne, abusés par leur père</w:t>
      </w:r>
      <w:r>
        <w:rPr>
          <w:rStyle w:val="FootnoteReference"/>
          <w:rFonts w:ascii="Times New Roman" w:hAnsi="Times New Roman" w:cs="Times New Roman"/>
          <w:sz w:val="24"/>
          <w:szCs w:val="24"/>
        </w:rPr>
        <w:footnoteReference w:id="75"/>
      </w:r>
      <w:r>
        <w:rPr>
          <w:rFonts w:ascii="Times New Roman" w:hAnsi="Times New Roman"/>
          <w:sz w:val="24"/>
          <w:szCs w:val="24"/>
        </w:rPr>
        <w:t>;</w:t>
      </w:r>
    </w:p>
    <w:p w:rsidR="005A7D8E" w:rsidRDefault="001F309D">
      <w:pPr>
        <w:pStyle w:val="ListParagraph"/>
        <w:numPr>
          <w:ilvl w:val="0"/>
          <w:numId w:val="19"/>
        </w:numPr>
        <w:spacing w:after="120" w:line="240" w:lineRule="auto"/>
        <w:contextualSpacing w:val="0"/>
        <w:jc w:val="both"/>
        <w:rPr>
          <w:rFonts w:ascii="Times New Roman" w:hAnsi="Times New Roman" w:cs="Times New Roman"/>
          <w:sz w:val="24"/>
          <w:szCs w:val="24"/>
        </w:rPr>
      </w:pPr>
      <w:r>
        <w:rPr>
          <w:rFonts w:ascii="Times New Roman" w:hAnsi="Times New Roman"/>
          <w:sz w:val="24"/>
          <w:szCs w:val="24"/>
        </w:rPr>
        <w:t>l’arrestation d’un agresseur en France ayant piégé 100 enfants pour obtenir d’eux des contenus à caractère pédopornographique</w:t>
      </w:r>
      <w:r>
        <w:rPr>
          <w:rStyle w:val="FootnoteReference"/>
          <w:rFonts w:ascii="Times New Roman" w:hAnsi="Times New Roman" w:cs="Times New Roman"/>
          <w:sz w:val="24"/>
          <w:szCs w:val="24"/>
        </w:rPr>
        <w:footnoteReference w:id="76"/>
      </w:r>
      <w:r>
        <w:rPr>
          <w:rFonts w:ascii="Times New Roman" w:hAnsi="Times New Roman"/>
          <w:sz w:val="24"/>
          <w:szCs w:val="24"/>
        </w:rPr>
        <w:t>;</w:t>
      </w:r>
    </w:p>
    <w:p w:rsidR="005A7D8E" w:rsidRDefault="001F309D">
      <w:pPr>
        <w:pStyle w:val="ListParagraph"/>
        <w:numPr>
          <w:ilvl w:val="0"/>
          <w:numId w:val="19"/>
        </w:numPr>
        <w:spacing w:after="120" w:line="240" w:lineRule="auto"/>
        <w:contextualSpacing w:val="0"/>
        <w:jc w:val="both"/>
        <w:rPr>
          <w:rFonts w:ascii="Times New Roman" w:hAnsi="Times New Roman" w:cs="Times New Roman"/>
          <w:sz w:val="24"/>
          <w:szCs w:val="24"/>
        </w:rPr>
      </w:pPr>
      <w:r>
        <w:rPr>
          <w:rFonts w:ascii="Times New Roman" w:hAnsi="Times New Roman"/>
          <w:sz w:val="24"/>
          <w:szCs w:val="24"/>
        </w:rPr>
        <w:t>le sauvetage de deux fillettes en Tchéquie, abusées par un homme de 52 ans ayant enregistré et diffusé l’agression en ligne</w:t>
      </w:r>
      <w:r>
        <w:rPr>
          <w:rStyle w:val="FootnoteReference"/>
          <w:rFonts w:ascii="Times New Roman" w:hAnsi="Times New Roman" w:cs="Times New Roman"/>
          <w:sz w:val="24"/>
          <w:szCs w:val="24"/>
        </w:rPr>
        <w:footnoteReference w:id="77"/>
      </w:r>
      <w:r>
        <w:rPr>
          <w:rFonts w:ascii="Times New Roman" w:hAnsi="Times New Roman"/>
          <w:sz w:val="24"/>
          <w:szCs w:val="24"/>
        </w:rPr>
        <w:t>.</w:t>
      </w:r>
    </w:p>
    <w:p w:rsidR="005A7D8E" w:rsidRDefault="001F309D">
      <w:pPr>
        <w:spacing w:after="120" w:line="240" w:lineRule="auto"/>
        <w:jc w:val="both"/>
        <w:rPr>
          <w:rFonts w:ascii="Times New Roman" w:hAnsi="Times New Roman" w:cs="Times New Roman"/>
          <w:sz w:val="24"/>
          <w:szCs w:val="24"/>
        </w:rPr>
      </w:pPr>
      <w:r>
        <w:rPr>
          <w:rFonts w:ascii="Times New Roman" w:hAnsi="Times New Roman"/>
          <w:sz w:val="24"/>
          <w:szCs w:val="24"/>
        </w:rPr>
        <w:t xml:space="preserve">Les efforts déployés par les entreprises pour détecter et signaler les abus sexuels d’enfants </w:t>
      </w:r>
      <w:r>
        <w:rPr>
          <w:rFonts w:ascii="Times New Roman" w:hAnsi="Times New Roman"/>
          <w:b/>
          <w:sz w:val="24"/>
          <w:szCs w:val="24"/>
        </w:rPr>
        <w:t>varient considérablement</w:t>
      </w:r>
      <w:r>
        <w:rPr>
          <w:rFonts w:ascii="Times New Roman" w:hAnsi="Times New Roman"/>
          <w:sz w:val="24"/>
          <w:szCs w:val="24"/>
        </w:rPr>
        <w:t xml:space="preserve">. En 2019, une seule entreprise, </w:t>
      </w:r>
      <w:r>
        <w:rPr>
          <w:rFonts w:ascii="Times New Roman" w:hAnsi="Times New Roman"/>
          <w:b/>
          <w:sz w:val="24"/>
          <w:szCs w:val="24"/>
        </w:rPr>
        <w:t>Facebook</w:t>
      </w:r>
      <w:r>
        <w:rPr>
          <w:rFonts w:ascii="Times New Roman" w:hAnsi="Times New Roman"/>
          <w:sz w:val="24"/>
          <w:szCs w:val="24"/>
        </w:rPr>
        <w:t>, a envoyé près de 16 millions de signalements (représentant 94 % du total des signalements cette année), tandis que d’autres entreprises basées aux États-Unis ont envoyé moins de 1 000 signalements, et certaines moins de dix</w:t>
      </w:r>
      <w:r>
        <w:rPr>
          <w:rStyle w:val="FootnoteReference"/>
          <w:rFonts w:ascii="Times New Roman" w:hAnsi="Times New Roman" w:cs="Times New Roman"/>
          <w:sz w:val="24"/>
          <w:szCs w:val="24"/>
          <w:lang w:val="en-GB"/>
        </w:rPr>
        <w:footnoteReference w:id="78"/>
      </w:r>
      <w:r>
        <w:rPr>
          <w:rFonts w:ascii="Times New Roman" w:hAnsi="Times New Roman"/>
          <w:sz w:val="24"/>
          <w:szCs w:val="24"/>
        </w:rPr>
        <w:t xml:space="preserve">.  </w:t>
      </w:r>
    </w:p>
    <w:p w:rsidR="005A7D8E" w:rsidRDefault="001F309D">
      <w:pPr>
        <w:spacing w:after="120" w:line="240" w:lineRule="auto"/>
        <w:jc w:val="both"/>
        <w:rPr>
          <w:rFonts w:ascii="Times New Roman" w:hAnsi="Times New Roman" w:cs="Times New Roman"/>
          <w:sz w:val="24"/>
          <w:szCs w:val="24"/>
        </w:rPr>
      </w:pPr>
      <w:r>
        <w:rPr>
          <w:rFonts w:ascii="Times New Roman" w:hAnsi="Times New Roman"/>
          <w:sz w:val="24"/>
          <w:szCs w:val="24"/>
        </w:rPr>
        <w:t xml:space="preserve">L’année dernière, Facebook a annoncé qu’il prévoyait de mettre en œuvre le </w:t>
      </w:r>
      <w:r>
        <w:rPr>
          <w:rFonts w:ascii="Times New Roman" w:hAnsi="Times New Roman"/>
          <w:b/>
          <w:sz w:val="24"/>
          <w:szCs w:val="24"/>
        </w:rPr>
        <w:t>chiffrement de bout en bout</w:t>
      </w:r>
      <w:r>
        <w:rPr>
          <w:rFonts w:ascii="Times New Roman" w:hAnsi="Times New Roman"/>
          <w:sz w:val="24"/>
          <w:szCs w:val="24"/>
        </w:rPr>
        <w:t xml:space="preserve"> par défaut dans son service de messagerie instantanée. En l’absence de mesures d’accompagnement, on estime que cette technologie pourrait réduire le nombre total de signalements d’abus sexuels commis contre des enfants dans l’UE (et dans le monde) de </w:t>
      </w:r>
      <w:r>
        <w:rPr>
          <w:rFonts w:ascii="Times New Roman" w:hAnsi="Times New Roman"/>
          <w:b/>
          <w:sz w:val="24"/>
          <w:szCs w:val="24"/>
        </w:rPr>
        <w:t>plus de la moitié</w:t>
      </w:r>
      <w:r>
        <w:rPr>
          <w:rStyle w:val="FootnoteReference"/>
          <w:rFonts w:ascii="Times New Roman" w:hAnsi="Times New Roman" w:cs="Times New Roman"/>
          <w:sz w:val="24"/>
          <w:szCs w:val="24"/>
          <w:lang w:val="en-GB"/>
        </w:rPr>
        <w:footnoteReference w:id="79"/>
      </w:r>
      <w:r>
        <w:rPr>
          <w:rFonts w:ascii="Times New Roman" w:hAnsi="Times New Roman"/>
          <w:sz w:val="24"/>
          <w:szCs w:val="24"/>
        </w:rPr>
        <w:t xml:space="preserve"> à </w:t>
      </w:r>
      <w:r>
        <w:rPr>
          <w:rFonts w:ascii="Times New Roman" w:hAnsi="Times New Roman"/>
          <w:b/>
          <w:sz w:val="24"/>
          <w:szCs w:val="24"/>
        </w:rPr>
        <w:t>deux tiers</w:t>
      </w:r>
      <w:r>
        <w:rPr>
          <w:rStyle w:val="FootnoteReference"/>
          <w:rFonts w:ascii="Times New Roman" w:hAnsi="Times New Roman" w:cs="Times New Roman"/>
          <w:sz w:val="24"/>
          <w:szCs w:val="24"/>
          <w:lang w:val="en-GB"/>
        </w:rPr>
        <w:footnoteReference w:id="80"/>
      </w:r>
      <w:r>
        <w:rPr>
          <w:rFonts w:ascii="Times New Roman" w:hAnsi="Times New Roman"/>
          <w:sz w:val="24"/>
          <w:szCs w:val="24"/>
        </w:rPr>
        <w:t>, car les outils de détection actuellement utilisés ne fonctionnent pas sur les communications chiffrées de bout en bout.</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 xml:space="preserve">Compte tenu du rôle clé que certains services en ligne jouent dans la diffusion de contenus à caractère pédopornographique, et de l’importance réelle et potentielle des entreprises dans la lutte contre les abus sexuels commis contre des enfants, il est essentiel que celles-ci </w:t>
      </w:r>
      <w:r>
        <w:rPr>
          <w:rFonts w:ascii="Times New Roman" w:hAnsi="Times New Roman"/>
          <w:b/>
          <w:sz w:val="24"/>
        </w:rPr>
        <w:t>s’engagent</w:t>
      </w:r>
      <w:r>
        <w:rPr>
          <w:rFonts w:ascii="Times New Roman" w:hAnsi="Times New Roman"/>
          <w:sz w:val="24"/>
        </w:rPr>
        <w:t xml:space="preserve"> à protéger les enfants dans leurs produits, dans le respect des droits fondamentaux de l’Union européenne, notamment en matière de protection de la vie privée et des données à caractère personnel. </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 xml:space="preserve">En 2020, la Commission a entamé des travaux afin de soutenir les efforts des entreprises dans la lutte contre les abus sexuels commis contre des enfants en ligne dans le cadre du </w:t>
      </w:r>
      <w:r>
        <w:rPr>
          <w:rFonts w:ascii="Times New Roman" w:hAnsi="Times New Roman"/>
          <w:b/>
          <w:sz w:val="24"/>
        </w:rPr>
        <w:t>forum de l’UE sur l’internet</w:t>
      </w:r>
      <w:r>
        <w:rPr>
          <w:rFonts w:ascii="Times New Roman" w:hAnsi="Times New Roman"/>
          <w:sz w:val="24"/>
        </w:rPr>
        <w:t>.</w:t>
      </w:r>
      <w:r>
        <w:rPr>
          <w:rFonts w:ascii="Times New Roman" w:hAnsi="Times New Roman"/>
          <w:b/>
          <w:sz w:val="24"/>
        </w:rPr>
        <w:t xml:space="preserve"> </w:t>
      </w:r>
      <w:r>
        <w:rPr>
          <w:rFonts w:ascii="Times New Roman" w:hAnsi="Times New Roman"/>
          <w:sz w:val="24"/>
        </w:rPr>
        <w:t>Le forum, qui réunit tous les ministres des affaires intérieures de l’UE, les représentants de haut niveau des grands acteurs de l’internet, le Parlement européen et Europol, existe depuis 2015 et fait figure de modèle d’une collaboration intersectorielle réussie dans la lutte contre le contenu terroriste en ligne. Il a dorénavant élargi ses activités aux abus sexuels commis contre des enfants en ligne</w:t>
      </w:r>
      <w:r>
        <w:rPr>
          <w:rStyle w:val="FootnoteReference"/>
          <w:rFonts w:ascii="Times New Roman" w:hAnsi="Times New Roman" w:cs="Times New Roman"/>
          <w:color w:val="FFFFFF" w:themeColor="background1"/>
          <w:sz w:val="24"/>
          <w:lang w:val="en-GB"/>
        </w:rPr>
        <w:footnoteReference w:id="81"/>
      </w:r>
      <w:r>
        <w:rPr>
          <w:rFonts w:ascii="Times New Roman" w:hAnsi="Times New Roman"/>
          <w:sz w:val="24"/>
        </w:rPr>
        <w:t>.</w:t>
      </w:r>
      <w:r>
        <w:rPr>
          <w:rFonts w:ascii="Times New Roman" w:hAnsi="Times New Roman"/>
          <w:color w:val="FFFFFF" w:themeColor="background1"/>
          <w:sz w:val="24"/>
        </w:rPr>
        <w:t xml:space="preserve"> </w:t>
      </w:r>
      <w:r>
        <w:rPr>
          <w:rFonts w:ascii="Times New Roman" w:hAnsi="Times New Roman"/>
          <w:sz w:val="24"/>
        </w:rPr>
        <w:t xml:space="preserve"> </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 xml:space="preserve">Outre la poursuite du soutien à la lutte contre le contenu terroriste en ligne, le forum de l’UE sur l’internet offrira un </w:t>
      </w:r>
      <w:r>
        <w:rPr>
          <w:rFonts w:ascii="Times New Roman" w:hAnsi="Times New Roman"/>
          <w:b/>
          <w:sz w:val="24"/>
        </w:rPr>
        <w:t>espace commun pour partager les bonnes pratiques et les défis</w:t>
      </w:r>
      <w:r>
        <w:rPr>
          <w:rFonts w:ascii="Times New Roman" w:hAnsi="Times New Roman"/>
          <w:sz w:val="24"/>
        </w:rPr>
        <w:t xml:space="preserve"> auxquels sont confrontés les acteurs privés et publics dans leur lutte contre les abus sexuels commis contre des enfants en ligne afin d’</w:t>
      </w:r>
      <w:r>
        <w:rPr>
          <w:rFonts w:ascii="Times New Roman" w:hAnsi="Times New Roman"/>
          <w:b/>
          <w:sz w:val="24"/>
        </w:rPr>
        <w:t>accroître la compréhension mutuelle et de trouver des solutions ensemble</w:t>
      </w:r>
      <w:r>
        <w:rPr>
          <w:rFonts w:ascii="Times New Roman" w:hAnsi="Times New Roman"/>
          <w:sz w:val="24"/>
        </w:rPr>
        <w:t xml:space="preserve">. Il permettra également une </w:t>
      </w:r>
      <w:r>
        <w:rPr>
          <w:rFonts w:ascii="Times New Roman" w:hAnsi="Times New Roman"/>
          <w:b/>
          <w:sz w:val="24"/>
        </w:rPr>
        <w:t>coordination politique de haut niveau</w:t>
      </w:r>
      <w:r>
        <w:rPr>
          <w:rFonts w:ascii="Times New Roman" w:hAnsi="Times New Roman"/>
          <w:sz w:val="24"/>
        </w:rPr>
        <w:t xml:space="preserve"> afin d’optimiser l’efficacité et l’efficience des actions au sein de l’Union.</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 xml:space="preserve">L’une des initiatives spécifiques entreprises dans le cadre du forum de l’UE sur l’internet en 2020 est la création d’un </w:t>
      </w:r>
      <w:r>
        <w:rPr>
          <w:rFonts w:ascii="Times New Roman" w:hAnsi="Times New Roman"/>
          <w:b/>
          <w:sz w:val="24"/>
        </w:rPr>
        <w:t>processus d’experts</w:t>
      </w:r>
      <w:r>
        <w:rPr>
          <w:rFonts w:ascii="Times New Roman" w:hAnsi="Times New Roman"/>
          <w:sz w:val="24"/>
        </w:rPr>
        <w:t xml:space="preserve"> techniques destiné à recenser et évaluer les solutions pouvant permettre aux entreprises de </w:t>
      </w:r>
      <w:r>
        <w:rPr>
          <w:rFonts w:ascii="Times New Roman" w:hAnsi="Times New Roman"/>
          <w:b/>
          <w:sz w:val="24"/>
        </w:rPr>
        <w:t>détecter et signaler</w:t>
      </w:r>
      <w:r>
        <w:rPr>
          <w:rFonts w:ascii="Times New Roman" w:hAnsi="Times New Roman"/>
          <w:sz w:val="24"/>
        </w:rPr>
        <w:t xml:space="preserve"> les abus sexuels commis contre des enfants dans les </w:t>
      </w:r>
      <w:r>
        <w:rPr>
          <w:rFonts w:ascii="Times New Roman" w:hAnsi="Times New Roman"/>
          <w:b/>
          <w:sz w:val="24"/>
        </w:rPr>
        <w:t>communications électroniques chiffrées de bout en bout</w:t>
      </w:r>
      <w:r>
        <w:rPr>
          <w:rFonts w:ascii="Times New Roman" w:hAnsi="Times New Roman"/>
          <w:sz w:val="24"/>
        </w:rPr>
        <w:t xml:space="preserve">, en respectant pleinement les droits fondamentaux et sans créer de nouvelles vulnérabilités que les criminels pourraient exploiter. Des experts techniques issus du milieu universitaire, des entreprises, des autorités publiques et des organisations de la société civile examineront les solutions possibles axées sur les dispositifs, les serveurs et les protocoles de chiffrement pouvant assurer la confidentialité et la sécurité des communications électroniques ainsi que la protection des enfants contre les abus sexuels et l’exploitation sexuelle. </w:t>
      </w:r>
    </w:p>
    <w:p w:rsidR="005A7D8E" w:rsidRDefault="001F309D">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i/>
          <w:sz w:val="24"/>
        </w:rPr>
      </w:pPr>
      <w:r>
        <w:rPr>
          <w:rFonts w:ascii="Times New Roman" w:hAnsi="Times New Roman"/>
          <w:b/>
          <w:i/>
          <w:sz w:val="24"/>
        </w:rPr>
        <w:t>Action clé:</w:t>
      </w:r>
    </w:p>
    <w:p w:rsidR="005A7D8E" w:rsidRDefault="001F309D">
      <w:pPr>
        <w:pStyle w:val="ListParagraph"/>
        <w:numPr>
          <w:ilvl w:val="0"/>
          <w:numId w:val="54"/>
        </w:numPr>
        <w:pBdr>
          <w:top w:val="single" w:sz="4" w:space="1" w:color="auto"/>
          <w:left w:val="single" w:sz="4" w:space="4" w:color="auto"/>
          <w:bottom w:val="single" w:sz="4" w:space="1" w:color="auto"/>
          <w:right w:val="single" w:sz="4" w:space="4" w:color="auto"/>
        </w:pBdr>
        <w:spacing w:after="120" w:line="240" w:lineRule="auto"/>
        <w:contextualSpacing w:val="0"/>
        <w:jc w:val="both"/>
        <w:rPr>
          <w:rFonts w:ascii="Times New Roman" w:hAnsi="Times New Roman" w:cs="Times New Roman"/>
          <w:i/>
          <w:sz w:val="24"/>
        </w:rPr>
      </w:pPr>
      <w:r>
        <w:rPr>
          <w:rFonts w:ascii="Times New Roman" w:hAnsi="Times New Roman"/>
          <w:i/>
          <w:sz w:val="24"/>
        </w:rPr>
        <w:t xml:space="preserve">Dans le cadre du </w:t>
      </w:r>
      <w:r>
        <w:rPr>
          <w:rFonts w:ascii="Times New Roman" w:hAnsi="Times New Roman"/>
          <w:b/>
          <w:i/>
          <w:sz w:val="24"/>
        </w:rPr>
        <w:t>forum de l’UE sur l’internet</w:t>
      </w:r>
      <w:r>
        <w:rPr>
          <w:rFonts w:ascii="Times New Roman" w:hAnsi="Times New Roman"/>
          <w:i/>
          <w:sz w:val="24"/>
        </w:rPr>
        <w:t xml:space="preserve">, la Commission a amorcé un processus d’experts avec les entreprises dans le but de procéder à un recensement et à une évaluation préliminaire, </w:t>
      </w:r>
      <w:r>
        <w:rPr>
          <w:rFonts w:ascii="Times New Roman" w:hAnsi="Times New Roman"/>
          <w:b/>
          <w:i/>
          <w:sz w:val="24"/>
        </w:rPr>
        <w:t>d’ici à la fin de 2020</w:t>
      </w:r>
      <w:r>
        <w:rPr>
          <w:rFonts w:ascii="Times New Roman" w:hAnsi="Times New Roman"/>
          <w:i/>
          <w:sz w:val="24"/>
        </w:rPr>
        <w:t xml:space="preserve">, des solutions techniques éventuelles permettant de </w:t>
      </w:r>
      <w:r>
        <w:rPr>
          <w:rFonts w:ascii="Times New Roman" w:hAnsi="Times New Roman"/>
          <w:b/>
          <w:i/>
          <w:sz w:val="24"/>
        </w:rPr>
        <w:t>détecter et de signaler</w:t>
      </w:r>
      <w:r>
        <w:rPr>
          <w:rFonts w:ascii="Times New Roman" w:hAnsi="Times New Roman"/>
          <w:i/>
          <w:sz w:val="24"/>
        </w:rPr>
        <w:t xml:space="preserve"> les abus sexuels commis contre des enfants dans les </w:t>
      </w:r>
      <w:r>
        <w:rPr>
          <w:rFonts w:ascii="Times New Roman" w:hAnsi="Times New Roman"/>
          <w:b/>
          <w:i/>
          <w:sz w:val="24"/>
        </w:rPr>
        <w:t>communications électroniques chiffrées de bout en bout</w:t>
      </w:r>
      <w:r>
        <w:rPr>
          <w:rFonts w:ascii="Times New Roman" w:hAnsi="Times New Roman"/>
          <w:i/>
          <w:sz w:val="24"/>
        </w:rPr>
        <w:t xml:space="preserve">, et de se pencher sur les défis et possibilités d’ordre </w:t>
      </w:r>
      <w:r>
        <w:rPr>
          <w:rFonts w:ascii="Times New Roman" w:hAnsi="Times New Roman"/>
          <w:b/>
          <w:i/>
          <w:sz w:val="24"/>
        </w:rPr>
        <w:t>réglementaire et opérationnel</w:t>
      </w:r>
      <w:r>
        <w:rPr>
          <w:rFonts w:ascii="Times New Roman" w:hAnsi="Times New Roman"/>
          <w:i/>
          <w:sz w:val="24"/>
        </w:rPr>
        <w:t xml:space="preserve"> caractérisant la lutte contre ces crimes.</w:t>
      </w:r>
    </w:p>
    <w:p w:rsidR="005A7D8E" w:rsidRDefault="001F309D">
      <w:pPr>
        <w:pStyle w:val="Heading2"/>
        <w:numPr>
          <w:ilvl w:val="0"/>
          <w:numId w:val="18"/>
        </w:numPr>
        <w:spacing w:before="0" w:after="120" w:line="240" w:lineRule="auto"/>
        <w:rPr>
          <w:rFonts w:ascii="Times New Roman" w:hAnsi="Times New Roman" w:cs="Times New Roman"/>
          <w:b/>
          <w:color w:val="auto"/>
          <w:sz w:val="24"/>
          <w:szCs w:val="24"/>
        </w:rPr>
      </w:pPr>
      <w:r>
        <w:rPr>
          <w:rFonts w:ascii="Times New Roman" w:hAnsi="Times New Roman"/>
          <w:b/>
          <w:color w:val="auto"/>
          <w:sz w:val="24"/>
          <w:szCs w:val="24"/>
        </w:rPr>
        <w:t xml:space="preserve">Améliorer la protection des enfants dans le monde grâce à une coopération multipartite  </w:t>
      </w:r>
    </w:p>
    <w:p w:rsidR="005A7D8E" w:rsidRDefault="001F309D">
      <w:pPr>
        <w:spacing w:after="120" w:line="240" w:lineRule="auto"/>
        <w:jc w:val="both"/>
        <w:rPr>
          <w:rFonts w:ascii="Times New Roman" w:hAnsi="Times New Roman" w:cs="Times New Roman"/>
          <w:sz w:val="24"/>
          <w:szCs w:val="24"/>
        </w:rPr>
      </w:pPr>
      <w:r>
        <w:rPr>
          <w:rFonts w:ascii="Times New Roman" w:hAnsi="Times New Roman"/>
          <w:sz w:val="24"/>
          <w:szCs w:val="24"/>
        </w:rPr>
        <w:t xml:space="preserve">Les abus sexuels commis contre des enfants sont </w:t>
      </w:r>
      <w:r>
        <w:rPr>
          <w:rFonts w:ascii="Times New Roman" w:hAnsi="Times New Roman"/>
          <w:b/>
          <w:sz w:val="24"/>
          <w:szCs w:val="24"/>
        </w:rPr>
        <w:t>une réalité mondiale</w:t>
      </w:r>
      <w:r>
        <w:rPr>
          <w:rFonts w:ascii="Times New Roman" w:hAnsi="Times New Roman"/>
          <w:sz w:val="24"/>
          <w:szCs w:val="24"/>
        </w:rPr>
        <w:t xml:space="preserve">, ils surviennent dans tous les pays et groupes sociaux, </w:t>
      </w:r>
      <w:r>
        <w:rPr>
          <w:rFonts w:ascii="Times New Roman" w:hAnsi="Times New Roman"/>
          <w:b/>
          <w:sz w:val="24"/>
          <w:szCs w:val="24"/>
        </w:rPr>
        <w:t>hors ligne et en ligne</w:t>
      </w:r>
      <w:r>
        <w:rPr>
          <w:rFonts w:ascii="Times New Roman" w:hAnsi="Times New Roman"/>
          <w:sz w:val="24"/>
          <w:szCs w:val="24"/>
        </w:rPr>
        <w:t xml:space="preserve">. Selon des estimations, à tout moment dans le monde plus de </w:t>
      </w:r>
      <w:r>
        <w:rPr>
          <w:rFonts w:ascii="Times New Roman" w:hAnsi="Times New Roman"/>
          <w:b/>
          <w:sz w:val="24"/>
          <w:szCs w:val="24"/>
        </w:rPr>
        <w:t>750 000 prédateurs en ligne</w:t>
      </w:r>
      <w:r>
        <w:rPr>
          <w:rFonts w:ascii="Times New Roman" w:hAnsi="Times New Roman"/>
          <w:sz w:val="24"/>
          <w:szCs w:val="24"/>
        </w:rPr>
        <w:t xml:space="preserve"> échangent des contenus à caractère pédopornographique, diffusent en direct des abus commis contre des enfants et piègent des enfants afin de produire des contenus à caractère sexuel ou en vue de futurs abus sexuels</w:t>
      </w:r>
      <w:r>
        <w:rPr>
          <w:rStyle w:val="FootnoteReference"/>
          <w:rFonts w:ascii="Times New Roman" w:hAnsi="Times New Roman" w:cs="Times New Roman"/>
          <w:sz w:val="24"/>
          <w:szCs w:val="24"/>
        </w:rPr>
        <w:footnoteReference w:id="82"/>
      </w:r>
      <w:r>
        <w:rPr>
          <w:rFonts w:ascii="Times New Roman" w:hAnsi="Times New Roman"/>
          <w:sz w:val="24"/>
          <w:szCs w:val="24"/>
        </w:rPr>
        <w:t xml:space="preserve">. </w:t>
      </w:r>
    </w:p>
    <w:p w:rsidR="005A7D8E" w:rsidRDefault="001F309D">
      <w:pPr>
        <w:spacing w:after="120" w:line="240" w:lineRule="auto"/>
        <w:jc w:val="both"/>
        <w:rPr>
          <w:rFonts w:ascii="Times New Roman" w:hAnsi="Times New Roman" w:cs="Times New Roman"/>
          <w:sz w:val="24"/>
          <w:szCs w:val="24"/>
        </w:rPr>
      </w:pPr>
      <w:r>
        <w:rPr>
          <w:rFonts w:ascii="Times New Roman" w:hAnsi="Times New Roman"/>
          <w:sz w:val="24"/>
          <w:szCs w:val="24"/>
        </w:rPr>
        <w:t xml:space="preserve">La carte suivante indique les téléchargements en temps réel au cours d’une journée donnée d’un </w:t>
      </w:r>
      <w:r>
        <w:rPr>
          <w:rFonts w:ascii="Times New Roman" w:hAnsi="Times New Roman"/>
          <w:b/>
          <w:sz w:val="24"/>
          <w:szCs w:val="24"/>
        </w:rPr>
        <w:t>exemple</w:t>
      </w:r>
      <w:r>
        <w:rPr>
          <w:rFonts w:ascii="Times New Roman" w:hAnsi="Times New Roman"/>
          <w:sz w:val="24"/>
          <w:szCs w:val="24"/>
        </w:rPr>
        <w:t xml:space="preserve"> de contenu à caractère pédopornographique</w:t>
      </w:r>
      <w:r>
        <w:rPr>
          <w:rStyle w:val="FootnoteReference"/>
          <w:rFonts w:ascii="Times New Roman" w:hAnsi="Times New Roman" w:cs="Times New Roman"/>
          <w:sz w:val="24"/>
          <w:szCs w:val="24"/>
        </w:rPr>
        <w:footnoteReference w:id="83"/>
      </w:r>
      <w:r>
        <w:rPr>
          <w:rFonts w:ascii="Times New Roman" w:hAnsi="Times New Roman"/>
          <w:sz w:val="24"/>
          <w:szCs w:val="24"/>
        </w:rPr>
        <w:t>:</w:t>
      </w:r>
    </w:p>
    <w:p w:rsidR="005A7D8E" w:rsidRDefault="001F309D">
      <w:pPr>
        <w:spacing w:after="120" w:line="240" w:lineRule="auto"/>
        <w:jc w:val="center"/>
        <w:rPr>
          <w:rFonts w:ascii="Times New Roman" w:hAnsi="Times New Roman" w:cs="Times New Roman"/>
          <w:sz w:val="24"/>
          <w:szCs w:val="24"/>
        </w:rPr>
      </w:pPr>
      <w:r>
        <w:rPr>
          <w:noProof/>
          <w:lang w:val="en-GB" w:eastAsia="en-GB"/>
        </w:rPr>
        <w:drawing>
          <wp:inline distT="0" distB="0" distL="0" distR="0">
            <wp:extent cx="5676900" cy="3333433"/>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19694" cy="3358561"/>
                    </a:xfrm>
                    <a:prstGeom prst="rect">
                      <a:avLst/>
                    </a:prstGeom>
                  </pic:spPr>
                </pic:pic>
              </a:graphicData>
            </a:graphic>
          </wp:inline>
        </w:drawing>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 xml:space="preserve">Il est également prouvé que les auteurs d’abus </w:t>
      </w:r>
      <w:r>
        <w:rPr>
          <w:rFonts w:ascii="Times New Roman" w:hAnsi="Times New Roman"/>
          <w:b/>
          <w:sz w:val="24"/>
        </w:rPr>
        <w:t>voyagent dans des pays</w:t>
      </w:r>
      <w:r>
        <w:rPr>
          <w:rFonts w:ascii="Times New Roman" w:hAnsi="Times New Roman"/>
          <w:sz w:val="24"/>
        </w:rPr>
        <w:t xml:space="preserve"> </w:t>
      </w:r>
      <w:r>
        <w:rPr>
          <w:rFonts w:ascii="Times New Roman" w:hAnsi="Times New Roman"/>
          <w:b/>
          <w:sz w:val="24"/>
        </w:rPr>
        <w:t>tiers</w:t>
      </w:r>
      <w:r>
        <w:rPr>
          <w:rFonts w:ascii="Times New Roman" w:hAnsi="Times New Roman"/>
          <w:sz w:val="24"/>
        </w:rPr>
        <w:t xml:space="preserve"> pour tirer profit de cadres législatifs plus souples ou de capacités répressives plus faibles et commettre des abus sans craindre l’application de la loi. La capacité d’exiger des auteurs d’abus sexuels commis contre des enfants de s’</w:t>
      </w:r>
      <w:r>
        <w:rPr>
          <w:rFonts w:ascii="Times New Roman" w:hAnsi="Times New Roman"/>
          <w:b/>
          <w:sz w:val="24"/>
        </w:rPr>
        <w:t>enregistrer</w:t>
      </w:r>
      <w:r>
        <w:rPr>
          <w:rFonts w:ascii="Times New Roman" w:hAnsi="Times New Roman"/>
          <w:sz w:val="24"/>
        </w:rPr>
        <w:t xml:space="preserve"> et de respecter certaines conditions imposées par une juridiction ou les services de probation après leur libération de prison joue un rôle important dans la protection des enfants</w:t>
      </w:r>
      <w:r>
        <w:rPr>
          <w:rStyle w:val="FootnoteReference"/>
          <w:rFonts w:ascii="Times New Roman" w:hAnsi="Times New Roman" w:cs="Times New Roman"/>
          <w:sz w:val="24"/>
          <w:lang w:val="en-GB" w:eastAsia="en-GB"/>
        </w:rPr>
        <w:footnoteReference w:id="84"/>
      </w:r>
      <w:r>
        <w:rPr>
          <w:rFonts w:ascii="Times New Roman" w:hAnsi="Times New Roman"/>
          <w:sz w:val="24"/>
        </w:rPr>
        <w:t xml:space="preserve">. </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 xml:space="preserve">La Commission </w:t>
      </w:r>
      <w:r>
        <w:rPr>
          <w:rFonts w:ascii="Times New Roman" w:hAnsi="Times New Roman"/>
          <w:b/>
          <w:sz w:val="24"/>
        </w:rPr>
        <w:t>soutient les efforts à l’échelle mondiale</w:t>
      </w:r>
      <w:r>
        <w:rPr>
          <w:rFonts w:ascii="Times New Roman" w:hAnsi="Times New Roman"/>
          <w:sz w:val="24"/>
        </w:rPr>
        <w:t xml:space="preserve"> par une coopération multipartite</w:t>
      </w:r>
      <w:r>
        <w:rPr>
          <w:rStyle w:val="FootnoteReference"/>
          <w:rFonts w:ascii="Times New Roman" w:hAnsi="Times New Roman" w:cs="Times New Roman"/>
          <w:sz w:val="24"/>
          <w:lang w:val="en-GB"/>
        </w:rPr>
        <w:footnoteReference w:id="85"/>
      </w:r>
      <w:r>
        <w:rPr>
          <w:rFonts w:ascii="Times New Roman" w:hAnsi="Times New Roman"/>
          <w:sz w:val="24"/>
        </w:rPr>
        <w:t xml:space="preserve"> depuis des années, bien consciente qu’</w:t>
      </w:r>
      <w:r>
        <w:rPr>
          <w:rFonts w:ascii="Times New Roman" w:hAnsi="Times New Roman"/>
          <w:b/>
          <w:sz w:val="24"/>
        </w:rPr>
        <w:t>un réseau est indispensable pour démanteler un réseau</w:t>
      </w:r>
      <w:r>
        <w:rPr>
          <w:rFonts w:ascii="Times New Roman" w:hAnsi="Times New Roman"/>
          <w:sz w:val="24"/>
        </w:rPr>
        <w:t xml:space="preserve">. Citons par exemple la </w:t>
      </w:r>
      <w:r>
        <w:rPr>
          <w:rFonts w:ascii="Times New Roman" w:hAnsi="Times New Roman"/>
          <w:b/>
          <w:sz w:val="24"/>
        </w:rPr>
        <w:t>base de données internationale sur l’exploitation des enfants</w:t>
      </w:r>
      <w:r>
        <w:rPr>
          <w:rFonts w:ascii="Times New Roman" w:hAnsi="Times New Roman"/>
          <w:sz w:val="24"/>
        </w:rPr>
        <w:t xml:space="preserve">, financée par la Commission et hébergée par Interpol, qui contient plus de 1,5 million d’images et vidéos et qui a permis d’identifier </w:t>
      </w:r>
      <w:r>
        <w:rPr>
          <w:rFonts w:ascii="Times New Roman" w:hAnsi="Times New Roman"/>
          <w:b/>
          <w:sz w:val="24"/>
        </w:rPr>
        <w:t>20 000 victimes dans le monde</w:t>
      </w:r>
      <w:r>
        <w:rPr>
          <w:rFonts w:ascii="Times New Roman" w:hAnsi="Times New Roman"/>
          <w:sz w:val="24"/>
        </w:rPr>
        <w:t>, grâce à la collaboration de plus de 60 pays (et d’Europol) qui y sont connectés</w:t>
      </w:r>
      <w:r>
        <w:rPr>
          <w:rStyle w:val="FootnoteReference"/>
          <w:rFonts w:ascii="Times New Roman" w:hAnsi="Times New Roman" w:cs="Times New Roman"/>
          <w:sz w:val="24"/>
          <w:lang w:val="en-GB"/>
        </w:rPr>
        <w:footnoteReference w:id="86"/>
      </w:r>
      <w:r>
        <w:rPr>
          <w:rFonts w:ascii="Times New Roman" w:hAnsi="Times New Roman"/>
          <w:sz w:val="24"/>
        </w:rPr>
        <w:t xml:space="preserve">. La Commission cofinance également le réseau </w:t>
      </w:r>
      <w:r>
        <w:rPr>
          <w:rFonts w:ascii="Times New Roman" w:hAnsi="Times New Roman"/>
          <w:b/>
          <w:sz w:val="24"/>
        </w:rPr>
        <w:t>INHOPE</w:t>
      </w:r>
      <w:r>
        <w:rPr>
          <w:rFonts w:ascii="Times New Roman" w:hAnsi="Times New Roman"/>
          <w:sz w:val="24"/>
        </w:rPr>
        <w:t xml:space="preserve"> de lignes d’assistance téléphonique</w:t>
      </w:r>
      <w:r>
        <w:rPr>
          <w:rStyle w:val="FootnoteReference"/>
          <w:rFonts w:ascii="Times New Roman" w:hAnsi="Times New Roman" w:cs="Times New Roman"/>
          <w:sz w:val="24"/>
          <w:lang w:val="en-GB"/>
        </w:rPr>
        <w:footnoteReference w:id="87"/>
      </w:r>
      <w:r>
        <w:rPr>
          <w:rFonts w:ascii="Times New Roman" w:hAnsi="Times New Roman"/>
          <w:sz w:val="24"/>
        </w:rPr>
        <w:t xml:space="preserve"> dans plus de 40 pays afin de faciliter le retrait de contenus à caractère pédopornographique en ligne signalés anonymement par le public</w:t>
      </w:r>
      <w:r>
        <w:rPr>
          <w:rStyle w:val="FootnoteReference"/>
          <w:rFonts w:ascii="Times New Roman" w:hAnsi="Times New Roman" w:cs="Times New Roman"/>
          <w:sz w:val="24"/>
          <w:lang w:val="en-GB"/>
        </w:rPr>
        <w:footnoteReference w:id="88"/>
      </w:r>
      <w:r>
        <w:rPr>
          <w:rFonts w:ascii="Times New Roman" w:hAnsi="Times New Roman"/>
          <w:sz w:val="24"/>
        </w:rPr>
        <w:t xml:space="preserve">. La Commission continuera de soutenir des actions mondiales par des financements en vue de renforcer la coopération internationale. </w:t>
      </w:r>
      <w:r>
        <w:rPr>
          <w:rFonts w:ascii="Times New Roman" w:hAnsi="Times New Roman"/>
          <w:sz w:val="24"/>
          <w:szCs w:val="24"/>
        </w:rPr>
        <w:t>L’UE continuera plus particulièrement à soutenir l’initiative Spotlight</w:t>
      </w:r>
      <w:r>
        <w:rPr>
          <w:rStyle w:val="FootnoteReference"/>
          <w:rFonts w:ascii="Times New Roman" w:hAnsi="Times New Roman" w:cs="Times New Roman"/>
          <w:sz w:val="24"/>
          <w:szCs w:val="24"/>
          <w:lang w:eastAsia="en-GB"/>
        </w:rPr>
        <w:footnoteReference w:id="89"/>
      </w:r>
      <w:r>
        <w:rPr>
          <w:rFonts w:ascii="Times New Roman" w:hAnsi="Times New Roman"/>
          <w:sz w:val="24"/>
          <w:szCs w:val="24"/>
        </w:rPr>
        <w:t xml:space="preserve"> de l’UE et des Nations unies, qui vise à prévenir et éliminer toutes les formes de violence contre les femmes et les filles dans cinq régions du monde</w:t>
      </w:r>
      <w:r>
        <w:rPr>
          <w:rStyle w:val="FootnoteReference"/>
          <w:rFonts w:ascii="Times New Roman" w:hAnsi="Times New Roman" w:cs="Times New Roman"/>
          <w:sz w:val="24"/>
          <w:szCs w:val="24"/>
          <w:lang w:eastAsia="en-GB"/>
        </w:rPr>
        <w:footnoteReference w:id="90"/>
      </w:r>
      <w:r>
        <w:rPr>
          <w:rFonts w:ascii="Times New Roman" w:hAnsi="Times New Roman"/>
          <w:sz w:val="24"/>
          <w:szCs w:val="24"/>
        </w:rPr>
        <w:t xml:space="preserve">. </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En 2012, la Commission a cofinancé, avec les autorités américaines compétentes, l’Alliance mondiale contre les abus sexuels commis contre des enfants en ligne</w:t>
      </w:r>
      <w:r>
        <w:rPr>
          <w:rStyle w:val="FootnoteReference"/>
          <w:rFonts w:ascii="Times New Roman" w:hAnsi="Times New Roman" w:cs="Times New Roman"/>
          <w:sz w:val="24"/>
          <w:lang w:val="en-GB"/>
        </w:rPr>
        <w:footnoteReference w:id="91"/>
      </w:r>
      <w:r>
        <w:rPr>
          <w:rFonts w:ascii="Times New Roman" w:hAnsi="Times New Roman"/>
          <w:sz w:val="24"/>
        </w:rPr>
        <w:t>, qui réunissait 54 pays pour renforcer la protection des victimes, identifier et poursuivre les auteurs d’abus, sensibiliser et réduire la disponibilité de contenus à caractère pédopornographique en ligne. Cette initiative a fusionné avec une initiative similaire du Royaume-Uni, WePROTECT, créée en 2014, qui réunissait autorités publiques, entreprises et ONG. En 2016, les deux initiatives ont rassemblé leurs forces et formé l’</w:t>
      </w:r>
      <w:r>
        <w:rPr>
          <w:rFonts w:ascii="Times New Roman" w:hAnsi="Times New Roman"/>
          <w:b/>
          <w:sz w:val="24"/>
        </w:rPr>
        <w:t>Alliance mondiale WePROTECT</w:t>
      </w:r>
      <w:r>
        <w:rPr>
          <w:rFonts w:ascii="Times New Roman" w:hAnsi="Times New Roman"/>
          <w:sz w:val="24"/>
        </w:rPr>
        <w:t xml:space="preserve"> visant à mettre fin à l’exploitation sexuelle des enfants en ligne, qui comprend actuellement 97 autorités publiques, 32 entreprises de technologies mondiales, 33 organisations de la société civile et institutions internationales et 5 organisations régionales</w:t>
      </w:r>
      <w:r>
        <w:rPr>
          <w:rStyle w:val="FootnoteReference"/>
          <w:rFonts w:ascii="Times New Roman" w:hAnsi="Times New Roman" w:cs="Times New Roman"/>
          <w:sz w:val="24"/>
          <w:lang w:val="en-GB"/>
        </w:rPr>
        <w:footnoteReference w:id="92"/>
      </w:r>
      <w:r>
        <w:rPr>
          <w:rFonts w:ascii="Times New Roman" w:hAnsi="Times New Roman"/>
          <w:sz w:val="24"/>
        </w:rPr>
        <w:t xml:space="preserve">. Fin 2019, l’organisation est devenue une </w:t>
      </w:r>
      <w:r>
        <w:rPr>
          <w:rFonts w:ascii="Times New Roman" w:hAnsi="Times New Roman"/>
          <w:b/>
          <w:sz w:val="24"/>
        </w:rPr>
        <w:t>entité juridique indépendante</w:t>
      </w:r>
      <w:r>
        <w:rPr>
          <w:rFonts w:ascii="Times New Roman" w:hAnsi="Times New Roman"/>
          <w:sz w:val="24"/>
        </w:rPr>
        <w:t xml:space="preserve"> sous la forme d’une fondation à responsabilité limitée, basée aux Pays-Bas. </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L’Alliance mondiale WePROTECT a fait progresser l’engagement des pays vers une réponse mieux coordonnée dans le cadre de la lutte mondiale contre les abus sexuels commis contre des enfants, fondée sur une évaluation de la menace mondiale et sur un modèle de réponse nationale. Ces éléments ont contribué à clarifier les défis et à aider les pays membres à définir des objectifs pratiques réalisables.</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 xml:space="preserve">La Commission continuera de soutenir l’Alliance en tant que membre </w:t>
      </w:r>
      <w:r>
        <w:rPr>
          <w:rFonts w:ascii="Times New Roman" w:hAnsi="Times New Roman"/>
          <w:b/>
          <w:sz w:val="24"/>
        </w:rPr>
        <w:t>de son conseil de direction</w:t>
      </w:r>
      <w:r>
        <w:rPr>
          <w:rFonts w:ascii="Times New Roman" w:hAnsi="Times New Roman"/>
          <w:sz w:val="24"/>
        </w:rPr>
        <w:t xml:space="preserve">, compte tenu de son statut de </w:t>
      </w:r>
      <w:r>
        <w:rPr>
          <w:rFonts w:ascii="Times New Roman" w:hAnsi="Times New Roman"/>
          <w:b/>
          <w:sz w:val="24"/>
        </w:rPr>
        <w:t>cofondateur</w:t>
      </w:r>
      <w:r>
        <w:rPr>
          <w:rFonts w:ascii="Times New Roman" w:hAnsi="Times New Roman"/>
          <w:sz w:val="24"/>
        </w:rPr>
        <w:t xml:space="preserve">, notamment par des financements. Cela permettra à la Commission de </w:t>
      </w:r>
      <w:r>
        <w:rPr>
          <w:rFonts w:ascii="Times New Roman" w:hAnsi="Times New Roman"/>
          <w:b/>
          <w:sz w:val="24"/>
        </w:rPr>
        <w:t>veiller à la cohérence</w:t>
      </w:r>
      <w:r>
        <w:rPr>
          <w:rFonts w:ascii="Times New Roman" w:hAnsi="Times New Roman"/>
          <w:sz w:val="24"/>
        </w:rPr>
        <w:t xml:space="preserve"> avec les initiatives à l’échelle mondiale (notamment les initiatives réglementaires), qui soutiendront et renforceront l’efficacité des actions au sein de l’UE en fournissant aux États membres l’accès aux bonnes pratiques mondiales. Plus particulièrement, en participant au conseil de direction de l’Alliance mondiale WePROTECT, la Commission contribue activement à l’amélioration des normes relatives à la protection des enfants, à l’identification des auteurs d’abus et au soutien des enfants victimes dans le monde entier.</w:t>
      </w:r>
      <w:r>
        <w:rPr>
          <w:rFonts w:ascii="Times New Roman" w:hAnsi="Times New Roman"/>
          <w:sz w:val="24"/>
          <w:szCs w:val="24"/>
        </w:rPr>
        <w:t xml:space="preserve"> </w:t>
      </w:r>
      <w:r>
        <w:rPr>
          <w:rFonts w:ascii="Times New Roman" w:hAnsi="Times New Roman"/>
          <w:iCs/>
          <w:sz w:val="24"/>
          <w:szCs w:val="24"/>
        </w:rPr>
        <w:t>Cette participation de la Commission facilite les efforts déployés par l’UE pour échanger les meilleures pratiques avec les autorités nationales des pays tiers et les soutenir dans la mise en œuvre des normes internationales dans l’espace en ligne (c’est-à-dire la protection des enfants), conformément au plan d’action de l’UE en faveur des droits humains et de la démocratie pour la période 2020-2024</w:t>
      </w:r>
      <w:r>
        <w:rPr>
          <w:rStyle w:val="FootnoteReference"/>
          <w:rFonts w:ascii="Times New Roman" w:hAnsi="Times New Roman" w:cs="Times New Roman"/>
          <w:iCs/>
          <w:sz w:val="24"/>
          <w:szCs w:val="24"/>
        </w:rPr>
        <w:footnoteReference w:id="93"/>
      </w:r>
      <w:r>
        <w:rPr>
          <w:rFonts w:ascii="Times New Roman" w:hAnsi="Times New Roman"/>
          <w:iCs/>
          <w:sz w:val="24"/>
          <w:szCs w:val="24"/>
        </w:rPr>
        <w:t>.</w:t>
      </w:r>
      <w:r>
        <w:rPr>
          <w:rFonts w:ascii="Times New Roman" w:hAnsi="Times New Roman"/>
          <w:i/>
          <w:iCs/>
          <w:sz w:val="24"/>
          <w:szCs w:val="24"/>
        </w:rPr>
        <w:t xml:space="preserve"> </w:t>
      </w:r>
      <w:r>
        <w:rPr>
          <w:rFonts w:ascii="Times New Roman" w:hAnsi="Times New Roman"/>
          <w:sz w:val="24"/>
        </w:rPr>
        <w:t xml:space="preserve">La Commission défend ce type de coopération mondiale depuis des années et estime que l’Alliance mondiale WePROTECT est l’organisation centrale pour la coordination et la modernisation des efforts </w:t>
      </w:r>
      <w:r>
        <w:rPr>
          <w:rFonts w:ascii="Times New Roman" w:hAnsi="Times New Roman"/>
          <w:b/>
          <w:sz w:val="24"/>
        </w:rPr>
        <w:t>mondiaux</w:t>
      </w:r>
      <w:r>
        <w:rPr>
          <w:rFonts w:ascii="Times New Roman" w:hAnsi="Times New Roman"/>
          <w:sz w:val="24"/>
        </w:rPr>
        <w:t xml:space="preserve"> et des améliorations réglementaires, et pour l’apport d’une réponse plus efficace à l’échelle mondiale.</w:t>
      </w:r>
    </w:p>
    <w:p w:rsidR="005A7D8E" w:rsidRDefault="001F309D">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i/>
          <w:sz w:val="24"/>
          <w:szCs w:val="24"/>
        </w:rPr>
      </w:pPr>
      <w:r>
        <w:rPr>
          <w:rFonts w:ascii="Times New Roman" w:hAnsi="Times New Roman"/>
          <w:b/>
          <w:i/>
          <w:sz w:val="24"/>
          <w:szCs w:val="24"/>
        </w:rPr>
        <w:t>Action clé:</w:t>
      </w:r>
    </w:p>
    <w:p w:rsidR="005A7D8E" w:rsidRDefault="001F309D">
      <w:pPr>
        <w:pStyle w:val="ListParagraph"/>
        <w:numPr>
          <w:ilvl w:val="0"/>
          <w:numId w:val="54"/>
        </w:numPr>
        <w:pBdr>
          <w:top w:val="single" w:sz="4" w:space="1" w:color="auto"/>
          <w:left w:val="single" w:sz="4" w:space="4" w:color="auto"/>
          <w:bottom w:val="single" w:sz="4" w:space="1" w:color="auto"/>
          <w:right w:val="single" w:sz="4" w:space="4" w:color="auto"/>
        </w:pBdr>
        <w:spacing w:after="120" w:line="240" w:lineRule="auto"/>
        <w:contextualSpacing w:val="0"/>
        <w:jc w:val="both"/>
        <w:rPr>
          <w:rFonts w:ascii="Times New Roman" w:hAnsi="Times New Roman" w:cs="Times New Roman"/>
          <w:i/>
          <w:sz w:val="24"/>
          <w:szCs w:val="24"/>
        </w:rPr>
      </w:pPr>
      <w:r>
        <w:rPr>
          <w:rFonts w:ascii="Times New Roman" w:hAnsi="Times New Roman"/>
          <w:i/>
          <w:sz w:val="24"/>
          <w:szCs w:val="24"/>
        </w:rPr>
        <w:t>La Commission poursuivra sa contribution à l’</w:t>
      </w:r>
      <w:r>
        <w:rPr>
          <w:rFonts w:ascii="Times New Roman" w:hAnsi="Times New Roman"/>
          <w:b/>
          <w:i/>
          <w:sz w:val="24"/>
          <w:szCs w:val="24"/>
        </w:rPr>
        <w:t>amélioration des normes mondiales</w:t>
      </w:r>
      <w:r>
        <w:rPr>
          <w:rFonts w:ascii="Times New Roman" w:hAnsi="Times New Roman"/>
          <w:i/>
          <w:sz w:val="24"/>
          <w:szCs w:val="24"/>
        </w:rPr>
        <w:t xml:space="preserve"> relatives à la protection des enfants contre les abus sexuels en encourageant une coopération multipartite par l’intermédiaire de l’</w:t>
      </w:r>
      <w:r>
        <w:rPr>
          <w:rFonts w:ascii="Times New Roman" w:hAnsi="Times New Roman"/>
          <w:b/>
          <w:i/>
          <w:sz w:val="24"/>
          <w:szCs w:val="24"/>
        </w:rPr>
        <w:t>Alliance mondiale WePROTECT</w:t>
      </w:r>
      <w:r>
        <w:rPr>
          <w:rFonts w:ascii="Times New Roman" w:hAnsi="Times New Roman"/>
          <w:i/>
          <w:sz w:val="24"/>
          <w:szCs w:val="24"/>
        </w:rPr>
        <w:t xml:space="preserve"> et un </w:t>
      </w:r>
      <w:r>
        <w:rPr>
          <w:rFonts w:ascii="Times New Roman" w:hAnsi="Times New Roman"/>
          <w:b/>
          <w:i/>
          <w:sz w:val="24"/>
          <w:szCs w:val="24"/>
        </w:rPr>
        <w:t>financement</w:t>
      </w:r>
      <w:r>
        <w:rPr>
          <w:rFonts w:ascii="Times New Roman" w:hAnsi="Times New Roman"/>
          <w:i/>
          <w:sz w:val="24"/>
          <w:szCs w:val="24"/>
        </w:rPr>
        <w:t xml:space="preserve"> spécifique. </w:t>
      </w:r>
    </w:p>
    <w:p w:rsidR="005A7D8E" w:rsidRPr="001F309D" w:rsidRDefault="005A7D8E">
      <w:pPr>
        <w:spacing w:after="0" w:line="240" w:lineRule="auto"/>
        <w:jc w:val="both"/>
        <w:rPr>
          <w:rFonts w:ascii="Times New Roman" w:hAnsi="Times New Roman" w:cs="Times New Roman"/>
          <w:sz w:val="24"/>
          <w:lang w:val="fr-BE" w:eastAsia="en-GB"/>
        </w:rPr>
      </w:pPr>
    </w:p>
    <w:p w:rsidR="005A7D8E" w:rsidRDefault="001F309D">
      <w:pPr>
        <w:pStyle w:val="Heading1"/>
        <w:spacing w:before="0" w:after="120" w:line="240" w:lineRule="auto"/>
        <w:rPr>
          <w:rFonts w:ascii="Times New Roman" w:hAnsi="Times New Roman" w:cs="Times New Roman"/>
          <w:b/>
          <w:color w:val="auto"/>
          <w:sz w:val="24"/>
        </w:rPr>
      </w:pPr>
      <w:r>
        <w:rPr>
          <w:rFonts w:ascii="Times New Roman" w:hAnsi="Times New Roman"/>
          <w:b/>
          <w:color w:val="auto"/>
          <w:sz w:val="24"/>
        </w:rPr>
        <w:t>PROCHAINES ÉTAPES</w:t>
      </w:r>
    </w:p>
    <w:p w:rsidR="005A7D8E" w:rsidRDefault="001F309D">
      <w:pPr>
        <w:spacing w:after="120" w:line="240" w:lineRule="auto"/>
        <w:jc w:val="both"/>
        <w:rPr>
          <w:rFonts w:ascii="Times New Roman" w:hAnsi="Times New Roman" w:cs="Times New Roman"/>
          <w:sz w:val="24"/>
        </w:rPr>
      </w:pPr>
      <w:r>
        <w:rPr>
          <w:rFonts w:ascii="Times New Roman" w:hAnsi="Times New Roman"/>
          <w:sz w:val="24"/>
          <w:szCs w:val="24"/>
        </w:rPr>
        <w:t xml:space="preserve">La présente stratégie propose un cadre visant à répondre de manière complète à la menace croissante que constituent les abus sexuels commis contre des enfants, </w:t>
      </w:r>
      <w:r>
        <w:rPr>
          <w:rFonts w:ascii="Times New Roman" w:hAnsi="Times New Roman"/>
          <w:b/>
          <w:sz w:val="24"/>
          <w:szCs w:val="24"/>
        </w:rPr>
        <w:t>tant en ligne que hors ligne</w:t>
      </w:r>
      <w:r>
        <w:rPr>
          <w:rFonts w:ascii="Times New Roman" w:hAnsi="Times New Roman"/>
          <w:sz w:val="24"/>
          <w:szCs w:val="24"/>
        </w:rPr>
        <w:t xml:space="preserve">. </w:t>
      </w:r>
      <w:r>
        <w:rPr>
          <w:rFonts w:ascii="Times New Roman" w:hAnsi="Times New Roman"/>
          <w:sz w:val="24"/>
        </w:rPr>
        <w:t>Elle constituera le cadre de référence de l’action de l’UE dans la lutte contre les abus sexuels commis contre des enfants pour la période </w:t>
      </w:r>
      <w:r>
        <w:rPr>
          <w:rFonts w:ascii="Times New Roman" w:hAnsi="Times New Roman"/>
          <w:b/>
          <w:sz w:val="24"/>
        </w:rPr>
        <w:t>2020-2025</w:t>
      </w:r>
      <w:r>
        <w:rPr>
          <w:rFonts w:ascii="Times New Roman" w:hAnsi="Times New Roman"/>
          <w:sz w:val="24"/>
        </w:rPr>
        <w:t xml:space="preserve">. Elle contribuera également à des initiatives connexes de la Commission, comme la </w:t>
      </w:r>
      <w:r>
        <w:rPr>
          <w:rFonts w:ascii="Times New Roman" w:hAnsi="Times New Roman"/>
          <w:b/>
          <w:sz w:val="24"/>
        </w:rPr>
        <w:t>stratégie de l’UE sur les droits de l’enfant</w:t>
      </w:r>
      <w:r>
        <w:rPr>
          <w:rFonts w:ascii="Times New Roman" w:hAnsi="Times New Roman"/>
          <w:sz w:val="24"/>
        </w:rPr>
        <w:t xml:space="preserve">, qui doit être adoptée début 2021. </w:t>
      </w:r>
    </w:p>
    <w:p w:rsidR="005A7D8E" w:rsidRDefault="001F309D">
      <w:pPr>
        <w:spacing w:after="120" w:line="240" w:lineRule="auto"/>
        <w:jc w:val="both"/>
        <w:rPr>
          <w:rFonts w:ascii="Times New Roman" w:hAnsi="Times New Roman" w:cs="Times New Roman"/>
          <w:sz w:val="24"/>
          <w:szCs w:val="24"/>
        </w:rPr>
      </w:pPr>
      <w:r>
        <w:rPr>
          <w:rFonts w:ascii="Times New Roman" w:hAnsi="Times New Roman"/>
          <w:sz w:val="24"/>
          <w:szCs w:val="24"/>
        </w:rPr>
        <w:t xml:space="preserve">La Commission collaborera étroitement avec les entreprises, les organisations de la société civile, le milieu universitaire, les spécialistes, les chercheurs, les services répressifs et d’autres autorités publiques, ainsi que d’autres parties prenantes pertinentes, dans l’UE (y compris le Parlement européen et le Conseil) et à l’échelle mondiale, pendant les mois et années à venir, afin de garantir une étude et une mise en application efficace des huit initiatives présentées dans la stratégie. </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 xml:space="preserve">Le </w:t>
      </w:r>
      <w:r>
        <w:rPr>
          <w:rFonts w:ascii="Times New Roman" w:hAnsi="Times New Roman"/>
          <w:b/>
          <w:sz w:val="24"/>
        </w:rPr>
        <w:t>cadre juridique</w:t>
      </w:r>
      <w:r>
        <w:rPr>
          <w:rFonts w:ascii="Times New Roman" w:hAnsi="Times New Roman"/>
          <w:sz w:val="24"/>
        </w:rPr>
        <w:t xml:space="preserve"> adéquat devrait être mis en œuvre afin de permettre une réponse efficace, y compris en matière d’enquête, de prévention et d’assistance aux victimes, de la part des acteurs pertinents, notamment les entreprises.</w:t>
      </w:r>
    </w:p>
    <w:p w:rsidR="005A7D8E" w:rsidRDefault="001F309D">
      <w:pPr>
        <w:spacing w:after="120" w:line="240" w:lineRule="auto"/>
        <w:jc w:val="both"/>
        <w:rPr>
          <w:rFonts w:ascii="Times New Roman" w:hAnsi="Times New Roman" w:cs="Times New Roman"/>
          <w:sz w:val="24"/>
        </w:rPr>
      </w:pPr>
      <w:r>
        <w:rPr>
          <w:rFonts w:ascii="Times New Roman" w:hAnsi="Times New Roman"/>
          <w:sz w:val="24"/>
        </w:rPr>
        <w:t xml:space="preserve">Les abus sexuels commis contre des enfants constituent un problème complexe, qui exige une </w:t>
      </w:r>
      <w:r>
        <w:rPr>
          <w:rFonts w:ascii="Times New Roman" w:hAnsi="Times New Roman"/>
          <w:b/>
          <w:sz w:val="24"/>
        </w:rPr>
        <w:t>coopération maximale</w:t>
      </w:r>
      <w:r>
        <w:rPr>
          <w:rFonts w:ascii="Times New Roman" w:hAnsi="Times New Roman"/>
          <w:sz w:val="24"/>
        </w:rPr>
        <w:t xml:space="preserve"> de toutes les parties prenantes qui doivent être capables, disposées et prêtes à agir. La Commission ne ménagera pas aucun effort pour veiller à ce que cela soit le cas, étant donné le </w:t>
      </w:r>
      <w:r>
        <w:rPr>
          <w:rFonts w:ascii="Times New Roman" w:hAnsi="Times New Roman"/>
          <w:b/>
          <w:sz w:val="24"/>
        </w:rPr>
        <w:t>besoin urgent</w:t>
      </w:r>
      <w:r>
        <w:rPr>
          <w:rFonts w:ascii="Times New Roman" w:hAnsi="Times New Roman"/>
          <w:sz w:val="24"/>
        </w:rPr>
        <w:t xml:space="preserve"> de prendre des </w:t>
      </w:r>
      <w:r>
        <w:rPr>
          <w:rFonts w:ascii="Times New Roman" w:hAnsi="Times New Roman"/>
          <w:b/>
          <w:sz w:val="24"/>
        </w:rPr>
        <w:t>mesures efficaces</w:t>
      </w:r>
      <w:r>
        <w:rPr>
          <w:rFonts w:ascii="Times New Roman" w:hAnsi="Times New Roman"/>
          <w:sz w:val="24"/>
        </w:rPr>
        <w:t xml:space="preserve">. </w:t>
      </w:r>
    </w:p>
    <w:p w:rsidR="005A7D8E" w:rsidRDefault="001F309D">
      <w:pPr>
        <w:spacing w:after="120" w:line="240" w:lineRule="auto"/>
        <w:jc w:val="both"/>
      </w:pPr>
      <w:r>
        <w:rPr>
          <w:rFonts w:ascii="Times New Roman" w:hAnsi="Times New Roman"/>
          <w:b/>
          <w:sz w:val="24"/>
        </w:rPr>
        <w:t>Nos enfants sont notre présent et notre avenir</w:t>
      </w:r>
      <w:r>
        <w:rPr>
          <w:rFonts w:ascii="Times New Roman" w:hAnsi="Times New Roman"/>
          <w:sz w:val="24"/>
        </w:rPr>
        <w:t xml:space="preserve">. La Commission continuera d’utiliser l’ensemble des outils disponibles pour garantir que </w:t>
      </w:r>
      <w:r>
        <w:rPr>
          <w:rFonts w:ascii="Times New Roman" w:hAnsi="Times New Roman"/>
          <w:b/>
          <w:sz w:val="24"/>
        </w:rPr>
        <w:t>rien ne les prive de cet avenir</w:t>
      </w:r>
      <w:r>
        <w:rPr>
          <w:rFonts w:ascii="Times New Roman" w:hAnsi="Times New Roman"/>
          <w:sz w:val="24"/>
        </w:rPr>
        <w:t>.</w:t>
      </w:r>
    </w:p>
    <w:sectPr w:rsidR="005A7D8E">
      <w:headerReference w:type="even" r:id="rId19"/>
      <w:headerReference w:type="default" r:id="rId20"/>
      <w:footerReference w:type="even" r:id="rId21"/>
      <w:footerReference w:type="default" r:id="rId22"/>
      <w:headerReference w:type="first" r:id="rId23"/>
      <w:footerReference w:type="first" r:id="rId24"/>
      <w:type w:val="continuous"/>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D8E" w:rsidRDefault="001F309D">
      <w:pPr>
        <w:spacing w:after="0" w:line="240" w:lineRule="auto"/>
      </w:pPr>
      <w:r>
        <w:separator/>
      </w:r>
    </w:p>
  </w:endnote>
  <w:endnote w:type="continuationSeparator" w:id="0">
    <w:p w:rsidR="005A7D8E" w:rsidRDefault="001F309D">
      <w:pPr>
        <w:spacing w:after="0" w:line="240" w:lineRule="auto"/>
      </w:pPr>
      <w:r>
        <w:continuationSeparator/>
      </w:r>
    </w:p>
  </w:endnote>
  <w:endnote w:type="continuationNotice" w:id="1">
    <w:p w:rsidR="005A7D8E" w:rsidRDefault="005A7D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860" w:rsidRPr="004B2860" w:rsidRDefault="004B2860" w:rsidP="004B28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860" w:rsidRPr="004B2860" w:rsidRDefault="004B2860" w:rsidP="004B2860">
    <w:pPr>
      <w:pStyle w:val="FooterCoverPage"/>
      <w:rPr>
        <w:rFonts w:ascii="Arial" w:hAnsi="Arial" w:cs="Arial"/>
        <w:b/>
        <w:sz w:val="48"/>
      </w:rPr>
    </w:pPr>
    <w:r w:rsidRPr="004B2860">
      <w:rPr>
        <w:rFonts w:ascii="Arial" w:hAnsi="Arial" w:cs="Arial"/>
        <w:b/>
        <w:sz w:val="48"/>
      </w:rPr>
      <w:t>FR</w:t>
    </w:r>
    <w:r w:rsidRPr="004B2860">
      <w:rPr>
        <w:rFonts w:ascii="Arial" w:hAnsi="Arial" w:cs="Arial"/>
        <w:b/>
        <w:sz w:val="48"/>
      </w:rPr>
      <w:tab/>
    </w:r>
    <w:r w:rsidRPr="004B2860">
      <w:rPr>
        <w:rFonts w:ascii="Arial" w:hAnsi="Arial" w:cs="Arial"/>
        <w:b/>
        <w:sz w:val="48"/>
      </w:rPr>
      <w:tab/>
    </w:r>
    <w:r w:rsidRPr="004B2860">
      <w:tab/>
    </w:r>
    <w:r w:rsidRPr="004B286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860" w:rsidRPr="004B2860" w:rsidRDefault="004B2860" w:rsidP="004B286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7D8E" w:rsidRDefault="005A7D8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6282790"/>
      <w:docPartObj>
        <w:docPartGallery w:val="Page Numbers (Bottom of Page)"/>
        <w:docPartUnique/>
      </w:docPartObj>
    </w:sdtPr>
    <w:sdtEndPr>
      <w:rPr>
        <w:rFonts w:ascii="Times New Roman" w:hAnsi="Times New Roman" w:cs="Times New Roman"/>
        <w:noProof/>
        <w:sz w:val="20"/>
      </w:rPr>
    </w:sdtEndPr>
    <w:sdtContent>
      <w:p w:rsidR="005A7D8E" w:rsidRDefault="001F309D">
        <w:pPr>
          <w:pStyle w:val="Footer"/>
          <w:jc w:val="center"/>
          <w:rPr>
            <w:rFonts w:ascii="Times New Roman" w:hAnsi="Times New Roman" w:cs="Times New Roman"/>
            <w:sz w:val="20"/>
          </w:rPr>
        </w:pPr>
        <w:r>
          <w:rPr>
            <w:rFonts w:ascii="Times New Roman" w:hAnsi="Times New Roman" w:cs="Times New Roman"/>
            <w:sz w:val="20"/>
          </w:rPr>
          <w:fldChar w:fldCharType="begin"/>
        </w:r>
        <w:r>
          <w:rPr>
            <w:rFonts w:ascii="Times New Roman" w:hAnsi="Times New Roman" w:cs="Times New Roman"/>
            <w:sz w:val="20"/>
          </w:rPr>
          <w:instrText xml:space="preserve"> PAGE   \* MERGEFORMAT </w:instrText>
        </w:r>
        <w:r>
          <w:rPr>
            <w:rFonts w:ascii="Times New Roman" w:hAnsi="Times New Roman" w:cs="Times New Roman"/>
            <w:sz w:val="20"/>
          </w:rPr>
          <w:fldChar w:fldCharType="separate"/>
        </w:r>
        <w:r w:rsidR="004B2860">
          <w:rPr>
            <w:rFonts w:ascii="Times New Roman" w:hAnsi="Times New Roman" w:cs="Times New Roman"/>
            <w:noProof/>
            <w:sz w:val="20"/>
          </w:rPr>
          <w:t>1</w:t>
        </w:r>
        <w:r>
          <w:rPr>
            <w:rFonts w:ascii="Times New Roman" w:hAnsi="Times New Roman" w:cs="Times New Roman"/>
            <w:sz w:val="20"/>
          </w:rPr>
          <w:fldChar w:fldCharType="end"/>
        </w:r>
      </w:p>
    </w:sdtContent>
  </w:sdt>
  <w:p w:rsidR="005A7D8E" w:rsidRDefault="005A7D8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7D8E" w:rsidRDefault="005A7D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D8E" w:rsidRDefault="001F309D">
      <w:pPr>
        <w:spacing w:after="0" w:line="240" w:lineRule="auto"/>
      </w:pPr>
      <w:r>
        <w:separator/>
      </w:r>
    </w:p>
  </w:footnote>
  <w:footnote w:type="continuationSeparator" w:id="0">
    <w:p w:rsidR="005A7D8E" w:rsidRDefault="001F309D">
      <w:pPr>
        <w:spacing w:after="0" w:line="240" w:lineRule="auto"/>
      </w:pPr>
      <w:r>
        <w:continuationSeparator/>
      </w:r>
    </w:p>
  </w:footnote>
  <w:footnote w:type="continuationNotice" w:id="1">
    <w:p w:rsidR="005A7D8E" w:rsidRDefault="005A7D8E">
      <w:pPr>
        <w:spacing w:after="0" w:line="240" w:lineRule="auto"/>
      </w:pPr>
    </w:p>
  </w:footnote>
  <w:footnote w:id="2">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Fonts w:ascii="Times New Roman" w:hAnsi="Times New Roman"/>
        </w:rPr>
        <w:t xml:space="preserve">La </w:t>
      </w:r>
      <w:hyperlink r:id="rId1" w:history="1">
        <w:r>
          <w:rPr>
            <w:rStyle w:val="Hyperlink"/>
            <w:rFonts w:ascii="Times New Roman" w:hAnsi="Times New Roman"/>
          </w:rPr>
          <w:t>convention du Conseil de l’Europe sur la prévention et la lutte contre la violence à l’égard des femmes et la violence domestique</w:t>
        </w:r>
      </w:hyperlink>
      <w:r>
        <w:t xml:space="preserve"> </w:t>
      </w:r>
      <w:r>
        <w:rPr>
          <w:rFonts w:ascii="Times New Roman" w:hAnsi="Times New Roman"/>
        </w:rPr>
        <w:t>est également pertinente en matière d’abus sexuels commis contre des enfants dans le cadre domestique</w:t>
      </w:r>
      <w:r>
        <w:rPr>
          <w:rStyle w:val="FootnoteReference"/>
          <w:rFonts w:ascii="Times New Roman" w:hAnsi="Times New Roman"/>
          <w:vertAlign w:val="baseline"/>
        </w:rPr>
        <w:t xml:space="preserve"> [</w:t>
      </w:r>
      <w:hyperlink r:id="rId2" w:history="1">
        <w:r>
          <w:rPr>
            <w:rStyle w:val="FootnoteReference"/>
            <w:rFonts w:ascii="Times New Roman" w:hAnsi="Times New Roman"/>
            <w:vertAlign w:val="baseline"/>
          </w:rPr>
          <w:t>STCE n° 210</w:t>
        </w:r>
      </w:hyperlink>
      <w:r>
        <w:rPr>
          <w:rStyle w:val="FootnoteReference"/>
          <w:rFonts w:ascii="Times New Roman" w:hAnsi="Times New Roman"/>
          <w:vertAlign w:val="baseline"/>
        </w:rPr>
        <w:t xml:space="preserve">, </w:t>
      </w:r>
      <w:hyperlink r:id="rId3" w:history="1">
        <w:r>
          <w:rPr>
            <w:rStyle w:val="FootnoteReference"/>
            <w:rFonts w:ascii="Times New Roman" w:hAnsi="Times New Roman"/>
            <w:vertAlign w:val="baseline"/>
          </w:rPr>
          <w:t>COM 2016(111) final</w:t>
        </w:r>
      </w:hyperlink>
      <w:r>
        <w:rPr>
          <w:rStyle w:val="FootnoteReference"/>
          <w:rFonts w:ascii="Times New Roman" w:hAnsi="Times New Roman"/>
          <w:vertAlign w:val="baseline"/>
        </w:rPr>
        <w:t>]</w:t>
      </w:r>
      <w:r>
        <w:rPr>
          <w:rFonts w:ascii="Times New Roman" w:hAnsi="Times New Roman"/>
        </w:rPr>
        <w:t>.</w:t>
      </w:r>
    </w:p>
  </w:footnote>
  <w:footnote w:id="3">
    <w:p w:rsidR="005A7D8E" w:rsidRDefault="001F309D">
      <w:pPr>
        <w:pStyle w:val="FootnoteText"/>
        <w:ind w:left="340" w:hanging="34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Cette tendance concerne en particulier les enfants handicapés vivant dans des établissements de soins.</w:t>
      </w:r>
    </w:p>
  </w:footnote>
  <w:footnote w:id="4">
    <w:p w:rsidR="005A7D8E" w:rsidRPr="001F309D" w:rsidRDefault="001F309D">
      <w:pPr>
        <w:pStyle w:val="FootnoteText"/>
        <w:ind w:left="340" w:hanging="340"/>
        <w:jc w:val="both"/>
        <w:rPr>
          <w:rFonts w:ascii="Times New Roman" w:hAnsi="Times New Roman" w:cs="Times New Roman"/>
          <w:lang w:val="en-US"/>
        </w:rPr>
      </w:pPr>
      <w:r>
        <w:rPr>
          <w:rStyle w:val="FootnoteReference"/>
          <w:rFonts w:ascii="Times New Roman" w:hAnsi="Times New Roman" w:cs="Times New Roman"/>
        </w:rPr>
        <w:footnoteRef/>
      </w:r>
      <w:r w:rsidRPr="001F309D">
        <w:rPr>
          <w:rFonts w:ascii="Times New Roman" w:hAnsi="Times New Roman"/>
          <w:lang w:val="en-US"/>
        </w:rPr>
        <w:t xml:space="preserve"> </w:t>
      </w:r>
      <w:r w:rsidRPr="001F309D">
        <w:rPr>
          <w:lang w:val="en-US"/>
        </w:rPr>
        <w:tab/>
      </w:r>
      <w:r w:rsidRPr="001F309D">
        <w:rPr>
          <w:rFonts w:ascii="Times New Roman" w:hAnsi="Times New Roman"/>
          <w:lang w:val="en-US"/>
        </w:rPr>
        <w:t xml:space="preserve">Europol, </w:t>
      </w:r>
      <w:hyperlink r:id="rId4" w:history="1">
        <w:r w:rsidRPr="001F309D">
          <w:rPr>
            <w:rStyle w:val="Hyperlink"/>
            <w:rFonts w:ascii="Times New Roman" w:hAnsi="Times New Roman"/>
            <w:lang w:val="en-US"/>
          </w:rPr>
          <w:t>Exploiting isolation:</w:t>
        </w:r>
      </w:hyperlink>
      <w:hyperlink r:id="rId5" w:history="1">
        <w:r w:rsidRPr="001F309D">
          <w:rPr>
            <w:rStyle w:val="Hyperlink"/>
            <w:rFonts w:ascii="Times New Roman" w:hAnsi="Times New Roman"/>
            <w:lang w:val="en-US"/>
          </w:rPr>
          <w:t xml:space="preserve"> Offenders and victims of online child sexual abuse during the COVID-19 pandemic</w:t>
        </w:r>
      </w:hyperlink>
      <w:r w:rsidRPr="001F309D">
        <w:rPr>
          <w:rFonts w:ascii="Times New Roman" w:hAnsi="Times New Roman"/>
          <w:lang w:val="en-US"/>
        </w:rPr>
        <w:t>, 19 juin 2020.</w:t>
      </w:r>
    </w:p>
  </w:footnote>
  <w:footnote w:id="5">
    <w:p w:rsidR="005A7D8E" w:rsidRPr="001F309D" w:rsidRDefault="001F309D">
      <w:pPr>
        <w:pStyle w:val="FootnoteText"/>
        <w:ind w:left="340" w:hanging="340"/>
        <w:jc w:val="both"/>
        <w:rPr>
          <w:rFonts w:ascii="Times New Roman" w:hAnsi="Times New Roman" w:cs="Times New Roman"/>
          <w:lang w:val="en-US"/>
        </w:rPr>
      </w:pPr>
      <w:r>
        <w:rPr>
          <w:rStyle w:val="FootnoteReference"/>
          <w:rFonts w:ascii="Times New Roman" w:hAnsi="Times New Roman" w:cs="Times New Roman"/>
        </w:rPr>
        <w:footnoteRef/>
      </w:r>
      <w:r w:rsidRPr="001F309D">
        <w:rPr>
          <w:rFonts w:ascii="Times New Roman" w:hAnsi="Times New Roman"/>
          <w:lang w:val="en-US"/>
        </w:rPr>
        <w:t xml:space="preserve"> </w:t>
      </w:r>
      <w:r w:rsidRPr="001F309D">
        <w:rPr>
          <w:lang w:val="en-US"/>
        </w:rPr>
        <w:tab/>
      </w:r>
      <w:r w:rsidRPr="001F309D">
        <w:rPr>
          <w:rFonts w:ascii="Times New Roman" w:hAnsi="Times New Roman"/>
          <w:lang w:val="en-US"/>
        </w:rPr>
        <w:t xml:space="preserve">Alliance mondiale WePROTECT, World Childhood Foundation, Unicef, ONUDC, OMS, UIT, End Violence Against Children et UNESCO, </w:t>
      </w:r>
      <w:hyperlink r:id="rId6" w:history="1">
        <w:r w:rsidRPr="001F309D">
          <w:rPr>
            <w:rStyle w:val="Hyperlink"/>
            <w:rFonts w:ascii="Times New Roman" w:hAnsi="Times New Roman"/>
            <w:lang w:val="en-US"/>
          </w:rPr>
          <w:t>COVID-19 and its implications for protecting children online</w:t>
        </w:r>
      </w:hyperlink>
      <w:r w:rsidRPr="001F309D">
        <w:rPr>
          <w:rFonts w:ascii="Times New Roman" w:hAnsi="Times New Roman"/>
          <w:lang w:val="en-US"/>
        </w:rPr>
        <w:t>, avril 2020.</w:t>
      </w:r>
    </w:p>
  </w:footnote>
  <w:footnote w:id="6">
    <w:p w:rsidR="005A7D8E" w:rsidRPr="001F309D" w:rsidRDefault="001F309D">
      <w:pPr>
        <w:pStyle w:val="FootnoteText"/>
        <w:ind w:left="340" w:hanging="340"/>
        <w:jc w:val="both"/>
        <w:rPr>
          <w:rFonts w:ascii="Times New Roman" w:hAnsi="Times New Roman" w:cs="Times New Roman"/>
          <w:lang w:val="en-US"/>
        </w:rPr>
      </w:pPr>
      <w:r>
        <w:rPr>
          <w:rStyle w:val="FootnoteReference"/>
          <w:rFonts w:ascii="Times New Roman" w:hAnsi="Times New Roman" w:cs="Times New Roman"/>
        </w:rPr>
        <w:footnoteRef/>
      </w:r>
      <w:r w:rsidRPr="001F309D">
        <w:rPr>
          <w:rFonts w:ascii="Times New Roman" w:hAnsi="Times New Roman"/>
          <w:lang w:val="en-US"/>
        </w:rPr>
        <w:t xml:space="preserve"> </w:t>
      </w:r>
      <w:r w:rsidRPr="001F309D">
        <w:rPr>
          <w:lang w:val="en-US"/>
        </w:rPr>
        <w:tab/>
      </w:r>
      <w:r w:rsidRPr="001F309D">
        <w:rPr>
          <w:rFonts w:ascii="Times New Roman" w:hAnsi="Times New Roman"/>
          <w:lang w:val="en-US"/>
        </w:rPr>
        <w:t>Ibid.</w:t>
      </w:r>
    </w:p>
  </w:footnote>
  <w:footnote w:id="7">
    <w:p w:rsidR="005A7D8E" w:rsidRPr="001F309D" w:rsidRDefault="001F309D">
      <w:pPr>
        <w:pStyle w:val="FootnoteText"/>
        <w:ind w:left="340" w:hanging="340"/>
        <w:jc w:val="both"/>
        <w:rPr>
          <w:rFonts w:ascii="Times New Roman" w:hAnsi="Times New Roman" w:cs="Times New Roman"/>
          <w:lang w:val="en-US"/>
        </w:rPr>
      </w:pPr>
      <w:r>
        <w:rPr>
          <w:rStyle w:val="FootnoteReference"/>
          <w:rFonts w:ascii="Times New Roman" w:hAnsi="Times New Roman" w:cs="Times New Roman"/>
        </w:rPr>
        <w:footnoteRef/>
      </w:r>
      <w:r w:rsidRPr="001F309D">
        <w:rPr>
          <w:rFonts w:ascii="Times New Roman" w:hAnsi="Times New Roman"/>
          <w:lang w:val="en-US"/>
        </w:rPr>
        <w:t xml:space="preserve"> </w:t>
      </w:r>
      <w:r w:rsidRPr="001F309D">
        <w:rPr>
          <w:lang w:val="en-US"/>
        </w:rPr>
        <w:tab/>
      </w:r>
      <w:r w:rsidRPr="001F309D">
        <w:rPr>
          <w:rFonts w:ascii="Times New Roman" w:hAnsi="Times New Roman"/>
          <w:lang w:val="en-US"/>
        </w:rPr>
        <w:t xml:space="preserve">Europol, </w:t>
      </w:r>
      <w:hyperlink r:id="rId7" w:history="1">
        <w:r w:rsidRPr="001F309D">
          <w:rPr>
            <w:rStyle w:val="Hyperlink"/>
            <w:rFonts w:ascii="Times New Roman" w:hAnsi="Times New Roman"/>
            <w:lang w:val="en-US"/>
          </w:rPr>
          <w:t>Exploiting isolation:</w:t>
        </w:r>
      </w:hyperlink>
      <w:hyperlink r:id="rId8" w:history="1">
        <w:r w:rsidRPr="001F309D">
          <w:rPr>
            <w:rStyle w:val="Hyperlink"/>
            <w:rFonts w:ascii="Times New Roman" w:hAnsi="Times New Roman"/>
            <w:lang w:val="en-US"/>
          </w:rPr>
          <w:t xml:space="preserve"> Offenders and victims of online child sexual abuse during the COVID-19 pandemic</w:t>
        </w:r>
      </w:hyperlink>
      <w:r w:rsidRPr="001F309D">
        <w:rPr>
          <w:rFonts w:ascii="Times New Roman" w:hAnsi="Times New Roman"/>
          <w:lang w:val="en-US"/>
        </w:rPr>
        <w:t>, 19 juin 2020.</w:t>
      </w:r>
    </w:p>
  </w:footnote>
  <w:footnote w:id="8">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Le nombre de signalements d’abus sexuels commis contre des enfants </w:t>
      </w:r>
      <w:hyperlink r:id="rId9" w:history="1">
        <w:r>
          <w:rPr>
            <w:rStyle w:val="Hyperlink"/>
            <w:rFonts w:ascii="Times New Roman" w:hAnsi="Times New Roman"/>
          </w:rPr>
          <w:t>a quadruplé au niveau mondial en avril 2020</w:t>
        </w:r>
      </w:hyperlink>
      <w:r>
        <w:rPr>
          <w:rFonts w:ascii="Times New Roman" w:hAnsi="Times New Roman"/>
        </w:rPr>
        <w:t xml:space="preserve"> (4,1 millions de signalements) par rapport à avril 2019 (environ 1 million), comme l’indique le Centre national américain pour les enfants disparus et exploités (US National Centre for Missing and Exploited Children – NCMEC).</w:t>
      </w:r>
    </w:p>
  </w:footnote>
  <w:footnote w:id="9">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Conseil de l’Europe, </w:t>
      </w:r>
      <w:hyperlink r:id="rId10" w:history="1">
        <w:r>
          <w:rPr>
            <w:rStyle w:val="Hyperlink"/>
            <w:rFonts w:ascii="Times New Roman" w:hAnsi="Times New Roman"/>
          </w:rPr>
          <w:t>Campagne UN sur CINQ</w:t>
        </w:r>
      </w:hyperlink>
      <w:r>
        <w:rPr>
          <w:rFonts w:ascii="Times New Roman" w:hAnsi="Times New Roman"/>
        </w:rPr>
        <w:t>.</w:t>
      </w:r>
    </w:p>
  </w:footnote>
  <w:footnote w:id="10">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La présente stratégie vise, par commodité, les abus sexuels commis contre des enfants, mais elle doit être interprétée comme traitant également de l’exploitation sexuelle des enfants et des contenus à caractère pédopornographique (dénommés dans la législation «pédopornographie»).</w:t>
      </w:r>
    </w:p>
  </w:footnote>
  <w:footnote w:id="11">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Comme signalé au </w:t>
      </w:r>
      <w:hyperlink r:id="rId11" w:history="1">
        <w:r>
          <w:rPr>
            <w:rStyle w:val="Hyperlink"/>
            <w:rFonts w:ascii="Times New Roman" w:hAnsi="Times New Roman"/>
          </w:rPr>
          <w:t>NCMEC</w:t>
        </w:r>
      </w:hyperlink>
      <w:r>
        <w:rPr>
          <w:rFonts w:ascii="Times New Roman" w:hAnsi="Times New Roman"/>
        </w:rPr>
        <w:t>. Le droit américain exige que les opérateurs de l’internet basés aux États-Unis signalent au NCMEC tout cas d’abus sexuel d’enfants décelé sur leurs réseaux. Le NCMEC transmet ensuite ces signalements aux autorités publiques compétentes dans le monde pour que des mesures soient prises. Les plus grands opérateurs de l’internet ayant leur siège aux États-Unis, le NCMEC centralise de fait les signalements d’abus sexuels commis contre des enfants à l’échelle mondiale.</w:t>
      </w:r>
    </w:p>
  </w:footnote>
  <w:footnote w:id="12">
    <w:p w:rsidR="005A7D8E" w:rsidRPr="001F309D" w:rsidRDefault="001F309D">
      <w:pPr>
        <w:pStyle w:val="FootnoteText"/>
        <w:ind w:left="340" w:hanging="340"/>
        <w:jc w:val="both"/>
        <w:rPr>
          <w:rFonts w:ascii="Times New Roman" w:hAnsi="Times New Roman" w:cs="Times New Roman"/>
          <w:lang w:val="en-US"/>
        </w:rPr>
      </w:pPr>
      <w:r>
        <w:rPr>
          <w:rStyle w:val="FootnoteReference"/>
          <w:rFonts w:ascii="Times New Roman" w:hAnsi="Times New Roman" w:cs="Times New Roman"/>
        </w:rPr>
        <w:footnoteRef/>
      </w:r>
      <w:r w:rsidRPr="001F309D">
        <w:rPr>
          <w:rFonts w:ascii="Times New Roman" w:hAnsi="Times New Roman"/>
          <w:lang w:val="en-US"/>
        </w:rPr>
        <w:t xml:space="preserve"> </w:t>
      </w:r>
      <w:r w:rsidRPr="001F309D">
        <w:rPr>
          <w:lang w:val="en-US"/>
        </w:rPr>
        <w:tab/>
      </w:r>
      <w:r w:rsidRPr="001F309D">
        <w:rPr>
          <w:rFonts w:ascii="Times New Roman" w:hAnsi="Times New Roman"/>
          <w:lang w:val="en-US"/>
        </w:rPr>
        <w:t>Ibid.</w:t>
      </w:r>
    </w:p>
  </w:footnote>
  <w:footnote w:id="13">
    <w:p w:rsidR="005A7D8E" w:rsidRPr="001F309D" w:rsidRDefault="001F309D">
      <w:pPr>
        <w:pStyle w:val="FootnoteText"/>
        <w:ind w:left="340" w:hanging="340"/>
        <w:jc w:val="both"/>
        <w:rPr>
          <w:rFonts w:ascii="Times New Roman" w:hAnsi="Times New Roman" w:cs="Times New Roman"/>
          <w:lang w:val="en-US"/>
        </w:rPr>
      </w:pPr>
      <w:r>
        <w:rPr>
          <w:rStyle w:val="FootnoteReference"/>
          <w:rFonts w:ascii="Times New Roman" w:hAnsi="Times New Roman" w:cs="Times New Roman"/>
        </w:rPr>
        <w:footnoteRef/>
      </w:r>
      <w:r w:rsidRPr="001F309D">
        <w:rPr>
          <w:rFonts w:ascii="Times New Roman" w:hAnsi="Times New Roman"/>
          <w:lang w:val="en-US"/>
        </w:rPr>
        <w:t xml:space="preserve"> </w:t>
      </w:r>
      <w:r w:rsidRPr="001F309D">
        <w:rPr>
          <w:lang w:val="en-US"/>
        </w:rPr>
        <w:tab/>
      </w:r>
      <w:r w:rsidRPr="001F309D">
        <w:rPr>
          <w:rFonts w:ascii="Times New Roman" w:hAnsi="Times New Roman"/>
          <w:lang w:val="en-US"/>
        </w:rPr>
        <w:t xml:space="preserve">Internet Watch Foundation, </w:t>
      </w:r>
      <w:hyperlink r:id="rId12" w:history="1">
        <w:r w:rsidRPr="001F309D">
          <w:rPr>
            <w:rStyle w:val="Hyperlink"/>
            <w:rFonts w:ascii="Times New Roman" w:hAnsi="Times New Roman"/>
            <w:lang w:val="en-US"/>
          </w:rPr>
          <w:t>rapports annuels de 2016 à 2019</w:t>
        </w:r>
      </w:hyperlink>
      <w:r w:rsidRPr="001F309D">
        <w:rPr>
          <w:rFonts w:ascii="Times New Roman" w:hAnsi="Times New Roman"/>
          <w:lang w:val="en-US"/>
        </w:rPr>
        <w:t xml:space="preserve">. </w:t>
      </w:r>
    </w:p>
  </w:footnote>
  <w:footnote w:id="14">
    <w:p w:rsidR="005A7D8E" w:rsidRPr="001F309D" w:rsidRDefault="001F309D">
      <w:pPr>
        <w:pStyle w:val="FootnoteText"/>
        <w:ind w:left="340" w:hanging="340"/>
        <w:jc w:val="both"/>
        <w:rPr>
          <w:rFonts w:ascii="Times New Roman" w:hAnsi="Times New Roman" w:cs="Times New Roman"/>
          <w:lang w:val="en-US"/>
        </w:rPr>
      </w:pPr>
      <w:r>
        <w:rPr>
          <w:rStyle w:val="FootnoteReference"/>
          <w:rFonts w:ascii="Times New Roman" w:hAnsi="Times New Roman" w:cs="Times New Roman"/>
        </w:rPr>
        <w:footnoteRef/>
      </w:r>
      <w:r w:rsidRPr="001F309D">
        <w:rPr>
          <w:rFonts w:ascii="Times New Roman" w:hAnsi="Times New Roman"/>
          <w:lang w:val="en-US"/>
        </w:rPr>
        <w:t xml:space="preserve"> </w:t>
      </w:r>
      <w:r w:rsidRPr="001F309D">
        <w:rPr>
          <w:lang w:val="en-US"/>
        </w:rPr>
        <w:tab/>
      </w:r>
      <w:r w:rsidRPr="001F309D">
        <w:rPr>
          <w:rFonts w:ascii="Times New Roman" w:hAnsi="Times New Roman"/>
          <w:lang w:val="en-US"/>
        </w:rPr>
        <w:t xml:space="preserve">BBC, </w:t>
      </w:r>
      <w:hyperlink r:id="rId13" w:history="1">
        <w:r w:rsidRPr="001F309D">
          <w:rPr>
            <w:rStyle w:val="Hyperlink"/>
            <w:rFonts w:ascii="Times New Roman" w:hAnsi="Times New Roman"/>
            <w:lang w:val="en-US"/>
          </w:rPr>
          <w:t>Germany investigates 30,000 suspects over paedophile network</w:t>
        </w:r>
      </w:hyperlink>
      <w:r w:rsidRPr="001F309D">
        <w:rPr>
          <w:rFonts w:ascii="Times New Roman" w:hAnsi="Times New Roman"/>
          <w:lang w:val="en-US"/>
        </w:rPr>
        <w:t>, 29 juin 2020;</w:t>
      </w:r>
    </w:p>
    <w:p w:rsidR="005A7D8E" w:rsidRDefault="001F309D">
      <w:pPr>
        <w:pStyle w:val="FootnoteText"/>
        <w:ind w:left="340" w:hanging="340"/>
        <w:jc w:val="both"/>
        <w:rPr>
          <w:rFonts w:ascii="Times New Roman" w:hAnsi="Times New Roman" w:cs="Times New Roman"/>
        </w:rPr>
      </w:pPr>
      <w:r w:rsidRPr="001F309D">
        <w:rPr>
          <w:lang w:val="en-US"/>
        </w:rPr>
        <w:tab/>
      </w:r>
      <w:r>
        <w:rPr>
          <w:rFonts w:ascii="Times New Roman" w:hAnsi="Times New Roman"/>
          <w:i/>
        </w:rPr>
        <w:t>Frankfurter Allgemeine</w:t>
      </w:r>
      <w:r>
        <w:rPr>
          <w:rFonts w:ascii="Times New Roman" w:hAnsi="Times New Roman"/>
        </w:rPr>
        <w:t xml:space="preserve">, </w:t>
      </w:r>
      <w:hyperlink r:id="rId14" w:history="1">
        <w:r>
          <w:rPr>
            <w:rStyle w:val="Hyperlink"/>
            <w:rFonts w:ascii="Times New Roman" w:hAnsi="Times New Roman"/>
          </w:rPr>
          <w:t>Die schockierende Zahl des Tages:</w:t>
        </w:r>
      </w:hyperlink>
      <w:hyperlink r:id="rId15" w:history="1">
        <w:r>
          <w:rPr>
            <w:rStyle w:val="Hyperlink"/>
            <w:rFonts w:ascii="Times New Roman" w:hAnsi="Times New Roman"/>
          </w:rPr>
          <w:t xml:space="preserve"> 30.000 Verdächtige</w:t>
        </w:r>
      </w:hyperlink>
      <w:r>
        <w:rPr>
          <w:rFonts w:ascii="Times New Roman" w:hAnsi="Times New Roman"/>
        </w:rPr>
        <w:t>, 29 juin 2020.</w:t>
      </w:r>
    </w:p>
  </w:footnote>
  <w:footnote w:id="15">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6" w:history="1">
        <w:r>
          <w:rPr>
            <w:rStyle w:val="Hyperlink"/>
            <w:rFonts w:ascii="Times New Roman" w:hAnsi="Times New Roman"/>
          </w:rPr>
          <w:t>Résolution sur les droits de l’enfant, à l’occasion du 30</w:t>
        </w:r>
        <w:r>
          <w:rPr>
            <w:rStyle w:val="Hyperlink"/>
            <w:rFonts w:ascii="Times New Roman" w:hAnsi="Times New Roman"/>
            <w:vertAlign w:val="superscript"/>
          </w:rPr>
          <w:t>e</w:t>
        </w:r>
        <w:r>
          <w:rPr>
            <w:rStyle w:val="Hyperlink"/>
            <w:rFonts w:ascii="Times New Roman" w:hAnsi="Times New Roman"/>
          </w:rPr>
          <w:t> anniversaire de la convention des Nations unies relative aux droits de l’enfant</w:t>
        </w:r>
      </w:hyperlink>
      <w:r>
        <w:t>, novembre 2019.</w:t>
      </w:r>
    </w:p>
  </w:footnote>
  <w:footnote w:id="16">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7" w:history="1">
        <w:r>
          <w:rPr>
            <w:rStyle w:val="Hyperlink"/>
            <w:rFonts w:ascii="Times New Roman" w:hAnsi="Times New Roman"/>
          </w:rPr>
          <w:t>Conclusions du Conseil sur la lutte contre les abus sexuels à l’encontre des enfants</w:t>
        </w:r>
      </w:hyperlink>
      <w:r>
        <w:t>, octobre 2019.</w:t>
      </w:r>
    </w:p>
  </w:footnote>
  <w:footnote w:id="17">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Par exemple, lors du </w:t>
      </w:r>
      <w:hyperlink r:id="rId18" w:history="1">
        <w:r>
          <w:rPr>
            <w:rStyle w:val="Hyperlink"/>
            <w:rFonts w:ascii="Times New Roman" w:hAnsi="Times New Roman"/>
          </w:rPr>
          <w:t>sommet de décembre 2019 de l’Alliance mondiale WePROTECT visant à mettre fin à l’exploitation sexuelle des enfants en ligne</w:t>
        </w:r>
      </w:hyperlink>
      <w:r>
        <w:rPr>
          <w:rFonts w:ascii="Times New Roman" w:hAnsi="Times New Roman"/>
        </w:rPr>
        <w:t xml:space="preserve"> ou par l’alliance du renseignement </w:t>
      </w:r>
      <w:hyperlink r:id="rId19" w:history="1">
        <w:r>
          <w:rPr>
            <w:rStyle w:val="Hyperlink"/>
            <w:rFonts w:ascii="Times New Roman" w:hAnsi="Times New Roman"/>
          </w:rPr>
          <w:t>«Five Eyes» (États-Unis, Royaume-Uni, Canada, Australie et Nouvelle-Zélande)</w:t>
        </w:r>
      </w:hyperlink>
      <w:r>
        <w:rPr>
          <w:rFonts w:ascii="Times New Roman" w:hAnsi="Times New Roman"/>
        </w:rPr>
        <w:t xml:space="preserve"> en </w:t>
      </w:r>
      <w:hyperlink r:id="rId20" w:history="1">
        <w:r>
          <w:rPr>
            <w:rStyle w:val="Hyperlink"/>
            <w:rFonts w:ascii="Times New Roman" w:hAnsi="Times New Roman"/>
          </w:rPr>
          <w:t>juillet 2019</w:t>
        </w:r>
      </w:hyperlink>
      <w:r>
        <w:rPr>
          <w:rFonts w:ascii="Times New Roman" w:hAnsi="Times New Roman"/>
        </w:rPr>
        <w:t>.</w:t>
      </w:r>
    </w:p>
  </w:footnote>
  <w:footnote w:id="18">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Voir, par exemple, la série d’articles du </w:t>
      </w:r>
      <w:r>
        <w:rPr>
          <w:rFonts w:ascii="Times New Roman" w:hAnsi="Times New Roman"/>
          <w:i/>
        </w:rPr>
        <w:t>New York Times</w:t>
      </w:r>
      <w:r>
        <w:rPr>
          <w:rFonts w:ascii="Times New Roman" w:hAnsi="Times New Roman"/>
        </w:rPr>
        <w:t xml:space="preserve"> publiés de </w:t>
      </w:r>
      <w:hyperlink r:id="rId21" w:history="1">
        <w:r>
          <w:rPr>
            <w:rStyle w:val="Hyperlink"/>
            <w:rFonts w:ascii="Times New Roman" w:hAnsi="Times New Roman"/>
          </w:rPr>
          <w:t>septembre 2019</w:t>
        </w:r>
      </w:hyperlink>
      <w:r>
        <w:rPr>
          <w:rFonts w:ascii="Times New Roman" w:hAnsi="Times New Roman"/>
        </w:rPr>
        <w:t xml:space="preserve"> à </w:t>
      </w:r>
      <w:hyperlink r:id="rId22" w:history="1">
        <w:r>
          <w:rPr>
            <w:rStyle w:val="Hyperlink"/>
            <w:rFonts w:ascii="Times New Roman" w:hAnsi="Times New Roman"/>
          </w:rPr>
          <w:t>février 2020</w:t>
        </w:r>
      </w:hyperlink>
      <w:r>
        <w:rPr>
          <w:rFonts w:ascii="Times New Roman" w:hAnsi="Times New Roman"/>
        </w:rPr>
        <w:t xml:space="preserve">, ayant rendu publiques l’ampleur et la complexité du problème.   </w:t>
      </w:r>
    </w:p>
  </w:footnote>
  <w:footnote w:id="19">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Voir la </w:t>
      </w:r>
      <w:hyperlink r:id="rId23" w:history="1">
        <w:r>
          <w:rPr>
            <w:rStyle w:val="Hyperlink"/>
            <w:rFonts w:ascii="Times New Roman" w:hAnsi="Times New Roman"/>
          </w:rPr>
          <w:t>feuille de route pour la présente communication</w:t>
        </w:r>
      </w:hyperlink>
      <w:r>
        <w:rPr>
          <w:rFonts w:ascii="Times New Roman" w:hAnsi="Times New Roman"/>
        </w:rPr>
        <w:t xml:space="preserve"> pour plus d’informations sur les consultations ciblées menées.</w:t>
      </w:r>
    </w:p>
  </w:footnote>
  <w:footnote w:id="20">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La mise en œuvre de cette stratégie sera coordonnée avec celle d’autres stratégies pertinentes qui ont été récemment adoptées ou seront prochainement adoptées par la Commission, y compris sur les droits de l’enfant, les droits des victimes, la traite des êtres humains, l’union de la sécurité et l’égalité entre les femmes et les hommes.</w:t>
      </w:r>
    </w:p>
  </w:footnote>
  <w:footnote w:id="21">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4" w:history="1">
        <w:r>
          <w:rPr>
            <w:rStyle w:val="Hyperlink"/>
            <w:rFonts w:ascii="Times New Roman" w:hAnsi="Times New Roman"/>
          </w:rPr>
          <w:t>Directive 2011/93/UE</w:t>
        </w:r>
      </w:hyperlink>
      <w:r>
        <w:rPr>
          <w:rFonts w:ascii="Times New Roman" w:hAnsi="Times New Roman"/>
        </w:rPr>
        <w:t xml:space="preserve"> du Parlement européen et du Conseil du 13 décembre 2011 relative à la lutte contre les abus sexuels et l’exploitation sexuelle des enfants, ainsi que la pédopornographie, JO L 335 du 17.12.2011. Pour plus de simplicité, elle est dénommée «directive relative aux abus sexuels commis contre des enfants» dans le présent document. </w:t>
      </w:r>
    </w:p>
  </w:footnote>
  <w:footnote w:id="22">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Pour plus d’informations, voir le </w:t>
      </w:r>
      <w:hyperlink r:id="rId25" w:history="1">
        <w:r>
          <w:rPr>
            <w:rStyle w:val="Hyperlink"/>
            <w:rFonts w:ascii="Times New Roman" w:hAnsi="Times New Roman"/>
          </w:rPr>
          <w:t>rapport de la Commission au Parlement européen et au Conseil évaluant la mesure dans laquelle les États membres ont pris les mesures nécessaires pour se conformer à la directive 2011/93/UE relative à la lutte contre les abus sexuels et l’exploitation sexuelle des enfants, ainsi que la pédopornographie</w:t>
        </w:r>
      </w:hyperlink>
      <w:r>
        <w:rPr>
          <w:rFonts w:ascii="Times New Roman" w:hAnsi="Times New Roman"/>
        </w:rPr>
        <w:t xml:space="preserve">, COM(2016) 871 final, ainsi que le </w:t>
      </w:r>
      <w:hyperlink r:id="rId26" w:history="1">
        <w:r>
          <w:rPr>
            <w:rStyle w:val="Hyperlink"/>
            <w:rFonts w:ascii="Times New Roman" w:hAnsi="Times New Roman"/>
          </w:rPr>
          <w:t>rapport de la Commission au Parlement européen et au Conseil évaluant la mise en œuvre des mesures visées à l’article 25 de la directive 2011/93/UE relative à la lutte contre les abus sexuels et l’exploitation sexuelle des enfants, ainsi que la pédopornographie</w:t>
        </w:r>
      </w:hyperlink>
      <w:r>
        <w:rPr>
          <w:rFonts w:ascii="Times New Roman" w:hAnsi="Times New Roman"/>
        </w:rPr>
        <w:t>, COM(2016) 872 final.</w:t>
      </w:r>
    </w:p>
  </w:footnote>
  <w:footnote w:id="23">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Tous les États membres, à l’exception du Danemark (qui n’est pas lié par la directive), de Chypre, de l’Irlande et des Pays-Bas (avec lesquels le dialogue sur la conformité est en cours).  </w:t>
      </w:r>
    </w:p>
  </w:footnote>
  <w:footnote w:id="24">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Depuis 2017, la Commission a organisé six ateliers spécialisés afin de soutenir les États membres dans l'application de la directive. Un autre atelier sur la prévention aura lieu au cours du dernier trimestre de 2020.</w:t>
      </w:r>
    </w:p>
  </w:footnote>
  <w:footnote w:id="25">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7" w:history="1">
        <w:r>
          <w:rPr>
            <w:rStyle w:val="Hyperlink"/>
            <w:rFonts w:ascii="Times New Roman" w:hAnsi="Times New Roman"/>
          </w:rPr>
          <w:t>Proposition de règlement</w:t>
        </w:r>
      </w:hyperlink>
      <w:r>
        <w:rPr>
          <w:rFonts w:ascii="Times New Roman" w:hAnsi="Times New Roman"/>
        </w:rPr>
        <w:t xml:space="preserve"> relatif aux injonctions européennes de production et de conservation de preuves électroniques en matière pénale, COM(2018) 225, et </w:t>
      </w:r>
    </w:p>
    <w:p w:rsidR="005A7D8E" w:rsidRDefault="004B2860">
      <w:pPr>
        <w:pStyle w:val="FootnoteText"/>
        <w:ind w:left="340"/>
        <w:jc w:val="both"/>
        <w:rPr>
          <w:rFonts w:ascii="Times New Roman" w:hAnsi="Times New Roman" w:cs="Times New Roman"/>
        </w:rPr>
      </w:pPr>
      <w:hyperlink r:id="rId28" w:history="1">
        <w:r w:rsidR="001F309D">
          <w:rPr>
            <w:rStyle w:val="Hyperlink"/>
            <w:rFonts w:ascii="Times New Roman" w:hAnsi="Times New Roman"/>
          </w:rPr>
          <w:t>proposition de directive</w:t>
        </w:r>
      </w:hyperlink>
      <w:r w:rsidR="001F309D">
        <w:rPr>
          <w:rFonts w:ascii="Times New Roman" w:hAnsi="Times New Roman"/>
        </w:rPr>
        <w:t xml:space="preserve"> établissant des règles harmonisées concernant la désignation de représentants légaux aux fins de la collecte de preuves en matière pénale, COM(2018) 226.</w:t>
      </w:r>
    </w:p>
  </w:footnote>
  <w:footnote w:id="26">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9" w:history="1">
        <w:r>
          <w:rPr>
            <w:rStyle w:val="Hyperlink"/>
            <w:rFonts w:ascii="Times New Roman" w:hAnsi="Times New Roman"/>
          </w:rPr>
          <w:t>Directive 2000/31/CE</w:t>
        </w:r>
      </w:hyperlink>
      <w:r>
        <w:rPr>
          <w:rFonts w:ascii="Times New Roman" w:hAnsi="Times New Roman"/>
        </w:rPr>
        <w:t xml:space="preserve"> relative à certains aspects juridiques des services de la société de l’information, et notamment du commerce électronique, dans le marché intérieur («directive sur le commerce électronique»), JO L 178 du 17.7.2000.</w:t>
      </w:r>
    </w:p>
  </w:footnote>
  <w:footnote w:id="27">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30" w:history="1">
        <w:r>
          <w:rPr>
            <w:rStyle w:val="Hyperlink"/>
            <w:rFonts w:ascii="Times New Roman" w:hAnsi="Times New Roman"/>
          </w:rPr>
          <w:t>Directive 2002/58/CE</w:t>
        </w:r>
      </w:hyperlink>
      <w:r>
        <w:rPr>
          <w:rFonts w:ascii="Times New Roman" w:hAnsi="Times New Roman"/>
        </w:rPr>
        <w:t xml:space="preserve"> concernant le traitement des données à caractère personnel et la protection de la vie privée dans le secteur des communications électroniques (directive vie privée et communications électroniques), JO L 201 du 31.7.2002.</w:t>
      </w:r>
    </w:p>
  </w:footnote>
  <w:footnote w:id="28">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31" w:history="1">
        <w:r>
          <w:rPr>
            <w:rStyle w:val="Hyperlink"/>
            <w:rFonts w:ascii="Times New Roman" w:hAnsi="Times New Roman"/>
          </w:rPr>
          <w:t>Proposition de règlement</w:t>
        </w:r>
      </w:hyperlink>
      <w:r>
        <w:rPr>
          <w:rFonts w:ascii="Times New Roman" w:hAnsi="Times New Roman"/>
        </w:rPr>
        <w:t xml:space="preserve"> concernant le respect de la vie privée et la protection des données à caractère personnel dans les communications électroniques (règlement «vie privée et communications électroniques»), COM(2017) 10 final.</w:t>
      </w:r>
    </w:p>
  </w:footnote>
  <w:footnote w:id="29">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32" w:history="1">
        <w:r>
          <w:rPr>
            <w:rStyle w:val="Hyperlink"/>
            <w:rFonts w:ascii="Times New Roman" w:hAnsi="Times New Roman"/>
          </w:rPr>
          <w:t>Directive (UE) 2018/1972</w:t>
        </w:r>
      </w:hyperlink>
      <w:r>
        <w:rPr>
          <w:rFonts w:ascii="Times New Roman" w:hAnsi="Times New Roman"/>
        </w:rPr>
        <w:t xml:space="preserve"> établissant le code des communications électroniques européen, JO L 321 du 17.12.2018. Cette directive élargit le champ d’application de la directive vie privée et communications électroniques aux services de communications interpersonnelles par contournement (OTT), tels que les services de messagerie et le courrier électronique. La directive vie privée et communications électroniques ne contient pas de base juridique pour le traitement volontaire du contenu et des données de trafic aux fins de la détection des abus sexuels commis contre des enfants. Les fournisseurs peuvent uniquement appliquer de telles mesures sur la base d’une mesure législative nationale, qui répond aux exigences de l’article 15 de la directive (proportionnalité, etc.), restreignant le droit à la confidentialité. En l’absence de pareilles mesures législatives, les mesures volontaires destinées à détecter les abus sexuels commis contre des enfants adoptées par ces fournisseurs, qui traitent du contenu ou des données de trafic, seraient dépourvues de base juridique.</w:t>
      </w:r>
    </w:p>
  </w:footnote>
  <w:footnote w:id="30">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Le 2 juin 2020, la Commission a lancé une </w:t>
      </w:r>
      <w:hyperlink r:id="rId33" w:history="1">
        <w:r>
          <w:rPr>
            <w:rStyle w:val="Hyperlink"/>
            <w:rFonts w:ascii="Times New Roman" w:hAnsi="Times New Roman"/>
          </w:rPr>
          <w:t>consultation publique ouverte</w:t>
        </w:r>
      </w:hyperlink>
      <w:r>
        <w:rPr>
          <w:rFonts w:ascii="Times New Roman" w:hAnsi="Times New Roman"/>
        </w:rPr>
        <w:t xml:space="preserve"> sur le paquet relatif aux services numériques.</w:t>
      </w:r>
    </w:p>
  </w:footnote>
  <w:footnote w:id="31">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34" w:history="1">
        <w:r>
          <w:rPr>
            <w:rStyle w:val="Hyperlink"/>
            <w:rFonts w:ascii="Times New Roman" w:hAnsi="Times New Roman"/>
          </w:rPr>
          <w:t>Règlement (UE) 2016/794</w:t>
        </w:r>
      </w:hyperlink>
      <w:r>
        <w:rPr>
          <w:rFonts w:ascii="Times New Roman" w:hAnsi="Times New Roman"/>
        </w:rPr>
        <w:t xml:space="preserve"> relatif à l’Agence de l’Union européenne pour la coopération des services répressifs (Europol), JO L 135 du 24.5.2016. Le </w:t>
      </w:r>
      <w:hyperlink r:id="rId35" w:history="1">
        <w:r>
          <w:rPr>
            <w:rStyle w:val="Hyperlink"/>
            <w:rFonts w:ascii="Times New Roman" w:hAnsi="Times New Roman"/>
          </w:rPr>
          <w:t>règlement Eurojust</w:t>
        </w:r>
      </w:hyperlink>
      <w:r>
        <w:rPr>
          <w:rFonts w:ascii="Times New Roman" w:hAnsi="Times New Roman"/>
        </w:rPr>
        <w:t xml:space="preserve"> [règlement (UE) 2018/1727 relatif à l’Agence de l’Union européenne pour la coopération judiciaire en matière pénale (Eurojust), JO L 295 du 21.11.2018] est également pertinent. </w:t>
      </w:r>
    </w:p>
  </w:footnote>
  <w:footnote w:id="32">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Sont également pertinents dans ce cadre:</w:t>
      </w:r>
    </w:p>
    <w:p w:rsidR="005A7D8E" w:rsidRDefault="001F309D">
      <w:pPr>
        <w:pStyle w:val="FootnoteText"/>
        <w:numPr>
          <w:ilvl w:val="0"/>
          <w:numId w:val="39"/>
        </w:numPr>
        <w:jc w:val="both"/>
        <w:rPr>
          <w:rFonts w:ascii="Times New Roman" w:hAnsi="Times New Roman" w:cs="Times New Roman"/>
        </w:rPr>
      </w:pPr>
      <w:r>
        <w:rPr>
          <w:rFonts w:ascii="Times New Roman" w:hAnsi="Times New Roman"/>
        </w:rPr>
        <w:t xml:space="preserve">le </w:t>
      </w:r>
      <w:hyperlink r:id="rId36" w:history="1">
        <w:r>
          <w:rPr>
            <w:rStyle w:val="Hyperlink"/>
            <w:rFonts w:ascii="Times New Roman" w:hAnsi="Times New Roman"/>
          </w:rPr>
          <w:t>règlement (UE) 2016/679</w:t>
        </w:r>
      </w:hyperlink>
      <w:r>
        <w:rPr>
          <w:rFonts w:ascii="Times New Roman" w:hAnsi="Times New Roman"/>
        </w:rPr>
        <w:t xml:space="preserve"> du 27 avril 2016 relatif à la protection des personnes physiques à l’égard du traitement des données à caractère personnel et à la libre circulation de ces données, et abrogeant la directive 95/46/CE (règlement général sur la protection des données), JO L 119 du 4.5.2016, et notamment ses articles 6 et 23 et son considérant 50, et </w:t>
      </w:r>
    </w:p>
    <w:p w:rsidR="005A7D8E" w:rsidRDefault="001F309D">
      <w:pPr>
        <w:pStyle w:val="FootnoteText"/>
        <w:numPr>
          <w:ilvl w:val="0"/>
          <w:numId w:val="39"/>
        </w:numPr>
        <w:jc w:val="both"/>
        <w:rPr>
          <w:rFonts w:ascii="Times New Roman" w:hAnsi="Times New Roman" w:cs="Times New Roman"/>
        </w:rPr>
      </w:pPr>
      <w:r>
        <w:rPr>
          <w:rFonts w:ascii="Times New Roman" w:hAnsi="Times New Roman"/>
        </w:rPr>
        <w:t xml:space="preserve">la </w:t>
      </w:r>
      <w:hyperlink r:id="rId37" w:history="1">
        <w:r>
          <w:rPr>
            <w:rStyle w:val="Hyperlink"/>
            <w:rFonts w:ascii="Times New Roman" w:hAnsi="Times New Roman"/>
          </w:rPr>
          <w:t>directive (UE) 2018/1808</w:t>
        </w:r>
      </w:hyperlink>
      <w:r>
        <w:rPr>
          <w:rFonts w:ascii="Times New Roman" w:hAnsi="Times New Roman"/>
        </w:rPr>
        <w:t xml:space="preserve"> du 14 novembre 2018 modifiant la directive 2010/13/UE visant à la coordination de certaines dispositions législatives, réglementaires et administratives des États membres relatives à la fourniture de services de médias audiovisuels (directive «Services de médias audiovisuels»), compte tenu de l’évolution des réalités du marché, JO L 303 du 28.11.2018. Cette directive a introduit de nouvelles règles exigeant que les plateformes agissent de manière responsable quant aux contenus de tiers qu’elles hébergent, afin de mieux protéger le public contre la diffusion de contenus spécifiques illégaux ou préjudiciables (y compris des contenus à caractère pédopornographique). </w:t>
      </w:r>
    </w:p>
  </w:footnote>
  <w:footnote w:id="33">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Par exemple, des mesures obligeant les employeurs, pour les professions impliquant un contact direct et régulier avec des enfants, à demander le casier judiciaire des candidats lors du recrutement.</w:t>
      </w:r>
    </w:p>
  </w:footnote>
  <w:footnote w:id="34">
    <w:p w:rsidR="005A7D8E" w:rsidRPr="001F309D" w:rsidRDefault="001F309D">
      <w:pPr>
        <w:pStyle w:val="FootnoteText"/>
        <w:ind w:left="340" w:hanging="340"/>
        <w:jc w:val="both"/>
        <w:rPr>
          <w:rFonts w:ascii="Times New Roman" w:hAnsi="Times New Roman" w:cs="Times New Roman"/>
          <w:lang w:val="en-US"/>
        </w:rPr>
      </w:pPr>
      <w:r>
        <w:rPr>
          <w:rStyle w:val="FootnoteReference"/>
          <w:rFonts w:ascii="Times New Roman" w:hAnsi="Times New Roman" w:cs="Times New Roman"/>
        </w:rPr>
        <w:footnoteRef/>
      </w:r>
      <w:r w:rsidRPr="001F309D">
        <w:rPr>
          <w:rFonts w:ascii="Times New Roman" w:hAnsi="Times New Roman"/>
          <w:lang w:val="en-US"/>
        </w:rPr>
        <w:t xml:space="preserve"> </w:t>
      </w:r>
      <w:r w:rsidRPr="001F309D">
        <w:rPr>
          <w:lang w:val="en-US"/>
        </w:rPr>
        <w:tab/>
      </w:r>
      <w:hyperlink r:id="rId38" w:history="1">
        <w:r w:rsidRPr="001F309D">
          <w:rPr>
            <w:rStyle w:val="Hyperlink"/>
            <w:rFonts w:ascii="Times New Roman" w:hAnsi="Times New Roman"/>
            <w:lang w:val="en-US"/>
          </w:rPr>
          <w:t>ECPAT.org – What we do</w:t>
        </w:r>
      </w:hyperlink>
      <w:r w:rsidRPr="001F309D">
        <w:rPr>
          <w:rFonts w:ascii="Times New Roman" w:hAnsi="Times New Roman"/>
          <w:lang w:val="en-US"/>
        </w:rPr>
        <w:t xml:space="preserve">, consulté le 5 avril 2020. </w:t>
      </w:r>
    </w:p>
  </w:footnote>
  <w:footnote w:id="35">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Europol, </w:t>
      </w:r>
      <w:hyperlink r:id="rId39" w:history="1">
        <w:r>
          <w:rPr>
            <w:rStyle w:val="Hyperlink"/>
            <w:rFonts w:ascii="Times New Roman" w:hAnsi="Times New Roman"/>
          </w:rPr>
          <w:t>évaluation de la menace que représente la criminalité organisée sur l’internet (iOCTA) 2019</w:t>
        </w:r>
      </w:hyperlink>
      <w:r>
        <w:rPr>
          <w:rFonts w:ascii="Times New Roman" w:hAnsi="Times New Roman"/>
        </w:rPr>
        <w:t xml:space="preserve">; Independent Inquiry into Child Sexual Abuse, </w:t>
      </w:r>
      <w:hyperlink r:id="rId40" w:history="1">
        <w:r>
          <w:rPr>
            <w:rStyle w:val="Hyperlink"/>
            <w:rFonts w:ascii="Times New Roman" w:hAnsi="Times New Roman"/>
          </w:rPr>
          <w:t>The Internet Investigation Report 2020</w:t>
        </w:r>
      </w:hyperlink>
      <w:r>
        <w:rPr>
          <w:rFonts w:ascii="Times New Roman" w:hAnsi="Times New Roman"/>
        </w:rPr>
        <w:t xml:space="preserve">; Virtual Global Taskforce Online Child Sexual Exploitation, </w:t>
      </w:r>
      <w:hyperlink r:id="rId41" w:history="1">
        <w:r>
          <w:rPr>
            <w:rStyle w:val="Hyperlink"/>
            <w:rFonts w:ascii="Times New Roman" w:hAnsi="Times New Roman"/>
          </w:rPr>
          <w:t>2019 Environmental Scan</w:t>
        </w:r>
      </w:hyperlink>
      <w:r>
        <w:rPr>
          <w:rFonts w:ascii="Times New Roman" w:hAnsi="Times New Roman"/>
        </w:rPr>
        <w:t xml:space="preserve">. </w:t>
      </w:r>
    </w:p>
  </w:footnote>
  <w:footnote w:id="36">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42" w:history="1">
        <w:r>
          <w:rPr>
            <w:rStyle w:val="Hyperlink"/>
            <w:rFonts w:ascii="Times New Roman" w:hAnsi="Times New Roman"/>
            <w:shd w:val="clear" w:color="auto" w:fill="FFFFFF"/>
          </w:rPr>
          <w:t>Résolution du Parlement européen</w:t>
        </w:r>
      </w:hyperlink>
      <w:r>
        <w:rPr>
          <w:rFonts w:ascii="Times New Roman" w:hAnsi="Times New Roman"/>
          <w:color w:val="6679B4"/>
          <w:shd w:val="clear" w:color="auto" w:fill="FFFFFF"/>
        </w:rPr>
        <w:t xml:space="preserve"> </w:t>
      </w:r>
      <w:r>
        <w:rPr>
          <w:rFonts w:ascii="Times New Roman" w:hAnsi="Times New Roman"/>
        </w:rPr>
        <w:t>du 26 novembre 2019 sur les droits de l’enfant, à l’occasion du 30</w:t>
      </w:r>
      <w:r>
        <w:rPr>
          <w:rFonts w:ascii="Times New Roman" w:hAnsi="Times New Roman"/>
          <w:vertAlign w:val="superscript"/>
        </w:rPr>
        <w:t>e</w:t>
      </w:r>
      <w:r>
        <w:rPr>
          <w:rFonts w:ascii="Times New Roman" w:hAnsi="Times New Roman"/>
        </w:rPr>
        <w:t> anniversaire de la convention des Nations unies relative aux droits de l’enfant, 2019/2876(RSP).</w:t>
      </w:r>
    </w:p>
  </w:footnote>
  <w:footnote w:id="37">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43" w:history="1">
        <w:r>
          <w:rPr>
            <w:rStyle w:val="Hyperlink"/>
            <w:rFonts w:ascii="Times New Roman" w:hAnsi="Times New Roman"/>
          </w:rPr>
          <w:t>Rapport du Parlement européen sur la mise en application de la directive 2011/93/UE</w:t>
        </w:r>
      </w:hyperlink>
      <w:r>
        <w:rPr>
          <w:rFonts w:ascii="Times New Roman" w:hAnsi="Times New Roman"/>
        </w:rPr>
        <w:t>, décembre 2017.</w:t>
      </w:r>
    </w:p>
  </w:footnote>
  <w:footnote w:id="38">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44" w:history="1">
        <w:r>
          <w:rPr>
            <w:rStyle w:val="Hyperlink"/>
            <w:rFonts w:ascii="Times New Roman" w:hAnsi="Times New Roman"/>
          </w:rPr>
          <w:t>https://www.coe.int/fr/web/children/lanzarote-committee</w:t>
        </w:r>
      </w:hyperlink>
      <w:r>
        <w:rPr>
          <w:rFonts w:ascii="Times New Roman" w:hAnsi="Times New Roman"/>
        </w:rPr>
        <w:t xml:space="preserve">. </w:t>
      </w:r>
    </w:p>
  </w:footnote>
  <w:footnote w:id="39">
    <w:p w:rsidR="005A7D8E" w:rsidRDefault="001F309D">
      <w:pPr>
        <w:pStyle w:val="FootnoteText"/>
        <w:ind w:left="340" w:hanging="34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L’heure de l’Europe: réparer les dommages et préparer l’avenir pour la prochaine génération, </w:t>
      </w:r>
      <w:hyperlink r:id="rId45" w:history="1">
        <w:r>
          <w:rPr>
            <w:rStyle w:val="Hyperlink"/>
            <w:rFonts w:ascii="Times New Roman" w:hAnsi="Times New Roman"/>
          </w:rPr>
          <w:t>COM(2020) 456</w:t>
        </w:r>
      </w:hyperlink>
      <w:r>
        <w:rPr>
          <w:rFonts w:ascii="Times New Roman" w:hAnsi="Times New Roman"/>
        </w:rPr>
        <w:t>.</w:t>
      </w:r>
    </w:p>
  </w:footnote>
  <w:footnote w:id="40">
    <w:p w:rsidR="005A7D8E" w:rsidRDefault="001F309D">
      <w:pPr>
        <w:pStyle w:val="FootnoteText"/>
        <w:ind w:left="340" w:hanging="340"/>
        <w:jc w:val="both"/>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Les affaires transfrontières peuvent nécessiter le soutien d’Eurojust. De plus, il est important que les autorités judiciaires soient formées pour traiter les affaires d’abus sexuels commis contre des enfants, notamment sur les aspects en ligne du problème. </w:t>
      </w:r>
    </w:p>
  </w:footnote>
  <w:footnote w:id="41">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Pour plus d’informations, voir </w:t>
      </w:r>
      <w:hyperlink r:id="rId46" w:history="1">
        <w:r>
          <w:rPr>
            <w:rStyle w:val="Hyperlink"/>
            <w:rFonts w:ascii="Times New Roman" w:hAnsi="Times New Roman"/>
          </w:rPr>
          <w:t>ici</w:t>
        </w:r>
      </w:hyperlink>
      <w:r>
        <w:rPr>
          <w:rFonts w:ascii="Times New Roman" w:hAnsi="Times New Roman"/>
        </w:rPr>
        <w:t>.</w:t>
      </w:r>
    </w:p>
  </w:footnote>
  <w:footnote w:id="42">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47" w:history="1">
        <w:r>
          <w:rPr>
            <w:rStyle w:val="Hyperlink"/>
            <w:rFonts w:ascii="Times New Roman" w:hAnsi="Times New Roman"/>
          </w:rPr>
          <w:t>AviaTor</w:t>
        </w:r>
      </w:hyperlink>
      <w:r>
        <w:rPr>
          <w:rFonts w:ascii="Times New Roman" w:hAnsi="Times New Roman"/>
        </w:rPr>
        <w:t xml:space="preserve">, </w:t>
      </w:r>
      <w:hyperlink r:id="rId48" w:history="1">
        <w:r>
          <w:rPr>
            <w:rStyle w:val="Hyperlink"/>
            <w:rFonts w:ascii="Times New Roman" w:hAnsi="Times New Roman"/>
          </w:rPr>
          <w:t>4NSEEK</w:t>
        </w:r>
      </w:hyperlink>
      <w:r>
        <w:rPr>
          <w:rFonts w:ascii="Times New Roman" w:hAnsi="Times New Roman"/>
        </w:rPr>
        <w:t xml:space="preserve"> et </w:t>
      </w:r>
      <w:hyperlink r:id="rId49" w:history="1">
        <w:r>
          <w:rPr>
            <w:rStyle w:val="Hyperlink"/>
            <w:rFonts w:ascii="Times New Roman" w:hAnsi="Times New Roman"/>
          </w:rPr>
          <w:t>VERBUM_SAT</w:t>
        </w:r>
      </w:hyperlink>
      <w:r>
        <w:rPr>
          <w:rFonts w:ascii="Times New Roman" w:hAnsi="Times New Roman"/>
        </w:rPr>
        <w:t xml:space="preserve"> sont des exemples de projets financés dans l’appel à propositions de 2018.</w:t>
      </w:r>
    </w:p>
  </w:footnote>
  <w:footnote w:id="43">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50" w:history="1">
        <w:r>
          <w:rPr>
            <w:rStyle w:val="Hyperlink"/>
            <w:rFonts w:ascii="Times New Roman" w:hAnsi="Times New Roman"/>
          </w:rPr>
          <w:t>ASGARD</w:t>
        </w:r>
      </w:hyperlink>
      <w:r>
        <w:rPr>
          <w:rFonts w:ascii="Times New Roman" w:hAnsi="Times New Roman"/>
        </w:rPr>
        <w:t xml:space="preserve">, </w:t>
      </w:r>
      <w:hyperlink r:id="rId51" w:history="1">
        <w:r>
          <w:rPr>
            <w:rStyle w:val="Hyperlink"/>
            <w:rFonts w:ascii="Times New Roman" w:hAnsi="Times New Roman"/>
          </w:rPr>
          <w:t>GRACE</w:t>
        </w:r>
      </w:hyperlink>
      <w:r>
        <w:rPr>
          <w:rFonts w:ascii="Times New Roman" w:hAnsi="Times New Roman"/>
        </w:rPr>
        <w:t xml:space="preserve">, </w:t>
      </w:r>
      <w:hyperlink r:id="rId52" w:history="1">
        <w:r>
          <w:rPr>
            <w:rStyle w:val="Hyperlink"/>
            <w:rFonts w:ascii="Times New Roman" w:hAnsi="Times New Roman"/>
          </w:rPr>
          <w:t>LOCARD</w:t>
        </w:r>
      </w:hyperlink>
      <w:r>
        <w:rPr>
          <w:rFonts w:ascii="Times New Roman" w:hAnsi="Times New Roman"/>
        </w:rPr>
        <w:t xml:space="preserve"> et </w:t>
      </w:r>
      <w:hyperlink r:id="rId53" w:history="1">
        <w:r>
          <w:rPr>
            <w:rStyle w:val="Hyperlink"/>
            <w:rFonts w:ascii="Times New Roman" w:hAnsi="Times New Roman"/>
          </w:rPr>
          <w:t>INSPECTr</w:t>
        </w:r>
      </w:hyperlink>
      <w:r>
        <w:rPr>
          <w:rFonts w:ascii="Times New Roman" w:hAnsi="Times New Roman"/>
        </w:rPr>
        <w:t xml:space="preserve"> sont des exemples de projets.</w:t>
      </w:r>
    </w:p>
  </w:footnote>
  <w:footnote w:id="44">
    <w:p w:rsidR="005A7D8E" w:rsidRDefault="001F309D">
      <w:pPr>
        <w:pStyle w:val="FootnoteText"/>
        <w:ind w:left="340" w:hanging="34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Voir </w:t>
      </w:r>
      <w:hyperlink r:id="rId54" w:history="1">
        <w:r>
          <w:rPr>
            <w:rStyle w:val="Hyperlink"/>
            <w:rFonts w:ascii="Times New Roman" w:hAnsi="Times New Roman"/>
          </w:rPr>
          <w:t>ici</w:t>
        </w:r>
      </w:hyperlink>
      <w:r>
        <w:rPr>
          <w:rFonts w:ascii="Times New Roman" w:hAnsi="Times New Roman"/>
        </w:rPr>
        <w:t xml:space="preserve"> un exemple d’appel à propositions sur la recherche, ouvert jusqu’au 22 août 2020.  </w:t>
      </w:r>
    </w:p>
  </w:footnote>
  <w:footnote w:id="45">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Comme débattu lors du </w:t>
      </w:r>
      <w:hyperlink r:id="rId55" w:history="1">
        <w:r>
          <w:rPr>
            <w:rStyle w:val="Hyperlink"/>
            <w:rFonts w:ascii="Times New Roman" w:hAnsi="Times New Roman"/>
          </w:rPr>
          <w:t>Conseil «Justice et affaires intérieures», les 7 et 8 octobre 2019</w:t>
        </w:r>
      </w:hyperlink>
      <w:r>
        <w:rPr>
          <w:rFonts w:ascii="Times New Roman" w:hAnsi="Times New Roman"/>
        </w:rPr>
        <w:t>.</w:t>
      </w:r>
    </w:p>
  </w:footnote>
  <w:footnote w:id="46">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Plus d’informations sont disponibles dans les communiqués de presse d’Europol du </w:t>
      </w:r>
      <w:hyperlink r:id="rId56" w:history="1">
        <w:r>
          <w:rPr>
            <w:rStyle w:val="Hyperlink"/>
            <w:rFonts w:ascii="Times New Roman" w:hAnsi="Times New Roman"/>
          </w:rPr>
          <w:t>27.5.2019</w:t>
        </w:r>
      </w:hyperlink>
      <w:r>
        <w:rPr>
          <w:rFonts w:ascii="Times New Roman" w:hAnsi="Times New Roman"/>
        </w:rPr>
        <w:t xml:space="preserve"> et du </w:t>
      </w:r>
      <w:hyperlink r:id="rId57" w:history="1">
        <w:r>
          <w:rPr>
            <w:rStyle w:val="Hyperlink"/>
            <w:rFonts w:ascii="Times New Roman" w:hAnsi="Times New Roman"/>
          </w:rPr>
          <w:t>25.10.2019</w:t>
        </w:r>
      </w:hyperlink>
      <w:r>
        <w:rPr>
          <w:rFonts w:ascii="Times New Roman" w:hAnsi="Times New Roman"/>
        </w:rPr>
        <w:t xml:space="preserve">. </w:t>
      </w:r>
    </w:p>
  </w:footnote>
  <w:footnote w:id="47">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Voir par exemple les communiqués de presse d’Europol du </w:t>
      </w:r>
      <w:hyperlink r:id="rId58" w:history="1">
        <w:r>
          <w:rPr>
            <w:rStyle w:val="Hyperlink"/>
            <w:rFonts w:ascii="Times New Roman" w:hAnsi="Times New Roman"/>
          </w:rPr>
          <w:t>12.3.2020</w:t>
        </w:r>
      </w:hyperlink>
      <w:r>
        <w:rPr>
          <w:rFonts w:ascii="Times New Roman" w:hAnsi="Times New Roman"/>
        </w:rPr>
        <w:t>, du </w:t>
      </w:r>
      <w:hyperlink r:id="rId59" w:history="1">
        <w:r>
          <w:rPr>
            <w:rStyle w:val="Hyperlink"/>
            <w:rFonts w:ascii="Times New Roman" w:hAnsi="Times New Roman"/>
          </w:rPr>
          <w:t>31.3.2020</w:t>
        </w:r>
      </w:hyperlink>
      <w:r>
        <w:rPr>
          <w:rFonts w:ascii="Times New Roman" w:hAnsi="Times New Roman"/>
        </w:rPr>
        <w:t xml:space="preserve"> et du </w:t>
      </w:r>
      <w:hyperlink r:id="rId60" w:history="1">
        <w:r>
          <w:rPr>
            <w:rStyle w:val="Hyperlink"/>
            <w:rFonts w:ascii="Times New Roman" w:hAnsi="Times New Roman"/>
          </w:rPr>
          <w:t>21.4.2020</w:t>
        </w:r>
      </w:hyperlink>
      <w:r>
        <w:rPr>
          <w:rFonts w:ascii="Times New Roman" w:hAnsi="Times New Roman"/>
        </w:rPr>
        <w:t xml:space="preserve">, ainsi que le </w:t>
      </w:r>
      <w:hyperlink r:id="rId61" w:history="1">
        <w:r>
          <w:rPr>
            <w:rStyle w:val="Hyperlink"/>
            <w:rFonts w:ascii="Times New Roman" w:hAnsi="Times New Roman"/>
          </w:rPr>
          <w:t>rapport annuel d’Eurojust 2019</w:t>
        </w:r>
      </w:hyperlink>
      <w:r>
        <w:rPr>
          <w:rFonts w:ascii="Times New Roman" w:hAnsi="Times New Roman"/>
        </w:rPr>
        <w:t>, notamment p. 13.</w:t>
      </w:r>
    </w:p>
  </w:footnote>
  <w:footnote w:id="48">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62" w:history="1">
        <w:r>
          <w:rPr>
            <w:rStyle w:val="Hyperlink"/>
            <w:rFonts w:ascii="Times New Roman" w:hAnsi="Times New Roman"/>
          </w:rPr>
          <w:t>Conclusions du Conseil sur la définition des priorités de l’UE pour la lutte contre la grande criminalité internationale organisée entre 2018 et 2021</w:t>
        </w:r>
      </w:hyperlink>
      <w:r>
        <w:rPr>
          <w:rFonts w:ascii="Times New Roman" w:hAnsi="Times New Roman"/>
        </w:rPr>
        <w:t>, mai 2017.</w:t>
      </w:r>
    </w:p>
  </w:footnote>
  <w:footnote w:id="49">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Le dernier rapport SOCTA est disponible </w:t>
      </w:r>
      <w:hyperlink r:id="rId63" w:history="1">
        <w:r>
          <w:rPr>
            <w:rStyle w:val="Hyperlink"/>
            <w:rFonts w:ascii="Times New Roman" w:hAnsi="Times New Roman"/>
          </w:rPr>
          <w:t>ici</w:t>
        </w:r>
      </w:hyperlink>
      <w:r>
        <w:rPr>
          <w:rFonts w:ascii="Times New Roman" w:hAnsi="Times New Roman"/>
        </w:rPr>
        <w:t>.</w:t>
      </w:r>
    </w:p>
  </w:footnote>
  <w:footnote w:id="50">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Le dernier rapport iOCTA est disponible </w:t>
      </w:r>
      <w:hyperlink r:id="rId64" w:history="1">
        <w:r>
          <w:rPr>
            <w:rStyle w:val="Hyperlink"/>
            <w:rFonts w:ascii="Times New Roman" w:hAnsi="Times New Roman"/>
          </w:rPr>
          <w:t>ici</w:t>
        </w:r>
      </w:hyperlink>
      <w:r>
        <w:rPr>
          <w:rFonts w:ascii="Times New Roman" w:hAnsi="Times New Roman"/>
        </w:rPr>
        <w:t>.</w:t>
      </w:r>
    </w:p>
  </w:footnote>
  <w:footnote w:id="51">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Pour plus d’informations, voir </w:t>
      </w:r>
      <w:hyperlink r:id="rId65" w:history="1">
        <w:r>
          <w:rPr>
            <w:rStyle w:val="Hyperlink"/>
            <w:rFonts w:ascii="Times New Roman" w:hAnsi="Times New Roman"/>
          </w:rPr>
          <w:t>ici</w:t>
        </w:r>
      </w:hyperlink>
      <w:r>
        <w:rPr>
          <w:rFonts w:ascii="Times New Roman" w:hAnsi="Times New Roman"/>
        </w:rPr>
        <w:t>.</w:t>
      </w:r>
    </w:p>
  </w:footnote>
  <w:footnote w:id="52">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Parmi d’autres initiatives importantes au niveau de l’UE pour protéger les enfants pendant la pandémie de COVID-19, figure la </w:t>
      </w:r>
      <w:hyperlink r:id="rId66" w:history="1">
        <w:r>
          <w:rPr>
            <w:rStyle w:val="Hyperlink"/>
            <w:rFonts w:ascii="Times New Roman" w:hAnsi="Times New Roman"/>
          </w:rPr>
          <w:t>campagne COVID-19 de Betterinternetforkids.eu</w:t>
        </w:r>
      </w:hyperlink>
      <w:r>
        <w:rPr>
          <w:rFonts w:ascii="Times New Roman" w:hAnsi="Times New Roman"/>
        </w:rPr>
        <w:t xml:space="preserve">. </w:t>
      </w:r>
    </w:p>
  </w:footnote>
  <w:footnote w:id="53">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tab/>
      </w:r>
      <w:r>
        <w:rPr>
          <w:rFonts w:ascii="Times New Roman" w:hAnsi="Times New Roman"/>
        </w:rPr>
        <w:t xml:space="preserve">En particulier les articles 22, 23 et 24. Pour plus d’informations, voir le </w:t>
      </w:r>
      <w:hyperlink r:id="rId67" w:history="1">
        <w:r>
          <w:rPr>
            <w:rStyle w:val="Hyperlink"/>
            <w:rFonts w:ascii="Times New Roman" w:hAnsi="Times New Roman"/>
          </w:rPr>
          <w:t>rapport de la Commission au Parlement européen et au Conseil évaluant la mesure dans laquelle les États membres ont pris les mesures nécessaires pour se conformer à la directive 2011/93/UE relative à la lutte contre les abus sexuels et l’exploitation sexuelle des enfants, ainsi que la pédopornographie</w:t>
        </w:r>
      </w:hyperlink>
      <w:r>
        <w:rPr>
          <w:rFonts w:ascii="Times New Roman" w:hAnsi="Times New Roman"/>
        </w:rPr>
        <w:t>, COM(2016) 871 final.</w:t>
      </w:r>
    </w:p>
  </w:footnote>
  <w:footnote w:id="54">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Pour une vue d’ensemble des programmes de prévention dans l’UE et dans les pays tiers, voir Di Gioia, R., Beslay, L. (2018), </w:t>
      </w:r>
      <w:hyperlink r:id="rId68" w:history="1">
        <w:r>
          <w:rPr>
            <w:rStyle w:val="Hyperlink"/>
            <w:rFonts w:ascii="Times New Roman" w:hAnsi="Times New Roman"/>
          </w:rPr>
          <w:t>Fighting child sexual abuse:</w:t>
        </w:r>
      </w:hyperlink>
      <w:hyperlink r:id="rId69" w:history="1">
        <w:r>
          <w:rPr>
            <w:rStyle w:val="Hyperlink"/>
            <w:rFonts w:ascii="Times New Roman" w:hAnsi="Times New Roman"/>
          </w:rPr>
          <w:t>prevention policies for offenders: Inception Report</w:t>
        </w:r>
      </w:hyperlink>
      <w:r>
        <w:rPr>
          <w:rFonts w:ascii="Times New Roman" w:hAnsi="Times New Roman"/>
        </w:rPr>
        <w:t>, EUR 29344 EN, doi:10.2760/48791.</w:t>
      </w:r>
    </w:p>
  </w:footnote>
  <w:footnote w:id="55">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Dans une étude par autodéclaration réalisée auprès d’un panel de 1 978 jeunes hommes adultes provenant de Suède, 4,2 % d’entre eux ont indiqué avoir déjà visionné des contenus à caractère pédopornographique (</w:t>
      </w:r>
      <w:hyperlink r:id="rId70" w:history="1">
        <w:r>
          <w:rPr>
            <w:rStyle w:val="Hyperlink"/>
            <w:rFonts w:ascii="Times New Roman" w:hAnsi="Times New Roman"/>
          </w:rPr>
          <w:t>Seto, et al, 2015</w:t>
        </w:r>
      </w:hyperlink>
      <w:r>
        <w:rPr>
          <w:rFonts w:ascii="Times New Roman" w:hAnsi="Times New Roman"/>
        </w:rPr>
        <w:t>). Selon une autre étude par autodéclaration auprès d’un panel de 8 718 hommes adultes en Allemagne, 2,4 % des répondants ont indiqué utiliser ce matériel (</w:t>
      </w:r>
      <w:hyperlink r:id="rId71" w:history="1">
        <w:r>
          <w:rPr>
            <w:rStyle w:val="Hyperlink"/>
            <w:rFonts w:ascii="Times New Roman" w:hAnsi="Times New Roman"/>
          </w:rPr>
          <w:t>Dombert, et al, 2016</w:t>
        </w:r>
      </w:hyperlink>
      <w:r>
        <w:rPr>
          <w:rFonts w:ascii="Times New Roman" w:hAnsi="Times New Roman"/>
        </w:rPr>
        <w:t>).</w:t>
      </w:r>
    </w:p>
  </w:footnote>
  <w:footnote w:id="56">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72" w:history="1">
        <w:r>
          <w:rPr>
            <w:rStyle w:val="Hyperlink"/>
            <w:rFonts w:ascii="Times New Roman" w:hAnsi="Times New Roman"/>
          </w:rPr>
          <w:t>https://childrescuecoalition.org/the-issue/</w:t>
        </w:r>
      </w:hyperlink>
      <w:r>
        <w:rPr>
          <w:rStyle w:val="Hyperlink"/>
          <w:rFonts w:ascii="Times New Roman" w:hAnsi="Times New Roman"/>
        </w:rPr>
        <w:t>.</w:t>
      </w:r>
    </w:p>
  </w:footnote>
  <w:footnote w:id="57">
    <w:p w:rsidR="005A7D8E" w:rsidRPr="001F309D" w:rsidRDefault="001F309D">
      <w:pPr>
        <w:pStyle w:val="FootnoteText"/>
        <w:ind w:left="340" w:hanging="340"/>
        <w:rPr>
          <w:rFonts w:ascii="Times New Roman" w:hAnsi="Times New Roman" w:cs="Times New Roman"/>
          <w:lang w:val="en-US"/>
        </w:rPr>
      </w:pPr>
      <w:r>
        <w:rPr>
          <w:rStyle w:val="FootnoteReference"/>
          <w:rFonts w:ascii="Times New Roman" w:hAnsi="Times New Roman" w:cs="Times New Roman"/>
        </w:rPr>
        <w:footnoteRef/>
      </w:r>
      <w:r w:rsidRPr="001F309D">
        <w:rPr>
          <w:rFonts w:ascii="Times New Roman" w:hAnsi="Times New Roman"/>
          <w:lang w:val="en-US"/>
        </w:rPr>
        <w:t xml:space="preserve"> </w:t>
      </w:r>
      <w:r w:rsidRPr="001F309D">
        <w:rPr>
          <w:lang w:val="en-US"/>
        </w:rPr>
        <w:tab/>
      </w:r>
      <w:r w:rsidRPr="001F309D">
        <w:rPr>
          <w:rFonts w:ascii="Times New Roman" w:hAnsi="Times New Roman"/>
          <w:lang w:val="en-US"/>
        </w:rPr>
        <w:t xml:space="preserve">The Atlantic, </w:t>
      </w:r>
      <w:hyperlink r:id="rId73" w:history="1">
        <w:r w:rsidRPr="001F309D">
          <w:rPr>
            <w:rStyle w:val="Hyperlink"/>
            <w:rFonts w:ascii="Times New Roman" w:hAnsi="Times New Roman"/>
            <w:i/>
            <w:lang w:val="en-US"/>
          </w:rPr>
          <w:t>I, Pedophile</w:t>
        </w:r>
      </w:hyperlink>
      <w:r w:rsidRPr="001F309D">
        <w:rPr>
          <w:rFonts w:ascii="Times New Roman" w:hAnsi="Times New Roman"/>
          <w:lang w:val="en-US"/>
        </w:rPr>
        <w:t>, David Goldberg, 26 août 2013.</w:t>
      </w:r>
    </w:p>
  </w:footnote>
  <w:footnote w:id="58">
    <w:p w:rsidR="005A7D8E" w:rsidRDefault="001F309D">
      <w:pPr>
        <w:pStyle w:val="FootnoteText"/>
        <w:ind w:left="340" w:hanging="34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Voir, par exemple, </w:t>
      </w:r>
      <w:hyperlink r:id="rId74" w:history="1">
        <w:r>
          <w:rPr>
            <w:rStyle w:val="Hyperlink"/>
          </w:rPr>
          <w:t>Erasmus+</w:t>
        </w:r>
      </w:hyperlink>
      <w:r>
        <w:rPr>
          <w:rFonts w:ascii="Times New Roman" w:hAnsi="Times New Roman"/>
        </w:rPr>
        <w:t>, le programme de l’UE en faveur de l’éducation, de la formation, de la jeunesse et du sport en Europe.</w:t>
      </w:r>
    </w:p>
  </w:footnote>
  <w:footnote w:id="59">
    <w:p w:rsidR="005A7D8E" w:rsidRDefault="001F309D">
      <w:pPr>
        <w:pStyle w:val="FootnoteText"/>
        <w:ind w:left="340" w:hanging="34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Système européen d’information sur les casiers judiciaires (ECRIS). Pour plus d’informations, voir </w:t>
      </w:r>
      <w:hyperlink r:id="rId75" w:history="1">
        <w:r>
          <w:rPr>
            <w:rStyle w:val="Hyperlink"/>
            <w:rFonts w:ascii="Times New Roman" w:hAnsi="Times New Roman"/>
          </w:rPr>
          <w:t>ici</w:t>
        </w:r>
      </w:hyperlink>
      <w:r>
        <w:rPr>
          <w:rFonts w:ascii="Times New Roman" w:hAnsi="Times New Roman"/>
        </w:rPr>
        <w:t>.</w:t>
      </w:r>
    </w:p>
  </w:footnote>
  <w:footnote w:id="60">
    <w:p w:rsidR="005A7D8E" w:rsidRDefault="001F309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Pour plus d’informations, voir </w:t>
      </w:r>
      <w:hyperlink r:id="rId76" w:history="1">
        <w:r>
          <w:rPr>
            <w:rStyle w:val="Hyperlink"/>
            <w:rFonts w:ascii="Times New Roman" w:hAnsi="Times New Roman"/>
          </w:rPr>
          <w:t>ici</w:t>
        </w:r>
      </w:hyperlink>
      <w:r>
        <w:rPr>
          <w:rFonts w:ascii="Times New Roman" w:hAnsi="Times New Roman"/>
        </w:rPr>
        <w:t>.</w:t>
      </w:r>
    </w:p>
  </w:footnote>
  <w:footnote w:id="61">
    <w:p w:rsidR="005A7D8E" w:rsidRDefault="001F309D">
      <w:pPr>
        <w:pStyle w:val="FootnoteText"/>
        <w:ind w:left="340" w:hanging="34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Voir par exemple le centre irlandais pour un internet plus sûr </w:t>
      </w:r>
      <w:hyperlink r:id="rId77" w:history="1">
        <w:r>
          <w:rPr>
            <w:rStyle w:val="Hyperlink"/>
            <w:rFonts w:ascii="Times New Roman" w:hAnsi="Times New Roman"/>
          </w:rPr>
          <w:t>ici</w:t>
        </w:r>
      </w:hyperlink>
      <w:r>
        <w:rPr>
          <w:rFonts w:ascii="Times New Roman" w:hAnsi="Times New Roman"/>
        </w:rPr>
        <w:t xml:space="preserve">. </w:t>
      </w:r>
    </w:p>
  </w:footnote>
  <w:footnote w:id="62">
    <w:p w:rsidR="005A7D8E" w:rsidRDefault="001F309D">
      <w:pPr>
        <w:pStyle w:val="FootnoteText"/>
        <w:ind w:left="340" w:hanging="34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Pour plus d’informations, voir </w:t>
      </w:r>
      <w:hyperlink r:id="rId78" w:history="1">
        <w:r>
          <w:rPr>
            <w:rStyle w:val="Hyperlink"/>
            <w:rFonts w:ascii="Times New Roman" w:hAnsi="Times New Roman"/>
          </w:rPr>
          <w:t>ici</w:t>
        </w:r>
      </w:hyperlink>
      <w:r>
        <w:rPr>
          <w:rFonts w:ascii="Times New Roman" w:hAnsi="Times New Roman"/>
        </w:rPr>
        <w:t xml:space="preserve">. </w:t>
      </w:r>
    </w:p>
  </w:footnote>
  <w:footnote w:id="63">
    <w:p w:rsidR="005A7D8E" w:rsidRDefault="001F309D">
      <w:pPr>
        <w:pStyle w:val="FootnoteText"/>
        <w:ind w:left="340" w:hanging="34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Pour plus d’informations, voir </w:t>
      </w:r>
      <w:hyperlink r:id="rId79" w:history="1">
        <w:r>
          <w:rPr>
            <w:rStyle w:val="Hyperlink"/>
            <w:rFonts w:ascii="Times New Roman" w:hAnsi="Times New Roman"/>
          </w:rPr>
          <w:t>ici</w:t>
        </w:r>
      </w:hyperlink>
      <w:r>
        <w:rPr>
          <w:rFonts w:ascii="Times New Roman" w:hAnsi="Times New Roman"/>
        </w:rPr>
        <w:t xml:space="preserve">. </w:t>
      </w:r>
    </w:p>
  </w:footnote>
  <w:footnote w:id="64">
    <w:p w:rsidR="005A7D8E" w:rsidRDefault="001F309D">
      <w:pPr>
        <w:pStyle w:val="FootnoteText"/>
        <w:ind w:left="340" w:hanging="34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Le prochain </w:t>
      </w:r>
      <w:hyperlink r:id="rId80" w:history="1">
        <w:r>
          <w:rPr>
            <w:rStyle w:val="Hyperlink"/>
            <w:rFonts w:ascii="Times New Roman" w:hAnsi="Times New Roman"/>
          </w:rPr>
          <w:t>plan d’action en matière d’éducation numérique</w:t>
        </w:r>
      </w:hyperlink>
      <w:r>
        <w:rPr>
          <w:rFonts w:ascii="Times New Roman" w:hAnsi="Times New Roman"/>
        </w:rPr>
        <w:t xml:space="preserve"> couvrira également les abus sexuels commis contre des enfants en ligne.</w:t>
      </w:r>
    </w:p>
  </w:footnote>
  <w:footnote w:id="65">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81" w:history="1">
        <w:r>
          <w:rPr>
            <w:rStyle w:val="Hyperlink"/>
            <w:rFonts w:ascii="Times New Roman" w:hAnsi="Times New Roman"/>
          </w:rPr>
          <w:t>Rapport de l’Agence des droits fondamentaux de l’Union européenne</w:t>
        </w:r>
      </w:hyperlink>
      <w:r>
        <w:rPr>
          <w:rFonts w:ascii="Times New Roman" w:hAnsi="Times New Roman"/>
        </w:rPr>
        <w:t>: Violence against children with disabilities, 2015.</w:t>
      </w:r>
    </w:p>
  </w:footnote>
  <w:footnote w:id="66">
    <w:p w:rsidR="005A7D8E" w:rsidRDefault="001F309D">
      <w:pPr>
        <w:pStyle w:val="FootnoteText"/>
        <w:ind w:left="340" w:hanging="34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82" w:history="1">
        <w:r>
          <w:rPr>
            <w:rStyle w:val="Hyperlink"/>
            <w:rFonts w:ascii="Times New Roman" w:hAnsi="Times New Roman"/>
          </w:rPr>
          <w:t>Résolution du Parlement européen du 26 novembre 2019 sur les droits de l’enfant, à l’occasion du 30</w:t>
        </w:r>
        <w:r>
          <w:rPr>
            <w:rStyle w:val="Hyperlink"/>
            <w:rFonts w:ascii="Times New Roman" w:hAnsi="Times New Roman"/>
            <w:vertAlign w:val="superscript"/>
          </w:rPr>
          <w:t>e</w:t>
        </w:r>
        <w:r>
          <w:rPr>
            <w:rStyle w:val="Hyperlink"/>
            <w:rFonts w:ascii="Times New Roman" w:hAnsi="Times New Roman"/>
          </w:rPr>
          <w:t> anniversaire de la convention des Nations unies relative aux droits de l’enfant</w:t>
        </w:r>
      </w:hyperlink>
      <w:r>
        <w:rPr>
          <w:rFonts w:ascii="Times New Roman" w:hAnsi="Times New Roman"/>
        </w:rPr>
        <w:t>.</w:t>
      </w:r>
    </w:p>
  </w:footnote>
  <w:footnote w:id="67">
    <w:p w:rsidR="005A7D8E" w:rsidRDefault="001F309D">
      <w:pPr>
        <w:pStyle w:val="FootnoteText"/>
        <w:ind w:left="340" w:hanging="340"/>
      </w:pPr>
      <w:r>
        <w:rPr>
          <w:rStyle w:val="FootnoteReference"/>
          <w:rFonts w:ascii="Times New Roman" w:hAnsi="Times New Roman" w:cs="Times New Roman"/>
        </w:rPr>
        <w:footnoteRef/>
      </w:r>
      <w:r>
        <w:t xml:space="preserve"> </w:t>
      </w:r>
      <w:r>
        <w:tab/>
      </w:r>
      <w:hyperlink r:id="rId83" w:history="1">
        <w:r>
          <w:rPr>
            <w:rStyle w:val="Hyperlink"/>
            <w:rFonts w:ascii="Times New Roman" w:hAnsi="Times New Roman"/>
          </w:rPr>
          <w:t>Conclusions du Conseil sur la lutte contre les abus sexuels à l’encontre des enfants</w:t>
        </w:r>
      </w:hyperlink>
      <w:r>
        <w:rPr>
          <w:rFonts w:ascii="Times New Roman" w:hAnsi="Times New Roman"/>
        </w:rPr>
        <w:t>, octobre 2019.</w:t>
      </w:r>
    </w:p>
  </w:footnote>
  <w:footnote w:id="68">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84" w:history="1">
        <w:r>
          <w:rPr>
            <w:rStyle w:val="Hyperlink"/>
            <w:rFonts w:ascii="Times New Roman" w:hAnsi="Times New Roman"/>
          </w:rPr>
          <w:t>Directive 2012/29/UE</w:t>
        </w:r>
      </w:hyperlink>
      <w:r>
        <w:rPr>
          <w:rFonts w:ascii="Times New Roman" w:hAnsi="Times New Roman"/>
        </w:rPr>
        <w:t xml:space="preserve"> du 25 octobre 2012 établissant des normes minimales concernant les droits, le soutien et la protection des victimes de la criminalité, JO L 315 du 14.11.2012. Cette directive complète les dispositions spécifiques relatives aux victimes d’abus sexuels commis contre des enfants contenues dans la directive relative aux abus sexuels commis contre des enfants avec les droits généraux des victimes.</w:t>
      </w:r>
    </w:p>
  </w:footnote>
  <w:footnote w:id="69">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Afin de garantir une approche cohérente de la politique en matière de droits des victimes, le centre devrait également coopérer avec la plateforme des droits des victimes créée au titre de la </w:t>
      </w:r>
      <w:hyperlink r:id="rId85" w:history="1">
        <w:r>
          <w:rPr>
            <w:rStyle w:val="Hyperlink"/>
            <w:rFonts w:ascii="Times New Roman" w:hAnsi="Times New Roman"/>
          </w:rPr>
          <w:t>stratégie de l’UE relative au droit des victimes pour la période 2020-2025</w:t>
        </w:r>
      </w:hyperlink>
      <w:r>
        <w:rPr>
          <w:rFonts w:ascii="Times New Roman" w:hAnsi="Times New Roman"/>
        </w:rPr>
        <w:t>, COM(2020) 258 final.</w:t>
      </w:r>
    </w:p>
  </w:footnote>
  <w:footnote w:id="70">
    <w:p w:rsidR="005A7D8E" w:rsidRDefault="001F309D">
      <w:pPr>
        <w:pStyle w:val="FootnoteText"/>
        <w:ind w:left="340" w:hanging="340"/>
        <w:jc w:val="both"/>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Le centre pourrait aussi agir en tant que défenseur des enfants victimes afin de veiller à ce que leurs voix soient entendues et prises en considération dans l’élaboration des politiques aux niveaux national et de l’Union, par une sensibilisation sur les droits des enfants et sur les besoins des enfants victimes.</w:t>
      </w:r>
    </w:p>
  </w:footnote>
  <w:footnote w:id="71">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Voir </w:t>
      </w:r>
      <w:hyperlink r:id="rId86" w:history="1">
        <w:r>
          <w:rPr>
            <w:rStyle w:val="Hyperlink"/>
            <w:rFonts w:ascii="Times New Roman" w:hAnsi="Times New Roman"/>
          </w:rPr>
          <w:t>ici</w:t>
        </w:r>
      </w:hyperlink>
      <w:r>
        <w:rPr>
          <w:rFonts w:ascii="Times New Roman" w:hAnsi="Times New Roman"/>
        </w:rPr>
        <w:t xml:space="preserve"> la liste des entreprises ayant procédé à des signalements au NCMEC en 2019, ainsi que le nombre de signalements présentés par chacune d’elles. </w:t>
      </w:r>
    </w:p>
  </w:footnote>
  <w:footnote w:id="72">
    <w:p w:rsidR="005A7D8E" w:rsidRDefault="001F309D">
      <w:pPr>
        <w:pStyle w:val="FootnoteText"/>
        <w:ind w:left="340" w:hanging="34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Centre suédois de lutte contre la cybercriminalité SC3, police suédoise. </w:t>
      </w:r>
    </w:p>
  </w:footnote>
  <w:footnote w:id="73">
    <w:p w:rsidR="005A7D8E" w:rsidRDefault="001F309D">
      <w:pPr>
        <w:pStyle w:val="FootnoteText"/>
        <w:ind w:left="340" w:hanging="340"/>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w:t>
      </w:r>
      <w:r>
        <w:tab/>
      </w:r>
      <w:hyperlink r:id="rId87" w:history="1">
        <w:r>
          <w:rPr>
            <w:rFonts w:ascii="Times New Roman" w:hAnsi="Times New Roman"/>
            <w:color w:val="0000FF"/>
            <w:u w:val="single"/>
          </w:rPr>
          <w:t>Évaluation de la menace que représente la criminalité organisée sur l’internet 2018</w:t>
        </w:r>
      </w:hyperlink>
      <w:r>
        <w:rPr>
          <w:rFonts w:ascii="Times New Roman" w:hAnsi="Times New Roman"/>
        </w:rPr>
        <w:t>, Europol, p. 32.</w:t>
      </w:r>
    </w:p>
  </w:footnote>
  <w:footnote w:id="74">
    <w:p w:rsidR="005A7D8E" w:rsidRDefault="001F309D">
      <w:pPr>
        <w:pStyle w:val="FootnoteText"/>
        <w:ind w:left="340" w:hanging="34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Comme signalé par les médias roumains, voir </w:t>
      </w:r>
      <w:hyperlink r:id="rId88" w:history="1">
        <w:r>
          <w:rPr>
            <w:rStyle w:val="Hyperlink"/>
            <w:rFonts w:ascii="Times New Roman" w:hAnsi="Times New Roman"/>
          </w:rPr>
          <w:t>ici</w:t>
        </w:r>
      </w:hyperlink>
      <w:r>
        <w:rPr>
          <w:rFonts w:ascii="Times New Roman" w:hAnsi="Times New Roman"/>
        </w:rPr>
        <w:t xml:space="preserve"> et </w:t>
      </w:r>
      <w:hyperlink r:id="rId89" w:history="1">
        <w:r>
          <w:rPr>
            <w:rStyle w:val="Hyperlink"/>
            <w:rFonts w:ascii="Times New Roman" w:hAnsi="Times New Roman"/>
          </w:rPr>
          <w:t>ici</w:t>
        </w:r>
      </w:hyperlink>
      <w:r>
        <w:t>.</w:t>
      </w:r>
    </w:p>
  </w:footnote>
  <w:footnote w:id="75">
    <w:p w:rsidR="005A7D8E" w:rsidRDefault="001F309D">
      <w:pPr>
        <w:pStyle w:val="FootnoteText"/>
        <w:ind w:left="340" w:hanging="34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Comme signalé par la police fédérale allemande (BKA).</w:t>
      </w:r>
    </w:p>
  </w:footnote>
  <w:footnote w:id="76">
    <w:p w:rsidR="005A7D8E" w:rsidRDefault="001F309D">
      <w:pPr>
        <w:pStyle w:val="FootnoteText"/>
        <w:ind w:left="340" w:hanging="34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Comme signalé par les forces de police françaises.</w:t>
      </w:r>
    </w:p>
  </w:footnote>
  <w:footnote w:id="77">
    <w:p w:rsidR="005A7D8E" w:rsidRDefault="001F309D">
      <w:pPr>
        <w:pStyle w:val="FootnoteText"/>
        <w:ind w:left="340" w:hanging="34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Comme signalé par les forces de police tchèques.</w:t>
      </w:r>
    </w:p>
  </w:footnote>
  <w:footnote w:id="78">
    <w:p w:rsidR="005A7D8E" w:rsidRDefault="001F309D">
      <w:pPr>
        <w:pStyle w:val="FootnoteText"/>
        <w:ind w:left="340" w:hanging="34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National Centre for Missing and Exploited Children, </w:t>
      </w:r>
      <w:hyperlink r:id="rId90" w:history="1">
        <w:r>
          <w:rPr>
            <w:rStyle w:val="Hyperlink"/>
            <w:rFonts w:ascii="Times New Roman" w:hAnsi="Times New Roman"/>
          </w:rPr>
          <w:t>signalements 2019 par les fournisseurs de services électroniques</w:t>
        </w:r>
      </w:hyperlink>
      <w:r>
        <w:rPr>
          <w:rFonts w:ascii="Times New Roman" w:hAnsi="Times New Roman"/>
        </w:rPr>
        <w:t xml:space="preserve">. </w:t>
      </w:r>
    </w:p>
  </w:footnote>
  <w:footnote w:id="79">
    <w:p w:rsidR="005A7D8E" w:rsidRPr="001F309D" w:rsidRDefault="001F309D">
      <w:pPr>
        <w:pStyle w:val="FootnoteText"/>
        <w:ind w:left="340" w:hanging="340"/>
        <w:rPr>
          <w:rFonts w:ascii="Times New Roman" w:hAnsi="Times New Roman" w:cs="Times New Roman"/>
          <w:lang w:val="en-US"/>
        </w:rPr>
      </w:pPr>
      <w:r>
        <w:rPr>
          <w:rStyle w:val="FootnoteReference"/>
          <w:rFonts w:ascii="Times New Roman" w:hAnsi="Times New Roman" w:cs="Times New Roman"/>
        </w:rPr>
        <w:footnoteRef/>
      </w:r>
      <w:r w:rsidRPr="001F309D">
        <w:rPr>
          <w:rFonts w:ascii="Times New Roman" w:hAnsi="Times New Roman"/>
          <w:lang w:val="en-US"/>
        </w:rPr>
        <w:t xml:space="preserve"> </w:t>
      </w:r>
      <w:r w:rsidRPr="001F309D">
        <w:rPr>
          <w:lang w:val="en-US"/>
        </w:rPr>
        <w:tab/>
      </w:r>
      <w:r w:rsidRPr="001F309D">
        <w:rPr>
          <w:rFonts w:ascii="Times New Roman" w:hAnsi="Times New Roman"/>
          <w:lang w:val="en-US"/>
        </w:rPr>
        <w:t xml:space="preserve">National Centre for Missing and Exploited Children, </w:t>
      </w:r>
      <w:hyperlink r:id="rId91" w:anchor=":~:text=NCMEC%20will%20stand%20with%20survivors,detecting%20child%20sexual%20abuse%20material.&amp;text=NCMEC%20also%20provides%20information%20for,their%20images%20or%20videos%20online." w:history="1">
        <w:r w:rsidRPr="001F309D">
          <w:rPr>
            <w:rStyle w:val="Hyperlink"/>
            <w:rFonts w:ascii="Times New Roman" w:hAnsi="Times New Roman"/>
            <w:lang w:val="en-US"/>
          </w:rPr>
          <w:t>End-to-end encryption:</w:t>
        </w:r>
      </w:hyperlink>
      <w:hyperlink r:id="rId92" w:anchor=":~:text=NCMEC%20will%20stand%20with%20survivors,detecting%20child%20sexual%20abuse%20material.&amp;text=NCMEC%20also%20provides%20information%20for,their%20images%20or%20videos%20online." w:history="1">
        <w:r w:rsidRPr="001F309D">
          <w:rPr>
            <w:rStyle w:val="Hyperlink"/>
            <w:rFonts w:ascii="Times New Roman" w:hAnsi="Times New Roman"/>
            <w:lang w:val="en-US"/>
          </w:rPr>
          <w:t xml:space="preserve"> ignoring abuse won’t stop it</w:t>
        </w:r>
      </w:hyperlink>
      <w:r w:rsidRPr="001F309D">
        <w:rPr>
          <w:lang w:val="en-US"/>
        </w:rPr>
        <w:t>.</w:t>
      </w:r>
    </w:p>
  </w:footnote>
  <w:footnote w:id="80">
    <w:p w:rsidR="005A7D8E" w:rsidRPr="001F309D" w:rsidRDefault="001F309D">
      <w:pPr>
        <w:pStyle w:val="FootnoteText"/>
        <w:ind w:left="340" w:hanging="340"/>
        <w:rPr>
          <w:rFonts w:ascii="Times New Roman" w:hAnsi="Times New Roman" w:cs="Times New Roman"/>
          <w:lang w:val="en-US"/>
        </w:rPr>
      </w:pPr>
      <w:r>
        <w:rPr>
          <w:rStyle w:val="FootnoteReference"/>
          <w:rFonts w:ascii="Times New Roman" w:hAnsi="Times New Roman" w:cs="Times New Roman"/>
        </w:rPr>
        <w:footnoteRef/>
      </w:r>
      <w:r w:rsidRPr="001F309D">
        <w:rPr>
          <w:rFonts w:ascii="Times New Roman" w:hAnsi="Times New Roman"/>
          <w:lang w:val="en-US"/>
        </w:rPr>
        <w:t xml:space="preserve"> </w:t>
      </w:r>
      <w:r w:rsidRPr="001F309D">
        <w:rPr>
          <w:lang w:val="en-US"/>
        </w:rPr>
        <w:tab/>
      </w:r>
      <w:r w:rsidRPr="001F309D">
        <w:rPr>
          <w:rFonts w:ascii="Times New Roman" w:hAnsi="Times New Roman"/>
          <w:i/>
          <w:lang w:val="en-US"/>
        </w:rPr>
        <w:t>The New York Times</w:t>
      </w:r>
      <w:r w:rsidRPr="001F309D">
        <w:rPr>
          <w:rFonts w:ascii="Times New Roman" w:hAnsi="Times New Roman"/>
          <w:lang w:val="en-US"/>
        </w:rPr>
        <w:t xml:space="preserve">, </w:t>
      </w:r>
      <w:hyperlink r:id="rId93" w:history="1">
        <w:r w:rsidRPr="001F309D">
          <w:rPr>
            <w:rStyle w:val="Hyperlink"/>
            <w:rFonts w:ascii="Times New Roman" w:hAnsi="Times New Roman"/>
            <w:lang w:val="en-US"/>
          </w:rPr>
          <w:t>An Explosion in Online Child Sex Abuse:</w:t>
        </w:r>
      </w:hyperlink>
      <w:hyperlink r:id="rId94" w:history="1">
        <w:r w:rsidRPr="001F309D">
          <w:rPr>
            <w:rStyle w:val="Hyperlink"/>
            <w:rFonts w:ascii="Times New Roman" w:hAnsi="Times New Roman"/>
            <w:lang w:val="en-US"/>
          </w:rPr>
          <w:t xml:space="preserve"> What You Need to Know</w:t>
        </w:r>
      </w:hyperlink>
      <w:r w:rsidRPr="001F309D">
        <w:rPr>
          <w:rFonts w:ascii="Times New Roman" w:hAnsi="Times New Roman"/>
          <w:lang w:val="en-US"/>
        </w:rPr>
        <w:t>, 29.9.2019.</w:t>
      </w:r>
    </w:p>
  </w:footnote>
  <w:footnote w:id="81">
    <w:p w:rsidR="005A7D8E" w:rsidRDefault="001F309D">
      <w:pPr>
        <w:pStyle w:val="FootnoteText"/>
        <w:ind w:left="340" w:hanging="34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95" w:history="1">
        <w:r>
          <w:rPr>
            <w:rFonts w:ascii="Times New Roman" w:hAnsi="Times New Roman"/>
            <w:color w:val="0000FF"/>
            <w:u w:val="single"/>
          </w:rPr>
          <w:t>Évaluation de la menace que représente la criminalité organisée sur l’internet 2019</w:t>
        </w:r>
      </w:hyperlink>
      <w:r>
        <w:rPr>
          <w:rFonts w:ascii="Times New Roman" w:hAnsi="Times New Roman"/>
        </w:rPr>
        <w:t>, Europol, p. 34.</w:t>
      </w:r>
      <w:r>
        <w:tab/>
      </w:r>
    </w:p>
  </w:footnote>
  <w:footnote w:id="82">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Assemblée générale des Nations unies, Conseil des droits de l’homme, </w:t>
      </w:r>
      <w:hyperlink r:id="rId96" w:history="1">
        <w:r>
          <w:rPr>
            <w:rStyle w:val="Hyperlink"/>
            <w:rFonts w:ascii="Times New Roman" w:hAnsi="Times New Roman"/>
          </w:rPr>
          <w:t>rapport</w:t>
        </w:r>
      </w:hyperlink>
      <w:r>
        <w:rPr>
          <w:rFonts w:ascii="Times New Roman" w:hAnsi="Times New Roman"/>
        </w:rPr>
        <w:t xml:space="preserve"> de la rapporteuse spéciale sur la vente d’enfants, la prostitution des enfants et la pornographie mettant en scène des enfants, 13 juillet 2009.</w:t>
      </w:r>
    </w:p>
  </w:footnote>
  <w:footnote w:id="83">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97" w:history="1">
        <w:r>
          <w:rPr>
            <w:rStyle w:val="Hyperlink"/>
            <w:rFonts w:ascii="Times New Roman" w:hAnsi="Times New Roman"/>
          </w:rPr>
          <w:t>Child Rescue Coalition</w:t>
        </w:r>
      </w:hyperlink>
      <w:r>
        <w:rPr>
          <w:rFonts w:ascii="Times New Roman" w:hAnsi="Times New Roman"/>
        </w:rPr>
        <w:t>, téléchargements en temps réel d’un exemple de contenu à caractère pédopornographique le 13 juillet 2020. Les différentes couleurs de points indiquent les différents réseaux à partir desquels le matériel a été téléchargé.</w:t>
      </w:r>
    </w:p>
  </w:footnote>
  <w:footnote w:id="84">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Voir le considérant 43 de la directive relative aux abus sexuels commis contre des enfants. </w:t>
      </w:r>
    </w:p>
  </w:footnote>
  <w:footnote w:id="85">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Par exemple, l’</w:t>
      </w:r>
      <w:hyperlink r:id="rId98" w:history="1">
        <w:r>
          <w:rPr>
            <w:rStyle w:val="Hyperlink"/>
            <w:rFonts w:ascii="Times New Roman" w:hAnsi="Times New Roman"/>
          </w:rPr>
          <w:t>Alliance pour une meilleure protection des mineurs en ligne</w:t>
        </w:r>
      </w:hyperlink>
      <w:r>
        <w:rPr>
          <w:rFonts w:ascii="Times New Roman" w:hAnsi="Times New Roman"/>
        </w:rPr>
        <w:t xml:space="preserve"> regroupe la Commission européenne, de grandes entreprises du secteur des TIC et des médias, des ONG et l’UNICEF afin d’améliorer l’environnement en ligne des enfants et des jeunes en se concentrant sur la responsabilisation des utilisateurs, la collaboration renforcée et la sensibilisation.</w:t>
      </w:r>
    </w:p>
  </w:footnote>
  <w:footnote w:id="86">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99" w:history="1">
        <w:r>
          <w:rPr>
            <w:rStyle w:val="Hyperlink"/>
            <w:rFonts w:ascii="Times New Roman" w:hAnsi="Times New Roman"/>
          </w:rPr>
          <w:t>Base de données internationale d’Interpol sur l’exploitation sexuelle des enfants</w:t>
        </w:r>
      </w:hyperlink>
      <w:r>
        <w:rPr>
          <w:rFonts w:ascii="Times New Roman" w:hAnsi="Times New Roman"/>
        </w:rPr>
        <w:t>, consultée en mai 2019.</w:t>
      </w:r>
    </w:p>
  </w:footnote>
  <w:footnote w:id="87">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Depuis plus de 20 ans, dans le cadre de la politique pour un internet plus sûr [voir la </w:t>
      </w:r>
      <w:hyperlink r:id="rId100" w:history="1">
        <w:r>
          <w:rPr>
            <w:rStyle w:val="Hyperlink"/>
            <w:rFonts w:ascii="Times New Roman" w:hAnsi="Times New Roman"/>
          </w:rPr>
          <w:t>stratégie européenne pour un Internet mieux adapté aux enfants</w:t>
        </w:r>
      </w:hyperlink>
      <w:r>
        <w:rPr>
          <w:rFonts w:ascii="Times New Roman" w:hAnsi="Times New Roman"/>
        </w:rPr>
        <w:t xml:space="preserve">, COM(2012) 196, pilier 4], l’UE soutient la coopération entre les services répressifs, les entreprises de l’internet et les ONG, dans l’Union et à l’échelle mondiale, pour lutter contre ce type de criminalité, notamment au moyen de financements de l’UE en faveur de lignes d’assistance téléphonique.    </w:t>
      </w:r>
    </w:p>
  </w:footnote>
  <w:footnote w:id="88">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Les financements de la Commission destinés aux lignes d’assistance téléphonique et à la base de données centrale «CIMEA» sont actuellement accordés dans le cadre du mécanisme pour l’interconnexion en Europe; un futur financement a été proposé par la Commission au titre du programme pour une Europe numérique. Les lignes d’assistance téléphonique analysent les signalements et la localisation des fournisseurs de services d’hébergement, et transmettent les informations concernant les contenus à caractère pédopornographique confirmés aux services répressifs compétents, à des fins d’enquête pénale et d’identification des victimes, ainsi qu’aux fournisseurs de services d’hébergement pour le retrait de ces contenus. Voir </w:t>
      </w:r>
      <w:hyperlink r:id="rId101" w:history="1">
        <w:r>
          <w:rPr>
            <w:rStyle w:val="Hyperlink"/>
            <w:rFonts w:ascii="Times New Roman" w:hAnsi="Times New Roman"/>
          </w:rPr>
          <w:t>ici</w:t>
        </w:r>
      </w:hyperlink>
      <w:r>
        <w:rPr>
          <w:rFonts w:ascii="Times New Roman" w:hAnsi="Times New Roman"/>
        </w:rPr>
        <w:t xml:space="preserve"> pour plus d’informations.</w:t>
      </w:r>
    </w:p>
  </w:footnote>
  <w:footnote w:id="89">
    <w:p w:rsidR="005A7D8E" w:rsidRDefault="001F309D">
      <w:pPr>
        <w:pStyle w:val="FootnoteText"/>
        <w:ind w:left="340" w:hanging="34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Plus d’informations sur l’initiative Spotlight sont disponibles </w:t>
      </w:r>
      <w:hyperlink r:id="rId102" w:history="1">
        <w:r>
          <w:rPr>
            <w:rStyle w:val="Hyperlink"/>
            <w:rFonts w:ascii="Times New Roman" w:hAnsi="Times New Roman"/>
          </w:rPr>
          <w:t>ici</w:t>
        </w:r>
      </w:hyperlink>
      <w:r>
        <w:rPr>
          <w:rFonts w:ascii="Times New Roman" w:hAnsi="Times New Roman"/>
        </w:rPr>
        <w:t xml:space="preserve">. </w:t>
      </w:r>
    </w:p>
  </w:footnote>
  <w:footnote w:id="90">
    <w:p w:rsidR="005A7D8E" w:rsidRDefault="001F309D">
      <w:pPr>
        <w:pStyle w:val="FootnoteText"/>
        <w:ind w:left="340" w:hanging="340"/>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L’UE dialoguera également avec des organisations de la société civile (initiative «Joining Forces») en Afrique subsaharienne afin de réduire les niveaux de violence, d’abus, d’exploitation et de négligence à l’encontre des enfants et des adolescents, en particulier dans les pays les plus touchés par la COVID-19.</w:t>
      </w:r>
    </w:p>
  </w:footnote>
  <w:footnote w:id="91">
    <w:p w:rsidR="005A7D8E" w:rsidRDefault="001F309D">
      <w:pPr>
        <w:pStyle w:val="FootnoteText"/>
        <w:ind w:left="340" w:hanging="34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Plus d’informations sur l’Alliance mondiale contre les abus sexuels d’enfants en ligne sont disponibles </w:t>
      </w:r>
      <w:hyperlink r:id="rId103" w:history="1">
        <w:r>
          <w:rPr>
            <w:rStyle w:val="Hyperlink"/>
            <w:rFonts w:ascii="Times New Roman" w:hAnsi="Times New Roman"/>
          </w:rPr>
          <w:t>ici</w:t>
        </w:r>
      </w:hyperlink>
      <w:r>
        <w:rPr>
          <w:rFonts w:ascii="Times New Roman" w:hAnsi="Times New Roman"/>
        </w:rPr>
        <w:t>.</w:t>
      </w:r>
    </w:p>
  </w:footnote>
  <w:footnote w:id="92">
    <w:p w:rsidR="005A7D8E" w:rsidRDefault="001F309D">
      <w:pPr>
        <w:pStyle w:val="FootnoteText"/>
        <w:ind w:left="340" w:hanging="34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Au 17 juin 2020. Plus d’informations sur l’Alliance mondiale WePROTECT sont disponibles </w:t>
      </w:r>
      <w:hyperlink r:id="rId104" w:history="1">
        <w:r>
          <w:rPr>
            <w:rStyle w:val="Hyperlink"/>
            <w:rFonts w:ascii="Times New Roman" w:hAnsi="Times New Roman"/>
          </w:rPr>
          <w:t>ici</w:t>
        </w:r>
      </w:hyperlink>
      <w:r>
        <w:rPr>
          <w:rFonts w:ascii="Times New Roman" w:hAnsi="Times New Roman"/>
        </w:rPr>
        <w:t>.</w:t>
      </w:r>
    </w:p>
  </w:footnote>
  <w:footnote w:id="93">
    <w:p w:rsidR="005A7D8E" w:rsidRDefault="001F309D">
      <w:pPr>
        <w:pStyle w:val="FootnoteText"/>
        <w:ind w:left="340" w:hanging="340"/>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Pour plus d’informations sur le plan d’action de l’UE en faveur des droits humains et de la démocratie pour la période 2020-2024, voir </w:t>
      </w:r>
      <w:hyperlink r:id="rId105" w:history="1">
        <w:r>
          <w:rPr>
            <w:rStyle w:val="Hyperlink"/>
            <w:rFonts w:ascii="Times New Roman" w:hAnsi="Times New Roman"/>
          </w:rPr>
          <w:t>ici</w:t>
        </w:r>
      </w:hyperlink>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860" w:rsidRPr="004B2860" w:rsidRDefault="004B2860" w:rsidP="004B28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860" w:rsidRPr="004B2860" w:rsidRDefault="004B2860" w:rsidP="004B286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860" w:rsidRPr="004B2860" w:rsidRDefault="004B2860" w:rsidP="004B286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7D8E" w:rsidRDefault="005A7D8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7D8E" w:rsidRDefault="005A7D8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7D8E" w:rsidRDefault="005A7D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D4F49"/>
    <w:multiLevelType w:val="hybridMultilevel"/>
    <w:tmpl w:val="C1DA7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6550D2"/>
    <w:multiLevelType w:val="hybridMultilevel"/>
    <w:tmpl w:val="916C58F0"/>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1070F46"/>
    <w:multiLevelType w:val="hybridMultilevel"/>
    <w:tmpl w:val="4C40B95A"/>
    <w:lvl w:ilvl="0" w:tplc="384AF094">
      <w:start w:val="4"/>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11D667D"/>
    <w:multiLevelType w:val="hybridMultilevel"/>
    <w:tmpl w:val="26C6FA80"/>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4" w15:restartNumberingAfterBreak="0">
    <w:nsid w:val="01357AEA"/>
    <w:multiLevelType w:val="hybridMultilevel"/>
    <w:tmpl w:val="45D205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2952E21"/>
    <w:multiLevelType w:val="hybridMultilevel"/>
    <w:tmpl w:val="FBE8931C"/>
    <w:lvl w:ilvl="0" w:tplc="08090001">
      <w:start w:val="1"/>
      <w:numFmt w:val="bullet"/>
      <w:lvlText w:val=""/>
      <w:lvlJc w:val="left"/>
      <w:pPr>
        <w:ind w:left="720" w:hanging="360"/>
      </w:pPr>
      <w:rPr>
        <w:rFonts w:ascii="Symbol" w:hAnsi="Symbol" w:hint="default"/>
      </w:rPr>
    </w:lvl>
    <w:lvl w:ilvl="1" w:tplc="1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4461B6F"/>
    <w:multiLevelType w:val="hybridMultilevel"/>
    <w:tmpl w:val="2D043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DD6529"/>
    <w:multiLevelType w:val="hybridMultilevel"/>
    <w:tmpl w:val="2D240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7E476D7"/>
    <w:multiLevelType w:val="hybridMultilevel"/>
    <w:tmpl w:val="A538DA5A"/>
    <w:lvl w:ilvl="0" w:tplc="5B08DD18">
      <w:start w:val="1"/>
      <w:numFmt w:val="upperRoman"/>
      <w:lvlText w:val="%1."/>
      <w:lvlJc w:val="right"/>
      <w:pPr>
        <w:ind w:left="0" w:firstLine="0"/>
      </w:pPr>
      <w:rPr>
        <w:rFonts w:hint="default"/>
      </w:rPr>
    </w:lvl>
    <w:lvl w:ilvl="1" w:tplc="08090019">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9" w15:restartNumberingAfterBreak="0">
    <w:nsid w:val="0AE22597"/>
    <w:multiLevelType w:val="hybridMultilevel"/>
    <w:tmpl w:val="AAE243E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28C4066"/>
    <w:multiLevelType w:val="hybridMultilevel"/>
    <w:tmpl w:val="83CC9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9E13AC"/>
    <w:multiLevelType w:val="hybridMultilevel"/>
    <w:tmpl w:val="497457A4"/>
    <w:lvl w:ilvl="0" w:tplc="08090011">
      <w:start w:val="1"/>
      <w:numFmt w:val="decimal"/>
      <w:lvlText w:val="%1)"/>
      <w:lvlJc w:val="left"/>
      <w:pPr>
        <w:ind w:left="360" w:hanging="360"/>
      </w:pPr>
      <w:rPr>
        <w:rFont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1FDF5DB2"/>
    <w:multiLevelType w:val="hybridMultilevel"/>
    <w:tmpl w:val="9C68E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DE6C99"/>
    <w:multiLevelType w:val="hybridMultilevel"/>
    <w:tmpl w:val="06D804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4231BBD"/>
    <w:multiLevelType w:val="hybridMultilevel"/>
    <w:tmpl w:val="BB2C3E1E"/>
    <w:lvl w:ilvl="0" w:tplc="C7DCD89E">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72F758C"/>
    <w:multiLevelType w:val="hybridMultilevel"/>
    <w:tmpl w:val="85B03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F45A0F"/>
    <w:multiLevelType w:val="hybridMultilevel"/>
    <w:tmpl w:val="8012BA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D05AD6"/>
    <w:multiLevelType w:val="hybridMultilevel"/>
    <w:tmpl w:val="11DEB3FC"/>
    <w:lvl w:ilvl="0" w:tplc="C644A228">
      <w:start w:val="5"/>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A652EB2"/>
    <w:multiLevelType w:val="hybridMultilevel"/>
    <w:tmpl w:val="30707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2A0A1C"/>
    <w:multiLevelType w:val="hybridMultilevel"/>
    <w:tmpl w:val="B7D4EC70"/>
    <w:lvl w:ilvl="0" w:tplc="DE6217AC">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6C441E9"/>
    <w:multiLevelType w:val="hybridMultilevel"/>
    <w:tmpl w:val="76DEADF6"/>
    <w:lvl w:ilvl="0" w:tplc="F63E7274">
      <w:start w:val="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3A895002"/>
    <w:multiLevelType w:val="hybridMultilevel"/>
    <w:tmpl w:val="5FCC6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B85817"/>
    <w:multiLevelType w:val="hybridMultilevel"/>
    <w:tmpl w:val="67D61004"/>
    <w:lvl w:ilvl="0" w:tplc="08090011">
      <w:start w:val="1"/>
      <w:numFmt w:val="decimal"/>
      <w:lvlText w:val="%1)"/>
      <w:lvlJc w:val="left"/>
      <w:pPr>
        <w:ind w:left="218" w:hanging="360"/>
      </w:pPr>
    </w:lvl>
    <w:lvl w:ilvl="1" w:tplc="08090001">
      <w:start w:val="1"/>
      <w:numFmt w:val="bullet"/>
      <w:lvlText w:val=""/>
      <w:lvlJc w:val="left"/>
      <w:pPr>
        <w:ind w:left="938" w:hanging="360"/>
      </w:pPr>
      <w:rPr>
        <w:rFonts w:ascii="Symbol" w:hAnsi="Symbol" w:hint="default"/>
      </w:rPr>
    </w:lvl>
    <w:lvl w:ilvl="2" w:tplc="0809001B">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23" w15:restartNumberingAfterBreak="0">
    <w:nsid w:val="3C205496"/>
    <w:multiLevelType w:val="hybridMultilevel"/>
    <w:tmpl w:val="7910D95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3CFB2B94"/>
    <w:multiLevelType w:val="hybridMultilevel"/>
    <w:tmpl w:val="35CAE78E"/>
    <w:lvl w:ilvl="0" w:tplc="0809000F">
      <w:start w:val="1"/>
      <w:numFmt w:val="decimal"/>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0990057"/>
    <w:multiLevelType w:val="hybridMultilevel"/>
    <w:tmpl w:val="79DC6DF0"/>
    <w:lvl w:ilvl="0" w:tplc="DE6217AC">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1482109"/>
    <w:multiLevelType w:val="hybridMultilevel"/>
    <w:tmpl w:val="22B2927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3E30B50"/>
    <w:multiLevelType w:val="hybridMultilevel"/>
    <w:tmpl w:val="434C12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3E85B5A"/>
    <w:multiLevelType w:val="hybridMultilevel"/>
    <w:tmpl w:val="8E3CFB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64053F1"/>
    <w:multiLevelType w:val="hybridMultilevel"/>
    <w:tmpl w:val="D5C8DA9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46421650"/>
    <w:multiLevelType w:val="hybridMultilevel"/>
    <w:tmpl w:val="9AFAF1C0"/>
    <w:lvl w:ilvl="0" w:tplc="2BA8321A">
      <w:start w:val="1"/>
      <w:numFmt w:val="bullet"/>
      <w:lvlText w:val="-"/>
      <w:lvlJc w:val="left"/>
      <w:pPr>
        <w:ind w:left="700" w:hanging="360"/>
      </w:pPr>
      <w:rPr>
        <w:rFonts w:ascii="Times New Roman" w:eastAsiaTheme="minorHAnsi" w:hAnsi="Times New Roman" w:cs="Times New Roman"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31" w15:restartNumberingAfterBreak="0">
    <w:nsid w:val="47277701"/>
    <w:multiLevelType w:val="hybridMultilevel"/>
    <w:tmpl w:val="5CE661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8B75A1C"/>
    <w:multiLevelType w:val="hybridMultilevel"/>
    <w:tmpl w:val="46300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CBB6323"/>
    <w:multiLevelType w:val="hybridMultilevel"/>
    <w:tmpl w:val="0D026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23E6C3A"/>
    <w:multiLevelType w:val="hybridMultilevel"/>
    <w:tmpl w:val="6690133C"/>
    <w:lvl w:ilvl="0" w:tplc="FD22BD2A">
      <w:start w:val="4"/>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44053E4"/>
    <w:multiLevelType w:val="hybridMultilevel"/>
    <w:tmpl w:val="1B329E36"/>
    <w:lvl w:ilvl="0" w:tplc="DE6217AC">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6205BCB"/>
    <w:multiLevelType w:val="hybridMultilevel"/>
    <w:tmpl w:val="A676AA40"/>
    <w:lvl w:ilvl="0" w:tplc="DE6217AC">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5A6069CA"/>
    <w:multiLevelType w:val="hybridMultilevel"/>
    <w:tmpl w:val="614AE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ABC2759"/>
    <w:multiLevelType w:val="hybridMultilevel"/>
    <w:tmpl w:val="6E866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B2B4936"/>
    <w:multiLevelType w:val="hybridMultilevel"/>
    <w:tmpl w:val="96220C8A"/>
    <w:lvl w:ilvl="0" w:tplc="DE6217AC">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5FA21888"/>
    <w:multiLevelType w:val="hybridMultilevel"/>
    <w:tmpl w:val="A0B6D5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0DA5F4B"/>
    <w:multiLevelType w:val="multilevel"/>
    <w:tmpl w:val="0F08F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1694B73"/>
    <w:multiLevelType w:val="hybridMultilevel"/>
    <w:tmpl w:val="923A42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3EC2581"/>
    <w:multiLevelType w:val="hybridMultilevel"/>
    <w:tmpl w:val="E6980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48A44D1"/>
    <w:multiLevelType w:val="hybridMultilevel"/>
    <w:tmpl w:val="B1C43E5A"/>
    <w:lvl w:ilvl="0" w:tplc="0809000F">
      <w:start w:val="1"/>
      <w:numFmt w:val="decimal"/>
      <w:lvlText w:val="%1."/>
      <w:lvlJc w:val="left"/>
      <w:pPr>
        <w:ind w:left="360" w:hanging="360"/>
      </w:p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688C168E"/>
    <w:multiLevelType w:val="hybridMultilevel"/>
    <w:tmpl w:val="328EB7F0"/>
    <w:lvl w:ilvl="0" w:tplc="08090001">
      <w:start w:val="1"/>
      <w:numFmt w:val="bullet"/>
      <w:lvlText w:val=""/>
      <w:lvlJc w:val="left"/>
      <w:pPr>
        <w:ind w:left="720" w:hanging="360"/>
      </w:pPr>
      <w:rPr>
        <w:rFonts w:ascii="Symbol" w:hAnsi="Symbol" w:hint="default"/>
      </w:rPr>
    </w:lvl>
    <w:lvl w:ilvl="1" w:tplc="1809000B">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97276DC"/>
    <w:multiLevelType w:val="hybridMultilevel"/>
    <w:tmpl w:val="940AB56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6B1668D0"/>
    <w:multiLevelType w:val="hybridMultilevel"/>
    <w:tmpl w:val="9552D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426252F"/>
    <w:multiLevelType w:val="hybridMultilevel"/>
    <w:tmpl w:val="5C943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5645284"/>
    <w:multiLevelType w:val="hybridMultilevel"/>
    <w:tmpl w:val="B524C304"/>
    <w:lvl w:ilvl="0" w:tplc="05C808F4">
      <w:start w:val="4"/>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60C798B"/>
    <w:multiLevelType w:val="hybridMultilevel"/>
    <w:tmpl w:val="330CDD8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76EB648E"/>
    <w:multiLevelType w:val="hybridMultilevel"/>
    <w:tmpl w:val="D5000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AB11DCE"/>
    <w:multiLevelType w:val="hybridMultilevel"/>
    <w:tmpl w:val="497457A4"/>
    <w:lvl w:ilvl="0" w:tplc="08090011">
      <w:start w:val="1"/>
      <w:numFmt w:val="decimal"/>
      <w:lvlText w:val="%1)"/>
      <w:lvlJc w:val="left"/>
      <w:pPr>
        <w:ind w:left="360" w:hanging="360"/>
      </w:pPr>
      <w:rPr>
        <w:rFont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3" w15:restartNumberingAfterBreak="0">
    <w:nsid w:val="7B011BE5"/>
    <w:multiLevelType w:val="hybridMultilevel"/>
    <w:tmpl w:val="BFC09D9A"/>
    <w:lvl w:ilvl="0" w:tplc="08090011">
      <w:start w:val="1"/>
      <w:numFmt w:val="decimal"/>
      <w:lvlText w:val="%1)"/>
      <w:lvlJc w:val="left"/>
      <w:pPr>
        <w:ind w:left="294" w:hanging="360"/>
      </w:pPr>
    </w:lvl>
    <w:lvl w:ilvl="1" w:tplc="08090019">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54" w15:restartNumberingAfterBreak="0">
    <w:nsid w:val="7CF470F7"/>
    <w:multiLevelType w:val="hybridMultilevel"/>
    <w:tmpl w:val="4280942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7D4D56E6"/>
    <w:multiLevelType w:val="hybridMultilevel"/>
    <w:tmpl w:val="0F3CE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4"/>
  </w:num>
  <w:num w:numId="2">
    <w:abstractNumId w:val="11"/>
  </w:num>
  <w:num w:numId="3">
    <w:abstractNumId w:val="37"/>
  </w:num>
  <w:num w:numId="4">
    <w:abstractNumId w:val="7"/>
  </w:num>
  <w:num w:numId="5">
    <w:abstractNumId w:val="22"/>
  </w:num>
  <w:num w:numId="6">
    <w:abstractNumId w:val="33"/>
  </w:num>
  <w:num w:numId="7">
    <w:abstractNumId w:val="21"/>
  </w:num>
  <w:num w:numId="8">
    <w:abstractNumId w:val="29"/>
  </w:num>
  <w:num w:numId="9">
    <w:abstractNumId w:val="17"/>
  </w:num>
  <w:num w:numId="10">
    <w:abstractNumId w:val="27"/>
  </w:num>
  <w:num w:numId="11">
    <w:abstractNumId w:val="5"/>
  </w:num>
  <w:num w:numId="12">
    <w:abstractNumId w:val="3"/>
  </w:num>
  <w:num w:numId="13">
    <w:abstractNumId w:val="45"/>
  </w:num>
  <w:num w:numId="14">
    <w:abstractNumId w:val="0"/>
  </w:num>
  <w:num w:numId="15">
    <w:abstractNumId w:val="31"/>
  </w:num>
  <w:num w:numId="16">
    <w:abstractNumId w:val="8"/>
  </w:num>
  <w:num w:numId="17">
    <w:abstractNumId w:val="53"/>
  </w:num>
  <w:num w:numId="18">
    <w:abstractNumId w:val="24"/>
  </w:num>
  <w:num w:numId="19">
    <w:abstractNumId w:val="51"/>
  </w:num>
  <w:num w:numId="20">
    <w:abstractNumId w:val="41"/>
  </w:num>
  <w:num w:numId="21">
    <w:abstractNumId w:val="4"/>
  </w:num>
  <w:num w:numId="22">
    <w:abstractNumId w:val="50"/>
  </w:num>
  <w:num w:numId="23">
    <w:abstractNumId w:val="1"/>
  </w:num>
  <w:num w:numId="24">
    <w:abstractNumId w:val="48"/>
  </w:num>
  <w:num w:numId="25">
    <w:abstractNumId w:val="52"/>
  </w:num>
  <w:num w:numId="26">
    <w:abstractNumId w:val="2"/>
  </w:num>
  <w:num w:numId="27">
    <w:abstractNumId w:val="49"/>
  </w:num>
  <w:num w:numId="28">
    <w:abstractNumId w:val="16"/>
  </w:num>
  <w:num w:numId="29">
    <w:abstractNumId w:val="42"/>
  </w:num>
  <w:num w:numId="30">
    <w:abstractNumId w:val="43"/>
  </w:num>
  <w:num w:numId="31">
    <w:abstractNumId w:val="38"/>
  </w:num>
  <w:num w:numId="32">
    <w:abstractNumId w:val="32"/>
  </w:num>
  <w:num w:numId="33">
    <w:abstractNumId w:val="14"/>
  </w:num>
  <w:num w:numId="34">
    <w:abstractNumId w:val="23"/>
  </w:num>
  <w:num w:numId="35">
    <w:abstractNumId w:val="13"/>
  </w:num>
  <w:num w:numId="36">
    <w:abstractNumId w:val="20"/>
  </w:num>
  <w:num w:numId="37">
    <w:abstractNumId w:val="34"/>
  </w:num>
  <w:num w:numId="38">
    <w:abstractNumId w:val="47"/>
  </w:num>
  <w:num w:numId="39">
    <w:abstractNumId w:val="30"/>
  </w:num>
  <w:num w:numId="40">
    <w:abstractNumId w:val="26"/>
  </w:num>
  <w:num w:numId="41">
    <w:abstractNumId w:val="39"/>
  </w:num>
  <w:num w:numId="42">
    <w:abstractNumId w:val="35"/>
  </w:num>
  <w:num w:numId="43">
    <w:abstractNumId w:val="36"/>
  </w:num>
  <w:num w:numId="44">
    <w:abstractNumId w:val="15"/>
  </w:num>
  <w:num w:numId="45">
    <w:abstractNumId w:val="12"/>
  </w:num>
  <w:num w:numId="46">
    <w:abstractNumId w:val="28"/>
  </w:num>
  <w:num w:numId="47">
    <w:abstractNumId w:val="40"/>
  </w:num>
  <w:num w:numId="48">
    <w:abstractNumId w:val="44"/>
  </w:num>
  <w:num w:numId="49">
    <w:abstractNumId w:val="55"/>
  </w:num>
  <w:num w:numId="50">
    <w:abstractNumId w:val="18"/>
  </w:num>
  <w:num w:numId="51">
    <w:abstractNumId w:val="6"/>
  </w:num>
  <w:num w:numId="52">
    <w:abstractNumId w:val="10"/>
  </w:num>
  <w:num w:numId="53">
    <w:abstractNumId w:val="25"/>
  </w:num>
  <w:num w:numId="54">
    <w:abstractNumId w:val="19"/>
  </w:num>
  <w:num w:numId="55">
    <w:abstractNumId w:val="46"/>
  </w:num>
  <w:num w:numId="56">
    <w:abstractNumId w:val="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nl-BE" w:vendorID="64" w:dllVersion="131078" w:nlCheck="1" w:checkStyle="0"/>
  <w:activeWritingStyle w:appName="MSWord" w:lang="en-IE" w:vendorID="64" w:dllVersion="131078" w:nlCheck="1" w:checkStyle="1"/>
  <w:activeWritingStyle w:appName="MSWord" w:lang="en-GB" w:vendorID="64" w:dllVersion="131078" w:nlCheck="1" w:checkStyle="1"/>
  <w:activeWritingStyle w:appName="MSWord" w:lang="de-DE" w:vendorID="64" w:dllVersion="131078" w:nlCheck="1" w:checkStyle="0"/>
  <w:activeWritingStyle w:appName="MSWord" w:lang="en-US" w:vendorID="64" w:dllVersion="131078" w:nlCheck="1" w:checkStyle="1"/>
  <w:activeWritingStyle w:appName="MSWord" w:lang="es-ES" w:vendorID="64" w:dllVersion="131078" w:nlCheck="1" w:checkStyle="0"/>
  <w:activeWritingStyle w:appName="MSWord" w:lang="fr-FR" w:vendorID="64" w:dllVersion="131078" w:nlCheck="1" w:checkStyle="0"/>
  <w:activeWritingStyle w:appName="MSWord" w:lang="fr-BE" w:vendorID="64" w:dllVersion="131078" w:nlCheck="1" w:checkStyle="0"/>
  <w:defaultTabStop w:val="720"/>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70196A2E-959B-4F55-80D8-0F64858CF3AB"/>
    <w:docVar w:name="LW_COVERPAGE_TYPE" w:val="1"/>
    <w:docVar w:name="LW_CROSSREFERENCE" w:val="&lt;UNUSED&gt;"/>
    <w:docVar w:name="LW_DocType" w:val="NORMAL"/>
    <w:docVar w:name="LW_EMISSION" w:val="24.7.2020"/>
    <w:docVar w:name="LW_EMISSION_ISODATE" w:val="2020-07-24"/>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lt;EMPTY&gt;"/>
    <w:docVar w:name="LW_REF.INST.NEW_TEXT" w:val="(2020) 607 final"/>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égie de l'UE en faveur d'une lutte plus efficace contre les abus sexuels commis contre des enfants"/>
    <w:docVar w:name="LW_TYPE.DOC.CP" w:val="COMMUNICATION DE LA COMMISSION AU PARLEMENT EUROPÉEN, AU CONSEIL, AU COMITÉ ÉCONOMIQUE ET SOCIAL EUROPÉEN ET AU COMITÉ DES RÉGIONS"/>
    <w:docVar w:name="LW_TYPE.DOC.CP.USERTEXT" w:val="&lt;EMPTY&gt;"/>
  </w:docVars>
  <w:rsids>
    <w:rsidRoot w:val="005A7D8E"/>
    <w:rsid w:val="001F309D"/>
    <w:rsid w:val="003503AA"/>
    <w:rsid w:val="004B2860"/>
    <w:rsid w:val="005A7D8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docId w15:val="{AD426366-032F-4B0D-9541-ACC12ED3F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ListParagraph">
    <w:name w:val="List Paragraph"/>
    <w:basedOn w:val="Normal"/>
    <w:uiPriority w:val="34"/>
    <w:qFormat/>
    <w:pPr>
      <w:ind w:left="720"/>
      <w:contextualSpacing/>
    </w:pPr>
  </w:style>
  <w:style w:type="paragraph" w:styleId="FootnoteText">
    <w:name w:val="footnote text"/>
    <w:aliases w:val="Footnote,fn,Footnote Text Char1,Footnote Text Char Char,FOOTNOTES,single space,footnote text,Fußnotentext Char,Fußnote,Footnote Text Char Char1,Footnote Text Char Char Char,FOOTNOTES Char Char,fn Char Char,single space Char Char, Char Char"/>
    <w:basedOn w:val="Normal"/>
    <w:link w:val="FootnoteTextChar"/>
    <w:unhideWhenUsed/>
    <w:pPr>
      <w:spacing w:after="0" w:line="240" w:lineRule="auto"/>
    </w:pPr>
    <w:rPr>
      <w:sz w:val="20"/>
      <w:szCs w:val="20"/>
    </w:rPr>
  </w:style>
  <w:style w:type="character" w:customStyle="1" w:styleId="FootnoteTextChar">
    <w:name w:val="Footnote Text Char"/>
    <w:aliases w:val="Footnote Char,fn Char,Footnote Text Char1 Char,Footnote Text Char Char Char1,FOOTNOTES Char,single space Char,footnote text Char,Fußnotentext Char Char,Fußnote Char,Footnote Text Char Char1 Char,Footnote Text Char Char Char Char"/>
    <w:basedOn w:val="DefaultParagraphFont"/>
    <w:link w:val="FootnoteText"/>
    <w:rPr>
      <w:sz w:val="20"/>
      <w:szCs w:val="20"/>
    </w:rPr>
  </w:style>
  <w:style w:type="character" w:styleId="FootnoteReference">
    <w:name w:val="footnote reference"/>
    <w:basedOn w:val="DefaultParagraphFont"/>
    <w:unhideWhenUsed/>
    <w:rPr>
      <w:vertAlign w:val="superscript"/>
    </w:rPr>
  </w:style>
  <w:style w:type="character" w:styleId="Hyperlink">
    <w:name w:val="Hyperlink"/>
    <w:basedOn w:val="DefaultParagraphFont"/>
    <w:uiPriority w:val="99"/>
    <w:unhideWhenUsed/>
    <w:rPr>
      <w:color w:val="0000FF"/>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pPr>
      <w:spacing w:after="0" w:line="240" w:lineRule="auto"/>
    </w:p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254617">
      <w:bodyDiv w:val="1"/>
      <w:marLeft w:val="0"/>
      <w:marRight w:val="0"/>
      <w:marTop w:val="0"/>
      <w:marBottom w:val="0"/>
      <w:divBdr>
        <w:top w:val="none" w:sz="0" w:space="0" w:color="auto"/>
        <w:left w:val="none" w:sz="0" w:space="0" w:color="auto"/>
        <w:bottom w:val="none" w:sz="0" w:space="0" w:color="auto"/>
        <w:right w:val="none" w:sz="0" w:space="0" w:color="auto"/>
      </w:divBdr>
    </w:div>
    <w:div w:id="182862367">
      <w:bodyDiv w:val="1"/>
      <w:marLeft w:val="0"/>
      <w:marRight w:val="0"/>
      <w:marTop w:val="0"/>
      <w:marBottom w:val="0"/>
      <w:divBdr>
        <w:top w:val="none" w:sz="0" w:space="0" w:color="auto"/>
        <w:left w:val="none" w:sz="0" w:space="0" w:color="auto"/>
        <w:bottom w:val="none" w:sz="0" w:space="0" w:color="auto"/>
        <w:right w:val="none" w:sz="0" w:space="0" w:color="auto"/>
      </w:divBdr>
    </w:div>
    <w:div w:id="309214468">
      <w:bodyDiv w:val="1"/>
      <w:marLeft w:val="0"/>
      <w:marRight w:val="0"/>
      <w:marTop w:val="0"/>
      <w:marBottom w:val="0"/>
      <w:divBdr>
        <w:top w:val="none" w:sz="0" w:space="0" w:color="auto"/>
        <w:left w:val="none" w:sz="0" w:space="0" w:color="auto"/>
        <w:bottom w:val="none" w:sz="0" w:space="0" w:color="auto"/>
        <w:right w:val="none" w:sz="0" w:space="0" w:color="auto"/>
      </w:divBdr>
    </w:div>
    <w:div w:id="313529684">
      <w:bodyDiv w:val="1"/>
      <w:marLeft w:val="0"/>
      <w:marRight w:val="0"/>
      <w:marTop w:val="0"/>
      <w:marBottom w:val="0"/>
      <w:divBdr>
        <w:top w:val="none" w:sz="0" w:space="0" w:color="auto"/>
        <w:left w:val="none" w:sz="0" w:space="0" w:color="auto"/>
        <w:bottom w:val="none" w:sz="0" w:space="0" w:color="auto"/>
        <w:right w:val="none" w:sz="0" w:space="0" w:color="auto"/>
      </w:divBdr>
    </w:div>
    <w:div w:id="432286156">
      <w:bodyDiv w:val="1"/>
      <w:marLeft w:val="0"/>
      <w:marRight w:val="0"/>
      <w:marTop w:val="0"/>
      <w:marBottom w:val="0"/>
      <w:divBdr>
        <w:top w:val="none" w:sz="0" w:space="0" w:color="auto"/>
        <w:left w:val="none" w:sz="0" w:space="0" w:color="auto"/>
        <w:bottom w:val="none" w:sz="0" w:space="0" w:color="auto"/>
        <w:right w:val="none" w:sz="0" w:space="0" w:color="auto"/>
      </w:divBdr>
    </w:div>
    <w:div w:id="455949258">
      <w:bodyDiv w:val="1"/>
      <w:marLeft w:val="0"/>
      <w:marRight w:val="0"/>
      <w:marTop w:val="0"/>
      <w:marBottom w:val="0"/>
      <w:divBdr>
        <w:top w:val="none" w:sz="0" w:space="0" w:color="auto"/>
        <w:left w:val="none" w:sz="0" w:space="0" w:color="auto"/>
        <w:bottom w:val="none" w:sz="0" w:space="0" w:color="auto"/>
        <w:right w:val="none" w:sz="0" w:space="0" w:color="auto"/>
      </w:divBdr>
    </w:div>
    <w:div w:id="506796201">
      <w:bodyDiv w:val="1"/>
      <w:marLeft w:val="0"/>
      <w:marRight w:val="0"/>
      <w:marTop w:val="0"/>
      <w:marBottom w:val="0"/>
      <w:divBdr>
        <w:top w:val="none" w:sz="0" w:space="0" w:color="auto"/>
        <w:left w:val="none" w:sz="0" w:space="0" w:color="auto"/>
        <w:bottom w:val="none" w:sz="0" w:space="0" w:color="auto"/>
        <w:right w:val="none" w:sz="0" w:space="0" w:color="auto"/>
      </w:divBdr>
    </w:div>
    <w:div w:id="532429249">
      <w:bodyDiv w:val="1"/>
      <w:marLeft w:val="0"/>
      <w:marRight w:val="0"/>
      <w:marTop w:val="0"/>
      <w:marBottom w:val="0"/>
      <w:divBdr>
        <w:top w:val="none" w:sz="0" w:space="0" w:color="auto"/>
        <w:left w:val="none" w:sz="0" w:space="0" w:color="auto"/>
        <w:bottom w:val="none" w:sz="0" w:space="0" w:color="auto"/>
        <w:right w:val="none" w:sz="0" w:space="0" w:color="auto"/>
      </w:divBdr>
    </w:div>
    <w:div w:id="627319299">
      <w:bodyDiv w:val="1"/>
      <w:marLeft w:val="0"/>
      <w:marRight w:val="0"/>
      <w:marTop w:val="0"/>
      <w:marBottom w:val="0"/>
      <w:divBdr>
        <w:top w:val="none" w:sz="0" w:space="0" w:color="auto"/>
        <w:left w:val="none" w:sz="0" w:space="0" w:color="auto"/>
        <w:bottom w:val="none" w:sz="0" w:space="0" w:color="auto"/>
        <w:right w:val="none" w:sz="0" w:space="0" w:color="auto"/>
      </w:divBdr>
    </w:div>
    <w:div w:id="718166696">
      <w:bodyDiv w:val="1"/>
      <w:marLeft w:val="0"/>
      <w:marRight w:val="0"/>
      <w:marTop w:val="0"/>
      <w:marBottom w:val="0"/>
      <w:divBdr>
        <w:top w:val="none" w:sz="0" w:space="0" w:color="auto"/>
        <w:left w:val="none" w:sz="0" w:space="0" w:color="auto"/>
        <w:bottom w:val="none" w:sz="0" w:space="0" w:color="auto"/>
        <w:right w:val="none" w:sz="0" w:space="0" w:color="auto"/>
      </w:divBdr>
    </w:div>
    <w:div w:id="755589585">
      <w:bodyDiv w:val="1"/>
      <w:marLeft w:val="0"/>
      <w:marRight w:val="0"/>
      <w:marTop w:val="0"/>
      <w:marBottom w:val="0"/>
      <w:divBdr>
        <w:top w:val="none" w:sz="0" w:space="0" w:color="auto"/>
        <w:left w:val="none" w:sz="0" w:space="0" w:color="auto"/>
        <w:bottom w:val="none" w:sz="0" w:space="0" w:color="auto"/>
        <w:right w:val="none" w:sz="0" w:space="0" w:color="auto"/>
      </w:divBdr>
    </w:div>
    <w:div w:id="902064845">
      <w:bodyDiv w:val="1"/>
      <w:marLeft w:val="0"/>
      <w:marRight w:val="0"/>
      <w:marTop w:val="0"/>
      <w:marBottom w:val="0"/>
      <w:divBdr>
        <w:top w:val="none" w:sz="0" w:space="0" w:color="auto"/>
        <w:left w:val="none" w:sz="0" w:space="0" w:color="auto"/>
        <w:bottom w:val="none" w:sz="0" w:space="0" w:color="auto"/>
        <w:right w:val="none" w:sz="0" w:space="0" w:color="auto"/>
      </w:divBdr>
    </w:div>
    <w:div w:id="1025600392">
      <w:bodyDiv w:val="1"/>
      <w:marLeft w:val="0"/>
      <w:marRight w:val="0"/>
      <w:marTop w:val="0"/>
      <w:marBottom w:val="0"/>
      <w:divBdr>
        <w:top w:val="none" w:sz="0" w:space="0" w:color="auto"/>
        <w:left w:val="none" w:sz="0" w:space="0" w:color="auto"/>
        <w:bottom w:val="none" w:sz="0" w:space="0" w:color="auto"/>
        <w:right w:val="none" w:sz="0" w:space="0" w:color="auto"/>
      </w:divBdr>
    </w:div>
    <w:div w:id="1072317464">
      <w:bodyDiv w:val="1"/>
      <w:marLeft w:val="0"/>
      <w:marRight w:val="0"/>
      <w:marTop w:val="0"/>
      <w:marBottom w:val="0"/>
      <w:divBdr>
        <w:top w:val="none" w:sz="0" w:space="0" w:color="auto"/>
        <w:left w:val="none" w:sz="0" w:space="0" w:color="auto"/>
        <w:bottom w:val="none" w:sz="0" w:space="0" w:color="auto"/>
        <w:right w:val="none" w:sz="0" w:space="0" w:color="auto"/>
      </w:divBdr>
    </w:div>
    <w:div w:id="1109206154">
      <w:bodyDiv w:val="1"/>
      <w:marLeft w:val="0"/>
      <w:marRight w:val="0"/>
      <w:marTop w:val="0"/>
      <w:marBottom w:val="0"/>
      <w:divBdr>
        <w:top w:val="none" w:sz="0" w:space="0" w:color="auto"/>
        <w:left w:val="none" w:sz="0" w:space="0" w:color="auto"/>
        <w:bottom w:val="none" w:sz="0" w:space="0" w:color="auto"/>
        <w:right w:val="none" w:sz="0" w:space="0" w:color="auto"/>
      </w:divBdr>
    </w:div>
    <w:div w:id="1220828425">
      <w:bodyDiv w:val="1"/>
      <w:marLeft w:val="0"/>
      <w:marRight w:val="0"/>
      <w:marTop w:val="0"/>
      <w:marBottom w:val="0"/>
      <w:divBdr>
        <w:top w:val="none" w:sz="0" w:space="0" w:color="auto"/>
        <w:left w:val="none" w:sz="0" w:space="0" w:color="auto"/>
        <w:bottom w:val="none" w:sz="0" w:space="0" w:color="auto"/>
        <w:right w:val="none" w:sz="0" w:space="0" w:color="auto"/>
      </w:divBdr>
    </w:div>
    <w:div w:id="1247763311">
      <w:bodyDiv w:val="1"/>
      <w:marLeft w:val="0"/>
      <w:marRight w:val="0"/>
      <w:marTop w:val="0"/>
      <w:marBottom w:val="0"/>
      <w:divBdr>
        <w:top w:val="none" w:sz="0" w:space="0" w:color="auto"/>
        <w:left w:val="none" w:sz="0" w:space="0" w:color="auto"/>
        <w:bottom w:val="none" w:sz="0" w:space="0" w:color="auto"/>
        <w:right w:val="none" w:sz="0" w:space="0" w:color="auto"/>
      </w:divBdr>
    </w:div>
    <w:div w:id="1400058998">
      <w:bodyDiv w:val="1"/>
      <w:marLeft w:val="0"/>
      <w:marRight w:val="0"/>
      <w:marTop w:val="0"/>
      <w:marBottom w:val="0"/>
      <w:divBdr>
        <w:top w:val="none" w:sz="0" w:space="0" w:color="auto"/>
        <w:left w:val="none" w:sz="0" w:space="0" w:color="auto"/>
        <w:bottom w:val="none" w:sz="0" w:space="0" w:color="auto"/>
        <w:right w:val="none" w:sz="0" w:space="0" w:color="auto"/>
      </w:divBdr>
    </w:div>
    <w:div w:id="1471821352">
      <w:bodyDiv w:val="1"/>
      <w:marLeft w:val="0"/>
      <w:marRight w:val="0"/>
      <w:marTop w:val="0"/>
      <w:marBottom w:val="0"/>
      <w:divBdr>
        <w:top w:val="none" w:sz="0" w:space="0" w:color="auto"/>
        <w:left w:val="none" w:sz="0" w:space="0" w:color="auto"/>
        <w:bottom w:val="none" w:sz="0" w:space="0" w:color="auto"/>
        <w:right w:val="none" w:sz="0" w:space="0" w:color="auto"/>
      </w:divBdr>
      <w:divsChild>
        <w:div w:id="953368923">
          <w:marLeft w:val="0"/>
          <w:marRight w:val="0"/>
          <w:marTop w:val="0"/>
          <w:marBottom w:val="0"/>
          <w:divBdr>
            <w:top w:val="none" w:sz="0" w:space="0" w:color="auto"/>
            <w:left w:val="none" w:sz="0" w:space="0" w:color="auto"/>
            <w:bottom w:val="none" w:sz="0" w:space="0" w:color="auto"/>
            <w:right w:val="none" w:sz="0" w:space="0" w:color="auto"/>
          </w:divBdr>
          <w:divsChild>
            <w:div w:id="49056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136317">
      <w:bodyDiv w:val="1"/>
      <w:marLeft w:val="0"/>
      <w:marRight w:val="0"/>
      <w:marTop w:val="0"/>
      <w:marBottom w:val="0"/>
      <w:divBdr>
        <w:top w:val="none" w:sz="0" w:space="0" w:color="auto"/>
        <w:left w:val="none" w:sz="0" w:space="0" w:color="auto"/>
        <w:bottom w:val="none" w:sz="0" w:space="0" w:color="auto"/>
        <w:right w:val="none" w:sz="0" w:space="0" w:color="auto"/>
      </w:divBdr>
      <w:divsChild>
        <w:div w:id="833185959">
          <w:marLeft w:val="0"/>
          <w:marRight w:val="0"/>
          <w:marTop w:val="0"/>
          <w:marBottom w:val="400"/>
          <w:divBdr>
            <w:top w:val="single" w:sz="48" w:space="20" w:color="FFD316"/>
            <w:left w:val="none" w:sz="0" w:space="0" w:color="auto"/>
            <w:bottom w:val="none" w:sz="0" w:space="0" w:color="auto"/>
            <w:right w:val="none" w:sz="0" w:space="0" w:color="auto"/>
          </w:divBdr>
          <w:divsChild>
            <w:div w:id="778841136">
              <w:marLeft w:val="0"/>
              <w:marRight w:val="0"/>
              <w:marTop w:val="0"/>
              <w:marBottom w:val="0"/>
              <w:divBdr>
                <w:top w:val="none" w:sz="0" w:space="0" w:color="auto"/>
                <w:left w:val="none" w:sz="0" w:space="0" w:color="auto"/>
                <w:bottom w:val="none" w:sz="0" w:space="0" w:color="auto"/>
                <w:right w:val="none" w:sz="0" w:space="0" w:color="auto"/>
              </w:divBdr>
              <w:divsChild>
                <w:div w:id="1483230858">
                  <w:marLeft w:val="0"/>
                  <w:marRight w:val="0"/>
                  <w:marTop w:val="0"/>
                  <w:marBottom w:val="0"/>
                  <w:divBdr>
                    <w:top w:val="none" w:sz="0" w:space="0" w:color="auto"/>
                    <w:left w:val="none" w:sz="0" w:space="0" w:color="auto"/>
                    <w:bottom w:val="none" w:sz="0" w:space="0" w:color="auto"/>
                    <w:right w:val="none" w:sz="0" w:space="0" w:color="auto"/>
                  </w:divBdr>
                  <w:divsChild>
                    <w:div w:id="1653678538">
                      <w:marLeft w:val="0"/>
                      <w:marRight w:val="0"/>
                      <w:marTop w:val="0"/>
                      <w:marBottom w:val="0"/>
                      <w:divBdr>
                        <w:top w:val="none" w:sz="0" w:space="0" w:color="auto"/>
                        <w:left w:val="none" w:sz="0" w:space="0" w:color="auto"/>
                        <w:bottom w:val="none" w:sz="0" w:space="0" w:color="auto"/>
                        <w:right w:val="none" w:sz="0" w:space="0" w:color="auto"/>
                      </w:divBdr>
                      <w:divsChild>
                        <w:div w:id="270892780">
                          <w:marLeft w:val="0"/>
                          <w:marRight w:val="0"/>
                          <w:marTop w:val="0"/>
                          <w:marBottom w:val="0"/>
                          <w:divBdr>
                            <w:top w:val="none" w:sz="0" w:space="0" w:color="auto"/>
                            <w:left w:val="none" w:sz="0" w:space="0" w:color="auto"/>
                            <w:bottom w:val="none" w:sz="0" w:space="0" w:color="auto"/>
                            <w:right w:val="none" w:sz="0" w:space="0" w:color="auto"/>
                          </w:divBdr>
                          <w:divsChild>
                            <w:div w:id="780732977">
                              <w:marLeft w:val="0"/>
                              <w:marRight w:val="0"/>
                              <w:marTop w:val="0"/>
                              <w:marBottom w:val="0"/>
                              <w:divBdr>
                                <w:top w:val="none" w:sz="0" w:space="0" w:color="auto"/>
                                <w:left w:val="none" w:sz="0" w:space="0" w:color="auto"/>
                                <w:bottom w:val="none" w:sz="0" w:space="0" w:color="auto"/>
                                <w:right w:val="none" w:sz="0" w:space="0" w:color="auto"/>
                              </w:divBdr>
                              <w:divsChild>
                                <w:div w:id="105317406">
                                  <w:marLeft w:val="0"/>
                                  <w:marRight w:val="0"/>
                                  <w:marTop w:val="0"/>
                                  <w:marBottom w:val="0"/>
                                  <w:divBdr>
                                    <w:top w:val="none" w:sz="0" w:space="0" w:color="auto"/>
                                    <w:left w:val="none" w:sz="0" w:space="0" w:color="auto"/>
                                    <w:bottom w:val="none" w:sz="0" w:space="0" w:color="auto"/>
                                    <w:right w:val="none" w:sz="0" w:space="0" w:color="auto"/>
                                  </w:divBdr>
                                </w:div>
                                <w:div w:id="254675177">
                                  <w:marLeft w:val="0"/>
                                  <w:marRight w:val="0"/>
                                  <w:marTop w:val="0"/>
                                  <w:marBottom w:val="0"/>
                                  <w:divBdr>
                                    <w:top w:val="none" w:sz="0" w:space="0" w:color="auto"/>
                                    <w:left w:val="none" w:sz="0" w:space="0" w:color="auto"/>
                                    <w:bottom w:val="none" w:sz="0" w:space="0" w:color="auto"/>
                                    <w:right w:val="none" w:sz="0" w:space="0" w:color="auto"/>
                                  </w:divBdr>
                                </w:div>
                                <w:div w:id="361715069">
                                  <w:marLeft w:val="0"/>
                                  <w:marRight w:val="0"/>
                                  <w:marTop w:val="0"/>
                                  <w:marBottom w:val="0"/>
                                  <w:divBdr>
                                    <w:top w:val="none" w:sz="0" w:space="0" w:color="auto"/>
                                    <w:left w:val="none" w:sz="0" w:space="0" w:color="auto"/>
                                    <w:bottom w:val="none" w:sz="0" w:space="0" w:color="auto"/>
                                    <w:right w:val="none" w:sz="0" w:space="0" w:color="auto"/>
                                  </w:divBdr>
                                </w:div>
                                <w:div w:id="589848674">
                                  <w:marLeft w:val="0"/>
                                  <w:marRight w:val="0"/>
                                  <w:marTop w:val="0"/>
                                  <w:marBottom w:val="0"/>
                                  <w:divBdr>
                                    <w:top w:val="none" w:sz="0" w:space="0" w:color="auto"/>
                                    <w:left w:val="none" w:sz="0" w:space="0" w:color="auto"/>
                                    <w:bottom w:val="none" w:sz="0" w:space="0" w:color="auto"/>
                                    <w:right w:val="none" w:sz="0" w:space="0" w:color="auto"/>
                                  </w:divBdr>
                                </w:div>
                                <w:div w:id="985275973">
                                  <w:marLeft w:val="0"/>
                                  <w:marRight w:val="0"/>
                                  <w:marTop w:val="0"/>
                                  <w:marBottom w:val="0"/>
                                  <w:divBdr>
                                    <w:top w:val="none" w:sz="0" w:space="0" w:color="auto"/>
                                    <w:left w:val="none" w:sz="0" w:space="0" w:color="auto"/>
                                    <w:bottom w:val="none" w:sz="0" w:space="0" w:color="auto"/>
                                    <w:right w:val="none" w:sz="0" w:space="0" w:color="auto"/>
                                  </w:divBdr>
                                </w:div>
                                <w:div w:id="1022128765">
                                  <w:marLeft w:val="0"/>
                                  <w:marRight w:val="0"/>
                                  <w:marTop w:val="0"/>
                                  <w:marBottom w:val="0"/>
                                  <w:divBdr>
                                    <w:top w:val="none" w:sz="0" w:space="0" w:color="auto"/>
                                    <w:left w:val="none" w:sz="0" w:space="0" w:color="auto"/>
                                    <w:bottom w:val="none" w:sz="0" w:space="0" w:color="auto"/>
                                    <w:right w:val="none" w:sz="0" w:space="0" w:color="auto"/>
                                  </w:divBdr>
                                </w:div>
                                <w:div w:id="1117875939">
                                  <w:marLeft w:val="0"/>
                                  <w:marRight w:val="0"/>
                                  <w:marTop w:val="0"/>
                                  <w:marBottom w:val="0"/>
                                  <w:divBdr>
                                    <w:top w:val="none" w:sz="0" w:space="0" w:color="auto"/>
                                    <w:left w:val="none" w:sz="0" w:space="0" w:color="auto"/>
                                    <w:bottom w:val="none" w:sz="0" w:space="0" w:color="auto"/>
                                    <w:right w:val="none" w:sz="0" w:space="0" w:color="auto"/>
                                  </w:divBdr>
                                </w:div>
                                <w:div w:id="1485925440">
                                  <w:marLeft w:val="0"/>
                                  <w:marRight w:val="0"/>
                                  <w:marTop w:val="0"/>
                                  <w:marBottom w:val="0"/>
                                  <w:divBdr>
                                    <w:top w:val="none" w:sz="0" w:space="0" w:color="auto"/>
                                    <w:left w:val="none" w:sz="0" w:space="0" w:color="auto"/>
                                    <w:bottom w:val="none" w:sz="0" w:space="0" w:color="auto"/>
                                    <w:right w:val="none" w:sz="0" w:space="0" w:color="auto"/>
                                  </w:divBdr>
                                </w:div>
                                <w:div w:id="187434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2483935">
          <w:marLeft w:val="0"/>
          <w:marRight w:val="0"/>
          <w:marTop w:val="360"/>
          <w:marBottom w:val="360"/>
          <w:divBdr>
            <w:top w:val="none" w:sz="0" w:space="0" w:color="auto"/>
            <w:left w:val="none" w:sz="0" w:space="0" w:color="auto"/>
            <w:bottom w:val="none" w:sz="0" w:space="0" w:color="auto"/>
            <w:right w:val="none" w:sz="0" w:space="0" w:color="auto"/>
          </w:divBdr>
        </w:div>
      </w:divsChild>
    </w:div>
    <w:div w:id="1695492654">
      <w:bodyDiv w:val="1"/>
      <w:marLeft w:val="0"/>
      <w:marRight w:val="0"/>
      <w:marTop w:val="0"/>
      <w:marBottom w:val="0"/>
      <w:divBdr>
        <w:top w:val="none" w:sz="0" w:space="0" w:color="auto"/>
        <w:left w:val="none" w:sz="0" w:space="0" w:color="auto"/>
        <w:bottom w:val="none" w:sz="0" w:space="0" w:color="auto"/>
        <w:right w:val="none" w:sz="0" w:space="0" w:color="auto"/>
      </w:divBdr>
    </w:div>
    <w:div w:id="1929070113">
      <w:bodyDiv w:val="1"/>
      <w:marLeft w:val="0"/>
      <w:marRight w:val="0"/>
      <w:marTop w:val="0"/>
      <w:marBottom w:val="0"/>
      <w:divBdr>
        <w:top w:val="none" w:sz="0" w:space="0" w:color="auto"/>
        <w:left w:val="none" w:sz="0" w:space="0" w:color="auto"/>
        <w:bottom w:val="none" w:sz="0" w:space="0" w:color="auto"/>
        <w:right w:val="none" w:sz="0" w:space="0" w:color="auto"/>
      </w:divBdr>
    </w:div>
    <w:div w:id="203892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26" Type="http://schemas.openxmlformats.org/officeDocument/2006/relationships/hyperlink" Target="https://eur-lex.europa.eu/legal-content/FR/ALL/?uri=COM:2016:872:FIN" TargetMode="External"/><Relationship Id="rId21" Type="http://schemas.openxmlformats.org/officeDocument/2006/relationships/hyperlink" Target="https://www.nytimes.com/2019/09/29/us/takeaways-child-sex-abuse.html" TargetMode="External"/><Relationship Id="rId42" Type="http://schemas.openxmlformats.org/officeDocument/2006/relationships/hyperlink" Target="https://www.europarl.europa.eu/doceo/document/TA-9-2019-0066_FR.html" TargetMode="External"/><Relationship Id="rId47" Type="http://schemas.openxmlformats.org/officeDocument/2006/relationships/hyperlink" Target="http://aviator.isfp.eu/" TargetMode="External"/><Relationship Id="rId63" Type="http://schemas.openxmlformats.org/officeDocument/2006/relationships/hyperlink" Target="https://www.europol.europa.eu/socta-report" TargetMode="External"/><Relationship Id="rId68" Type="http://schemas.openxmlformats.org/officeDocument/2006/relationships/hyperlink" Target="https://op.europa.eu/fr/publication-detail/-/publication/8ecaa7e4-c77f-11e8-9424-01aa75ed71a1" TargetMode="External"/><Relationship Id="rId84" Type="http://schemas.openxmlformats.org/officeDocument/2006/relationships/hyperlink" Target="https://eur-lex.europa.eu/legal-content/fr/TXT/?uri=CELEX:32012L0029" TargetMode="External"/><Relationship Id="rId89" Type="http://schemas.openxmlformats.org/officeDocument/2006/relationships/hyperlink" Target="https://m.adevarul.ro/news/eveniment/povestea-femeii-si-a-abuzat-sexual-fata-9-ani-a-si-multumi-amantul-pervers-gata-mami-frig-mai-facem-maine-1_587676015ab6550cb85b6519/index.html" TargetMode="External"/><Relationship Id="rId7" Type="http://schemas.openxmlformats.org/officeDocument/2006/relationships/hyperlink" Target="https://www.europol.europa.eu/newsroom/news/exploiting-isolation-sexual-predators-increasingly-targeting-children-during-covid-pandemic" TargetMode="External"/><Relationship Id="rId71" Type="http://schemas.openxmlformats.org/officeDocument/2006/relationships/hyperlink" Target="https://www.researchgate.net/publication/272150170_How_Common_is_Men&#8217;s_Self-Reported_Sexual_Interest_in_Prepubescent_Children" TargetMode="External"/><Relationship Id="rId92" Type="http://schemas.openxmlformats.org/officeDocument/2006/relationships/hyperlink" Target="https://www.missingkids.org/theissues/end-to-end-encryption" TargetMode="External"/><Relationship Id="rId2" Type="http://schemas.openxmlformats.org/officeDocument/2006/relationships/hyperlink" Target="https://www.coe.int/fr/web/conventions/full-list/-/conventions/treaty/210" TargetMode="External"/><Relationship Id="rId16" Type="http://schemas.openxmlformats.org/officeDocument/2006/relationships/hyperlink" Target="https://www.europarl.europa.eu/doceo/document/TA-9-2019-0066_FR.pdf" TargetMode="External"/><Relationship Id="rId29" Type="http://schemas.openxmlformats.org/officeDocument/2006/relationships/hyperlink" Target="https://eur-lex.europa.eu/legal-content/FR/ALL/?uri=CELEX:32000L0031" TargetMode="External"/><Relationship Id="rId11" Type="http://schemas.openxmlformats.org/officeDocument/2006/relationships/hyperlink" Target="https://www.missingkids.org/gethelpnow/cybertipline" TargetMode="External"/><Relationship Id="rId24" Type="http://schemas.openxmlformats.org/officeDocument/2006/relationships/hyperlink" Target="https://eur-lex.europa.eu/legal-content/FR/TXT/?uri=celex:32011L0093" TargetMode="External"/><Relationship Id="rId32" Type="http://schemas.openxmlformats.org/officeDocument/2006/relationships/hyperlink" Target="https://eur-lex.europa.eu/legal-content/FR/TXT/?uri=uriserv:OJ.L_.2018.321.01.0036.01.FRA" TargetMode="External"/><Relationship Id="rId37" Type="http://schemas.openxmlformats.org/officeDocument/2006/relationships/hyperlink" Target="https://eur-lex.europa.eu/eli/dir/2018/1808/oj" TargetMode="External"/><Relationship Id="rId40" Type="http://schemas.openxmlformats.org/officeDocument/2006/relationships/hyperlink" Target="https://www.iicsa.org.uk/publications/investigation/internet" TargetMode="External"/><Relationship Id="rId45" Type="http://schemas.openxmlformats.org/officeDocument/2006/relationships/hyperlink" Target="https://eur-lex.europa.eu/legal-content/FR/TXT/HTML/?uri=CELEX:52020DC0456&amp;from=FR" TargetMode="External"/><Relationship Id="rId53" Type="http://schemas.openxmlformats.org/officeDocument/2006/relationships/hyperlink" Target="https://cordis.europa.eu/project/id/833276" TargetMode="External"/><Relationship Id="rId58" Type="http://schemas.openxmlformats.org/officeDocument/2006/relationships/hyperlink" Target="https://www.europol.europa.eu/newsroom/news/dark-web-child-abuse-administrator-of-darkscandals-arrested-in-netherlands" TargetMode="External"/><Relationship Id="rId66" Type="http://schemas.openxmlformats.org/officeDocument/2006/relationships/hyperlink" Target="https://www.betterinternetforkids.eu/web/portal/practice/awareness/detail?articleId=5882569" TargetMode="External"/><Relationship Id="rId74" Type="http://schemas.openxmlformats.org/officeDocument/2006/relationships/hyperlink" Target="https://ec.europa.eu/programmes/erasmus-plus/node_fr" TargetMode="External"/><Relationship Id="rId79" Type="http://schemas.openxmlformats.org/officeDocument/2006/relationships/hyperlink" Target="https://www.europol.europa.eu/activities-services/public-awareness-and-prevention-guides/online-sexual-coercion-and-extortion-crime" TargetMode="External"/><Relationship Id="rId87" Type="http://schemas.openxmlformats.org/officeDocument/2006/relationships/hyperlink" Target="https://www.europol.europa.eu/activities-services/main-reports/internet-organised-crime-threat-assessment-iocta-2018" TargetMode="External"/><Relationship Id="rId102" Type="http://schemas.openxmlformats.org/officeDocument/2006/relationships/hyperlink" Target="https://www.spotlightinitiative.org/" TargetMode="External"/><Relationship Id="rId5" Type="http://schemas.openxmlformats.org/officeDocument/2006/relationships/hyperlink" Target="https://www.europol.europa.eu/newsroom/news/exploiting-isolation-sexual-predators-increasingly-targeting-children-during-covid-pandemic" TargetMode="External"/><Relationship Id="rId61" Type="http://schemas.openxmlformats.org/officeDocument/2006/relationships/hyperlink" Target="http://www.eurojust.europa.eu/doclibrary/corporate/eurojust%20Annual%20Reports/Annual%20Report%202019/AR2019_FR.pdf" TargetMode="External"/><Relationship Id="rId82" Type="http://schemas.openxmlformats.org/officeDocument/2006/relationships/hyperlink" Target="https://www.europarl.europa.eu/doceo/document/TA-9-2019-0066_FR.pdf" TargetMode="External"/><Relationship Id="rId90" Type="http://schemas.openxmlformats.org/officeDocument/2006/relationships/hyperlink" Target="https://www.missingkids.org/gethelpnow/cybertipline" TargetMode="External"/><Relationship Id="rId95" Type="http://schemas.openxmlformats.org/officeDocument/2006/relationships/hyperlink" Target="https://www.europol.europa.eu/sites/default/files/documents/iocta_2019.pdf" TargetMode="External"/><Relationship Id="rId19" Type="http://schemas.openxmlformats.org/officeDocument/2006/relationships/hyperlink" Target="https://www.gov.uk/government/publications/five-country-ministerial-communique/joint-meeting-of-five-country-ministerial-and-quintet-of-attorneys-general-communique-london-2019" TargetMode="External"/><Relationship Id="rId14" Type="http://schemas.openxmlformats.org/officeDocument/2006/relationships/hyperlink" Target="https://www.faz.net/aktuell/politik/inland/missbrauchsfall-bergisch-gladbach-30-000-verdaechtige-16838495.html" TargetMode="External"/><Relationship Id="rId22" Type="http://schemas.openxmlformats.org/officeDocument/2006/relationships/hyperlink" Target="https://www.nytimes.com/2020/02/07/us/online-child-sexual-abuse.html" TargetMode="External"/><Relationship Id="rId27" Type="http://schemas.openxmlformats.org/officeDocument/2006/relationships/hyperlink" Target="https://eur-lex.europa.eu/legal-content/FR/TXT/?uri=CELEX:52018PC0225" TargetMode="External"/><Relationship Id="rId30" Type="http://schemas.openxmlformats.org/officeDocument/2006/relationships/hyperlink" Target="https://eur-lex.europa.eu/legal-content/FR/ALL/?uri=celex:32002L0058" TargetMode="External"/><Relationship Id="rId35" Type="http://schemas.openxmlformats.org/officeDocument/2006/relationships/hyperlink" Target="https://eur-lex.europa.eu/legal-content/FR/TXT/?uri=CELEX:32018R1727" TargetMode="External"/><Relationship Id="rId43" Type="http://schemas.openxmlformats.org/officeDocument/2006/relationships/hyperlink" Target="https://www.europarl.europa.eu/doceo/document/A-8-2017-0368_FR.html" TargetMode="External"/><Relationship Id="rId48" Type="http://schemas.openxmlformats.org/officeDocument/2006/relationships/hyperlink" Target="https://www.incibe.es/en/european-projects/4nseek" TargetMode="External"/><Relationship Id="rId56" Type="http://schemas.openxmlformats.org/officeDocument/2006/relationships/hyperlink" Target="https://www.europol.europa.eu/newsroom/news/global-taskforce-close-to-identifying-three-victims-of-child-sexual-abuse" TargetMode="External"/><Relationship Id="rId64" Type="http://schemas.openxmlformats.org/officeDocument/2006/relationships/hyperlink" Target="https://www.europol.europa.eu/iocta-report" TargetMode="External"/><Relationship Id="rId69" Type="http://schemas.openxmlformats.org/officeDocument/2006/relationships/hyperlink" Target="https://op.europa.eu/fr/publication-detail/-/publication/8ecaa7e4-c77f-11e8-9424-01aa75ed71a1" TargetMode="External"/><Relationship Id="rId77" Type="http://schemas.openxmlformats.org/officeDocument/2006/relationships/hyperlink" Target="https://www.betterinternetforkids.eu/web/portal/practice/awareness/detail?articleId=3719798" TargetMode="External"/><Relationship Id="rId100" Type="http://schemas.openxmlformats.org/officeDocument/2006/relationships/hyperlink" Target="https://eur-lex.europa.eu/legal-content/FR/ALL/?uri=CELEX:52012DC0196" TargetMode="External"/><Relationship Id="rId105" Type="http://schemas.openxmlformats.org/officeDocument/2006/relationships/hyperlink" Target="https://ec.europa.eu/commission/presscorner/detail/fr/ip_20_492" TargetMode="External"/><Relationship Id="rId8" Type="http://schemas.openxmlformats.org/officeDocument/2006/relationships/hyperlink" Target="https://www.europol.europa.eu/newsroom/news/exploiting-isolation-sexual-predators-increasingly-targeting-children-during-covid-pandemic" TargetMode="External"/><Relationship Id="rId51" Type="http://schemas.openxmlformats.org/officeDocument/2006/relationships/hyperlink" Target="https://cordis.europa.eu/project/id/883341" TargetMode="External"/><Relationship Id="rId72" Type="http://schemas.openxmlformats.org/officeDocument/2006/relationships/hyperlink" Target="https://childrescuecoalition.org/the-issue/" TargetMode="External"/><Relationship Id="rId80" Type="http://schemas.openxmlformats.org/officeDocument/2006/relationships/hyperlink" Target="https://ec.europa.eu/education/education-in-the-eu/digital-education-action-plan_fr" TargetMode="External"/><Relationship Id="rId85" Type="http://schemas.openxmlformats.org/officeDocument/2006/relationships/hyperlink" Target="https://eur-lex.europa.eu/legal-content/FR/TXT/?qid=1593432832093&amp;uri=CELEX:52020DC0258" TargetMode="External"/><Relationship Id="rId93" Type="http://schemas.openxmlformats.org/officeDocument/2006/relationships/hyperlink" Target="https://www.nytimes.com/2019/09/29/us/takeaways-child-sex-abuse.html" TargetMode="External"/><Relationship Id="rId98" Type="http://schemas.openxmlformats.org/officeDocument/2006/relationships/hyperlink" Target="https://ec.europa.eu/digital-single-market/en/alliance-better-protect-minors-online" TargetMode="External"/><Relationship Id="rId3" Type="http://schemas.openxmlformats.org/officeDocument/2006/relationships/hyperlink" Target="https://ec.europa.eu/transparency/regdoc/rep/1/2016/FR/1-2016-111-FR-F1-1.PDF" TargetMode="External"/><Relationship Id="rId12" Type="http://schemas.openxmlformats.org/officeDocument/2006/relationships/hyperlink" Target="https://www.iwf.org.uk/what-we-do/who-we-are/annual-reports" TargetMode="External"/><Relationship Id="rId17" Type="http://schemas.openxmlformats.org/officeDocument/2006/relationships/hyperlink" Target="https://data.consilium.europa.eu/doc/document/ST-12862-2019-INIT/fr/pdf" TargetMode="External"/><Relationship Id="rId25" Type="http://schemas.openxmlformats.org/officeDocument/2006/relationships/hyperlink" Target="https://eur-lex.europa.eu/legal-content/FR/TXT/?uri=CELEX:52016DC0871" TargetMode="External"/><Relationship Id="rId33" Type="http://schemas.openxmlformats.org/officeDocument/2006/relationships/hyperlink" Target="https://ec.europa.eu/eusurvey/runner/Digital_Services_Act?surveylanguage=FR" TargetMode="External"/><Relationship Id="rId38" Type="http://schemas.openxmlformats.org/officeDocument/2006/relationships/hyperlink" Target="https://www.ecpat.org/what-we-do/online-child-sexual-exploitation/" TargetMode="External"/><Relationship Id="rId46" Type="http://schemas.openxmlformats.org/officeDocument/2006/relationships/hyperlink" Target="https://ec.europa.eu/home-affairs/financing/fundings/security-and-safeguarding-liberties/internal-security-fund-police_en" TargetMode="External"/><Relationship Id="rId59" Type="http://schemas.openxmlformats.org/officeDocument/2006/relationships/hyperlink" Target="https://www.europol.europa.eu/newsroom/news/90-suspects-identified-in-major-online-child-sexual-abuse-operation" TargetMode="External"/><Relationship Id="rId67" Type="http://schemas.openxmlformats.org/officeDocument/2006/relationships/hyperlink" Target="https://eur-lex.europa.eu/legal-content/FR/TXT/?uri=CELEX:52016DC0871" TargetMode="External"/><Relationship Id="rId103" Type="http://schemas.openxmlformats.org/officeDocument/2006/relationships/hyperlink" Target="https://ec.europa.eu/home-affairs/what-we-do/policies/organized-crime-and-human-trafficking/global-alliance-against-child-abuse_en" TargetMode="External"/><Relationship Id="rId20" Type="http://schemas.openxmlformats.org/officeDocument/2006/relationships/hyperlink" Target="https://www.gov.uk/government/publications/five-country-ministerial-communique/five-country-ministerial-ommunique-emerging-threats-london-2019" TargetMode="External"/><Relationship Id="rId41" Type="http://schemas.openxmlformats.org/officeDocument/2006/relationships/hyperlink" Target="http://virtualglobaltaskforce.com/wp-content/uploads/2020/02/2019-Virtual-Global-Taskforce-Environmental-Scan_Unclassi.pdf" TargetMode="External"/><Relationship Id="rId54" Type="http://schemas.openxmlformats.org/officeDocument/2006/relationships/hyperlink" Target="https://ec.europa.eu/info/funding-tenders/opportunities/portal/screen/opportunities/topic-details/su-fct01-2018-2019-2020" TargetMode="External"/><Relationship Id="rId62" Type="http://schemas.openxmlformats.org/officeDocument/2006/relationships/hyperlink" Target="http://data.consilium.europa.eu/doc/document/ST-9450-2017-INIT/fr/pdf" TargetMode="External"/><Relationship Id="rId70" Type="http://schemas.openxmlformats.org/officeDocument/2006/relationships/hyperlink" Target="https://europepmc.org/article/med/24515803" TargetMode="External"/><Relationship Id="rId75" Type="http://schemas.openxmlformats.org/officeDocument/2006/relationships/hyperlink" Target="https://ec.europa.eu/info/law/cross-border-cases/judicial-cooperation/tools-judicial-cooperation/european-criminal-records-information-system-ecris_en" TargetMode="External"/><Relationship Id="rId83" Type="http://schemas.openxmlformats.org/officeDocument/2006/relationships/hyperlink" Target="https://data.consilium.europa.eu/doc/document/ST-12862-2019-INIT/fr/pdf" TargetMode="External"/><Relationship Id="rId88" Type="http://schemas.openxmlformats.org/officeDocument/2006/relationships/hyperlink" Target="https://www.stirilekanald.ro/o-femeie-de-27-de-ani-din-bacau-si-a-abuzat-sexual-fetita-de-doar-9-ani-pentru-a-si-multumi-iubitul-18654662" TargetMode="External"/><Relationship Id="rId91" Type="http://schemas.openxmlformats.org/officeDocument/2006/relationships/hyperlink" Target="https://www.missingkids.org/theissues/end-to-end-encryption" TargetMode="External"/><Relationship Id="rId96" Type="http://schemas.openxmlformats.org/officeDocument/2006/relationships/hyperlink" Target="https://documents-dds-ny.un.org/doc/UNDOC/GEN/G09/146/28/pdf/G0914628.pdf" TargetMode="External"/><Relationship Id="rId1" Type="http://schemas.openxmlformats.org/officeDocument/2006/relationships/hyperlink" Target="https://www.coe.int/fr/web/conventions/full-list/-/conventions/treaty/210" TargetMode="External"/><Relationship Id="rId6" Type="http://schemas.openxmlformats.org/officeDocument/2006/relationships/hyperlink" Target="https://www.unicef.org/documents/covid-19-and-implications-protecting-children-online" TargetMode="External"/><Relationship Id="rId15" Type="http://schemas.openxmlformats.org/officeDocument/2006/relationships/hyperlink" Target="https://www.faz.net/aktuell/politik/inland/missbrauchsfall-bergisch-gladbach-30-000-verdaechtige-16838495.html" TargetMode="External"/><Relationship Id="rId23" Type="http://schemas.openxmlformats.org/officeDocument/2006/relationships/hyperlink" Target="https://ec.europa.eu/info/law/better-regulation/have-your-say/initiatives/12433-EU-strategy-for-a-more-effective-fight-against-child-sexual-abuse" TargetMode="External"/><Relationship Id="rId28" Type="http://schemas.openxmlformats.org/officeDocument/2006/relationships/hyperlink" Target="https://eur-lex.europa.eu/legal-content/FR/TXT/?qid=1524129181403&amp;uri=COM:2018:226:FIN" TargetMode="External"/><Relationship Id="rId36" Type="http://schemas.openxmlformats.org/officeDocument/2006/relationships/hyperlink" Target="https://eur-lex.europa.eu/eli/reg/2016/679/oj" TargetMode="External"/><Relationship Id="rId49" Type="http://schemas.openxmlformats.org/officeDocument/2006/relationships/hyperlink" Target="https://verbum-sat.com/about.php" TargetMode="External"/><Relationship Id="rId57" Type="http://schemas.openxmlformats.org/officeDocument/2006/relationships/hyperlink" Target="https://www.europol.europa.eu/newsroom/news/international-collaboration-europol-leads-to-identification-of-4-victims-of-child-abuse" TargetMode="External"/><Relationship Id="rId10" Type="http://schemas.openxmlformats.org/officeDocument/2006/relationships/hyperlink" Target="https://www.coe.int/t/dg3/children/1in5/statistics_FR.asp" TargetMode="External"/><Relationship Id="rId31" Type="http://schemas.openxmlformats.org/officeDocument/2006/relationships/hyperlink" Target="https://eur-lex.europa.eu/legal-content/FR/TXT/?uri=CELEX:52017PC0010" TargetMode="External"/><Relationship Id="rId44" Type="http://schemas.openxmlformats.org/officeDocument/2006/relationships/hyperlink" Target="https://www.coe.int/FR/web/children/lanzarote-committee" TargetMode="External"/><Relationship Id="rId52" Type="http://schemas.openxmlformats.org/officeDocument/2006/relationships/hyperlink" Target="https://locard.eu/" TargetMode="External"/><Relationship Id="rId60" Type="http://schemas.openxmlformats.org/officeDocument/2006/relationships/hyperlink" Target="https://www.europol.europa.eu/newsroom/news/international-police-cooperation-leads-to-arrest-of-dark-web-child-sex-abuser-in-spain" TargetMode="External"/><Relationship Id="rId65" Type="http://schemas.openxmlformats.org/officeDocument/2006/relationships/hyperlink" Target="https://www.europol.europa.eu/sites/default/files/documents/global-parent-online-safety-advice-esafety-europol.pdf" TargetMode="External"/><Relationship Id="rId73" Type="http://schemas.openxmlformats.org/officeDocument/2006/relationships/hyperlink" Target="https://www.theatlantic.com/health/archive/2013/08/i-pedophile/278921/" TargetMode="External"/><Relationship Id="rId78" Type="http://schemas.openxmlformats.org/officeDocument/2006/relationships/hyperlink" Target="https://www.coe.int/t/dg3/children/1in5/ourcampaign/material_FR.asp" TargetMode="External"/><Relationship Id="rId81" Type="http://schemas.openxmlformats.org/officeDocument/2006/relationships/hyperlink" Target="https://fra.europa.eu/sites/default/files/fra_uploads/fra-2015-violence-against-children-with-disabilities_en.pdf" TargetMode="External"/><Relationship Id="rId86" Type="http://schemas.openxmlformats.org/officeDocument/2006/relationships/hyperlink" Target="https://www.missingkids.org/content/dam/missingkids/gethelp/2019-reports-by-esp.pdf" TargetMode="External"/><Relationship Id="rId94" Type="http://schemas.openxmlformats.org/officeDocument/2006/relationships/hyperlink" Target="https://www.nytimes.com/2019/09/29/us/takeaways-child-sex-abuse.html" TargetMode="External"/><Relationship Id="rId99" Type="http://schemas.openxmlformats.org/officeDocument/2006/relationships/hyperlink" Target="https://www.interpol.int/fr/Crimes/Crimes-against-children/International-Child-Sexual-Exploitation-database" TargetMode="External"/><Relationship Id="rId101" Type="http://schemas.openxmlformats.org/officeDocument/2006/relationships/hyperlink" Target="https://inhope.org/EN" TargetMode="External"/><Relationship Id="rId4" Type="http://schemas.openxmlformats.org/officeDocument/2006/relationships/hyperlink" Target="https://www.europol.europa.eu/newsroom/news/exploiting-isolation-sexual-predators-increasingly-targeting-children-during-covid-pandemic" TargetMode="External"/><Relationship Id="rId9" Type="http://schemas.openxmlformats.org/officeDocument/2006/relationships/hyperlink" Target="https://edition.cnn.com/2020/05/25/us/child-abuse-online-coronavirus-pandemic-parents-investigations-trnd/index.html" TargetMode="External"/><Relationship Id="rId13" Type="http://schemas.openxmlformats.org/officeDocument/2006/relationships/hyperlink" Target="https://www.bbc.com/news/world-europe-53224444" TargetMode="External"/><Relationship Id="rId18" Type="http://schemas.openxmlformats.org/officeDocument/2006/relationships/hyperlink" Target="https://www.weprotect.org/global-summit-to-tackle-online-child-sexual-exploitation" TargetMode="External"/><Relationship Id="rId39" Type="http://schemas.openxmlformats.org/officeDocument/2006/relationships/hyperlink" Target="https://www.europol.europa.eu/iocta-report" TargetMode="External"/><Relationship Id="rId34" Type="http://schemas.openxmlformats.org/officeDocument/2006/relationships/hyperlink" Target="https://eur-lex.europa.eu/legal-content/FR/TXT/?uri=celex:32016R0794" TargetMode="External"/><Relationship Id="rId50" Type="http://schemas.openxmlformats.org/officeDocument/2006/relationships/hyperlink" Target="http://www.asgard-project.eu/" TargetMode="External"/><Relationship Id="rId55" Type="http://schemas.openxmlformats.org/officeDocument/2006/relationships/hyperlink" Target="https://www.consilium.europa.eu/fr/meetings/jha/2019/10/07-08/" TargetMode="External"/><Relationship Id="rId76" Type="http://schemas.openxmlformats.org/officeDocument/2006/relationships/hyperlink" Target="http://betterinternetforkids.eu/" TargetMode="External"/><Relationship Id="rId97" Type="http://schemas.openxmlformats.org/officeDocument/2006/relationships/hyperlink" Target="https://childrescuecoalition.org/" TargetMode="External"/><Relationship Id="rId104" Type="http://schemas.openxmlformats.org/officeDocument/2006/relationships/hyperlink" Target="https://www.weprotec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Status xmlns="69fd4670-f4ca-4b7d-b0a0-6eb9b235e900">Not Started</EC_Collab_Status>
    <_Status xmlns="http://schemas.microsoft.com/sharepoint/v3/fields">Not Started</_Status>
    <EC_Collab_Reference xmlns="69fd4670-f4ca-4b7d-b0a0-6eb9b235e900" xsi:nil="true"/>
    <EC_Collab_DocumentLanguage xmlns="69fd4670-f4ca-4b7d-b0a0-6eb9b235e900">EN</EC_Collab_DocumentLanguag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58477F6FD8EA6F4A991FEB3FEDFA77F4" ma:contentTypeVersion="0" ma:contentTypeDescription="Create a new document in this library." ma:contentTypeScope="" ma:versionID="0822e19451d396f0560d3c403dd5fa99">
  <xsd:schema xmlns:xsd="http://www.w3.org/2001/XMLSchema" xmlns:xs="http://www.w3.org/2001/XMLSchema" xmlns:p="http://schemas.microsoft.com/office/2006/metadata/properties" xmlns:ns2="http://schemas.microsoft.com/sharepoint/v3/fields" xmlns:ns3="69fd4670-f4ca-4b7d-b0a0-6eb9b235e900" targetNamespace="http://schemas.microsoft.com/office/2006/metadata/properties" ma:root="true" ma:fieldsID="92549fce6756d2fe2d1737ec69679744" ns2:_="" ns3:_="">
    <xsd:import namespace="http://schemas.microsoft.com/sharepoint/v3/fields"/>
    <xsd:import namespace="69fd4670-f4ca-4b7d-b0a0-6eb9b235e900"/>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9fd4670-f4ca-4b7d-b0a0-6eb9b235e900"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477CC82-515D-40E6-BC61-C51BE8428959}">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69fd4670-f4ca-4b7d-b0a0-6eb9b235e900"/>
    <ds:schemaRef ds:uri="http://purl.org/dc/elements/1.1/"/>
    <ds:schemaRef ds:uri="http://schemas.microsoft.com/office/2006/metadata/properties"/>
    <ds:schemaRef ds:uri="http://schemas.microsoft.com/sharepoint/v3/fields"/>
    <ds:schemaRef ds:uri="http://www.w3.org/XML/1998/namespace"/>
    <ds:schemaRef ds:uri="http://purl.org/dc/dcmitype/"/>
  </ds:schemaRefs>
</ds:datastoreItem>
</file>

<file path=customXml/itemProps2.xml><?xml version="1.0" encoding="utf-8"?>
<ds:datastoreItem xmlns:ds="http://schemas.openxmlformats.org/officeDocument/2006/customXml" ds:itemID="{030D2085-CF46-4B39-9C68-A53F9DAEE021}">
  <ds:schemaRefs>
    <ds:schemaRef ds:uri="http://schemas.microsoft.com/sharepoint/v3/contenttype/forms"/>
  </ds:schemaRefs>
</ds:datastoreItem>
</file>

<file path=customXml/itemProps3.xml><?xml version="1.0" encoding="utf-8"?>
<ds:datastoreItem xmlns:ds="http://schemas.openxmlformats.org/officeDocument/2006/customXml" ds:itemID="{37BA13DB-6D56-4BE0-920F-1053F1B310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69fd4670-f4ca-4b7d-b0a0-6eb9b235e9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D3E8B6-8682-4CD3-82EF-7ED40ECF7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9356</Words>
  <Characters>52020</Characters>
  <Application>Microsoft Office Word</Application>
  <DocSecurity>0</DocSecurity>
  <Lines>776</Lines>
  <Paragraphs>150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LABRADOR JIMENEZ Antonio (HOME)</dc:creator>
  <cp:keywords/>
  <dc:description/>
  <cp:lastModifiedBy>ROUBI Vasiliki (SG)</cp:lastModifiedBy>
  <cp:revision>3</cp:revision>
  <dcterms:created xsi:type="dcterms:W3CDTF">2020-07-23T15:55:00Z</dcterms:created>
  <dcterms:modified xsi:type="dcterms:W3CDTF">2020-07-23T16:00:00Z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7.0.1, Build 20190916</vt:lpwstr>
  </property>
  <property fmtid="{D5CDD505-2E9C-101B-9397-08002B2CF9AE}" pid="8" name="Created using">
    <vt:lpwstr>LW 7.0.1, Build 20190916</vt:lpwstr>
  </property>
  <property fmtid="{D5CDD505-2E9C-101B-9397-08002B2CF9AE}" pid="9" name="_LW_INVALIDATED__LW_INVALIDATED__LW_INVALIDATED__LW_INVALIDATED__LW_INVALIDATED__LW_INVALIDATED__LW_INVALIDATED_ContentTypeId">
    <vt:lpwstr>0x010100258AA79CEB83498886A3A086811232500058477F6FD8EA6F4A991FEB3FEDFA77F4</vt:lpwstr>
  </property>
</Properties>
</file>