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3CCFFE2A-CC6C-4CDC-B5C4-0E15E11BE148" style="width:450.4pt;height:361.5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3"/>
          <w:szCs w:val="23"/>
          <w:lang w:eastAsia="en-GB"/>
        </w:rPr>
      </w:pPr>
      <w:bookmarkStart w:id="1" w:name="_GoBack"/>
      <w:bookmarkEnd w:id="1"/>
      <w:r>
        <w:rPr>
          <w:rFonts w:ascii="Times New Roman" w:eastAsia="Times New Roman" w:hAnsi="Times New Roman" w:cs="Times New Roman"/>
          <w:b/>
          <w:smallCaps/>
          <w:noProof/>
          <w:sz w:val="23"/>
          <w:szCs w:val="23"/>
          <w:lang w:eastAsia="en-GB"/>
        </w:rPr>
        <w:lastRenderedPageBreak/>
        <w:t>1.</w:t>
      </w:r>
      <w:r>
        <w:rPr>
          <w:rFonts w:ascii="Times New Roman" w:eastAsia="Times New Roman" w:hAnsi="Times New Roman" w:cs="Times New Roman"/>
          <w:smallCaps/>
          <w:noProof/>
          <w:sz w:val="23"/>
          <w:szCs w:val="23"/>
          <w:lang w:eastAsia="en-GB"/>
        </w:rPr>
        <w:tab/>
      </w:r>
      <w:r>
        <w:rPr>
          <w:rFonts w:ascii="Times New Roman" w:eastAsia="Times New Roman" w:hAnsi="Times New Roman" w:cs="Times New Roman"/>
          <w:b/>
          <w:smallCaps/>
          <w:noProof/>
          <w:sz w:val="23"/>
          <w:szCs w:val="23"/>
          <w:lang w:eastAsia="en-GB"/>
        </w:rPr>
        <w:t>Introduction</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The Eastern Partnership (EaP) is a joint initiative of the European Union, its Member States and Armenia, Azerbaijan, Belarus, Georgia, the Republic of Moldova</w:t>
      </w:r>
      <w:r>
        <w:rPr>
          <w:rStyle w:val="FootnoteReference"/>
          <w:rFonts w:ascii="Times New Roman" w:eastAsia="Times New Roman" w:hAnsi="Times New Roman" w:cs="Times New Roman"/>
          <w:noProof/>
          <w:sz w:val="23"/>
          <w:szCs w:val="23"/>
          <w:lang w:eastAsia="en-GB"/>
        </w:rPr>
        <w:footnoteReference w:id="2"/>
      </w:r>
      <w:r>
        <w:rPr>
          <w:rFonts w:ascii="Times New Roman" w:eastAsia="Times New Roman" w:hAnsi="Times New Roman" w:cs="Times New Roman"/>
          <w:noProof/>
          <w:sz w:val="23"/>
          <w:szCs w:val="23"/>
          <w:lang w:eastAsia="en-GB"/>
        </w:rPr>
        <w:t xml:space="preserve">, and Ukraine (‘the partner countries’). Launched in 2009, the EaP is a strategic and ambitious partnership based on common values and rules, mutual interests and commitments as well as shared ownership and responsibility. It aims to strengthen and deepen the political and economic relations between the EU, its Member States and the partner countries and helps them in achieving the twin ecological and digital transformation. It supports the delivery of many global policy objectives, including the Paris Agreement on Climate Change and the UN 2030 Agenda and its Sustainable Development Goals. It contributes to the overall goal of increasing the stability, prosperity, and resilience of the EU’s neighbours as set out in the </w:t>
      </w:r>
      <w:r>
        <w:rPr>
          <w:rFonts w:ascii="Times New Roman" w:eastAsia="Times New Roman" w:hAnsi="Times New Roman" w:cs="Times New Roman"/>
          <w:b/>
          <w:bCs/>
          <w:noProof/>
          <w:sz w:val="23"/>
          <w:szCs w:val="23"/>
          <w:lang w:eastAsia="en-GB"/>
        </w:rPr>
        <w:t>Global Strategy</w:t>
      </w:r>
      <w:r>
        <w:rPr>
          <w:rFonts w:ascii="Times New Roman" w:eastAsia="Times New Roman" w:hAnsi="Times New Roman" w:cs="Times New Roman"/>
          <w:noProof/>
          <w:sz w:val="23"/>
          <w:szCs w:val="23"/>
          <w:lang w:eastAsia="en-GB"/>
        </w:rPr>
        <w:t xml:space="preserve"> for the foreign and security policy of the European Union</w:t>
      </w:r>
      <w:r>
        <w:rPr>
          <w:rStyle w:val="FootnoteReference"/>
          <w:rFonts w:ascii="Times New Roman" w:eastAsia="Times New Roman" w:hAnsi="Times New Roman" w:cs="Times New Roman"/>
          <w:noProof/>
          <w:sz w:val="23"/>
          <w:szCs w:val="23"/>
          <w:lang w:eastAsia="en-GB"/>
        </w:rPr>
        <w:footnoteReference w:id="3"/>
      </w:r>
      <w:r>
        <w:rPr>
          <w:rFonts w:ascii="Times New Roman" w:eastAsia="Times New Roman" w:hAnsi="Times New Roman" w:cs="Times New Roman"/>
          <w:noProof/>
          <w:sz w:val="23"/>
          <w:szCs w:val="23"/>
          <w:lang w:eastAsia="en-GB"/>
        </w:rPr>
        <w:t xml:space="preserve"> and the 2015 </w:t>
      </w:r>
      <w:r>
        <w:rPr>
          <w:rFonts w:ascii="Times New Roman" w:eastAsia="Times New Roman" w:hAnsi="Times New Roman" w:cs="Times New Roman"/>
          <w:b/>
          <w:bCs/>
          <w:noProof/>
          <w:sz w:val="23"/>
          <w:szCs w:val="23"/>
          <w:lang w:eastAsia="en-GB"/>
        </w:rPr>
        <w:t>European neighbourhood policy review</w:t>
      </w:r>
      <w:r>
        <w:rPr>
          <w:rFonts w:ascii="Times New Roman" w:eastAsia="Times New Roman" w:hAnsi="Times New Roman" w:cs="Times New Roman"/>
          <w:noProof/>
          <w:sz w:val="23"/>
          <w:szCs w:val="23"/>
          <w:lang w:eastAsia="en-GB"/>
        </w:rPr>
        <w:t xml:space="preserve">. It is fully aligned with the European Commission’s </w:t>
      </w:r>
      <w:r>
        <w:rPr>
          <w:rFonts w:ascii="Times New Roman" w:eastAsia="Times New Roman" w:hAnsi="Times New Roman" w:cs="Times New Roman"/>
          <w:b/>
          <w:noProof/>
          <w:sz w:val="23"/>
          <w:szCs w:val="23"/>
          <w:lang w:eastAsia="en-GB"/>
        </w:rPr>
        <w:t>Political Guidelines 2019-2024</w:t>
      </w:r>
      <w:r>
        <w:rPr>
          <w:rStyle w:val="FootnoteReference"/>
          <w:rFonts w:ascii="Times New Roman" w:eastAsia="Times New Roman" w:hAnsi="Times New Roman" w:cs="Times New Roman"/>
          <w:noProof/>
          <w:sz w:val="23"/>
          <w:szCs w:val="23"/>
          <w:lang w:eastAsia="en-GB"/>
        </w:rPr>
        <w:footnoteReference w:id="4"/>
      </w:r>
      <w:r>
        <w:rPr>
          <w:rFonts w:ascii="Times New Roman" w:eastAsia="Times New Roman" w:hAnsi="Times New Roman" w:cs="Times New Roman"/>
          <w:noProof/>
          <w:sz w:val="23"/>
          <w:szCs w:val="23"/>
          <w:lang w:eastAsia="en-GB"/>
        </w:rPr>
        <w:t>. Finally, it reflects all relevant flagship strategies adopted by the Commission</w:t>
      </w:r>
      <w:r>
        <w:rPr>
          <w:rStyle w:val="FootnoteReference"/>
          <w:rFonts w:ascii="Times New Roman" w:eastAsia="Times New Roman" w:hAnsi="Times New Roman" w:cs="Times New Roman"/>
          <w:noProof/>
          <w:sz w:val="23"/>
          <w:szCs w:val="23"/>
          <w:lang w:eastAsia="en-GB"/>
        </w:rPr>
        <w:footnoteReference w:id="5"/>
      </w:r>
      <w:r>
        <w:rPr>
          <w:rFonts w:ascii="Times New Roman" w:eastAsia="Times New Roman" w:hAnsi="Times New Roman" w:cs="Times New Roman"/>
          <w:noProof/>
          <w:sz w:val="23"/>
          <w:szCs w:val="23"/>
          <w:lang w:eastAsia="en-GB"/>
        </w:rPr>
        <w:t>.</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Over the years, the EaP has been instrumental in </w:t>
      </w:r>
      <w:r>
        <w:rPr>
          <w:rFonts w:ascii="Times New Roman" w:eastAsia="Times New Roman" w:hAnsi="Times New Roman" w:cs="Times New Roman"/>
          <w:b/>
          <w:noProof/>
          <w:sz w:val="23"/>
          <w:szCs w:val="23"/>
          <w:lang w:eastAsia="en-GB"/>
        </w:rPr>
        <w:t>bringing the EU and the partner countries closer together</w:t>
      </w:r>
      <w:r>
        <w:rPr>
          <w:rFonts w:ascii="Times New Roman" w:eastAsia="Times New Roman" w:hAnsi="Times New Roman" w:cs="Times New Roman"/>
          <w:noProof/>
          <w:sz w:val="23"/>
          <w:szCs w:val="23"/>
          <w:lang w:eastAsia="en-GB"/>
        </w:rPr>
        <w:t>. The EaP Summit of November 2017 in Brussels marked a new approach with the adoption of the common reform agenda titled ‘</w:t>
      </w:r>
      <w:r>
        <w:rPr>
          <w:rFonts w:ascii="Times New Roman" w:eastAsia="Times New Roman" w:hAnsi="Times New Roman" w:cs="Times New Roman"/>
          <w:b/>
          <w:bCs/>
          <w:noProof/>
          <w:sz w:val="23"/>
          <w:szCs w:val="23"/>
          <w:lang w:eastAsia="en-GB"/>
        </w:rPr>
        <w:t>20 Deliverables for 2020</w:t>
      </w:r>
      <w:r>
        <w:rPr>
          <w:rFonts w:ascii="Times New Roman" w:eastAsia="Times New Roman" w:hAnsi="Times New Roman" w:cs="Times New Roman"/>
          <w:bCs/>
          <w:noProof/>
          <w:sz w:val="23"/>
          <w:szCs w:val="23"/>
          <w:lang w:eastAsia="en-GB"/>
        </w:rPr>
        <w:t>’</w:t>
      </w:r>
      <w:r>
        <w:rPr>
          <w:rFonts w:ascii="Times New Roman" w:eastAsia="Times New Roman" w:hAnsi="Times New Roman" w:cs="Times New Roman"/>
          <w:noProof/>
          <w:sz w:val="23"/>
          <w:szCs w:val="23"/>
          <w:lang w:eastAsia="en-GB"/>
        </w:rPr>
        <w:t xml:space="preserve">. This ambitious work plan focused on delivering tangible results on the ground and </w:t>
      </w:r>
      <w:r>
        <w:rPr>
          <w:rFonts w:ascii="Times New Roman" w:eastAsia="Times New Roman" w:hAnsi="Times New Roman" w:cs="Times New Roman"/>
          <w:b/>
          <w:bCs/>
          <w:noProof/>
          <w:sz w:val="23"/>
          <w:szCs w:val="23"/>
          <w:lang w:eastAsia="en-GB"/>
        </w:rPr>
        <w:t>improving the lives of people</w:t>
      </w:r>
      <w:r>
        <w:rPr>
          <w:rFonts w:ascii="Times New Roman" w:eastAsia="Times New Roman" w:hAnsi="Times New Roman" w:cs="Times New Roman"/>
          <w:bCs/>
          <w:noProof/>
          <w:sz w:val="23"/>
          <w:szCs w:val="23"/>
          <w:lang w:eastAsia="en-GB"/>
        </w:rPr>
        <w:t xml:space="preserve"> </w:t>
      </w:r>
      <w:r>
        <w:rPr>
          <w:rFonts w:ascii="Times New Roman" w:eastAsia="Times New Roman" w:hAnsi="Times New Roman" w:cs="Times New Roman"/>
          <w:noProof/>
          <w:sz w:val="23"/>
          <w:szCs w:val="23"/>
          <w:lang w:eastAsia="en-GB"/>
        </w:rPr>
        <w:t>in four main policy areas: (1) stronger economy; (2) stronger governance; (3) stronger connectivity; and (4) stronger society, together with targets for the cross-cutting issues of gender, civil society, media and strategic communication.</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The EaP will continue to aim to build an area of democracy, prosperity, stability and increased cooperation based on common values. The EU has a strategic interest in advancing its global leadership on human rights and democracy in external action, including in relation to the EaP. Respect for human rights is an essential element of resilient, inclusive and democratic societies. Focus will therefore continue to be on outstanding issues from the current objectives, notably the rule of law, protection of human rights, the fight against corruption and discrimination, the role of an independent media and civil society and promotion of gender equality. The EU’s incentive-based approach (‘more for more’ and ‘less for less’) will continue to benefit those partner countries most engaged in reforms. The future policy approach for the EaP should be built upon the already agreed tasks, aims, objectives, principles and areas of cooperation.</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Continued engagement with the EaP countries will remain among the key priorities for the EU. The renewed dynamics of the EaP policy will enhance this engagement by emphasising the significance of this mutually beneficial cooperation. It will translate into further development of political relations with all Eastern partners in both bilateral and multilateral formats. Furthermore, due to its geographical location between the European Union, Asia and the wider neighbourhood, the EaP region brings increased value for EU foreign policy engagement, notably due to the varying degrees of economic, societal and strategic connections with its neighbours. The presence and interests of other regional and global powers as well as the cultural and geographical links with Central Asia represent additional opportunities to develop mutually beneficial links with the broader neighbourhood. The EU’s activities in the region are complemented by other policies and initiatives such as the Northern Dimension and the Black Sea synergy.</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In May 2019, the European Commission launched a consultation on the future of the EaP. The European Council endorsed this approach in June 2019.</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The consultation ran until the end of October 2019. It was broad and inclusive, gathering over 200 written contributions including through the </w:t>
      </w:r>
      <w:r>
        <w:rPr>
          <w:rFonts w:ascii="Times New Roman" w:eastAsia="Times New Roman" w:hAnsi="Times New Roman" w:cs="Times New Roman"/>
          <w:bCs/>
          <w:noProof/>
          <w:sz w:val="23"/>
          <w:szCs w:val="23"/>
          <w:lang w:eastAsia="en-GB"/>
        </w:rPr>
        <w:t>EaP structured consultation webpage</w:t>
      </w:r>
      <w:r>
        <w:rPr>
          <w:rFonts w:ascii="Times New Roman" w:eastAsia="Times New Roman" w:hAnsi="Times New Roman" w:cs="Times New Roman"/>
          <w:noProof/>
          <w:sz w:val="23"/>
          <w:szCs w:val="23"/>
          <w:lang w:eastAsia="en-GB"/>
        </w:rPr>
        <w:t>. Nearly all EU Member States and all partner countries submitted opinions, as did the European Parliament, the European Economic and Social Committee, and the Committee of the Regions. Other contributors included the European Investment Bank, the European Bank for Reconstruction and Development, and other international financial institutions, and a wide variety of stakeholders such as civil society organisations (including the Eastern Partnership Civil Society Forum), think tanks, academic institutions, and business organisations. Recommendations from the Eastern Partnership Youth Forum and the Young European Ambassadors were taken into account.</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This joint communication also draws on feedback received during </w:t>
      </w:r>
      <w:r>
        <w:rPr>
          <w:rFonts w:ascii="Times New Roman" w:eastAsia="Times New Roman" w:hAnsi="Times New Roman" w:cs="Times New Roman"/>
          <w:b/>
          <w:bCs/>
          <w:noProof/>
          <w:sz w:val="23"/>
          <w:szCs w:val="23"/>
          <w:lang w:eastAsia="en-GB"/>
        </w:rPr>
        <w:t xml:space="preserve">consultations in each of the six partner countries </w:t>
      </w:r>
      <w:r>
        <w:rPr>
          <w:rFonts w:ascii="Times New Roman" w:eastAsia="Times New Roman" w:hAnsi="Times New Roman" w:cs="Times New Roman"/>
          <w:noProof/>
          <w:sz w:val="23"/>
          <w:szCs w:val="23"/>
          <w:lang w:eastAsia="en-GB"/>
        </w:rPr>
        <w:t>and</w:t>
      </w:r>
      <w:r>
        <w:rPr>
          <w:rFonts w:ascii="Times New Roman" w:eastAsia="Times New Roman" w:hAnsi="Times New Roman" w:cs="Times New Roman"/>
          <w:b/>
          <w:bCs/>
          <w:noProof/>
          <w:sz w:val="23"/>
          <w:szCs w:val="23"/>
          <w:lang w:eastAsia="en-GB"/>
        </w:rPr>
        <w:t xml:space="preserve"> </w:t>
      </w:r>
      <w:r>
        <w:rPr>
          <w:rFonts w:ascii="Times New Roman" w:eastAsia="Times New Roman" w:hAnsi="Times New Roman" w:cs="Times New Roman"/>
          <w:noProof/>
          <w:sz w:val="23"/>
          <w:szCs w:val="23"/>
          <w:lang w:eastAsia="en-GB"/>
        </w:rPr>
        <w:t xml:space="preserve">many EU Member States. Discussions within the platforms and panels of the current EaP architecture and related meetings were also considered. </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Overall, there is a broad consensus that t</w:t>
      </w:r>
      <w:r>
        <w:rPr>
          <w:rFonts w:ascii="Times New Roman" w:eastAsia="Times New Roman" w:hAnsi="Times New Roman" w:cs="Times New Roman"/>
          <w:bCs/>
          <w:noProof/>
          <w:sz w:val="23"/>
          <w:szCs w:val="23"/>
          <w:lang w:eastAsia="en-GB"/>
        </w:rPr>
        <w:t xml:space="preserve">he </w:t>
      </w:r>
      <w:r>
        <w:rPr>
          <w:rFonts w:ascii="Times New Roman" w:eastAsia="Times New Roman" w:hAnsi="Times New Roman" w:cs="Times New Roman"/>
          <w:b/>
          <w:bCs/>
          <w:noProof/>
          <w:sz w:val="23"/>
          <w:szCs w:val="23"/>
          <w:lang w:eastAsia="en-GB"/>
        </w:rPr>
        <w:t>current EaP policy framework is robust and delivers tangible results for people</w:t>
      </w:r>
      <w:r>
        <w:rPr>
          <w:rFonts w:ascii="Times New Roman" w:eastAsia="Times New Roman" w:hAnsi="Times New Roman" w:cs="Times New Roman"/>
          <w:noProof/>
          <w:sz w:val="23"/>
          <w:szCs w:val="23"/>
          <w:lang w:eastAsia="en-GB"/>
        </w:rPr>
        <w:t xml:space="preserve">. The joint communication outlines how to address </w:t>
      </w:r>
      <w:r>
        <w:rPr>
          <w:rFonts w:ascii="Times New Roman" w:eastAsia="Times New Roman" w:hAnsi="Times New Roman" w:cs="Times New Roman"/>
          <w:b/>
          <w:noProof/>
          <w:sz w:val="23"/>
          <w:szCs w:val="23"/>
          <w:lang w:eastAsia="en-GB"/>
        </w:rPr>
        <w:t xml:space="preserve">common challenges </w:t>
      </w:r>
      <w:r>
        <w:rPr>
          <w:rFonts w:ascii="Times New Roman" w:eastAsia="Times New Roman" w:hAnsi="Times New Roman" w:cs="Times New Roman"/>
          <w:noProof/>
          <w:sz w:val="23"/>
          <w:szCs w:val="23"/>
          <w:lang w:eastAsia="en-GB"/>
        </w:rPr>
        <w:t xml:space="preserve">and how the EU will work together with the partner countries in different policy areas in the future. Based on the results of the consultation, this document outlines the new </w:t>
      </w:r>
      <w:r>
        <w:rPr>
          <w:rFonts w:ascii="Times New Roman" w:eastAsia="Times New Roman" w:hAnsi="Times New Roman" w:cs="Times New Roman"/>
          <w:b/>
          <w:bCs/>
          <w:noProof/>
          <w:sz w:val="23"/>
          <w:szCs w:val="23"/>
          <w:lang w:eastAsia="en-GB"/>
        </w:rPr>
        <w:t>long-term policy objectives for the Eastern Partnership beyond 2020</w:t>
      </w:r>
      <w:r>
        <w:rPr>
          <w:rFonts w:ascii="Times New Roman" w:eastAsia="Times New Roman" w:hAnsi="Times New Roman" w:cs="Times New Roman"/>
          <w:bCs/>
          <w:noProof/>
          <w:sz w:val="23"/>
          <w:szCs w:val="23"/>
          <w:lang w:eastAsia="en-GB"/>
        </w:rPr>
        <w:t xml:space="preserve"> and</w:t>
      </w:r>
      <w:r>
        <w:rPr>
          <w:rFonts w:ascii="Times New Roman" w:eastAsia="Times New Roman" w:hAnsi="Times New Roman" w:cs="Times New Roman"/>
          <w:b/>
          <w:bCs/>
          <w:noProof/>
          <w:sz w:val="23"/>
          <w:szCs w:val="23"/>
          <w:lang w:eastAsia="en-GB"/>
        </w:rPr>
        <w:t xml:space="preserve"> </w:t>
      </w:r>
      <w:r>
        <w:rPr>
          <w:rFonts w:ascii="Times New Roman" w:eastAsia="Times New Roman" w:hAnsi="Times New Roman" w:cs="Times New Roman"/>
          <w:bCs/>
          <w:noProof/>
          <w:sz w:val="23"/>
          <w:szCs w:val="23"/>
          <w:lang w:eastAsia="en-GB"/>
        </w:rPr>
        <w:t xml:space="preserve">sets out the measures that aim to </w:t>
      </w:r>
      <w:r>
        <w:rPr>
          <w:rFonts w:ascii="Times New Roman" w:eastAsia="Times New Roman" w:hAnsi="Times New Roman" w:cs="Times New Roman"/>
          <w:b/>
          <w:bCs/>
          <w:noProof/>
          <w:sz w:val="23"/>
          <w:szCs w:val="23"/>
          <w:lang w:eastAsia="en-GB"/>
        </w:rPr>
        <w:t>strengthen resilience, foster sustainable development and deliver tangible results for society</w:t>
      </w:r>
      <w:r>
        <w:rPr>
          <w:rFonts w:ascii="Times New Roman" w:eastAsia="Times New Roman" w:hAnsi="Times New Roman" w:cs="Times New Roman"/>
          <w:bCs/>
          <w:noProof/>
          <w:sz w:val="23"/>
          <w:szCs w:val="23"/>
          <w:lang w:eastAsia="en-GB"/>
        </w:rPr>
        <w:t>.</w:t>
      </w:r>
    </w:p>
    <w:p>
      <w:pPr>
        <w:tabs>
          <w:tab w:val="left" w:pos="567"/>
        </w:tabs>
        <w:spacing w:after="240" w:line="240" w:lineRule="auto"/>
        <w:jc w:val="both"/>
        <w:rPr>
          <w:rFonts w:ascii="Times New Roman" w:eastAsia="Times New Roman" w:hAnsi="Times New Roman" w:cs="Times New Roman"/>
          <w:b/>
          <w:smallCaps/>
          <w:noProof/>
          <w:sz w:val="23"/>
          <w:szCs w:val="23"/>
          <w:lang w:eastAsia="en-GB"/>
        </w:rPr>
      </w:pPr>
      <w:r>
        <w:rPr>
          <w:rFonts w:ascii="Times New Roman" w:eastAsia="Times New Roman" w:hAnsi="Times New Roman" w:cs="Times New Roman"/>
          <w:b/>
          <w:smallCaps/>
          <w:noProof/>
          <w:sz w:val="23"/>
          <w:szCs w:val="23"/>
          <w:lang w:eastAsia="en-GB"/>
        </w:rPr>
        <w:t>2.</w:t>
      </w:r>
      <w:r>
        <w:rPr>
          <w:rFonts w:ascii="Times New Roman" w:eastAsia="Times New Roman" w:hAnsi="Times New Roman" w:cs="Times New Roman"/>
          <w:b/>
          <w:smallCaps/>
          <w:noProof/>
          <w:sz w:val="23"/>
          <w:szCs w:val="23"/>
          <w:lang w:eastAsia="en-GB"/>
        </w:rPr>
        <w:tab/>
        <w:t xml:space="preserve">Key Achievements of the Eastern Partnership </w:t>
      </w:r>
    </w:p>
    <w:p>
      <w:pPr>
        <w:spacing w:after="240" w:line="240" w:lineRule="auto"/>
        <w:jc w:val="both"/>
        <w:rPr>
          <w:rFonts w:ascii="Times New Roman" w:eastAsia="Times New Roman" w:hAnsi="Times New Roman" w:cs="Times New Roman"/>
          <w:bCs/>
          <w:noProof/>
          <w:sz w:val="23"/>
          <w:szCs w:val="23"/>
          <w:lang w:eastAsia="en-GB"/>
        </w:rPr>
      </w:pPr>
      <w:r>
        <w:rPr>
          <w:rFonts w:ascii="Times New Roman" w:eastAsia="Times New Roman" w:hAnsi="Times New Roman" w:cs="Times New Roman"/>
          <w:noProof/>
          <w:sz w:val="23"/>
          <w:szCs w:val="23"/>
          <w:lang w:eastAsia="en-GB"/>
        </w:rPr>
        <w:t xml:space="preserve">In 2015, EU Member States and the partner countries welcomed the revision of the </w:t>
      </w:r>
      <w:r>
        <w:rPr>
          <w:rFonts w:ascii="Times New Roman" w:eastAsia="Times New Roman" w:hAnsi="Times New Roman" w:cs="Times New Roman"/>
          <w:b/>
          <w:bCs/>
          <w:noProof/>
          <w:sz w:val="23"/>
          <w:szCs w:val="23"/>
          <w:lang w:eastAsia="en-GB"/>
        </w:rPr>
        <w:t>European neighbourhood</w:t>
      </w:r>
      <w:r>
        <w:rPr>
          <w:rFonts w:ascii="Times New Roman" w:eastAsia="Times New Roman" w:hAnsi="Times New Roman" w:cs="Times New Roman"/>
          <w:bCs/>
          <w:noProof/>
          <w:sz w:val="23"/>
          <w:szCs w:val="23"/>
          <w:lang w:eastAsia="en-GB"/>
        </w:rPr>
        <w:t xml:space="preserve"> policy in the context of the EU Global Strategy. They called for increased </w:t>
      </w:r>
      <w:r>
        <w:rPr>
          <w:rFonts w:ascii="Times New Roman" w:eastAsia="Times New Roman" w:hAnsi="Times New Roman" w:cs="Times New Roman"/>
          <w:b/>
          <w:bCs/>
          <w:noProof/>
          <w:sz w:val="23"/>
          <w:szCs w:val="23"/>
          <w:lang w:eastAsia="en-GB"/>
        </w:rPr>
        <w:t>differentiation</w:t>
      </w:r>
      <w:r>
        <w:rPr>
          <w:rFonts w:ascii="Times New Roman" w:eastAsia="Times New Roman" w:hAnsi="Times New Roman" w:cs="Times New Roman"/>
          <w:bCs/>
          <w:noProof/>
          <w:sz w:val="23"/>
          <w:szCs w:val="23"/>
          <w:lang w:eastAsia="en-GB"/>
        </w:rPr>
        <w:t xml:space="preserve">, greater </w:t>
      </w:r>
      <w:r>
        <w:rPr>
          <w:rFonts w:ascii="Times New Roman" w:eastAsia="Times New Roman" w:hAnsi="Times New Roman" w:cs="Times New Roman"/>
          <w:b/>
          <w:bCs/>
          <w:noProof/>
          <w:sz w:val="23"/>
          <w:szCs w:val="23"/>
          <w:lang w:eastAsia="en-GB"/>
        </w:rPr>
        <w:t>ownership</w:t>
      </w:r>
      <w:r>
        <w:rPr>
          <w:rFonts w:ascii="Times New Roman" w:eastAsia="Times New Roman" w:hAnsi="Times New Roman" w:cs="Times New Roman"/>
          <w:bCs/>
          <w:noProof/>
          <w:sz w:val="23"/>
          <w:szCs w:val="23"/>
          <w:lang w:eastAsia="en-GB"/>
        </w:rPr>
        <w:t xml:space="preserve">, enhanced </w:t>
      </w:r>
      <w:r>
        <w:rPr>
          <w:rFonts w:ascii="Times New Roman" w:eastAsia="Times New Roman" w:hAnsi="Times New Roman" w:cs="Times New Roman"/>
          <w:b/>
          <w:bCs/>
          <w:noProof/>
          <w:sz w:val="23"/>
          <w:szCs w:val="23"/>
          <w:lang w:eastAsia="en-GB"/>
        </w:rPr>
        <w:t>focus</w:t>
      </w:r>
      <w:r>
        <w:rPr>
          <w:rFonts w:ascii="Times New Roman" w:eastAsia="Times New Roman" w:hAnsi="Times New Roman" w:cs="Times New Roman"/>
          <w:bCs/>
          <w:noProof/>
          <w:sz w:val="23"/>
          <w:szCs w:val="23"/>
          <w:lang w:eastAsia="en-GB"/>
        </w:rPr>
        <w:t xml:space="preserve"> and greater </w:t>
      </w:r>
      <w:r>
        <w:rPr>
          <w:rFonts w:ascii="Times New Roman" w:eastAsia="Times New Roman" w:hAnsi="Times New Roman" w:cs="Times New Roman"/>
          <w:b/>
          <w:bCs/>
          <w:noProof/>
          <w:sz w:val="23"/>
          <w:szCs w:val="23"/>
          <w:lang w:eastAsia="en-GB"/>
        </w:rPr>
        <w:t>flexibility</w:t>
      </w:r>
      <w:r>
        <w:rPr>
          <w:rFonts w:ascii="Times New Roman" w:eastAsia="Times New Roman" w:hAnsi="Times New Roman" w:cs="Times New Roman"/>
          <w:bCs/>
          <w:noProof/>
          <w:sz w:val="23"/>
          <w:szCs w:val="23"/>
          <w:lang w:eastAsia="en-GB"/>
        </w:rPr>
        <w:t>. The consultation showed that the EaP has broadly delivered on these objectives.</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In terms of</w:t>
      </w:r>
      <w:r>
        <w:rPr>
          <w:rFonts w:ascii="Times New Roman" w:eastAsia="Times New Roman" w:hAnsi="Times New Roman" w:cs="Times New Roman"/>
          <w:b/>
          <w:noProof/>
          <w:sz w:val="23"/>
          <w:szCs w:val="23"/>
          <w:lang w:eastAsia="en-GB"/>
        </w:rPr>
        <w:t xml:space="preserve"> differentiation,</w:t>
      </w:r>
      <w:r>
        <w:rPr>
          <w:rFonts w:ascii="Times New Roman" w:eastAsia="Times New Roman" w:hAnsi="Times New Roman" w:cs="Times New Roman"/>
          <w:noProof/>
          <w:sz w:val="23"/>
          <w:szCs w:val="23"/>
          <w:lang w:eastAsia="en-GB"/>
        </w:rPr>
        <w:t xml:space="preserve"> the </w:t>
      </w:r>
      <w:r>
        <w:rPr>
          <w:rFonts w:ascii="Times New Roman" w:eastAsia="Times New Roman" w:hAnsi="Times New Roman" w:cs="Times New Roman"/>
          <w:bCs/>
          <w:noProof/>
          <w:sz w:val="23"/>
          <w:szCs w:val="23"/>
          <w:lang w:eastAsia="en-GB"/>
        </w:rPr>
        <w:t>partnership has developed according to the interests, ambitions and progress of each partner</w:t>
      </w:r>
      <w:r>
        <w:rPr>
          <w:rFonts w:ascii="Times New Roman" w:eastAsia="Times New Roman" w:hAnsi="Times New Roman" w:cs="Times New Roman"/>
          <w:noProof/>
          <w:sz w:val="23"/>
          <w:szCs w:val="23"/>
          <w:lang w:eastAsia="en-GB"/>
        </w:rPr>
        <w:t xml:space="preserve">. There are </w:t>
      </w:r>
      <w:r>
        <w:rPr>
          <w:rFonts w:ascii="Times New Roman" w:eastAsia="Times New Roman" w:hAnsi="Times New Roman" w:cs="Times New Roman"/>
          <w:bCs/>
          <w:noProof/>
          <w:sz w:val="23"/>
          <w:szCs w:val="23"/>
          <w:lang w:eastAsia="en-GB"/>
        </w:rPr>
        <w:t>new, far-reaching political and economic bilateral agreements between the EU and individual partner countries</w:t>
      </w:r>
      <w:r>
        <w:rPr>
          <w:rFonts w:ascii="Times New Roman" w:eastAsia="Times New Roman" w:hAnsi="Times New Roman" w:cs="Times New Roman"/>
          <w:noProof/>
          <w:sz w:val="23"/>
          <w:szCs w:val="23"/>
          <w:lang w:eastAsia="en-GB"/>
        </w:rPr>
        <w:t>. Relations with Georgia, Moldova and Ukraine are guided by association agreements and deep and comprehensive free trade areas (DCFTAs). To ensure these ambitious agreements are fully implemented, these three countries agreed to set the ‘association agendas’ around short- and medium-term cooperation priorities. Visa-free arrangements have been put in place between the EU and these countries, to facilitate people’s movement across borders. All three countries have fully implemented readmission agreements.</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A comprehensive and enhanced partnership agreement frames EU relations with Armenia, and negotiations on a new agreement are under way with Azerbaijan. Cooperation with these two countries is based on agreed partnership priorities. Sectoral dialogues foster relations with Belarus while negotiations on partnership priorities are under way. Visa facilitation and readmission agreements concluded with Armenia, Azerbaijan and Belarus have been key in facilitating travel for people in these countries.</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To encourage greater </w:t>
      </w:r>
      <w:r>
        <w:rPr>
          <w:rFonts w:ascii="Times New Roman" w:eastAsia="Times New Roman" w:hAnsi="Times New Roman" w:cs="Times New Roman"/>
          <w:b/>
          <w:noProof/>
          <w:sz w:val="23"/>
          <w:szCs w:val="23"/>
          <w:lang w:eastAsia="en-GB"/>
        </w:rPr>
        <w:t xml:space="preserve">ownership </w:t>
      </w:r>
      <w:r>
        <w:rPr>
          <w:rFonts w:ascii="Times New Roman" w:eastAsia="Times New Roman" w:hAnsi="Times New Roman" w:cs="Times New Roman"/>
          <w:noProof/>
          <w:sz w:val="23"/>
          <w:szCs w:val="23"/>
          <w:lang w:eastAsia="en-GB"/>
        </w:rPr>
        <w:t xml:space="preserve">by partner countries, the EU has </w:t>
      </w:r>
      <w:r>
        <w:rPr>
          <w:rFonts w:ascii="Times New Roman" w:eastAsia="Times New Roman" w:hAnsi="Times New Roman" w:cs="Times New Roman"/>
          <w:b/>
          <w:noProof/>
          <w:sz w:val="23"/>
          <w:szCs w:val="23"/>
          <w:lang w:eastAsia="en-GB"/>
        </w:rPr>
        <w:t>transformed</w:t>
      </w:r>
      <w:r>
        <w:rPr>
          <w:rFonts w:ascii="Times New Roman" w:eastAsia="Times New Roman" w:hAnsi="Times New Roman" w:cs="Times New Roman"/>
          <w:noProof/>
          <w:sz w:val="23"/>
          <w:szCs w:val="23"/>
          <w:lang w:eastAsia="en-GB"/>
        </w:rPr>
        <w:t xml:space="preserve"> the way it engages with them. To increase impact, EU support has shifted away from project-based financial assistance towards support for genuinely transformational </w:t>
      </w:r>
      <w:r>
        <w:rPr>
          <w:rFonts w:ascii="Times New Roman" w:eastAsia="Times New Roman" w:hAnsi="Times New Roman" w:cs="Times New Roman"/>
          <w:b/>
          <w:noProof/>
          <w:sz w:val="23"/>
          <w:szCs w:val="23"/>
          <w:lang w:eastAsia="en-GB"/>
        </w:rPr>
        <w:t xml:space="preserve">reform </w:t>
      </w:r>
      <w:r>
        <w:rPr>
          <w:rFonts w:ascii="Times New Roman" w:eastAsia="Times New Roman" w:hAnsi="Times New Roman" w:cs="Times New Roman"/>
          <w:b/>
          <w:bCs/>
          <w:noProof/>
          <w:sz w:val="23"/>
          <w:szCs w:val="23"/>
          <w:lang w:eastAsia="en-GB"/>
        </w:rPr>
        <w:t>policies</w:t>
      </w:r>
      <w:r>
        <w:rPr>
          <w:rFonts w:ascii="Times New Roman" w:eastAsia="Times New Roman" w:hAnsi="Times New Roman" w:cs="Times New Roman"/>
          <w:noProof/>
          <w:sz w:val="23"/>
          <w:szCs w:val="23"/>
          <w:lang w:eastAsia="en-GB"/>
        </w:rPr>
        <w:t>. This new approach has delivered tangible benefits to people, for example supporting decentralisation in Ukraine and high-level energy efficiency initiatives in Armenia, Georgia and Ukraine.</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The EU has strengthened collaboration with those responsible for reforms in partner countries. Together with national authorities, the EU and its Member States have taken key steps to ensure </w:t>
      </w:r>
      <w:r>
        <w:rPr>
          <w:rFonts w:ascii="Times New Roman" w:eastAsia="Times New Roman" w:hAnsi="Times New Roman" w:cs="Times New Roman"/>
          <w:b/>
          <w:noProof/>
          <w:sz w:val="23"/>
          <w:szCs w:val="23"/>
          <w:lang w:eastAsia="en-GB"/>
        </w:rPr>
        <w:t>joint programming</w:t>
      </w:r>
      <w:r>
        <w:rPr>
          <w:rFonts w:ascii="Times New Roman" w:eastAsia="Times New Roman" w:hAnsi="Times New Roman" w:cs="Times New Roman"/>
          <w:noProof/>
          <w:sz w:val="23"/>
          <w:szCs w:val="23"/>
          <w:lang w:eastAsia="en-GB"/>
        </w:rPr>
        <w:t xml:space="preserve"> where possible. This guarantees a more effective collective response to partner countries’ needs, making cooperation less fragmented and therefore more coherent and impactful. Successful joint responses include Ukraine and Moldova.</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val="en-IE" w:eastAsia="en-GB"/>
        </w:rPr>
        <w:t xml:space="preserve">The EU has stepped up its strategic collaboration with </w:t>
      </w:r>
      <w:r>
        <w:rPr>
          <w:rFonts w:ascii="Times New Roman" w:eastAsia="Times New Roman" w:hAnsi="Times New Roman" w:cs="Times New Roman"/>
          <w:b/>
          <w:bCs/>
          <w:noProof/>
          <w:sz w:val="23"/>
          <w:szCs w:val="23"/>
          <w:lang w:val="en-IE" w:eastAsia="en-GB"/>
        </w:rPr>
        <w:t xml:space="preserve">international financial institutions </w:t>
      </w:r>
      <w:r>
        <w:rPr>
          <w:rFonts w:ascii="Times New Roman" w:eastAsia="Times New Roman" w:hAnsi="Times New Roman" w:cs="Times New Roman"/>
          <w:bCs/>
          <w:noProof/>
          <w:sz w:val="23"/>
          <w:szCs w:val="23"/>
          <w:lang w:val="en-IE" w:eastAsia="en-GB"/>
        </w:rPr>
        <w:t>(IFIs)</w:t>
      </w:r>
      <w:r>
        <w:rPr>
          <w:rFonts w:ascii="Times New Roman" w:eastAsia="Times New Roman" w:hAnsi="Times New Roman" w:cs="Times New Roman"/>
          <w:noProof/>
          <w:sz w:val="23"/>
          <w:szCs w:val="23"/>
          <w:lang w:val="en-IE" w:eastAsia="en-GB"/>
        </w:rPr>
        <w:t xml:space="preserve">. </w:t>
      </w:r>
      <w:r>
        <w:rPr>
          <w:rFonts w:ascii="Times New Roman" w:eastAsia="Times New Roman" w:hAnsi="Times New Roman" w:cs="Times New Roman"/>
          <w:noProof/>
          <w:sz w:val="23"/>
          <w:szCs w:val="23"/>
          <w:lang w:eastAsia="en-GB"/>
        </w:rPr>
        <w:t>Through country, regional and sectoral dialogues, the EU and IFIs have brought about substantial support for small and medium sized enterprises (SMEs) and ‘green’ investments for energy efficiency and municipal infrastructure, thereby decreasing energy consumption, pollution and greenhouse gas emissions, and strengthening environmental and climate resilience across the region.</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val="en-IE" w:eastAsia="en-GB"/>
        </w:rPr>
        <w:t>Engaging with civil society has been critical in ensuring effective reforms, as it has</w:t>
      </w:r>
      <w:r>
        <w:rPr>
          <w:rFonts w:ascii="Times New Roman" w:eastAsia="Times New Roman" w:hAnsi="Times New Roman" w:cs="Times New Roman"/>
          <w:noProof/>
          <w:sz w:val="23"/>
          <w:szCs w:val="23"/>
          <w:lang w:eastAsia="en-GB"/>
        </w:rPr>
        <w:t xml:space="preserve"> increased public accountability, advanced human rights and local development, and ensured service delivery to the whole population, including vulnerable groups. The EU has played a key role in supporting the contribution of civil society, which has in turn driven social innovation and helped build reform coalitions at national, regional and local level.</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Responses to the consultation emphasise the value of building a greater </w:t>
      </w:r>
      <w:r>
        <w:rPr>
          <w:rFonts w:ascii="Times New Roman" w:eastAsia="Times New Roman" w:hAnsi="Times New Roman" w:cs="Times New Roman"/>
          <w:b/>
          <w:noProof/>
          <w:sz w:val="23"/>
          <w:szCs w:val="23"/>
          <w:lang w:eastAsia="en-GB"/>
        </w:rPr>
        <w:t>focus</w:t>
      </w:r>
      <w:r>
        <w:rPr>
          <w:rFonts w:ascii="Times New Roman" w:eastAsia="Times New Roman" w:hAnsi="Times New Roman" w:cs="Times New Roman"/>
          <w:noProof/>
          <w:sz w:val="23"/>
          <w:szCs w:val="23"/>
          <w:lang w:eastAsia="en-GB"/>
        </w:rPr>
        <w:t xml:space="preserve"> within a common policy. The ‘20 deliverables for 2020’, endorsed by EU Member States and partner countries at the November 2017 EaP Summit, set out a common results-oriented agenda in order to focus cooperation.</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The new European neighbourhood policy underlined the need for greater </w:t>
      </w:r>
      <w:r>
        <w:rPr>
          <w:rFonts w:ascii="Times New Roman" w:eastAsia="Times New Roman" w:hAnsi="Times New Roman" w:cs="Times New Roman"/>
          <w:b/>
          <w:noProof/>
          <w:sz w:val="23"/>
          <w:szCs w:val="23"/>
          <w:lang w:eastAsia="en-GB"/>
        </w:rPr>
        <w:t>flexibility</w:t>
      </w:r>
      <w:r>
        <w:rPr>
          <w:rFonts w:ascii="Times New Roman" w:eastAsia="Times New Roman" w:hAnsi="Times New Roman" w:cs="Times New Roman"/>
          <w:noProof/>
          <w:sz w:val="23"/>
          <w:szCs w:val="23"/>
          <w:lang w:eastAsia="en-GB"/>
        </w:rPr>
        <w:t xml:space="preserve"> to enable the EU and the partner countries to respond to ever-changing needs and circumstances. To increase support and impact, the EU has: (i) strengthened cooperation with IFIs through the external investment plan and structural reform facility; (ii) modernised and strategically aligned its technical assistance instruments (TAIEX and Twinning) for tailor-made support; and (iii) adapted its institutional structures to respond to new challenges. For example, the ‘Support Group for Ukraine’ is a unique structure that brings together expertise from across the European Commission and EU Member States to tackle the country’s key challenges. The ‘EEAS East StratCom taskforce’ created following the European Council Conclusions of March 2015 on tackling disinformation, has also been instrumental in making the EU’s communication and branding in the region strategic and impactful.</w:t>
      </w:r>
    </w:p>
    <w:p>
      <w:pPr>
        <w:keepNext/>
        <w:tabs>
          <w:tab w:val="num" w:pos="426"/>
        </w:tabs>
        <w:spacing w:before="240" w:after="240" w:line="240" w:lineRule="auto"/>
        <w:ind w:left="482" w:hanging="482"/>
        <w:jc w:val="both"/>
        <w:outlineLvl w:val="0"/>
        <w:rPr>
          <w:rFonts w:ascii="Times New Roman" w:eastAsia="Times New Roman" w:hAnsi="Times New Roman" w:cs="Times New Roman"/>
          <w:b/>
          <w:smallCaps/>
          <w:noProof/>
          <w:sz w:val="23"/>
          <w:szCs w:val="23"/>
          <w:lang w:eastAsia="en-GB"/>
        </w:rPr>
      </w:pPr>
      <w:r>
        <w:rPr>
          <w:rFonts w:ascii="Times New Roman" w:eastAsia="Times New Roman" w:hAnsi="Times New Roman" w:cs="Times New Roman"/>
          <w:b/>
          <w:smallCaps/>
          <w:noProof/>
          <w:sz w:val="23"/>
          <w:szCs w:val="23"/>
          <w:lang w:eastAsia="en-GB"/>
        </w:rPr>
        <w:t>3.</w:t>
      </w:r>
      <w:r>
        <w:rPr>
          <w:rFonts w:ascii="Times New Roman" w:eastAsia="Times New Roman" w:hAnsi="Times New Roman" w:cs="Times New Roman"/>
          <w:smallCaps/>
          <w:noProof/>
          <w:sz w:val="23"/>
          <w:szCs w:val="23"/>
          <w:lang w:eastAsia="en-GB"/>
        </w:rPr>
        <w:tab/>
      </w:r>
      <w:r>
        <w:rPr>
          <w:rFonts w:ascii="Times New Roman" w:eastAsia="Times New Roman" w:hAnsi="Times New Roman" w:cs="Times New Roman"/>
          <w:b/>
          <w:smallCaps/>
          <w:noProof/>
          <w:sz w:val="23"/>
          <w:szCs w:val="23"/>
          <w:lang w:eastAsia="en-GB"/>
        </w:rPr>
        <w:t xml:space="preserve">Future policy approach for the Eastern Partnership </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According to the consultation, there is a strong consensus that ‘20 deliverables for 2020’ is producing tangible results for society. It has made a difference in 3 out of 4 priority areas, namely </w:t>
      </w:r>
      <w:r>
        <w:rPr>
          <w:rFonts w:ascii="Times New Roman" w:eastAsia="Times New Roman" w:hAnsi="Times New Roman" w:cs="Times New Roman"/>
          <w:b/>
          <w:bCs/>
          <w:noProof/>
          <w:sz w:val="23"/>
          <w:szCs w:val="23"/>
          <w:lang w:eastAsia="en-GB"/>
        </w:rPr>
        <w:t>stronger economy</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bCs/>
          <w:noProof/>
          <w:sz w:val="23"/>
          <w:szCs w:val="23"/>
          <w:lang w:eastAsia="en-GB"/>
        </w:rPr>
        <w:t>stronger connectivity and stronger society</w:t>
      </w:r>
      <w:r>
        <w:rPr>
          <w:rFonts w:ascii="Times New Roman" w:eastAsia="Times New Roman" w:hAnsi="Times New Roman" w:cs="Times New Roman"/>
          <w:noProof/>
          <w:sz w:val="23"/>
          <w:szCs w:val="23"/>
          <w:lang w:eastAsia="en-GB"/>
        </w:rPr>
        <w:t xml:space="preserve">. On </w:t>
      </w:r>
      <w:r>
        <w:rPr>
          <w:rFonts w:ascii="Times New Roman" w:eastAsia="Times New Roman" w:hAnsi="Times New Roman" w:cs="Times New Roman"/>
          <w:b/>
          <w:bCs/>
          <w:noProof/>
          <w:sz w:val="23"/>
          <w:szCs w:val="23"/>
          <w:lang w:eastAsia="en-GB"/>
        </w:rPr>
        <w:t>stronger governance</w:t>
      </w:r>
      <w:r>
        <w:rPr>
          <w:rFonts w:ascii="Times New Roman" w:eastAsia="Times New Roman" w:hAnsi="Times New Roman" w:cs="Times New Roman"/>
          <w:noProof/>
          <w:sz w:val="23"/>
          <w:szCs w:val="23"/>
          <w:lang w:eastAsia="en-GB"/>
        </w:rPr>
        <w:t>, initial achievements include ‘one-stop-shops’ delivering efficient and accessible public services, and e-assets declarations systems in most partner countries.</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EU Member States, most partner countries and civil society stress the </w:t>
      </w:r>
      <w:r>
        <w:rPr>
          <w:rFonts w:ascii="Times New Roman" w:eastAsia="Times New Roman" w:hAnsi="Times New Roman" w:cs="Times New Roman"/>
          <w:b/>
          <w:bCs/>
          <w:noProof/>
          <w:sz w:val="23"/>
          <w:szCs w:val="23"/>
          <w:lang w:eastAsia="en-GB"/>
        </w:rPr>
        <w:t>need to significantly improve results in the governance area, notably rule of law, the fight against corruption and organised crime, and the role of an independent media and civil society</w:t>
      </w:r>
      <w:r>
        <w:rPr>
          <w:rFonts w:ascii="Times New Roman" w:eastAsia="Times New Roman" w:hAnsi="Times New Roman" w:cs="Times New Roman"/>
          <w:noProof/>
          <w:sz w:val="23"/>
          <w:szCs w:val="23"/>
          <w:lang w:eastAsia="en-GB"/>
        </w:rPr>
        <w:t xml:space="preserve">. Progress in governance is directly linked to sustainable economic development. </w:t>
      </w:r>
      <w:r>
        <w:rPr>
          <w:rFonts w:ascii="Times New Roman" w:eastAsia="Times New Roman" w:hAnsi="Times New Roman" w:cs="Times New Roman"/>
          <w:b/>
          <w:noProof/>
          <w:sz w:val="23"/>
          <w:szCs w:val="23"/>
          <w:lang w:eastAsia="en-GB"/>
        </w:rPr>
        <w:t>Legal certainty and functioning democratic institutions are key to attracting investment, supporting political stability and rule of law reforms, and fostering socioeconomic integration.</w:t>
      </w:r>
      <w:r>
        <w:rPr>
          <w:rFonts w:ascii="Times New Roman" w:eastAsia="Times New Roman" w:hAnsi="Times New Roman" w:cs="Times New Roman"/>
          <w:noProof/>
          <w:sz w:val="23"/>
          <w:szCs w:val="23"/>
          <w:lang w:eastAsia="en-GB"/>
        </w:rPr>
        <w:t xml:space="preserve"> The results-oriented agenda, supported by professionally independent, good quality </w:t>
      </w:r>
      <w:r>
        <w:rPr>
          <w:rFonts w:ascii="Times New Roman" w:eastAsia="Times New Roman" w:hAnsi="Times New Roman" w:cs="Times New Roman"/>
          <w:b/>
          <w:noProof/>
          <w:sz w:val="23"/>
          <w:szCs w:val="23"/>
          <w:lang w:eastAsia="en-GB"/>
        </w:rPr>
        <w:t>official statistics</w:t>
      </w:r>
      <w:r>
        <w:rPr>
          <w:rFonts w:ascii="Times New Roman" w:eastAsia="Times New Roman" w:hAnsi="Times New Roman" w:cs="Times New Roman"/>
          <w:noProof/>
          <w:sz w:val="23"/>
          <w:szCs w:val="23"/>
          <w:lang w:eastAsia="en-GB"/>
        </w:rPr>
        <w:t xml:space="preserve"> for monitoring progress and in support of evidence-based decision-making, will therefore be reinforced in the future policy.</w:t>
      </w:r>
    </w:p>
    <w:p>
      <w:pPr>
        <w:spacing w:after="240" w:line="240" w:lineRule="auto"/>
        <w:jc w:val="both"/>
        <w:rPr>
          <w:rFonts w:ascii="Times New Roman" w:eastAsia="Times New Roman" w:hAnsi="Times New Roman" w:cs="Times New Roman"/>
          <w:noProof/>
          <w:sz w:val="23"/>
          <w:szCs w:val="23"/>
          <w:lang w:eastAsia="en-GB"/>
        </w:rPr>
      </w:pPr>
      <w:r>
        <w:rPr>
          <w:rFonts w:ascii="Times New Roman" w:hAnsi="Times New Roman" w:cs="Times New Roman"/>
          <w:noProof/>
          <w:sz w:val="23"/>
          <w:szCs w:val="23"/>
        </w:rPr>
        <w:t xml:space="preserve">The </w:t>
      </w:r>
      <w:r>
        <w:rPr>
          <w:rFonts w:ascii="Times New Roman" w:eastAsia="Times New Roman" w:hAnsi="Times New Roman" w:cs="Times New Roman"/>
          <w:b/>
          <w:noProof/>
          <w:sz w:val="23"/>
          <w:szCs w:val="23"/>
          <w:lang w:eastAsia="en-GB"/>
        </w:rPr>
        <w:t>incentive-based approach</w:t>
      </w:r>
      <w:r>
        <w:rPr>
          <w:rFonts w:ascii="Times New Roman" w:eastAsia="Times New Roman" w:hAnsi="Times New Roman" w:cs="Times New Roman"/>
          <w:noProof/>
          <w:sz w:val="23"/>
          <w:szCs w:val="23"/>
          <w:lang w:eastAsia="en-GB"/>
        </w:rPr>
        <w:t xml:space="preserve"> needs </w:t>
      </w:r>
      <w:r>
        <w:rPr>
          <w:rFonts w:ascii="Times New Roman" w:hAnsi="Times New Roman" w:cs="Times New Roman"/>
          <w:noProof/>
          <w:sz w:val="23"/>
          <w:szCs w:val="23"/>
        </w:rPr>
        <w:t>clearer guidance on specific reform priorities, with objective, precise, detailed and verifiable benchmarks. Reform progress should lead to increased funding and investment. Serious or prolonged stagnation or even backsliding in reform implementation should lead to EU funding being adjusted downward, with the exception of support to civil society.</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The consultation demonstrated a keen desire by all the partner countries to </w:t>
      </w:r>
      <w:r>
        <w:rPr>
          <w:rFonts w:ascii="Times New Roman" w:eastAsia="Times New Roman" w:hAnsi="Times New Roman" w:cs="Times New Roman"/>
          <w:b/>
          <w:bCs/>
          <w:noProof/>
          <w:sz w:val="23"/>
          <w:szCs w:val="23"/>
          <w:lang w:eastAsia="en-GB"/>
        </w:rPr>
        <w:t>further</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noProof/>
          <w:sz w:val="23"/>
          <w:szCs w:val="23"/>
          <w:lang w:eastAsia="en-GB"/>
        </w:rPr>
        <w:t>tailor</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bCs/>
          <w:noProof/>
          <w:sz w:val="23"/>
          <w:szCs w:val="23"/>
          <w:lang w:eastAsia="en-GB"/>
        </w:rPr>
        <w:t>the partnership to the interests, ambitions and progress of each partner country</w:t>
      </w:r>
      <w:r>
        <w:rPr>
          <w:rFonts w:ascii="Times New Roman" w:eastAsia="Times New Roman" w:hAnsi="Times New Roman" w:cs="Times New Roman"/>
          <w:noProof/>
          <w:sz w:val="23"/>
          <w:szCs w:val="23"/>
          <w:lang w:eastAsia="en-GB"/>
        </w:rPr>
        <w:t>. Associated countries have strong expectations of participating in common initiatives on issues covered by the association agreements and deep and comprehensive free trade areas in order to reach their full potential.</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b/>
          <w:bCs/>
          <w:noProof/>
          <w:sz w:val="23"/>
          <w:szCs w:val="23"/>
          <w:lang w:eastAsia="en-GB"/>
        </w:rPr>
        <w:t>Bilateral cooperation</w:t>
      </w:r>
      <w:r>
        <w:rPr>
          <w:rFonts w:ascii="Times New Roman" w:eastAsia="Times New Roman" w:hAnsi="Times New Roman" w:cs="Times New Roman"/>
          <w:noProof/>
          <w:sz w:val="23"/>
          <w:szCs w:val="23"/>
          <w:lang w:eastAsia="en-GB"/>
        </w:rPr>
        <w:t xml:space="preserve"> remains </w:t>
      </w:r>
      <w:r>
        <w:rPr>
          <w:rFonts w:ascii="Times New Roman" w:eastAsia="Times New Roman" w:hAnsi="Times New Roman" w:cs="Times New Roman"/>
          <w:b/>
          <w:noProof/>
          <w:sz w:val="23"/>
          <w:szCs w:val="23"/>
          <w:lang w:eastAsia="en-GB"/>
        </w:rPr>
        <w:t xml:space="preserve">the </w:t>
      </w:r>
      <w:r>
        <w:rPr>
          <w:rFonts w:ascii="Times New Roman" w:eastAsia="Times New Roman" w:hAnsi="Times New Roman" w:cs="Times New Roman"/>
          <w:b/>
          <w:bCs/>
          <w:noProof/>
          <w:sz w:val="23"/>
          <w:szCs w:val="23"/>
          <w:lang w:eastAsia="en-GB"/>
        </w:rPr>
        <w:t>main way to ensure a tailor-made approach</w:t>
      </w:r>
      <w:r>
        <w:rPr>
          <w:rFonts w:ascii="Times New Roman" w:eastAsia="Times New Roman" w:hAnsi="Times New Roman" w:cs="Times New Roman"/>
          <w:noProof/>
          <w:sz w:val="23"/>
          <w:szCs w:val="23"/>
          <w:lang w:eastAsia="en-GB"/>
        </w:rPr>
        <w:t xml:space="preserve">. The implementation of bilateral agreements will be sped up and complemented with </w:t>
      </w:r>
      <w:r>
        <w:rPr>
          <w:rFonts w:ascii="Times New Roman" w:eastAsia="Times New Roman" w:hAnsi="Times New Roman" w:cs="Times New Roman"/>
          <w:b/>
          <w:bCs/>
          <w:noProof/>
          <w:sz w:val="23"/>
          <w:szCs w:val="23"/>
          <w:lang w:eastAsia="en-GB"/>
        </w:rPr>
        <w:t>deeper</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bCs/>
          <w:noProof/>
          <w:sz w:val="23"/>
          <w:szCs w:val="23"/>
          <w:lang w:eastAsia="en-GB"/>
        </w:rPr>
        <w:t>sectoral cooperation</w:t>
      </w:r>
      <w:r>
        <w:rPr>
          <w:rFonts w:ascii="Times New Roman" w:eastAsia="Times New Roman" w:hAnsi="Times New Roman" w:cs="Times New Roman"/>
          <w:noProof/>
          <w:sz w:val="23"/>
          <w:szCs w:val="23"/>
          <w:lang w:eastAsia="en-GB"/>
        </w:rPr>
        <w:t xml:space="preserve"> and </w:t>
      </w:r>
      <w:r>
        <w:rPr>
          <w:rFonts w:ascii="Times New Roman" w:eastAsia="Times New Roman" w:hAnsi="Times New Roman" w:cs="Times New Roman"/>
          <w:b/>
          <w:noProof/>
          <w:sz w:val="23"/>
          <w:szCs w:val="23"/>
          <w:lang w:eastAsia="en-GB"/>
        </w:rPr>
        <w:t>exchange between interested partner countries</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Cs/>
          <w:noProof/>
          <w:sz w:val="23"/>
          <w:szCs w:val="23"/>
          <w:lang w:eastAsia="en-GB"/>
        </w:rPr>
        <w:t>The EU will continue to provide support in bilateral, regional and multi-country fora, including targeted sectoral assistance, in</w:t>
      </w:r>
      <w:r>
        <w:rPr>
          <w:rFonts w:ascii="Times New Roman" w:eastAsia="Times New Roman" w:hAnsi="Times New Roman" w:cs="Times New Roman"/>
          <w:noProof/>
          <w:sz w:val="23"/>
          <w:szCs w:val="23"/>
          <w:lang w:eastAsia="en-GB"/>
        </w:rPr>
        <w:t xml:space="preserve"> line with the principles of inclusiveness and differentiation. In addition, the EaP will continue to be </w:t>
      </w:r>
      <w:r>
        <w:rPr>
          <w:rFonts w:ascii="Times New Roman" w:eastAsia="Times New Roman" w:hAnsi="Times New Roman" w:cs="Times New Roman"/>
          <w:b/>
          <w:noProof/>
          <w:sz w:val="23"/>
          <w:szCs w:val="23"/>
          <w:lang w:eastAsia="en-GB"/>
        </w:rPr>
        <w:t>flexible</w:t>
      </w:r>
      <w:r>
        <w:rPr>
          <w:rFonts w:ascii="Times New Roman" w:eastAsia="Times New Roman" w:hAnsi="Times New Roman" w:cs="Times New Roman"/>
          <w:noProof/>
          <w:sz w:val="23"/>
          <w:szCs w:val="23"/>
          <w:lang w:eastAsia="en-GB"/>
        </w:rPr>
        <w:t xml:space="preserve"> and </w:t>
      </w:r>
      <w:r>
        <w:rPr>
          <w:rFonts w:ascii="Times New Roman" w:eastAsia="Times New Roman" w:hAnsi="Times New Roman" w:cs="Times New Roman"/>
          <w:b/>
          <w:bCs/>
          <w:noProof/>
          <w:sz w:val="23"/>
          <w:szCs w:val="23"/>
          <w:lang w:eastAsia="en-GB"/>
        </w:rPr>
        <w:t>inclusive</w:t>
      </w:r>
      <w:r>
        <w:rPr>
          <w:rFonts w:ascii="Times New Roman" w:eastAsia="Times New Roman" w:hAnsi="Times New Roman" w:cs="Times New Roman"/>
          <w:noProof/>
          <w:sz w:val="23"/>
          <w:szCs w:val="23"/>
          <w:lang w:eastAsia="en-GB"/>
        </w:rPr>
        <w:t xml:space="preserve">, allowing countries to </w:t>
      </w:r>
      <w:r>
        <w:rPr>
          <w:rFonts w:ascii="Times New Roman" w:eastAsia="Times New Roman" w:hAnsi="Times New Roman" w:cs="Times New Roman"/>
          <w:b/>
          <w:bCs/>
          <w:noProof/>
          <w:sz w:val="23"/>
          <w:szCs w:val="23"/>
          <w:lang w:eastAsia="en-GB"/>
        </w:rPr>
        <w:t>tackle common and global challenges jointly</w:t>
      </w:r>
      <w:r>
        <w:rPr>
          <w:rFonts w:ascii="Times New Roman" w:eastAsia="Times New Roman" w:hAnsi="Times New Roman" w:cs="Times New Roman"/>
          <w:noProof/>
          <w:sz w:val="23"/>
          <w:szCs w:val="23"/>
          <w:lang w:eastAsia="en-GB"/>
        </w:rPr>
        <w:t xml:space="preserve"> in a wide range of areas, fostering </w:t>
      </w:r>
      <w:r>
        <w:rPr>
          <w:rFonts w:ascii="Times New Roman" w:eastAsia="Times New Roman" w:hAnsi="Times New Roman" w:cs="Times New Roman"/>
          <w:b/>
          <w:noProof/>
          <w:sz w:val="23"/>
          <w:szCs w:val="23"/>
          <w:lang w:eastAsia="en-GB"/>
        </w:rPr>
        <w:t>regional integration</w:t>
      </w:r>
      <w:r>
        <w:rPr>
          <w:rFonts w:ascii="Times New Roman" w:eastAsia="Times New Roman" w:hAnsi="Times New Roman" w:cs="Times New Roman"/>
          <w:noProof/>
          <w:sz w:val="23"/>
          <w:szCs w:val="23"/>
          <w:lang w:eastAsia="en-GB"/>
        </w:rPr>
        <w:t xml:space="preserve">. </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bCs/>
          <w:noProof/>
          <w:sz w:val="23"/>
          <w:szCs w:val="23"/>
          <w:lang w:eastAsia="en-GB"/>
        </w:rPr>
        <w:t>Building on the Partnership’s key achievements,</w:t>
      </w:r>
      <w:r>
        <w:rPr>
          <w:rFonts w:ascii="Times New Roman" w:eastAsia="Times New Roman" w:hAnsi="Times New Roman" w:cs="Times New Roman"/>
          <w:noProof/>
          <w:sz w:val="23"/>
          <w:szCs w:val="23"/>
          <w:lang w:eastAsia="en-GB"/>
        </w:rPr>
        <w:t xml:space="preserve"> and recognising that </w:t>
      </w:r>
      <w:r>
        <w:rPr>
          <w:rFonts w:ascii="Times New Roman" w:eastAsia="Times New Roman" w:hAnsi="Times New Roman" w:cs="Times New Roman"/>
          <w:b/>
          <w:noProof/>
          <w:sz w:val="23"/>
          <w:szCs w:val="23"/>
          <w:lang w:eastAsia="en-GB"/>
        </w:rPr>
        <w:t>strengthening resilience is an overriding</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noProof/>
          <w:sz w:val="23"/>
          <w:szCs w:val="23"/>
          <w:lang w:eastAsia="en-GB"/>
        </w:rPr>
        <w:t>policy framework</w:t>
      </w:r>
      <w:r>
        <w:rPr>
          <w:rFonts w:ascii="Times New Roman" w:eastAsia="Times New Roman" w:hAnsi="Times New Roman" w:cs="Times New Roman"/>
          <w:noProof/>
          <w:sz w:val="23"/>
          <w:szCs w:val="23"/>
          <w:lang w:eastAsia="en-GB"/>
        </w:rPr>
        <w:t>, as outlined in the Strategic Approach to Resilience in the EU’s external action</w:t>
      </w:r>
      <w:r>
        <w:rPr>
          <w:rFonts w:ascii="Times New Roman" w:eastAsia="Times New Roman" w:hAnsi="Times New Roman" w:cs="Times New Roman"/>
          <w:noProof/>
          <w:sz w:val="23"/>
          <w:szCs w:val="23"/>
          <w:vertAlign w:val="superscript"/>
          <w:lang w:eastAsia="en-GB"/>
        </w:rPr>
        <w:footnoteReference w:id="6"/>
      </w:r>
      <w:r>
        <w:rPr>
          <w:rFonts w:ascii="Times New Roman" w:eastAsia="Times New Roman" w:hAnsi="Times New Roman" w:cs="Times New Roman"/>
          <w:noProof/>
          <w:sz w:val="23"/>
          <w:szCs w:val="23"/>
          <w:lang w:eastAsia="en-GB"/>
        </w:rPr>
        <w:t xml:space="preserve">, the EU, its Member States and the partner countries will </w:t>
      </w:r>
      <w:r>
        <w:rPr>
          <w:rFonts w:ascii="Times New Roman" w:eastAsia="Times New Roman" w:hAnsi="Times New Roman" w:cs="Times New Roman"/>
          <w:b/>
          <w:bCs/>
          <w:noProof/>
          <w:sz w:val="23"/>
          <w:szCs w:val="23"/>
          <w:lang w:eastAsia="en-GB"/>
        </w:rPr>
        <w:t>work together on the following long-term Eastern Partnership policy objectives beyond 2020</w:t>
      </w:r>
      <w:r>
        <w:rPr>
          <w:rFonts w:ascii="Times New Roman" w:eastAsia="Times New Roman" w:hAnsi="Times New Roman" w:cs="Times New Roman"/>
          <w:bCs/>
          <w:noProof/>
          <w:sz w:val="23"/>
          <w:szCs w:val="23"/>
          <w:lang w:eastAsia="en-GB"/>
        </w:rPr>
        <w:t>:</w:t>
      </w:r>
    </w:p>
    <w:p>
      <w:pPr>
        <w:pStyle w:val="ListParagraph"/>
        <w:numPr>
          <w:ilvl w:val="0"/>
          <w:numId w:val="5"/>
        </w:numPr>
        <w:spacing w:after="240" w:line="240" w:lineRule="auto"/>
        <w:jc w:val="both"/>
        <w:rPr>
          <w:rFonts w:ascii="Times New Roman" w:eastAsia="Times New Roman" w:hAnsi="Times New Roman" w:cs="Times New Roman"/>
          <w:noProof/>
          <w:sz w:val="23"/>
          <w:szCs w:val="23"/>
        </w:rPr>
      </w:pPr>
      <w:r>
        <w:rPr>
          <w:rFonts w:ascii="Times New Roman" w:eastAsia="Times New Roman" w:hAnsi="Times New Roman" w:cs="Times New Roman"/>
          <w:noProof/>
          <w:sz w:val="23"/>
          <w:szCs w:val="23"/>
        </w:rPr>
        <w:t>together for resilient, sustainable and integrated economies;</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eastAsia="Times New Roman" w:hAnsi="Times New Roman" w:cs="Times New Roman"/>
          <w:noProof/>
          <w:sz w:val="23"/>
          <w:szCs w:val="23"/>
        </w:rPr>
        <w:t xml:space="preserve">together for accountable institutions, the rule of law and security; </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eastAsia="Times New Roman" w:hAnsi="Times New Roman" w:cs="Times New Roman"/>
          <w:noProof/>
          <w:sz w:val="23"/>
          <w:szCs w:val="23"/>
        </w:rPr>
        <w:t xml:space="preserve">together towards environmental and climate resilience; </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eastAsia="Times New Roman" w:hAnsi="Times New Roman" w:cs="Times New Roman"/>
          <w:noProof/>
          <w:sz w:val="23"/>
          <w:szCs w:val="23"/>
        </w:rPr>
        <w:t>together for a resilient digital transformation; and</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eastAsia="Times New Roman" w:hAnsi="Times New Roman" w:cs="Times New Roman"/>
          <w:noProof/>
          <w:sz w:val="23"/>
          <w:szCs w:val="23"/>
        </w:rPr>
        <w:t>together for resilient, fair and inclusive societies.</w:t>
      </w:r>
    </w:p>
    <w:p>
      <w:pPr>
        <w:spacing w:after="240" w:line="240" w:lineRule="auto"/>
        <w:jc w:val="both"/>
        <w:rPr>
          <w:rFonts w:ascii="Times New Roman" w:hAnsi="Times New Roman"/>
          <w:noProof/>
          <w:sz w:val="23"/>
          <w:szCs w:val="23"/>
        </w:rPr>
      </w:pPr>
      <w:r>
        <w:rPr>
          <w:rFonts w:ascii="Times New Roman" w:hAnsi="Times New Roman"/>
          <w:noProof/>
          <w:sz w:val="23"/>
          <w:szCs w:val="23"/>
        </w:rPr>
        <w:t>The European Commission has called for the EU and its partners, in particular from across the European continent, to address common challenges and to work hand in hand on new policy priorities in the future to support the ecological transformation, the digital transformation and to deliver on economies that work for all, in particular more job opportunities for youth and to promote gender equality. These issues will be mainstreamed into all policy objectives.</w:t>
      </w:r>
    </w:p>
    <w:p>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3"/>
          <w:szCs w:val="23"/>
          <w:lang w:eastAsia="en-GB"/>
        </w:rPr>
      </w:pPr>
      <w:r>
        <w:rPr>
          <w:rFonts w:ascii="Times New Roman" w:eastAsia="Times New Roman" w:hAnsi="Times New Roman" w:cs="Times New Roman"/>
          <w:b/>
          <w:smallCaps/>
          <w:noProof/>
          <w:sz w:val="23"/>
          <w:szCs w:val="23"/>
          <w:lang w:eastAsia="en-GB"/>
        </w:rPr>
        <w:t>4.</w:t>
      </w:r>
      <w:r>
        <w:rPr>
          <w:rFonts w:ascii="Times New Roman" w:eastAsia="Times New Roman" w:hAnsi="Times New Roman" w:cs="Times New Roman"/>
          <w:b/>
          <w:smallCaps/>
          <w:noProof/>
          <w:sz w:val="23"/>
          <w:szCs w:val="23"/>
          <w:lang w:eastAsia="en-GB"/>
        </w:rPr>
        <w:tab/>
        <w:t>Main policy objectives of the future Eastern Partnership</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lang w:eastAsia="en-GB"/>
        </w:rPr>
      </w:pPr>
      <w:r>
        <w:rPr>
          <w:rFonts w:ascii="Times New Roman" w:eastAsia="Times New Roman" w:hAnsi="Times New Roman" w:cs="Times New Roman"/>
          <w:b/>
          <w:noProof/>
          <w:sz w:val="23"/>
          <w:szCs w:val="23"/>
          <w:lang w:eastAsia="en-GB"/>
        </w:rPr>
        <w:t>4.1 Together for resilient, sustainable and integrated economies</w:t>
      </w:r>
    </w:p>
    <w:p>
      <w:pPr>
        <w:spacing w:after="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Strengthening the economy is key to meeting citizens’ expectations, reducing inequality, and making partner countries places where people want to build their futures. Better-integrated economies that are inclusive, sustainable and fair, deliver for all. The aim is to create decent jobs and economic opportunities, ensuring prosperity for people living in the partner countries.</w:t>
      </w:r>
    </w:p>
    <w:p>
      <w:pPr>
        <w:spacing w:before="240"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This will entail </w:t>
      </w:r>
      <w:r>
        <w:rPr>
          <w:rFonts w:ascii="Times New Roman" w:eastAsia="Times New Roman" w:hAnsi="Times New Roman" w:cs="Times New Roman"/>
          <w:b/>
          <w:noProof/>
          <w:sz w:val="23"/>
          <w:szCs w:val="23"/>
          <w:lang w:eastAsia="en-GB"/>
        </w:rPr>
        <w:t>increased trade and further regional and bilateral integration of the economies of partner countries and the EU, together with cooperation for progressive decarbonisation towards climate neutrality, embracing the opportunities from the twin ecological and digital transformation.</w:t>
      </w:r>
      <w:r>
        <w:rPr>
          <w:rFonts w:ascii="Times New Roman" w:eastAsia="Times New Roman" w:hAnsi="Times New Roman" w:cs="Times New Roman"/>
          <w:noProof/>
          <w:sz w:val="23"/>
          <w:szCs w:val="23"/>
          <w:lang w:eastAsia="en-GB"/>
        </w:rPr>
        <w:t xml:space="preserve">  Building on the existing Association Agreements, and DCFTAs and other trade agreements, the EU, jointly with partner countries, will focus on supporting their full implementation for maximum benefits. In line with the EU new growth strategy, the European Green Deal and the Digital Strategy, the EU and partner countries will further support the modernisation of EaP economies, making them more competitive and innovative. In addition, the EU and the partner countries will invest in physical connectivity and infrastructure (in transport, energy and digital) as underpinning conditions for economic development. </w:t>
      </w:r>
      <w:r>
        <w:rPr>
          <w:rFonts w:ascii="Times New Roman" w:hAnsi="Times New Roman" w:cs="Times New Roman"/>
          <w:noProof/>
          <w:sz w:val="23"/>
          <w:szCs w:val="23"/>
        </w:rPr>
        <w:t xml:space="preserve">In cases of economic crisis, the EU stands ready to help partner countries safeguard macroeconomic stability and incentivise structural reforms through EU Macro-Financial Assistance. </w:t>
      </w:r>
      <w:r>
        <w:rPr>
          <w:rFonts w:ascii="Times New Roman" w:eastAsia="Times New Roman" w:hAnsi="Times New Roman" w:cs="Times New Roman"/>
          <w:noProof/>
          <w:sz w:val="23"/>
          <w:szCs w:val="23"/>
          <w:lang w:eastAsia="en-GB"/>
        </w:rPr>
        <w:t>Supporting structural reforms, improving access to finance, and supporting SMEs will foster growth and investment. Investing in people, particularly the young, and better connecting education, research and innovation with private sector needs will prepare the partner countries to face tomorrow’s challenges.</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4.1.1 Trade and economic integration</w:t>
      </w:r>
    </w:p>
    <w:p>
      <w:pPr>
        <w:spacing w:after="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During the last decade, EU-EaP </w:t>
      </w:r>
      <w:r>
        <w:rPr>
          <w:rFonts w:ascii="Times New Roman" w:eastAsia="Times New Roman" w:hAnsi="Times New Roman" w:cs="Times New Roman"/>
          <w:b/>
          <w:noProof/>
          <w:sz w:val="23"/>
          <w:szCs w:val="23"/>
          <w:lang w:eastAsia="en-GB"/>
        </w:rPr>
        <w:t>trade has nearly doubled</w:t>
      </w:r>
      <w:r>
        <w:rPr>
          <w:rFonts w:ascii="Times New Roman" w:eastAsia="Times New Roman" w:hAnsi="Times New Roman" w:cs="Times New Roman"/>
          <w:noProof/>
          <w:sz w:val="23"/>
          <w:szCs w:val="23"/>
          <w:lang w:eastAsia="en-GB"/>
        </w:rPr>
        <w:t xml:space="preserve"> turning the partner countries into the EU’s 10</w:t>
      </w:r>
      <w:r>
        <w:rPr>
          <w:rFonts w:ascii="Times New Roman" w:eastAsia="Times New Roman" w:hAnsi="Times New Roman" w:cs="Times New Roman"/>
          <w:noProof/>
          <w:sz w:val="23"/>
          <w:szCs w:val="23"/>
          <w:vertAlign w:val="superscript"/>
          <w:lang w:eastAsia="en-GB"/>
        </w:rPr>
        <w:t>th</w:t>
      </w:r>
      <w:r>
        <w:rPr>
          <w:rFonts w:ascii="Times New Roman" w:eastAsia="Times New Roman" w:hAnsi="Times New Roman" w:cs="Times New Roman"/>
          <w:noProof/>
          <w:sz w:val="23"/>
          <w:szCs w:val="23"/>
          <w:lang w:eastAsia="en-GB"/>
        </w:rPr>
        <w:t xml:space="preserve"> largest trading partner.</w:t>
      </w:r>
      <w:r>
        <w:rPr>
          <w:noProof/>
        </w:rPr>
        <w:t xml:space="preserve"> </w:t>
      </w:r>
      <w:r>
        <w:rPr>
          <w:rFonts w:ascii="Times New Roman" w:eastAsia="Times New Roman" w:hAnsi="Times New Roman" w:cs="Times New Roman"/>
          <w:noProof/>
          <w:sz w:val="23"/>
          <w:szCs w:val="23"/>
          <w:lang w:eastAsia="en-GB"/>
        </w:rPr>
        <w:t xml:space="preserve">The </w:t>
      </w:r>
      <w:r>
        <w:rPr>
          <w:rFonts w:ascii="Times New Roman" w:eastAsia="Times New Roman" w:hAnsi="Times New Roman" w:cs="Times New Roman"/>
          <w:b/>
          <w:noProof/>
          <w:sz w:val="23"/>
          <w:szCs w:val="23"/>
          <w:lang w:eastAsia="en-GB"/>
        </w:rPr>
        <w:t>EU is the first trading block for four partner countries</w:t>
      </w:r>
      <w:r>
        <w:rPr>
          <w:rFonts w:ascii="Times New Roman" w:eastAsia="Times New Roman" w:hAnsi="Times New Roman" w:cs="Times New Roman"/>
          <w:noProof/>
          <w:sz w:val="23"/>
          <w:szCs w:val="23"/>
          <w:lang w:eastAsia="en-GB"/>
        </w:rPr>
        <w:t xml:space="preserve"> (Azerbaijan, Georgia, Moldova and Ukraine), while for Armenia and Belarus the EU is the second biggest trading partner. These trade relations have also led to diversification in exports of goods from partner countries, and to their better integration in global value chains. Furthermore, the number of companies exporting to the EU from Georgia has increased by 46%, from Moldova by 48% and from Ukraine by 24%. This clearly reflects the mutual benefits of EaP. </w:t>
      </w:r>
    </w:p>
    <w:p>
      <w:pPr>
        <w:spacing w:after="0" w:line="240" w:lineRule="auto"/>
        <w:jc w:val="both"/>
        <w:rPr>
          <w:rFonts w:ascii="Times New Roman" w:eastAsia="Times New Roman" w:hAnsi="Times New Roman" w:cs="Times New Roman"/>
          <w:noProof/>
          <w:sz w:val="23"/>
          <w:szCs w:val="23"/>
          <w:lang w:eastAsia="en-GB"/>
        </w:rPr>
      </w:pPr>
    </w:p>
    <w:p>
      <w:pPr>
        <w:spacing w:after="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The EU proposes to further </w:t>
      </w:r>
      <w:r>
        <w:rPr>
          <w:rFonts w:ascii="Times New Roman" w:eastAsia="Times New Roman" w:hAnsi="Times New Roman" w:cs="Times New Roman"/>
          <w:b/>
          <w:bCs/>
          <w:noProof/>
          <w:sz w:val="23"/>
          <w:szCs w:val="23"/>
          <w:lang w:eastAsia="en-GB"/>
        </w:rPr>
        <w:t>deepen the economic integration with and among the partner countries</w:t>
      </w:r>
      <w:r>
        <w:rPr>
          <w:rFonts w:ascii="Times New Roman" w:eastAsia="Times New Roman" w:hAnsi="Times New Roman" w:cs="Times New Roman"/>
          <w:noProof/>
          <w:sz w:val="23"/>
          <w:szCs w:val="23"/>
          <w:lang w:eastAsia="en-GB"/>
        </w:rPr>
        <w:t xml:space="preserve">, particularly that of the three associated countries through continued support for the full implementation of the current DCFTAs. </w:t>
      </w:r>
      <w:r>
        <w:rPr>
          <w:rFonts w:ascii="Times New Roman" w:eastAsia="Times New Roman" w:hAnsi="Times New Roman" w:cs="Times New Roman"/>
          <w:noProof/>
          <w:sz w:val="23"/>
          <w:szCs w:val="23"/>
          <w:lang w:val="en-US" w:eastAsia="en-GB"/>
        </w:rPr>
        <w:t>Bilateral agreements</w:t>
      </w:r>
      <w:r>
        <w:rPr>
          <w:rFonts w:ascii="Times New Roman" w:eastAsia="Times New Roman" w:hAnsi="Times New Roman" w:cs="Times New Roman"/>
          <w:noProof/>
          <w:sz w:val="23"/>
          <w:szCs w:val="23"/>
          <w:lang w:eastAsia="en-GB"/>
        </w:rPr>
        <w:t>, in particular DCFTAs, offer growth opportunities for the private sector, as well as higher levels of labour protection, better working conditions and citizens’ access to compliant and safe products. These benefits remain to be fully reaped pending the on-going and future reforms resulting from DCFTAs commitments. This process entails bringing legislation in line with EU rules, building the capacity to implement the agreed reforms and facilitating trade. The EU will also encourage enhanced cooperation with non-DCFTA countries. Sectoral trade facilitation arrangements of common interest should take economic integration a step further, by involving all partner countries. In this regard, as one example, the EU will continue to work with the partner countries, where possible, towards agreements on mutual recognition of Authorised Economic Operators.</w:t>
      </w:r>
    </w:p>
    <w:p>
      <w:pPr>
        <w:spacing w:after="0" w:line="240" w:lineRule="auto"/>
        <w:jc w:val="both"/>
        <w:rPr>
          <w:rFonts w:ascii="Times New Roman" w:eastAsia="Times New Roman" w:hAnsi="Times New Roman" w:cs="Times New Roman"/>
          <w:noProof/>
          <w:sz w:val="23"/>
          <w:szCs w:val="23"/>
          <w:lang w:eastAsia="en-GB"/>
        </w:rPr>
      </w:pPr>
    </w:p>
    <w:p>
      <w:pPr>
        <w:spacing w:after="0" w:line="240" w:lineRule="auto"/>
        <w:jc w:val="both"/>
        <w:rPr>
          <w:rFonts w:ascii="Times New Roman" w:eastAsia="Times New Roman" w:hAnsi="Times New Roman" w:cs="Times New Roman"/>
          <w:noProof/>
          <w:sz w:val="23"/>
          <w:szCs w:val="23"/>
          <w:lang w:val="en-US" w:eastAsia="en-GB"/>
        </w:rPr>
      </w:pPr>
      <w:r>
        <w:rPr>
          <w:rFonts w:ascii="Times New Roman" w:eastAsia="Times New Roman" w:hAnsi="Times New Roman" w:cs="Times New Roman"/>
          <w:noProof/>
          <w:sz w:val="23"/>
          <w:szCs w:val="23"/>
          <w:lang w:val="en-US" w:eastAsia="en-GB"/>
        </w:rPr>
        <w:t xml:space="preserve">The EU will also seek to </w:t>
      </w:r>
      <w:r>
        <w:rPr>
          <w:rFonts w:ascii="Times New Roman" w:eastAsia="Times New Roman" w:hAnsi="Times New Roman" w:cs="Times New Roman"/>
          <w:b/>
          <w:bCs/>
          <w:noProof/>
          <w:sz w:val="23"/>
          <w:szCs w:val="23"/>
          <w:lang w:val="en-US" w:eastAsia="en-GB"/>
        </w:rPr>
        <w:t>collaborate and build alliances with the partner countries</w:t>
      </w:r>
      <w:r>
        <w:rPr>
          <w:rFonts w:ascii="Times New Roman" w:eastAsia="Times New Roman" w:hAnsi="Times New Roman" w:cs="Times New Roman"/>
          <w:noProof/>
          <w:sz w:val="23"/>
          <w:szCs w:val="23"/>
          <w:lang w:val="en-US" w:eastAsia="en-GB"/>
        </w:rPr>
        <w:t xml:space="preserve"> on pertinent wider, global economic issues in various multilateral fora including supporting the accession to the World Trade Organisation for current non-members.</w:t>
      </w:r>
    </w:p>
    <w:p>
      <w:pPr>
        <w:spacing w:after="0" w:line="240" w:lineRule="auto"/>
        <w:jc w:val="both"/>
        <w:rPr>
          <w:rFonts w:ascii="Times New Roman" w:eastAsia="Times New Roman" w:hAnsi="Times New Roman" w:cs="Times New Roman"/>
          <w:noProof/>
          <w:sz w:val="23"/>
          <w:szCs w:val="23"/>
          <w:lang w:val="en-US" w:eastAsia="en-GB"/>
        </w:rPr>
      </w:pPr>
    </w:p>
    <w:p>
      <w:pPr>
        <w:spacing w:after="0" w:line="240" w:lineRule="auto"/>
        <w:jc w:val="both"/>
        <w:rPr>
          <w:rFonts w:ascii="Times New Roman" w:eastAsia="Times New Roman" w:hAnsi="Times New Roman" w:cs="Times New Roman"/>
          <w:iCs/>
          <w:noProof/>
          <w:sz w:val="23"/>
          <w:szCs w:val="23"/>
          <w:lang w:eastAsia="en-GB"/>
        </w:rPr>
      </w:pPr>
      <w:r>
        <w:rPr>
          <w:rFonts w:ascii="Times New Roman" w:eastAsia="Times New Roman" w:hAnsi="Times New Roman" w:cs="Times New Roman"/>
          <w:iCs/>
          <w:noProof/>
          <w:sz w:val="23"/>
          <w:szCs w:val="23"/>
          <w:lang w:eastAsia="en-GB"/>
        </w:rPr>
        <w:t>The EU will support the green transition in the region. It will aim at rules based, undistorted and fair trade and investment in clean technologies, green goods and services and related strategic raw materials. The EU will work with the partner countries to ensure resource security and to deliver simultaneously on the Paris Agreement and on the Sustainable Development Goals.</w:t>
      </w:r>
    </w:p>
    <w:p>
      <w:pPr>
        <w:spacing w:before="240" w:after="240" w:line="240" w:lineRule="auto"/>
        <w:jc w:val="both"/>
        <w:rPr>
          <w:rFonts w:ascii="Times New Roman" w:eastAsia="Times New Roman" w:hAnsi="Times New Roman" w:cs="Times New Roman"/>
          <w:b/>
          <w:bCs/>
          <w:noProof/>
          <w:sz w:val="23"/>
          <w:szCs w:val="23"/>
          <w:lang w:eastAsia="en-GB"/>
        </w:rPr>
      </w:pPr>
      <w:r>
        <w:rPr>
          <w:rFonts w:ascii="Times New Roman" w:eastAsia="Times New Roman" w:hAnsi="Times New Roman" w:cs="Times New Roman"/>
          <w:noProof/>
          <w:sz w:val="23"/>
          <w:szCs w:val="23"/>
          <w:lang w:eastAsia="en-GB"/>
        </w:rPr>
        <w:t xml:space="preserve">For associated countries, phased market access liberalisation continues. In addition, selective and gradual </w:t>
      </w:r>
      <w:r>
        <w:rPr>
          <w:rFonts w:ascii="Times New Roman" w:eastAsia="Times New Roman" w:hAnsi="Times New Roman" w:cs="Times New Roman"/>
          <w:b/>
          <w:noProof/>
          <w:sz w:val="23"/>
          <w:szCs w:val="23"/>
          <w:lang w:eastAsia="en-GB"/>
        </w:rPr>
        <w:t>economic integration</w:t>
      </w:r>
      <w:r>
        <w:rPr>
          <w:rFonts w:ascii="Times New Roman" w:eastAsia="Times New Roman" w:hAnsi="Times New Roman" w:cs="Times New Roman"/>
          <w:noProof/>
          <w:sz w:val="23"/>
          <w:szCs w:val="23"/>
          <w:lang w:eastAsia="en-GB"/>
        </w:rPr>
        <w:t xml:space="preserve"> of these countries into the EU’s internal market is envisaged in the DCFTAs. This is conditional on regulatory convergence with, and effective implementation by these countries of, the EU </w:t>
      </w:r>
      <w:r>
        <w:rPr>
          <w:rFonts w:ascii="Times New Roman" w:eastAsia="Times New Roman" w:hAnsi="Times New Roman" w:cs="Times New Roman"/>
          <w:i/>
          <w:noProof/>
          <w:sz w:val="23"/>
          <w:szCs w:val="23"/>
          <w:lang w:eastAsia="en-GB"/>
        </w:rPr>
        <w:t>acquis</w:t>
      </w:r>
      <w:r>
        <w:rPr>
          <w:rFonts w:ascii="Times New Roman" w:eastAsia="Times New Roman" w:hAnsi="Times New Roman" w:cs="Times New Roman"/>
          <w:noProof/>
          <w:sz w:val="23"/>
          <w:szCs w:val="23"/>
          <w:lang w:eastAsia="en-GB"/>
        </w:rPr>
        <w:t xml:space="preserve"> in specified areas (public procurement, technical barriers to trade, market surveillance, sanitary and phytosanitary measures, customs services, and tax good governance standards).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4.1.2 Investment and access to finance</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During the last decade, over </w:t>
      </w:r>
      <w:r>
        <w:rPr>
          <w:rFonts w:ascii="Times New Roman" w:eastAsia="Times New Roman" w:hAnsi="Times New Roman" w:cs="Times New Roman"/>
          <w:b/>
          <w:noProof/>
          <w:sz w:val="23"/>
          <w:szCs w:val="23"/>
          <w:lang w:eastAsia="en-GB"/>
        </w:rPr>
        <w:t xml:space="preserve">125,000 SMEs </w:t>
      </w:r>
      <w:r>
        <w:rPr>
          <w:rFonts w:ascii="Times New Roman" w:eastAsia="Times New Roman" w:hAnsi="Times New Roman" w:cs="Times New Roman"/>
          <w:noProof/>
          <w:sz w:val="23"/>
          <w:szCs w:val="23"/>
          <w:lang w:eastAsia="en-GB"/>
        </w:rPr>
        <w:t xml:space="preserve">directly benefited from EU funding (mostly in local currencies) creating or sustaining </w:t>
      </w:r>
      <w:r>
        <w:rPr>
          <w:rFonts w:ascii="Times New Roman" w:eastAsia="Times New Roman" w:hAnsi="Times New Roman" w:cs="Times New Roman"/>
          <w:b/>
          <w:noProof/>
          <w:sz w:val="23"/>
          <w:szCs w:val="23"/>
          <w:lang w:eastAsia="en-GB"/>
        </w:rPr>
        <w:t>more than 250,000 jobs</w:t>
      </w:r>
      <w:r>
        <w:rPr>
          <w:rFonts w:ascii="Times New Roman" w:eastAsia="Times New Roman" w:hAnsi="Times New Roman" w:cs="Times New Roman"/>
          <w:noProof/>
          <w:sz w:val="23"/>
          <w:szCs w:val="23"/>
          <w:lang w:eastAsia="en-GB"/>
        </w:rPr>
        <w:t xml:space="preserve">. Better use of blending and guarantees has maximised the impact, </w:t>
      </w:r>
      <w:r>
        <w:rPr>
          <w:rFonts w:ascii="Times New Roman" w:eastAsia="Times New Roman" w:hAnsi="Times New Roman" w:cs="Times New Roman"/>
          <w:b/>
          <w:noProof/>
          <w:sz w:val="23"/>
          <w:szCs w:val="23"/>
          <w:lang w:eastAsia="en-GB"/>
        </w:rPr>
        <w:t>leveraging 11 billion euros in investment since 2009</w:t>
      </w:r>
      <w:r>
        <w:rPr>
          <w:rFonts w:ascii="Times New Roman" w:eastAsia="Times New Roman" w:hAnsi="Times New Roman" w:cs="Times New Roman"/>
          <w:noProof/>
          <w:sz w:val="23"/>
          <w:szCs w:val="23"/>
          <w:lang w:eastAsia="en-GB"/>
        </w:rPr>
        <w:t>.</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b/>
          <w:bCs/>
          <w:noProof/>
          <w:sz w:val="23"/>
          <w:szCs w:val="23"/>
          <w:lang w:eastAsia="en-GB"/>
        </w:rPr>
        <w:t>Structural reforms</w:t>
      </w:r>
      <w:r>
        <w:rPr>
          <w:rFonts w:ascii="Times New Roman" w:eastAsia="Times New Roman" w:hAnsi="Times New Roman" w:cs="Times New Roman"/>
          <w:noProof/>
          <w:sz w:val="23"/>
          <w:szCs w:val="23"/>
          <w:lang w:eastAsia="en-GB"/>
        </w:rPr>
        <w:t xml:space="preserve"> are key to supporting economic development, improving economic governance, attracting foreign direct investment and increasing economic resilience. </w:t>
      </w:r>
      <w:r>
        <w:rPr>
          <w:rFonts w:ascii="Times New Roman" w:eastAsia="Times New Roman" w:hAnsi="Times New Roman" w:cs="Times New Roman"/>
          <w:iCs/>
          <w:noProof/>
          <w:sz w:val="23"/>
          <w:szCs w:val="23"/>
          <w:lang w:eastAsia="en-GB"/>
        </w:rPr>
        <w:t>Trade and investment need favourable conditions for sustainable economic development</w:t>
      </w:r>
      <w:r>
        <w:rPr>
          <w:rFonts w:ascii="Times New Roman" w:eastAsia="Times New Roman" w:hAnsi="Times New Roman" w:cs="Times New Roman"/>
          <w:noProof/>
          <w:sz w:val="23"/>
          <w:szCs w:val="23"/>
          <w:lang w:eastAsia="en-GB"/>
        </w:rPr>
        <w:t xml:space="preserve">. The business and investment environment must be simple, transparent and reliable. This requires efforts to ensure a level playing field, improve the labour market and reduce informal work, improve economic governance, and build on rule of law reforms, including prevention of corruption. Economic operators must be given a clear perspective of the ecological transition underway. The EU will continue to strengthen the partner countries’ key reforms, including through the </w:t>
      </w:r>
      <w:r>
        <w:rPr>
          <w:rFonts w:ascii="Times New Roman" w:eastAsia="Times New Roman" w:hAnsi="Times New Roman" w:cs="Times New Roman"/>
          <w:b/>
          <w:noProof/>
          <w:sz w:val="23"/>
          <w:szCs w:val="23"/>
          <w:lang w:eastAsia="en-GB"/>
        </w:rPr>
        <w:t>External Investment Plan</w:t>
      </w:r>
      <w:r>
        <w:rPr>
          <w:rStyle w:val="FootnoteReference"/>
          <w:rFonts w:ascii="Times New Roman" w:eastAsia="Times New Roman" w:hAnsi="Times New Roman" w:cs="Times New Roman"/>
          <w:b/>
          <w:noProof/>
          <w:sz w:val="23"/>
          <w:szCs w:val="23"/>
          <w:lang w:eastAsia="en-GB"/>
        </w:rPr>
        <w:footnoteReference w:id="7"/>
      </w:r>
      <w:r>
        <w:rPr>
          <w:rFonts w:ascii="Times New Roman" w:eastAsia="Times New Roman" w:hAnsi="Times New Roman" w:cs="Times New Roman"/>
          <w:noProof/>
          <w:sz w:val="23"/>
          <w:szCs w:val="23"/>
          <w:lang w:eastAsia="en-GB"/>
        </w:rPr>
        <w:t xml:space="preserve"> and notably the </w:t>
      </w:r>
      <w:r>
        <w:rPr>
          <w:rFonts w:ascii="Times New Roman" w:eastAsia="Times New Roman" w:hAnsi="Times New Roman" w:cs="Times New Roman"/>
          <w:b/>
          <w:noProof/>
          <w:sz w:val="23"/>
          <w:szCs w:val="23"/>
          <w:lang w:eastAsia="en-GB"/>
        </w:rPr>
        <w:t>Structural Reform Facility</w:t>
      </w:r>
      <w:r>
        <w:rPr>
          <w:rFonts w:ascii="Times New Roman" w:eastAsia="Times New Roman" w:hAnsi="Times New Roman" w:cs="Times New Roman"/>
          <w:noProof/>
          <w:sz w:val="23"/>
          <w:szCs w:val="23"/>
          <w:lang w:eastAsia="en-GB"/>
        </w:rPr>
        <w:t>.</w:t>
      </w:r>
    </w:p>
    <w:p>
      <w:pPr>
        <w:spacing w:after="240" w:line="240" w:lineRule="auto"/>
        <w:jc w:val="both"/>
        <w:rPr>
          <w:rFonts w:ascii="Times New Roman" w:hAnsi="Times New Roman"/>
          <w:noProof/>
          <w:sz w:val="23"/>
          <w:szCs w:val="23"/>
        </w:rPr>
      </w:pPr>
      <w:r>
        <w:rPr>
          <w:rFonts w:ascii="Times New Roman" w:eastAsia="Times New Roman" w:hAnsi="Times New Roman" w:cs="Times New Roman"/>
          <w:b/>
          <w:bCs/>
          <w:noProof/>
          <w:sz w:val="23"/>
          <w:szCs w:val="23"/>
          <w:lang w:eastAsia="en-GB"/>
        </w:rPr>
        <w:t>SMEs</w:t>
      </w:r>
      <w:r>
        <w:rPr>
          <w:rFonts w:ascii="Times New Roman" w:eastAsia="Times New Roman" w:hAnsi="Times New Roman" w:cs="Times New Roman"/>
          <w:noProof/>
          <w:sz w:val="23"/>
          <w:szCs w:val="23"/>
          <w:lang w:eastAsia="en-GB"/>
        </w:rPr>
        <w:t xml:space="preserve"> are the top employers in most of the partner countries and a key driver of shared growth and innovation. The EU will continue to support </w:t>
      </w:r>
      <w:r>
        <w:rPr>
          <w:rFonts w:ascii="Times New Roman" w:eastAsia="Times New Roman" w:hAnsi="Times New Roman" w:cs="Times New Roman"/>
          <w:b/>
          <w:bCs/>
          <w:noProof/>
          <w:sz w:val="23"/>
          <w:szCs w:val="23"/>
          <w:lang w:eastAsia="en-GB"/>
        </w:rPr>
        <w:t>access to finance</w:t>
      </w:r>
      <w:r>
        <w:rPr>
          <w:rFonts w:ascii="Times New Roman" w:eastAsia="Times New Roman" w:hAnsi="Times New Roman" w:cs="Times New Roman"/>
          <w:noProof/>
          <w:sz w:val="23"/>
          <w:szCs w:val="23"/>
          <w:lang w:eastAsia="en-GB"/>
        </w:rPr>
        <w:t xml:space="preserve"> through guarantee schemes, interest rate subsidies and investment incentives. It will also expand this support through its stronger partnership with IFIs, as well as the European Fund for Sustainable Development (EFSD+) within the proposed Neighbourhood, Development and International Cooperation Instrument (NDICI) and the External Action Guarantee. Sustainable finance and microfinance will be integral to the EU’s intervention, including in the rural areas where the access to finance is particularly difficult. To maximise the effectiveness of support, the EU will analyse with IFIs the key areas where investment will have impact (including through the development of an ‘impact investment matrix’). </w:t>
      </w:r>
    </w:p>
    <w:p>
      <w:pPr>
        <w:spacing w:after="240" w:line="240" w:lineRule="auto"/>
        <w:jc w:val="both"/>
        <w:rPr>
          <w:rFonts w:ascii="Times New Roman" w:hAnsi="Times New Roman"/>
          <w:noProof/>
          <w:sz w:val="23"/>
          <w:szCs w:val="23"/>
        </w:rPr>
      </w:pPr>
      <w:r>
        <w:rPr>
          <w:rFonts w:ascii="Times New Roman" w:hAnsi="Times New Roman"/>
          <w:noProof/>
          <w:sz w:val="23"/>
          <w:szCs w:val="23"/>
        </w:rPr>
        <w:t xml:space="preserve">Considering the urgent need to scale up sustainable investments, the EU will further strengthen its cooperation with the partner countries to set up a financial system that supports sustainable growth, notably through international fora such as the </w:t>
      </w:r>
      <w:r>
        <w:rPr>
          <w:rFonts w:ascii="Times New Roman" w:hAnsi="Times New Roman"/>
          <w:b/>
          <w:noProof/>
          <w:sz w:val="23"/>
          <w:szCs w:val="23"/>
        </w:rPr>
        <w:t>International Platform on Sustainable Finance</w:t>
      </w:r>
      <w:r>
        <w:rPr>
          <w:rFonts w:ascii="Times New Roman" w:hAnsi="Times New Roman"/>
          <w:noProof/>
          <w:sz w:val="23"/>
          <w:szCs w:val="23"/>
        </w:rPr>
        <w:t xml:space="preserve"> (IPSF). The EU and partner countries can share best practices and coordinate efforts on environmentally sustainable investment such as green taxonomies, environmental and climate disclosures, and standards and labels for green financial products.</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Given the growing economic and trade relations of the Eastern partner countries with the EU, </w:t>
      </w:r>
      <w:r>
        <w:rPr>
          <w:rFonts w:ascii="Times New Roman" w:eastAsia="Times New Roman" w:hAnsi="Times New Roman" w:cs="Times New Roman"/>
          <w:b/>
          <w:noProof/>
          <w:sz w:val="23"/>
          <w:szCs w:val="23"/>
          <w:lang w:eastAsia="en-GB"/>
        </w:rPr>
        <w:t>stronger use of the euro</w:t>
      </w:r>
      <w:r>
        <w:rPr>
          <w:rFonts w:ascii="Times New Roman" w:eastAsia="Times New Roman" w:hAnsi="Times New Roman" w:cs="Times New Roman"/>
          <w:noProof/>
          <w:sz w:val="23"/>
          <w:szCs w:val="23"/>
          <w:lang w:eastAsia="en-GB"/>
        </w:rPr>
        <w:t xml:space="preserve"> in their foreign commercial dealings would further strengthen economic relations with the EU and help to </w:t>
      </w:r>
      <w:r>
        <w:rPr>
          <w:rFonts w:ascii="Times New Roman" w:eastAsia="Times New Roman" w:hAnsi="Times New Roman" w:cs="Times New Roman"/>
          <w:b/>
          <w:noProof/>
          <w:sz w:val="23"/>
          <w:szCs w:val="23"/>
          <w:lang w:eastAsia="en-GB"/>
        </w:rPr>
        <w:t>ensure the economic and financial stability</w:t>
      </w:r>
      <w:r>
        <w:rPr>
          <w:rFonts w:ascii="Times New Roman" w:eastAsia="Times New Roman" w:hAnsi="Times New Roman" w:cs="Times New Roman"/>
          <w:noProof/>
          <w:sz w:val="23"/>
          <w:szCs w:val="23"/>
          <w:lang w:eastAsia="en-GB"/>
        </w:rPr>
        <w:t xml:space="preserve"> of these countries. It will further reduce foreign exchange risk faced by the partner countries, including by ensuring that the foreign currency mix in external borrowings, reserve management and international dealings are better correlated with the currencies of their main trading and investment partners, while supporting a stronger </w:t>
      </w:r>
      <w:r>
        <w:rPr>
          <w:rFonts w:ascii="Times New Roman" w:eastAsia="Times New Roman" w:hAnsi="Times New Roman" w:cs="Times New Roman"/>
          <w:b/>
          <w:noProof/>
          <w:sz w:val="23"/>
          <w:szCs w:val="23"/>
          <w:lang w:eastAsia="en-GB"/>
        </w:rPr>
        <w:t>international role of the euro</w:t>
      </w:r>
      <w:r>
        <w:rPr>
          <w:rFonts w:ascii="Times New Roman" w:eastAsia="Times New Roman" w:hAnsi="Times New Roman" w:cs="Times New Roman"/>
          <w:noProof/>
          <w:sz w:val="23"/>
          <w:szCs w:val="23"/>
          <w:lang w:eastAsia="en-GB"/>
        </w:rPr>
        <w:t xml:space="preserve">. The EU will also continue to support partner countries’ efforts to meet the criteria to join the </w:t>
      </w:r>
      <w:r>
        <w:rPr>
          <w:rFonts w:ascii="Times New Roman" w:eastAsia="Times New Roman" w:hAnsi="Times New Roman" w:cs="Times New Roman"/>
          <w:b/>
          <w:noProof/>
          <w:sz w:val="23"/>
          <w:szCs w:val="23"/>
          <w:lang w:eastAsia="en-GB"/>
        </w:rPr>
        <w:t>Single Euro Payment Area</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Cs/>
          <w:noProof/>
          <w:sz w:val="23"/>
          <w:szCs w:val="23"/>
          <w:lang w:eastAsia="en-GB"/>
        </w:rPr>
        <w:t>(SEPA).</w:t>
      </w:r>
      <w:r>
        <w:rPr>
          <w:rFonts w:ascii="Times New Roman" w:eastAsia="Times New Roman" w:hAnsi="Times New Roman" w:cs="Times New Roman"/>
          <w:noProof/>
          <w:sz w:val="23"/>
          <w:szCs w:val="23"/>
          <w:lang w:eastAsia="en-GB"/>
        </w:rPr>
        <w:t xml:space="preserve"> </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To respond to the need of start-ups, the EU together with IFIs will develop an innovative and smart financing programme (including equity, venture capital, business angel and crowd funding). EU assistance will further strengthen business support organisations, support SME internationalisation, and facilitate public-private dialogue while addressing the need for knowledge and skills to foster innovation, entrepreneurship and creativity that match future market needs. The EU will continue to support business, particularly women-led initiatives, and encourage more young people to become entrepreneurs.</w:t>
      </w:r>
    </w:p>
    <w:p>
      <w:pPr>
        <w:spacing w:after="240" w:line="240" w:lineRule="auto"/>
        <w:jc w:val="both"/>
        <w:rPr>
          <w:rFonts w:ascii="Times New Roman" w:eastAsia="Times New Roman" w:hAnsi="Times New Roman" w:cs="Times New Roman"/>
          <w:iCs/>
          <w:noProof/>
          <w:sz w:val="23"/>
          <w:szCs w:val="23"/>
          <w:lang w:eastAsia="en-GB"/>
        </w:rPr>
      </w:pPr>
      <w:r>
        <w:rPr>
          <w:rFonts w:ascii="Times New Roman" w:eastAsia="Times New Roman" w:hAnsi="Times New Roman" w:cs="Times New Roman"/>
          <w:noProof/>
          <w:sz w:val="23"/>
          <w:szCs w:val="23"/>
          <w:lang w:eastAsia="en-GB"/>
        </w:rPr>
        <w:t xml:space="preserve">To move towards an </w:t>
      </w:r>
      <w:r>
        <w:rPr>
          <w:rFonts w:ascii="Times New Roman" w:eastAsia="Times New Roman" w:hAnsi="Times New Roman" w:cs="Times New Roman"/>
          <w:b/>
          <w:noProof/>
          <w:sz w:val="23"/>
          <w:szCs w:val="23"/>
          <w:lang w:eastAsia="en-GB"/>
        </w:rPr>
        <w:t>inclusive and fair economy that delivers for all</w:t>
      </w:r>
      <w:r>
        <w:rPr>
          <w:rFonts w:ascii="Times New Roman" w:eastAsia="Times New Roman" w:hAnsi="Times New Roman" w:cs="Times New Roman"/>
          <w:noProof/>
          <w:sz w:val="23"/>
          <w:szCs w:val="23"/>
          <w:lang w:eastAsia="en-GB"/>
        </w:rPr>
        <w:t xml:space="preserve">, the EU will help partner countries unleash the economic potential of their rural areas, including by supporting farmers and the setting up of modern cooperatives and producers groups. The EU will </w:t>
      </w:r>
      <w:r>
        <w:rPr>
          <w:rFonts w:ascii="Times New Roman" w:eastAsia="Times New Roman" w:hAnsi="Times New Roman" w:cs="Times New Roman"/>
          <w:iCs/>
          <w:noProof/>
          <w:sz w:val="23"/>
          <w:szCs w:val="23"/>
          <w:lang w:eastAsia="en-GB"/>
        </w:rPr>
        <w:t>strengthen engagement outside capital cities and create links between local urban centres and rural areas. This builds on</w:t>
      </w:r>
      <w:r>
        <w:rPr>
          <w:rFonts w:ascii="Times New Roman" w:eastAsia="Times New Roman" w:hAnsi="Times New Roman" w:cs="Times New Roman"/>
          <w:noProof/>
          <w:sz w:val="23"/>
          <w:szCs w:val="23"/>
          <w:lang w:eastAsia="en-GB"/>
        </w:rPr>
        <w:t xml:space="preserve"> the European Commission’s methodology for smart specialisation as applied in the EU.</w:t>
      </w:r>
    </w:p>
    <w:p>
      <w:pPr>
        <w:pStyle w:val="ListParagraph"/>
        <w:keepNext/>
        <w:spacing w:after="240" w:line="240" w:lineRule="auto"/>
        <w:ind w:left="1922"/>
        <w:jc w:val="both"/>
        <w:outlineLvl w:val="2"/>
        <w:rPr>
          <w:rFonts w:ascii="Times New Roman" w:eastAsia="Times New Roman" w:hAnsi="Times New Roman" w:cs="Times New Roman"/>
          <w:i/>
          <w:noProof/>
          <w:sz w:val="23"/>
          <w:szCs w:val="23"/>
        </w:rPr>
      </w:pPr>
      <w:r>
        <w:rPr>
          <w:rFonts w:ascii="Times New Roman" w:eastAsia="Times New Roman" w:hAnsi="Times New Roman" w:cs="Times New Roman"/>
          <w:i/>
          <w:noProof/>
          <w:sz w:val="23"/>
          <w:szCs w:val="23"/>
        </w:rPr>
        <w:t>4.1.3 Strengthened interconnectivity</w:t>
      </w:r>
    </w:p>
    <w:p>
      <w:pPr>
        <w:spacing w:after="0" w:line="240" w:lineRule="auto"/>
        <w:jc w:val="both"/>
        <w:rPr>
          <w:rFonts w:ascii="Times New Roman" w:eastAsia="Times New Roman" w:hAnsi="Times New Roman" w:cs="Times New Roman"/>
          <w:b/>
          <w:noProof/>
          <w:color w:val="000000" w:themeColor="text1"/>
          <w:sz w:val="23"/>
          <w:szCs w:val="23"/>
          <w:lang w:val="en-US"/>
        </w:rPr>
      </w:pPr>
      <w:r>
        <w:rPr>
          <w:rFonts w:ascii="Times New Roman" w:eastAsia="Times New Roman" w:hAnsi="Times New Roman" w:cs="Times New Roman"/>
          <w:b/>
          <w:noProof/>
          <w:color w:val="000000" w:themeColor="text1"/>
          <w:sz w:val="23"/>
          <w:szCs w:val="23"/>
          <w:lang w:val="en-US"/>
        </w:rPr>
        <w:t xml:space="preserve">Strong </w:t>
      </w:r>
      <w:r>
        <w:rPr>
          <w:rFonts w:ascii="Times New Roman" w:eastAsia="Times New Roman" w:hAnsi="Times New Roman" w:cs="Times New Roman"/>
          <w:b/>
          <w:noProof/>
          <w:color w:val="000000" w:themeColor="text1"/>
          <w:sz w:val="23"/>
          <w:szCs w:val="23"/>
          <w:lang w:val="en-IE"/>
        </w:rPr>
        <w:t>interconnections between the EU and the EaP</w:t>
      </w:r>
      <w:r>
        <w:rPr>
          <w:rFonts w:ascii="Times New Roman" w:eastAsia="Times New Roman" w:hAnsi="Times New Roman" w:cs="Times New Roman"/>
          <w:noProof/>
          <w:color w:val="000000" w:themeColor="text1"/>
          <w:sz w:val="23"/>
          <w:szCs w:val="23"/>
          <w:lang w:val="en-IE"/>
        </w:rPr>
        <w:t xml:space="preserve"> as well as among the partner countries are important drivers for economic development, regional integration, trade and mobility. Sustainable</w:t>
      </w:r>
      <w:r>
        <w:rPr>
          <w:rFonts w:ascii="Times New Roman" w:eastAsia="Times New Roman" w:hAnsi="Times New Roman" w:cs="Times New Roman"/>
          <w:noProof/>
          <w:color w:val="000000" w:themeColor="text1"/>
          <w:sz w:val="23"/>
          <w:szCs w:val="23"/>
          <w:lang w:val="en-US"/>
        </w:rPr>
        <w:t>, rules-based and secure connectivity</w:t>
      </w:r>
      <w:r>
        <w:rPr>
          <w:rFonts w:ascii="Times New Roman" w:eastAsia="Times New Roman" w:hAnsi="Times New Roman" w:cs="Times New Roman"/>
          <w:noProof/>
          <w:color w:val="000000" w:themeColor="text1"/>
          <w:sz w:val="23"/>
          <w:szCs w:val="23"/>
          <w:lang w:val="en-IE"/>
        </w:rPr>
        <w:t xml:space="preserve"> is </w:t>
      </w:r>
      <w:r>
        <w:rPr>
          <w:rFonts w:ascii="Times New Roman" w:eastAsia="Times New Roman" w:hAnsi="Times New Roman" w:cs="Times New Roman"/>
          <w:b/>
          <w:noProof/>
          <w:color w:val="000000" w:themeColor="text1"/>
          <w:sz w:val="23"/>
          <w:szCs w:val="23"/>
          <w:lang w:val="en-US"/>
        </w:rPr>
        <w:t>key for both the EU and partner countries.</w:t>
      </w:r>
    </w:p>
    <w:p>
      <w:pPr>
        <w:spacing w:before="240" w:after="0" w:line="240" w:lineRule="auto"/>
        <w:jc w:val="both"/>
        <w:rPr>
          <w:rFonts w:ascii="Times New Roman" w:eastAsia="Times New Roman" w:hAnsi="Times New Roman" w:cs="Times New Roman"/>
          <w:noProof/>
          <w:color w:val="000000" w:themeColor="text1"/>
          <w:sz w:val="23"/>
          <w:szCs w:val="23"/>
          <w:lang w:val="en-IE"/>
        </w:rPr>
      </w:pPr>
      <w:r>
        <w:rPr>
          <w:rFonts w:ascii="Times New Roman" w:eastAsia="Times New Roman" w:hAnsi="Times New Roman" w:cs="Times New Roman"/>
          <w:noProof/>
          <w:color w:val="000000" w:themeColor="text1"/>
          <w:sz w:val="23"/>
          <w:szCs w:val="23"/>
          <w:lang w:val="en-US"/>
        </w:rPr>
        <w:t xml:space="preserve">On </w:t>
      </w:r>
      <w:r>
        <w:rPr>
          <w:rFonts w:ascii="Times New Roman" w:eastAsia="Times New Roman" w:hAnsi="Times New Roman" w:cs="Times New Roman"/>
          <w:b/>
          <w:bCs/>
          <w:noProof/>
          <w:color w:val="000000" w:themeColor="text1"/>
          <w:sz w:val="23"/>
          <w:szCs w:val="23"/>
          <w:lang w:val="en-US"/>
        </w:rPr>
        <w:t>transport</w:t>
      </w:r>
      <w:r>
        <w:rPr>
          <w:rFonts w:ascii="Times New Roman" w:eastAsia="Times New Roman" w:hAnsi="Times New Roman" w:cs="Times New Roman"/>
          <w:noProof/>
          <w:color w:val="000000" w:themeColor="text1"/>
          <w:sz w:val="23"/>
          <w:szCs w:val="23"/>
          <w:lang w:val="en-US"/>
        </w:rPr>
        <w:t xml:space="preserve">, </w:t>
      </w:r>
      <w:r>
        <w:rPr>
          <w:rFonts w:ascii="Times New Roman" w:eastAsia="Times New Roman" w:hAnsi="Times New Roman" w:cs="Times New Roman"/>
          <w:noProof/>
          <w:color w:val="000000" w:themeColor="text1"/>
          <w:sz w:val="23"/>
          <w:szCs w:val="23"/>
          <w:lang w:val="en-IE"/>
        </w:rPr>
        <w:t xml:space="preserve">the EU focus will be on the long-term </w:t>
      </w:r>
      <w:r>
        <w:rPr>
          <w:rFonts w:ascii="Times New Roman" w:eastAsia="Times New Roman" w:hAnsi="Times New Roman" w:cs="Times New Roman"/>
          <w:b/>
          <w:bCs/>
          <w:noProof/>
          <w:color w:val="000000" w:themeColor="text1"/>
          <w:sz w:val="23"/>
          <w:szCs w:val="23"/>
          <w:lang w:val="en-IE"/>
        </w:rPr>
        <w:t>priority investments</w:t>
      </w:r>
      <w:r>
        <w:rPr>
          <w:rFonts w:ascii="Times New Roman" w:eastAsia="Times New Roman" w:hAnsi="Times New Roman" w:cs="Times New Roman"/>
          <w:noProof/>
          <w:color w:val="000000" w:themeColor="text1"/>
          <w:sz w:val="23"/>
          <w:szCs w:val="23"/>
          <w:lang w:val="en-IE"/>
        </w:rPr>
        <w:t xml:space="preserve"> outlined in the </w:t>
      </w:r>
      <w:r>
        <w:rPr>
          <w:rFonts w:ascii="Times New Roman" w:eastAsia="Times New Roman" w:hAnsi="Times New Roman" w:cs="Times New Roman"/>
          <w:b/>
          <w:bCs/>
          <w:noProof/>
          <w:color w:val="000000" w:themeColor="text1"/>
          <w:sz w:val="23"/>
          <w:szCs w:val="23"/>
          <w:lang w:val="en-IE"/>
        </w:rPr>
        <w:t>Trans-European Transport Network (</w:t>
      </w:r>
      <w:r>
        <w:rPr>
          <w:rFonts w:ascii="Times New Roman" w:eastAsia="Times New Roman" w:hAnsi="Times New Roman" w:cs="Times New Roman"/>
          <w:noProof/>
          <w:color w:val="000000" w:themeColor="text1"/>
          <w:sz w:val="23"/>
          <w:szCs w:val="23"/>
          <w:lang w:val="en-IE"/>
        </w:rPr>
        <w:t>TEN-T) indicative investment action plan</w:t>
      </w:r>
      <w:r>
        <w:rPr>
          <w:rStyle w:val="FootnoteReference"/>
          <w:rFonts w:ascii="Times New Roman" w:eastAsia="Times New Roman" w:hAnsi="Times New Roman" w:cs="Times New Roman"/>
          <w:noProof/>
          <w:color w:val="000000" w:themeColor="text1"/>
          <w:sz w:val="23"/>
          <w:szCs w:val="23"/>
          <w:lang w:val="en-IE" w:eastAsia="en-GB"/>
        </w:rPr>
        <w:footnoteReference w:id="8"/>
      </w:r>
      <w:r>
        <w:rPr>
          <w:rFonts w:ascii="Times New Roman" w:eastAsia="Times New Roman" w:hAnsi="Times New Roman" w:cs="Times New Roman"/>
          <w:noProof/>
          <w:color w:val="000000" w:themeColor="text1"/>
          <w:sz w:val="23"/>
          <w:szCs w:val="23"/>
          <w:lang w:val="en-IE"/>
        </w:rPr>
        <w:t>. This includes upgrading key physical infrastructure in road, rail, port, inland waterway and airport facilities, and logistics centres in order to further strengthening connectivity between the EU and the partner countries and among the partner countries themselves. It will be supported through blending and guarantees under the Neighbourhood Investment Platform. The EU will also increase the use of EU and international transport standards including in the area of road safety in line with the 2018 Eastern Partnership Declaration on Road Safety</w:t>
      </w:r>
      <w:r>
        <w:rPr>
          <w:rStyle w:val="FootnoteReference"/>
          <w:rFonts w:ascii="Times New Roman" w:eastAsia="Times New Roman" w:hAnsi="Times New Roman" w:cs="Times New Roman"/>
          <w:noProof/>
          <w:color w:val="000000" w:themeColor="text1"/>
          <w:sz w:val="23"/>
          <w:szCs w:val="23"/>
          <w:lang w:val="en-IE" w:eastAsia="en-GB"/>
        </w:rPr>
        <w:footnoteReference w:id="9"/>
      </w:r>
      <w:r>
        <w:rPr>
          <w:rFonts w:ascii="Times New Roman" w:eastAsia="Times New Roman" w:hAnsi="Times New Roman" w:cs="Times New Roman"/>
          <w:noProof/>
          <w:color w:val="000000" w:themeColor="text1"/>
          <w:sz w:val="23"/>
          <w:szCs w:val="23"/>
          <w:lang w:val="en-IE"/>
        </w:rPr>
        <w:t>. It will also step up work on the common aviation area agreements and aviation safety. Recognising the importance of Eastern partner countries in connectivity between Europe and Asia, the EU will promote and support the engagement of the partner countries in the implementation of the strategy on connecting Europe and Asia</w:t>
      </w:r>
      <w:r>
        <w:rPr>
          <w:rStyle w:val="FootnoteReference"/>
          <w:rFonts w:ascii="Times New Roman" w:eastAsia="Times New Roman" w:hAnsi="Times New Roman" w:cs="Times New Roman"/>
          <w:noProof/>
          <w:color w:val="000000" w:themeColor="text1"/>
          <w:sz w:val="23"/>
          <w:szCs w:val="23"/>
          <w:lang w:val="en-IE" w:eastAsia="en-GB"/>
        </w:rPr>
        <w:footnoteReference w:id="10"/>
      </w:r>
      <w:r>
        <w:rPr>
          <w:rFonts w:ascii="Times New Roman" w:eastAsia="Times New Roman" w:hAnsi="Times New Roman" w:cs="Times New Roman"/>
          <w:noProof/>
          <w:color w:val="000000" w:themeColor="text1"/>
          <w:sz w:val="23"/>
          <w:szCs w:val="23"/>
          <w:lang w:val="en-IE"/>
        </w:rPr>
        <w:t>.</w:t>
      </w:r>
    </w:p>
    <w:p>
      <w:pPr>
        <w:spacing w:before="240" w:after="0" w:line="240" w:lineRule="auto"/>
        <w:jc w:val="both"/>
        <w:rPr>
          <w:rFonts w:ascii="Times New Roman" w:eastAsia="Times New Roman" w:hAnsi="Times New Roman" w:cs="Times New Roman"/>
          <w:noProof/>
          <w:color w:val="000000" w:themeColor="text1"/>
          <w:sz w:val="23"/>
          <w:szCs w:val="23"/>
          <w:lang w:val="en-IE"/>
        </w:rPr>
      </w:pPr>
      <w:r>
        <w:rPr>
          <w:rFonts w:ascii="Times New Roman" w:eastAsia="Times New Roman" w:hAnsi="Times New Roman" w:cs="Times New Roman"/>
          <w:noProof/>
          <w:color w:val="000000" w:themeColor="text1"/>
          <w:sz w:val="23"/>
          <w:szCs w:val="23"/>
          <w:lang w:val="en-IE"/>
        </w:rPr>
        <w:t xml:space="preserve">On </w:t>
      </w:r>
      <w:r>
        <w:rPr>
          <w:rFonts w:ascii="Times New Roman" w:eastAsia="Times New Roman" w:hAnsi="Times New Roman" w:cs="Times New Roman"/>
          <w:b/>
          <w:bCs/>
          <w:noProof/>
          <w:color w:val="000000" w:themeColor="text1"/>
          <w:sz w:val="23"/>
          <w:szCs w:val="23"/>
          <w:lang w:val="en-IE"/>
        </w:rPr>
        <w:t>energy</w:t>
      </w:r>
      <w:r>
        <w:rPr>
          <w:rFonts w:ascii="Times New Roman" w:eastAsia="Times New Roman" w:hAnsi="Times New Roman" w:cs="Times New Roman"/>
          <w:noProof/>
          <w:color w:val="000000" w:themeColor="text1"/>
          <w:sz w:val="23"/>
          <w:szCs w:val="23"/>
          <w:lang w:val="en-IE"/>
        </w:rPr>
        <w:t xml:space="preserve"> </w:t>
      </w:r>
      <w:r>
        <w:rPr>
          <w:rFonts w:ascii="Times New Roman" w:eastAsia="Times New Roman" w:hAnsi="Times New Roman" w:cs="Times New Roman"/>
          <w:b/>
          <w:bCs/>
          <w:noProof/>
          <w:color w:val="000000" w:themeColor="text1"/>
          <w:sz w:val="23"/>
          <w:szCs w:val="23"/>
          <w:lang w:val="en-IE"/>
        </w:rPr>
        <w:t>connectivity</w:t>
      </w:r>
      <w:r>
        <w:rPr>
          <w:rFonts w:ascii="Times New Roman" w:eastAsia="Times New Roman" w:hAnsi="Times New Roman" w:cs="Times New Roman"/>
          <w:noProof/>
          <w:color w:val="000000" w:themeColor="text1"/>
          <w:sz w:val="23"/>
          <w:szCs w:val="23"/>
          <w:lang w:val="en-IE"/>
        </w:rPr>
        <w:t xml:space="preserve">, the EU will continue to work with the partner countries to reinforce cross-border and inter-regional interconnections. The </w:t>
      </w:r>
      <w:r>
        <w:rPr>
          <w:rFonts w:ascii="Times New Roman" w:eastAsia="Times New Roman" w:hAnsi="Times New Roman" w:cs="Times New Roman"/>
          <w:b/>
          <w:noProof/>
          <w:color w:val="000000" w:themeColor="text1"/>
          <w:sz w:val="23"/>
          <w:szCs w:val="23"/>
          <w:lang w:val="en-IE"/>
        </w:rPr>
        <w:t>Southern Gas Corridor</w:t>
      </w:r>
      <w:r>
        <w:rPr>
          <w:rFonts w:ascii="Times New Roman" w:eastAsia="Times New Roman" w:hAnsi="Times New Roman" w:cs="Times New Roman"/>
          <w:noProof/>
          <w:color w:val="000000" w:themeColor="text1"/>
          <w:sz w:val="23"/>
          <w:szCs w:val="23"/>
          <w:lang w:val="en-US"/>
        </w:rPr>
        <w:t xml:space="preserve"> is nearing completion and is expected to bring the first gas from Azerbaijan to the EU in 2020.</w:t>
      </w:r>
      <w:r>
        <w:rPr>
          <w:rFonts w:ascii="Times New Roman" w:eastAsia="Times New Roman" w:hAnsi="Times New Roman" w:cs="Times New Roman"/>
          <w:noProof/>
          <w:color w:val="000000" w:themeColor="text1"/>
          <w:sz w:val="23"/>
          <w:szCs w:val="23"/>
          <w:lang w:val="en-IE"/>
        </w:rPr>
        <w:t xml:space="preserve"> Evidence-based energy policy and collection, use and management of data will be further supported through the ‘EU4Energy’ initiative and the energy policy dialogue. The ongoing amendment of the Energy Community treaty, of which three partner countries are part, will aim at making the Energy Community more efficient and fit for a sustainable energy future. The EU will also help the partner countries to increase </w:t>
      </w:r>
      <w:r>
        <w:rPr>
          <w:rFonts w:ascii="Times New Roman" w:eastAsia="Times New Roman" w:hAnsi="Times New Roman" w:cs="Times New Roman"/>
          <w:b/>
          <w:bCs/>
          <w:noProof/>
          <w:color w:val="000000" w:themeColor="text1"/>
          <w:sz w:val="23"/>
          <w:szCs w:val="23"/>
          <w:lang w:val="en-IE"/>
        </w:rPr>
        <w:t>energy security</w:t>
      </w:r>
      <w:r>
        <w:rPr>
          <w:rFonts w:ascii="Times New Roman" w:eastAsia="Times New Roman" w:hAnsi="Times New Roman" w:cs="Times New Roman"/>
          <w:noProof/>
          <w:color w:val="000000" w:themeColor="text1"/>
          <w:sz w:val="23"/>
          <w:szCs w:val="23"/>
          <w:lang w:val="en-IE"/>
        </w:rPr>
        <w:t xml:space="preserve"> by diversifying from oil or gas imports </w:t>
      </w:r>
      <w:r>
        <w:rPr>
          <w:rFonts w:ascii="Times New Roman" w:eastAsia="Times New Roman" w:hAnsi="Times New Roman" w:cs="Times New Roman"/>
          <w:b/>
          <w:noProof/>
          <w:color w:val="000000" w:themeColor="text1"/>
          <w:sz w:val="23"/>
          <w:szCs w:val="23"/>
          <w:lang w:val="en-IE"/>
        </w:rPr>
        <w:t xml:space="preserve">through investments in renewable energy </w:t>
      </w:r>
      <w:r>
        <w:rPr>
          <w:rFonts w:ascii="Times New Roman" w:eastAsia="Times New Roman" w:hAnsi="Times New Roman" w:cs="Times New Roman"/>
          <w:noProof/>
          <w:color w:val="000000" w:themeColor="text1"/>
          <w:sz w:val="23"/>
          <w:szCs w:val="23"/>
          <w:lang w:val="en-IE"/>
        </w:rPr>
        <w:t>and</w:t>
      </w:r>
      <w:r>
        <w:rPr>
          <w:rFonts w:ascii="Times New Roman" w:eastAsia="Times New Roman" w:hAnsi="Times New Roman" w:cs="Times New Roman"/>
          <w:b/>
          <w:noProof/>
          <w:color w:val="000000" w:themeColor="text1"/>
          <w:sz w:val="23"/>
          <w:szCs w:val="23"/>
          <w:lang w:val="en-IE"/>
        </w:rPr>
        <w:t xml:space="preserve"> enhanced energy efficiency</w:t>
      </w:r>
      <w:r>
        <w:rPr>
          <w:rFonts w:ascii="Times New Roman" w:eastAsia="Times New Roman" w:hAnsi="Times New Roman" w:cs="Times New Roman"/>
          <w:noProof/>
          <w:color w:val="000000" w:themeColor="text1"/>
          <w:sz w:val="23"/>
          <w:szCs w:val="23"/>
          <w:lang w:val="en-IE"/>
        </w:rPr>
        <w:t xml:space="preserve"> and by encouraging energy market integration based on sound legislation.</w:t>
      </w:r>
    </w:p>
    <w:p>
      <w:pPr>
        <w:spacing w:before="240" w:after="240" w:line="240" w:lineRule="auto"/>
        <w:jc w:val="both"/>
        <w:rPr>
          <w:rFonts w:ascii="Times New Roman" w:eastAsia="Times New Roman" w:hAnsi="Times New Roman" w:cs="Times New Roman"/>
          <w:noProof/>
          <w:sz w:val="23"/>
          <w:szCs w:val="23"/>
        </w:rPr>
      </w:pPr>
      <w:r>
        <w:rPr>
          <w:rFonts w:ascii="Times New Roman" w:eastAsia="Times New Roman" w:hAnsi="Times New Roman" w:cs="Times New Roman"/>
          <w:noProof/>
          <w:sz w:val="23"/>
          <w:szCs w:val="23"/>
        </w:rPr>
        <w:t>Satellite-based connectivity contributes to smart and safe transport, greener cities and enables the digitalisation and modernisation of the economy. In this context, cooperation with the partner countries with regard to extending the coverage of the European Geostationary Navigation Overlay Service will contribute to safer aviation, in line with EU legislation, to cost-effective maritime and rail transport and help boost high-precision agriculture.</w:t>
      </w:r>
    </w:p>
    <w:p>
      <w:pPr>
        <w:spacing w:after="240" w:line="240" w:lineRule="auto"/>
        <w:jc w:val="both"/>
        <w:rPr>
          <w:rFonts w:ascii="Times New Roman" w:eastAsia="Times New Roman" w:hAnsi="Times New Roman" w:cs="Times New Roman"/>
          <w:noProof/>
          <w:sz w:val="23"/>
          <w:szCs w:val="23"/>
        </w:rPr>
      </w:pPr>
      <w:r>
        <w:rPr>
          <w:rFonts w:ascii="Times New Roman" w:eastAsia="Times New Roman" w:hAnsi="Times New Roman" w:cs="Times New Roman"/>
          <w:noProof/>
          <w:color w:val="000000" w:themeColor="text1"/>
          <w:sz w:val="23"/>
          <w:szCs w:val="23"/>
          <w:lang w:val="en-IE"/>
        </w:rPr>
        <w:t xml:space="preserve">Strong </w:t>
      </w:r>
      <w:r>
        <w:rPr>
          <w:rFonts w:ascii="Times New Roman" w:eastAsia="Times New Roman" w:hAnsi="Times New Roman" w:cs="Times New Roman"/>
          <w:b/>
          <w:noProof/>
          <w:color w:val="000000" w:themeColor="text1"/>
          <w:sz w:val="23"/>
          <w:szCs w:val="23"/>
          <w:lang w:val="en-IE"/>
        </w:rPr>
        <w:t>policy dialogue</w:t>
      </w:r>
      <w:r>
        <w:rPr>
          <w:rFonts w:ascii="Times New Roman" w:eastAsia="Times New Roman" w:hAnsi="Times New Roman" w:cs="Times New Roman"/>
          <w:noProof/>
          <w:color w:val="000000" w:themeColor="text1"/>
          <w:sz w:val="23"/>
          <w:szCs w:val="23"/>
          <w:lang w:val="en-IE"/>
        </w:rPr>
        <w:t xml:space="preserve"> and developing a single pipeline of infrastructure projects is key to optimising the </w:t>
      </w:r>
      <w:r>
        <w:rPr>
          <w:rFonts w:ascii="Times New Roman" w:eastAsia="Times New Roman" w:hAnsi="Times New Roman" w:cs="Times New Roman"/>
          <w:b/>
          <w:noProof/>
          <w:color w:val="000000" w:themeColor="text1"/>
          <w:sz w:val="23"/>
          <w:szCs w:val="23"/>
          <w:lang w:val="en-IE"/>
        </w:rPr>
        <w:t>portfolio of investments</w:t>
      </w:r>
      <w:r>
        <w:rPr>
          <w:rFonts w:ascii="Times New Roman" w:eastAsia="Times New Roman" w:hAnsi="Times New Roman" w:cs="Times New Roman"/>
          <w:noProof/>
          <w:color w:val="000000" w:themeColor="text1"/>
          <w:sz w:val="23"/>
          <w:szCs w:val="23"/>
          <w:lang w:val="en-IE"/>
        </w:rPr>
        <w:t>. Sound</w:t>
      </w:r>
      <w:r>
        <w:rPr>
          <w:rFonts w:ascii="Times New Roman" w:eastAsia="Times New Roman" w:hAnsi="Times New Roman" w:cs="Times New Roman"/>
          <w:noProof/>
          <w:color w:val="000000" w:themeColor="text1"/>
          <w:sz w:val="23"/>
          <w:szCs w:val="23"/>
          <w:lang w:val="en-US"/>
        </w:rPr>
        <w:t xml:space="preserve"> macroeconomic policies and public financial management, creating fiscal space for public investments, ensuring a level playing field to engage with private sector, including through public-private partnerships, are necessary conditions to ensure the sustainability of infrastructure in all areas. </w:t>
      </w:r>
    </w:p>
    <w:p>
      <w:pPr>
        <w:keepNext/>
        <w:tabs>
          <w:tab w:val="num" w:pos="1922"/>
        </w:tabs>
        <w:spacing w:after="240" w:line="240" w:lineRule="auto"/>
        <w:ind w:left="1202"/>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4.1.4 Investing in people</w:t>
      </w:r>
    </w:p>
    <w:p>
      <w:pPr>
        <w:spacing w:before="120" w:after="120" w:line="240" w:lineRule="auto"/>
        <w:jc w:val="both"/>
        <w:rPr>
          <w:rFonts w:ascii="Times New Roman" w:eastAsia="Times New Roman" w:hAnsi="Times New Roman" w:cs="Times New Roman"/>
          <w:bCs/>
          <w:noProof/>
          <w:sz w:val="23"/>
          <w:szCs w:val="23"/>
          <w:lang w:eastAsia="en-GB"/>
        </w:rPr>
      </w:pPr>
      <w:r>
        <w:rPr>
          <w:rFonts w:ascii="Times New Roman" w:eastAsia="Times New Roman" w:hAnsi="Times New Roman" w:cs="Times New Roman"/>
          <w:b/>
          <w:noProof/>
          <w:color w:val="000000"/>
          <w:sz w:val="23"/>
          <w:szCs w:val="23"/>
          <w:lang w:eastAsia="en-GB"/>
        </w:rPr>
        <w:t xml:space="preserve">Investing in people is key to preparing for the future </w:t>
      </w:r>
      <w:r>
        <w:rPr>
          <w:rFonts w:ascii="Times New Roman" w:eastAsia="Times New Roman" w:hAnsi="Times New Roman" w:cs="Times New Roman"/>
          <w:noProof/>
          <w:color w:val="000000"/>
          <w:sz w:val="23"/>
          <w:szCs w:val="23"/>
          <w:lang w:eastAsia="en-GB"/>
        </w:rPr>
        <w:t>and fostering societal and economic resilience. Building</w:t>
      </w:r>
      <w:r>
        <w:rPr>
          <w:rFonts w:ascii="Times New Roman" w:eastAsia="Times New Roman" w:hAnsi="Times New Roman" w:cs="Times New Roman"/>
          <w:bCs/>
          <w:noProof/>
          <w:color w:val="000000"/>
          <w:sz w:val="23"/>
          <w:szCs w:val="23"/>
          <w:lang w:eastAsia="en-GB"/>
        </w:rPr>
        <w:t xml:space="preserve"> on achievements</w:t>
      </w:r>
      <w:r>
        <w:rPr>
          <w:rFonts w:ascii="Times New Roman" w:eastAsia="Times New Roman" w:hAnsi="Times New Roman" w:cs="Times New Roman"/>
          <w:noProof/>
          <w:color w:val="000000"/>
          <w:sz w:val="23"/>
          <w:szCs w:val="23"/>
          <w:lang w:eastAsia="en-GB"/>
        </w:rPr>
        <w:t xml:space="preserve"> for young people, the EU</w:t>
      </w:r>
      <w:r>
        <w:rPr>
          <w:rFonts w:ascii="Times New Roman" w:eastAsia="Times New Roman" w:hAnsi="Times New Roman" w:cs="Times New Roman"/>
          <w:noProof/>
          <w:sz w:val="23"/>
          <w:szCs w:val="23"/>
          <w:lang w:eastAsia="en-GB"/>
        </w:rPr>
        <w:t xml:space="preserve"> proposes </w:t>
      </w:r>
      <w:r>
        <w:rPr>
          <w:rFonts w:ascii="Times New Roman" w:eastAsia="Times New Roman" w:hAnsi="Times New Roman" w:cs="Times New Roman"/>
          <w:iCs/>
          <w:noProof/>
          <w:sz w:val="23"/>
          <w:szCs w:val="23"/>
          <w:lang w:eastAsia="en-GB"/>
        </w:rPr>
        <w:t xml:space="preserve">a </w:t>
      </w:r>
      <w:r>
        <w:rPr>
          <w:rFonts w:ascii="Times New Roman" w:eastAsia="Times New Roman" w:hAnsi="Times New Roman" w:cs="Times New Roman"/>
          <w:b/>
          <w:iCs/>
          <w:noProof/>
          <w:sz w:val="23"/>
          <w:szCs w:val="23"/>
          <w:lang w:eastAsia="en-GB"/>
        </w:rPr>
        <w:t>new deal for youth</w:t>
      </w:r>
      <w:r>
        <w:rPr>
          <w:rFonts w:ascii="Times New Roman" w:eastAsia="Times New Roman" w:hAnsi="Times New Roman" w:cs="Times New Roman"/>
          <w:noProof/>
          <w:sz w:val="23"/>
          <w:szCs w:val="23"/>
          <w:lang w:eastAsia="en-GB"/>
        </w:rPr>
        <w:t xml:space="preserve">, which will include the following elements: (i) bridging the gap between the labour market and the education sector; (ii) increasing support for the </w:t>
      </w:r>
      <w:r>
        <w:rPr>
          <w:rFonts w:ascii="Times New Roman" w:eastAsia="Times New Roman" w:hAnsi="Times New Roman" w:cs="Times New Roman"/>
          <w:b/>
          <w:bCs/>
          <w:noProof/>
          <w:sz w:val="23"/>
          <w:szCs w:val="23"/>
          <w:lang w:eastAsia="en-GB"/>
        </w:rPr>
        <w:t xml:space="preserve">employability </w:t>
      </w:r>
      <w:r>
        <w:rPr>
          <w:rFonts w:ascii="Times New Roman" w:eastAsia="Times New Roman" w:hAnsi="Times New Roman" w:cs="Times New Roman"/>
          <w:b/>
          <w:noProof/>
          <w:sz w:val="23"/>
          <w:szCs w:val="23"/>
          <w:lang w:eastAsia="en-GB"/>
        </w:rPr>
        <w:t>of youth</w:t>
      </w:r>
      <w:r>
        <w:rPr>
          <w:rFonts w:ascii="Times New Roman" w:eastAsia="Times New Roman" w:hAnsi="Times New Roman" w:cs="Times New Roman"/>
          <w:noProof/>
          <w:sz w:val="23"/>
          <w:szCs w:val="23"/>
          <w:lang w:eastAsia="en-GB"/>
        </w:rPr>
        <w:t xml:space="preserve"> and for </w:t>
      </w:r>
      <w:r>
        <w:rPr>
          <w:rFonts w:ascii="Times New Roman" w:eastAsia="Times New Roman" w:hAnsi="Times New Roman" w:cs="Times New Roman"/>
          <w:b/>
          <w:noProof/>
          <w:sz w:val="23"/>
          <w:szCs w:val="23"/>
          <w:lang w:eastAsia="en-GB"/>
        </w:rPr>
        <w:t>youth</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bCs/>
          <w:noProof/>
          <w:sz w:val="23"/>
          <w:szCs w:val="23"/>
          <w:lang w:eastAsia="en-GB"/>
        </w:rPr>
        <w:t>entrepreneurship</w:t>
      </w:r>
      <w:r>
        <w:rPr>
          <w:rFonts w:ascii="Times New Roman" w:eastAsia="Times New Roman" w:hAnsi="Times New Roman" w:cs="Times New Roman"/>
          <w:bCs/>
          <w:noProof/>
          <w:sz w:val="23"/>
          <w:szCs w:val="23"/>
          <w:lang w:eastAsia="en-GB"/>
        </w:rPr>
        <w:t xml:space="preserve">; (iii) </w:t>
      </w:r>
      <w:r>
        <w:rPr>
          <w:rFonts w:ascii="Times New Roman" w:eastAsia="Times New Roman" w:hAnsi="Times New Roman" w:cs="Times New Roman"/>
          <w:noProof/>
          <w:sz w:val="23"/>
          <w:szCs w:val="23"/>
          <w:lang w:val="en-US" w:eastAsia="en-GB"/>
        </w:rPr>
        <w:t xml:space="preserve">active labour market measures, such as the </w:t>
      </w:r>
      <w:r>
        <w:rPr>
          <w:rFonts w:ascii="Times New Roman" w:eastAsia="Times New Roman" w:hAnsi="Times New Roman" w:cs="Times New Roman"/>
          <w:bCs/>
          <w:noProof/>
          <w:sz w:val="23"/>
          <w:szCs w:val="23"/>
          <w:lang w:val="en-US" w:eastAsia="en-GB"/>
        </w:rPr>
        <w:t xml:space="preserve">Youth Guarantee, to be adapted to the partner countries’ labour markets; and (iv) </w:t>
      </w:r>
      <w:r>
        <w:rPr>
          <w:rFonts w:ascii="Times New Roman" w:eastAsia="Times New Roman" w:hAnsi="Times New Roman" w:cs="Times New Roman"/>
          <w:noProof/>
          <w:sz w:val="23"/>
          <w:szCs w:val="23"/>
          <w:lang w:eastAsia="en-GB"/>
        </w:rPr>
        <w:t xml:space="preserve">building on a pilot </w:t>
      </w:r>
      <w:r>
        <w:rPr>
          <w:rFonts w:ascii="Times New Roman" w:eastAsia="Times New Roman" w:hAnsi="Times New Roman" w:cs="Times New Roman"/>
          <w:bCs/>
          <w:noProof/>
          <w:sz w:val="23"/>
          <w:szCs w:val="23"/>
          <w:lang w:eastAsia="en-GB"/>
        </w:rPr>
        <w:t>young EaP civil servants job-shadowing scheme,</w:t>
      </w:r>
      <w:r>
        <w:rPr>
          <w:rFonts w:ascii="Times New Roman" w:eastAsia="Times New Roman" w:hAnsi="Times New Roman" w:cs="Times New Roman"/>
          <w:noProof/>
          <w:sz w:val="23"/>
          <w:szCs w:val="23"/>
          <w:lang w:eastAsia="en-GB"/>
        </w:rPr>
        <w:t xml:space="preserve"> setting up a </w:t>
      </w:r>
      <w:r>
        <w:rPr>
          <w:rFonts w:ascii="Times New Roman" w:eastAsia="Times New Roman" w:hAnsi="Times New Roman" w:cs="Times New Roman"/>
          <w:b/>
          <w:bCs/>
          <w:noProof/>
          <w:sz w:val="23"/>
          <w:szCs w:val="23"/>
          <w:lang w:eastAsia="en-GB"/>
        </w:rPr>
        <w:t>mobility and exchange programme</w:t>
      </w:r>
      <w:r>
        <w:rPr>
          <w:rFonts w:ascii="Times New Roman" w:eastAsia="Times New Roman" w:hAnsi="Times New Roman" w:cs="Times New Roman"/>
          <w:b/>
          <w:noProof/>
          <w:sz w:val="23"/>
          <w:szCs w:val="23"/>
          <w:lang w:eastAsia="en-GB"/>
        </w:rPr>
        <w:t xml:space="preserve"> for the EaP directed at young professionals.</w:t>
      </w:r>
    </w:p>
    <w:p>
      <w:pPr>
        <w:spacing w:after="12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b/>
          <w:bCs/>
          <w:iCs/>
          <w:noProof/>
          <w:sz w:val="23"/>
          <w:szCs w:val="23"/>
          <w:lang w:eastAsia="en-GB"/>
        </w:rPr>
        <w:t>Education</w:t>
      </w:r>
      <w:r>
        <w:rPr>
          <w:rFonts w:ascii="Times New Roman" w:eastAsia="Times New Roman" w:hAnsi="Times New Roman" w:cs="Times New Roman"/>
          <w:b/>
          <w:bCs/>
          <w:iCs/>
          <w:noProof/>
          <w:sz w:val="23"/>
          <w:szCs w:val="23"/>
          <w:lang w:val="en-US" w:eastAsia="en-GB"/>
        </w:rPr>
        <w:t xml:space="preserve"> reform</w:t>
      </w:r>
      <w:r>
        <w:rPr>
          <w:rFonts w:ascii="Times New Roman" w:eastAsia="Times New Roman" w:hAnsi="Times New Roman" w:cs="Times New Roman"/>
          <w:b/>
          <w:bCs/>
          <w:noProof/>
          <w:sz w:val="23"/>
          <w:szCs w:val="23"/>
          <w:lang w:val="en-US" w:eastAsia="en-GB"/>
        </w:rPr>
        <w:t xml:space="preserve"> </w:t>
      </w:r>
      <w:r>
        <w:rPr>
          <w:rFonts w:ascii="Times New Roman" w:eastAsia="Times New Roman" w:hAnsi="Times New Roman" w:cs="Times New Roman"/>
          <w:bCs/>
          <w:noProof/>
          <w:sz w:val="23"/>
          <w:szCs w:val="23"/>
          <w:lang w:val="en-US" w:eastAsia="en-GB"/>
        </w:rPr>
        <w:t xml:space="preserve">will be a strategic priority. </w:t>
      </w:r>
      <w:r>
        <w:rPr>
          <w:rFonts w:ascii="Times New Roman" w:eastAsia="Times New Roman" w:hAnsi="Times New Roman" w:cs="Times New Roman"/>
          <w:noProof/>
          <w:sz w:val="23"/>
          <w:szCs w:val="23"/>
          <w:lang w:eastAsia="en-GB"/>
        </w:rPr>
        <w:t>This will cover</w:t>
      </w:r>
      <w:r>
        <w:rPr>
          <w:rFonts w:ascii="Times New Roman" w:eastAsia="Times New Roman" w:hAnsi="Times New Roman" w:cs="Times New Roman"/>
          <w:noProof/>
          <w:sz w:val="23"/>
          <w:szCs w:val="23"/>
          <w:lang w:val="en-US" w:eastAsia="en-GB"/>
        </w:rPr>
        <w:t xml:space="preserve"> inter alia (i) governance and capacity building; (ii) modernisation and innovation at all levels of education and training; (iii) aligning of legislation and policies with the European developments, including the European Higher Education area (Bologna process) or Torino process</w:t>
      </w:r>
      <w:r>
        <w:rPr>
          <w:noProof/>
        </w:rPr>
        <w:t xml:space="preserve"> </w:t>
      </w:r>
      <w:r>
        <w:rPr>
          <w:rFonts w:ascii="Times New Roman" w:eastAsia="Times New Roman" w:hAnsi="Times New Roman" w:cs="Times New Roman"/>
          <w:noProof/>
          <w:sz w:val="23"/>
          <w:szCs w:val="23"/>
          <w:lang w:val="en-US" w:eastAsia="en-GB"/>
        </w:rPr>
        <w:t xml:space="preserve">for vocational education and training; </w:t>
      </w:r>
      <w:r>
        <w:rPr>
          <w:rFonts w:ascii="Times New Roman" w:eastAsia="Times New Roman" w:hAnsi="Times New Roman" w:cs="Times New Roman"/>
          <w:noProof/>
          <w:sz w:val="23"/>
          <w:szCs w:val="23"/>
          <w:lang w:eastAsia="en-GB"/>
        </w:rPr>
        <w:t xml:space="preserve">and (iv) strengthening </w:t>
      </w:r>
      <w:r>
        <w:rPr>
          <w:rFonts w:ascii="Times New Roman" w:eastAsia="Times New Roman" w:hAnsi="Times New Roman" w:cs="Times New Roman"/>
          <w:b/>
          <w:bCs/>
          <w:noProof/>
          <w:sz w:val="23"/>
          <w:szCs w:val="23"/>
          <w:lang w:val="en-US" w:eastAsia="en-GB"/>
        </w:rPr>
        <w:t>teacher training</w:t>
      </w:r>
      <w:r>
        <w:rPr>
          <w:rFonts w:ascii="Times New Roman" w:eastAsia="Times New Roman" w:hAnsi="Times New Roman" w:cs="Times New Roman"/>
          <w:bCs/>
          <w:noProof/>
          <w:sz w:val="23"/>
          <w:szCs w:val="23"/>
          <w:lang w:val="en-US" w:eastAsia="en-GB"/>
        </w:rPr>
        <w:t>,</w:t>
      </w:r>
      <w:r>
        <w:rPr>
          <w:rFonts w:ascii="Times New Roman" w:eastAsia="Times New Roman" w:hAnsi="Times New Roman" w:cs="Times New Roman"/>
          <w:noProof/>
          <w:sz w:val="23"/>
          <w:szCs w:val="23"/>
          <w:lang w:val="en-US" w:eastAsia="en-GB"/>
        </w:rPr>
        <w:t xml:space="preserve"> exchanging best practice and support the introduction of modern curricula and teaching and learning practices. The </w:t>
      </w:r>
      <w:r>
        <w:rPr>
          <w:rFonts w:ascii="Times New Roman" w:eastAsia="Times New Roman" w:hAnsi="Times New Roman" w:cs="Times New Roman"/>
          <w:b/>
          <w:bCs/>
          <w:noProof/>
          <w:sz w:val="23"/>
          <w:szCs w:val="23"/>
          <w:lang w:val="en-US" w:eastAsia="en-GB"/>
        </w:rPr>
        <w:t>Erasmus+ programme</w:t>
      </w:r>
      <w:r>
        <w:rPr>
          <w:rFonts w:ascii="Times New Roman" w:eastAsia="Times New Roman" w:hAnsi="Times New Roman" w:cs="Times New Roman"/>
          <w:bCs/>
          <w:noProof/>
          <w:sz w:val="23"/>
          <w:szCs w:val="23"/>
          <w:lang w:val="en-US" w:eastAsia="en-GB"/>
        </w:rPr>
        <w:t>,</w:t>
      </w:r>
      <w:r>
        <w:rPr>
          <w:rFonts w:ascii="Times New Roman" w:eastAsia="Times New Roman" w:hAnsi="Times New Roman" w:cs="Times New Roman"/>
          <w:noProof/>
          <w:sz w:val="23"/>
          <w:szCs w:val="23"/>
          <w:lang w:val="en-US" w:eastAsia="en-GB"/>
        </w:rPr>
        <w:t xml:space="preserve"> as a key component of EU support to the modernisation and internationalisation of education and training systems,</w:t>
      </w:r>
      <w:r>
        <w:rPr>
          <w:rFonts w:ascii="Times New Roman" w:eastAsia="Times New Roman" w:hAnsi="Times New Roman" w:cs="Times New Roman"/>
          <w:bCs/>
          <w:noProof/>
          <w:sz w:val="23"/>
          <w:szCs w:val="23"/>
          <w:lang w:val="en-US" w:eastAsia="en-GB"/>
        </w:rPr>
        <w:t xml:space="preserve"> </w:t>
      </w:r>
      <w:r>
        <w:rPr>
          <w:rFonts w:ascii="Times New Roman" w:eastAsia="Times New Roman" w:hAnsi="Times New Roman" w:cs="Times New Roman"/>
          <w:noProof/>
          <w:sz w:val="23"/>
          <w:szCs w:val="23"/>
          <w:lang w:eastAsia="en-GB"/>
        </w:rPr>
        <w:t xml:space="preserve">will provide greater mobility and capacity building opportunities in formal and non-formal education. </w:t>
      </w:r>
      <w:r>
        <w:rPr>
          <w:rFonts w:ascii="Times New Roman" w:eastAsia="Times New Roman" w:hAnsi="Times New Roman" w:cs="Times New Roman"/>
          <w:noProof/>
          <w:sz w:val="23"/>
          <w:szCs w:val="23"/>
          <w:lang w:val="en-US" w:eastAsia="en-GB"/>
        </w:rPr>
        <w:t>Participation in t</w:t>
      </w:r>
      <w:r>
        <w:rPr>
          <w:rFonts w:ascii="Times New Roman" w:eastAsia="Times New Roman" w:hAnsi="Times New Roman" w:cs="Times New Roman"/>
          <w:noProof/>
          <w:sz w:val="23"/>
          <w:szCs w:val="23"/>
          <w:lang w:eastAsia="en-GB"/>
        </w:rPr>
        <w:t xml:space="preserve">he </w:t>
      </w:r>
      <w:r>
        <w:rPr>
          <w:rFonts w:ascii="Times New Roman" w:eastAsia="Times New Roman" w:hAnsi="Times New Roman" w:cs="Times New Roman"/>
          <w:b/>
          <w:bCs/>
          <w:noProof/>
          <w:sz w:val="23"/>
          <w:szCs w:val="23"/>
          <w:lang w:eastAsia="en-GB"/>
        </w:rPr>
        <w:t>European Solidarity Corps</w:t>
      </w:r>
      <w:r>
        <w:rPr>
          <w:rFonts w:ascii="Times New Roman" w:eastAsia="Times New Roman" w:hAnsi="Times New Roman" w:cs="Times New Roman"/>
          <w:noProof/>
          <w:sz w:val="23"/>
          <w:szCs w:val="23"/>
          <w:lang w:eastAsia="en-GB"/>
        </w:rPr>
        <w:t xml:space="preserve"> will allow young people to volunteer or work in projects that benefit communities and people around Europe. </w:t>
      </w:r>
      <w:r>
        <w:rPr>
          <w:rFonts w:ascii="Times New Roman" w:eastAsia="Times New Roman" w:hAnsi="Times New Roman" w:cs="Times New Roman"/>
          <w:noProof/>
          <w:sz w:val="23"/>
          <w:szCs w:val="23"/>
          <w:lang w:val="en-IE" w:eastAsia="en-GB"/>
        </w:rPr>
        <w:t xml:space="preserve">The flagship </w:t>
      </w:r>
      <w:r>
        <w:rPr>
          <w:rFonts w:ascii="Times New Roman" w:eastAsia="Times New Roman" w:hAnsi="Times New Roman" w:cs="Times New Roman"/>
          <w:b/>
          <w:bCs/>
          <w:noProof/>
          <w:sz w:val="23"/>
          <w:szCs w:val="23"/>
          <w:lang w:eastAsia="en-GB"/>
        </w:rPr>
        <w:t xml:space="preserve">European School </w:t>
      </w:r>
      <w:r>
        <w:rPr>
          <w:rFonts w:ascii="Times New Roman" w:eastAsia="Times New Roman" w:hAnsi="Times New Roman" w:cs="Times New Roman"/>
          <w:bCs/>
          <w:noProof/>
          <w:sz w:val="23"/>
          <w:szCs w:val="23"/>
          <w:lang w:eastAsia="en-GB"/>
        </w:rPr>
        <w:t>in</w:t>
      </w:r>
      <w:r>
        <w:rPr>
          <w:rFonts w:ascii="Times New Roman" w:eastAsia="Times New Roman" w:hAnsi="Times New Roman" w:cs="Times New Roman"/>
          <w:b/>
          <w:bCs/>
          <w:noProof/>
          <w:sz w:val="23"/>
          <w:szCs w:val="23"/>
          <w:lang w:eastAsia="en-GB"/>
        </w:rPr>
        <w:t xml:space="preserve"> Georgia </w:t>
      </w:r>
      <w:r>
        <w:rPr>
          <w:rFonts w:ascii="Times New Roman" w:eastAsia="Times New Roman" w:hAnsi="Times New Roman" w:cs="Times New Roman"/>
          <w:bCs/>
          <w:noProof/>
          <w:sz w:val="23"/>
          <w:szCs w:val="23"/>
          <w:lang w:eastAsia="en-GB"/>
        </w:rPr>
        <w:t xml:space="preserve">will </w:t>
      </w:r>
      <w:r>
        <w:rPr>
          <w:rFonts w:ascii="Times New Roman" w:eastAsia="Times New Roman" w:hAnsi="Times New Roman" w:cs="Times New Roman"/>
          <w:noProof/>
          <w:sz w:val="23"/>
          <w:szCs w:val="23"/>
          <w:lang w:eastAsia="en-GB"/>
        </w:rPr>
        <w:t xml:space="preserve">become a full secondary school in new premises. </w:t>
      </w:r>
    </w:p>
    <w:p>
      <w:pPr>
        <w:spacing w:after="240" w:line="240" w:lineRule="auto"/>
        <w:jc w:val="both"/>
        <w:rPr>
          <w:rFonts w:ascii="Times New Roman" w:eastAsia="Times New Roman" w:hAnsi="Times New Roman" w:cs="Times New Roman"/>
          <w:b/>
          <w:bCs/>
          <w:noProof/>
          <w:sz w:val="23"/>
          <w:szCs w:val="23"/>
          <w:lang w:eastAsia="en-GB"/>
        </w:rPr>
      </w:pPr>
      <w:r>
        <w:rPr>
          <w:rFonts w:ascii="Times New Roman" w:eastAsia="Times New Roman" w:hAnsi="Times New Roman" w:cs="Times New Roman"/>
          <w:b/>
          <w:noProof/>
          <w:sz w:val="23"/>
          <w:szCs w:val="23"/>
          <w:lang w:val="en-US" w:eastAsia="en-GB"/>
        </w:rPr>
        <w:t>Research and innovation</w:t>
      </w:r>
      <w:r>
        <w:rPr>
          <w:rFonts w:ascii="Times New Roman" w:eastAsia="Times New Roman" w:hAnsi="Times New Roman" w:cs="Times New Roman"/>
          <w:noProof/>
          <w:sz w:val="23"/>
          <w:szCs w:val="23"/>
          <w:lang w:val="en-US" w:eastAsia="en-GB"/>
        </w:rPr>
        <w:t xml:space="preserve"> are crucial for creating decent and sustainable jobs. The EU will continue to support and strengthen </w:t>
      </w:r>
      <w:r>
        <w:rPr>
          <w:rFonts w:ascii="Times New Roman" w:eastAsia="Times New Roman" w:hAnsi="Times New Roman" w:cs="Times New Roman"/>
          <w:bCs/>
          <w:noProof/>
          <w:sz w:val="23"/>
          <w:szCs w:val="23"/>
          <w:lang w:eastAsia="en-GB"/>
        </w:rPr>
        <w:t xml:space="preserve">the </w:t>
      </w:r>
      <w:r>
        <w:rPr>
          <w:rFonts w:ascii="Times New Roman" w:eastAsia="Times New Roman" w:hAnsi="Times New Roman" w:cs="Times New Roman"/>
          <w:b/>
          <w:bCs/>
          <w:noProof/>
          <w:sz w:val="23"/>
          <w:szCs w:val="23"/>
          <w:lang w:eastAsia="en-GB"/>
        </w:rPr>
        <w:t>smart specialisation</w:t>
      </w:r>
      <w:r>
        <w:rPr>
          <w:rFonts w:ascii="Times New Roman" w:eastAsia="Times New Roman" w:hAnsi="Times New Roman" w:cs="Times New Roman"/>
          <w:bCs/>
          <w:noProof/>
          <w:sz w:val="23"/>
          <w:szCs w:val="23"/>
          <w:lang w:eastAsia="en-GB"/>
        </w:rPr>
        <w:t>,</w:t>
      </w:r>
      <w:r>
        <w:rPr>
          <w:rFonts w:ascii="Times New Roman" w:eastAsia="Times New Roman" w:hAnsi="Times New Roman" w:cs="Times New Roman"/>
          <w:b/>
          <w:bCs/>
          <w:noProof/>
          <w:sz w:val="23"/>
          <w:szCs w:val="23"/>
          <w:lang w:eastAsia="en-GB"/>
        </w:rPr>
        <w:t xml:space="preserve"> technology transfer and innovative capacities </w:t>
      </w:r>
      <w:r>
        <w:rPr>
          <w:rFonts w:ascii="Times New Roman" w:eastAsia="Times New Roman" w:hAnsi="Times New Roman" w:cs="Times New Roman"/>
          <w:bCs/>
          <w:noProof/>
          <w:sz w:val="23"/>
          <w:szCs w:val="23"/>
          <w:lang w:eastAsia="en-GB"/>
        </w:rPr>
        <w:t xml:space="preserve">of the partner countries </w:t>
      </w:r>
      <w:r>
        <w:rPr>
          <w:rFonts w:ascii="Times New Roman" w:eastAsia="Times New Roman" w:hAnsi="Times New Roman" w:cs="Times New Roman"/>
          <w:noProof/>
          <w:sz w:val="23"/>
          <w:szCs w:val="23"/>
          <w:lang w:val="en-US" w:eastAsia="en-GB"/>
        </w:rPr>
        <w:t xml:space="preserve">as well as their increased participation in EU programmes such as Horizon Europe and COSME. National public research and innovation systems need to improve in performance and competitiveness, including by continuing </w:t>
      </w:r>
      <w:r>
        <w:rPr>
          <w:rFonts w:ascii="Times New Roman" w:eastAsia="Times New Roman" w:hAnsi="Times New Roman" w:cs="Times New Roman"/>
          <w:b/>
          <w:noProof/>
          <w:sz w:val="23"/>
          <w:szCs w:val="23"/>
          <w:lang w:val="en-US" w:eastAsia="en-GB"/>
        </w:rPr>
        <w:t>reforms</w:t>
      </w:r>
      <w:r>
        <w:rPr>
          <w:rFonts w:ascii="Times New Roman" w:eastAsia="Times New Roman" w:hAnsi="Times New Roman" w:cs="Times New Roman"/>
          <w:noProof/>
          <w:sz w:val="23"/>
          <w:szCs w:val="23"/>
          <w:lang w:val="en-US" w:eastAsia="en-GB"/>
        </w:rPr>
        <w:t xml:space="preserve">. The development of a </w:t>
      </w:r>
      <w:r>
        <w:rPr>
          <w:rFonts w:ascii="Times New Roman" w:eastAsia="Times New Roman" w:hAnsi="Times New Roman" w:cs="Times New Roman"/>
          <w:b/>
          <w:noProof/>
          <w:sz w:val="23"/>
          <w:szCs w:val="23"/>
          <w:lang w:val="en-US" w:eastAsia="en-GB"/>
        </w:rPr>
        <w:t>common knowledge and innovation space</w:t>
      </w:r>
      <w:r>
        <w:rPr>
          <w:rFonts w:ascii="Times New Roman" w:eastAsia="Times New Roman" w:hAnsi="Times New Roman" w:cs="Times New Roman"/>
          <w:noProof/>
          <w:sz w:val="23"/>
          <w:szCs w:val="23"/>
          <w:lang w:val="en-US" w:eastAsia="en-GB"/>
        </w:rPr>
        <w:t xml:space="preserve"> between the EU and the partner countries should be fostered, using scientific evidence to create knowledge-based jobs and attract investors to innovative businesses in the EU and the neighbourhood. </w:t>
      </w:r>
      <w:r>
        <w:rPr>
          <w:rFonts w:ascii="Times New Roman" w:eastAsia="Times New Roman" w:hAnsi="Times New Roman" w:cs="Times New Roman"/>
          <w:noProof/>
          <w:sz w:val="23"/>
          <w:szCs w:val="23"/>
          <w:lang w:eastAsia="en-GB"/>
        </w:rPr>
        <w:t xml:space="preserve">Research, innovation and transfer of knowledge are also key to modernisation of agriculture, a vital sector for a large part of the population in the EaP. </w:t>
      </w:r>
      <w:r>
        <w:rPr>
          <w:rFonts w:ascii="Times New Roman" w:eastAsia="Times New Roman" w:hAnsi="Times New Roman" w:cs="Times New Roman"/>
          <w:noProof/>
          <w:sz w:val="23"/>
          <w:szCs w:val="23"/>
          <w:lang w:val="en-US" w:eastAsia="en-GB"/>
        </w:rPr>
        <w:t xml:space="preserve">As one of the EU’s main priorities for the future is to deliver under the </w:t>
      </w:r>
      <w:r>
        <w:rPr>
          <w:rFonts w:ascii="Times New Roman" w:eastAsia="Times New Roman" w:hAnsi="Times New Roman" w:cs="Times New Roman"/>
          <w:b/>
          <w:noProof/>
          <w:sz w:val="23"/>
          <w:szCs w:val="23"/>
          <w:lang w:val="en-US" w:eastAsia="en-GB"/>
        </w:rPr>
        <w:t>European Green Deal</w:t>
      </w:r>
      <w:r>
        <w:rPr>
          <w:rFonts w:ascii="Times New Roman" w:eastAsia="Times New Roman" w:hAnsi="Times New Roman" w:cs="Times New Roman"/>
          <w:noProof/>
          <w:sz w:val="23"/>
          <w:szCs w:val="23"/>
          <w:lang w:val="en-US" w:eastAsia="en-GB"/>
        </w:rPr>
        <w:t>, notably to become the world’s first climate-neutral continent, the partner countries are encouraged to identify R&amp;I priorities linked to climate change mitigation and adaptation, and build new innovative and sustainable value chains. Joint commitments to address these priorities will be encouraged, along with definition of a strategy to make solutions available for rapid deployment.</w:t>
      </w:r>
    </w:p>
    <w:p>
      <w:pPr>
        <w:spacing w:after="240" w:line="240" w:lineRule="auto"/>
        <w:jc w:val="both"/>
        <w:rPr>
          <w:rFonts w:ascii="Times New Roman" w:eastAsia="Times New Roman" w:hAnsi="Times New Roman" w:cs="Times New Roman"/>
          <w:noProof/>
          <w:sz w:val="23"/>
          <w:szCs w:val="23"/>
          <w:lang w:val="en-US" w:eastAsia="en-GB"/>
        </w:rPr>
      </w:pPr>
      <w:r>
        <w:rPr>
          <w:rFonts w:ascii="Times New Roman" w:eastAsia="Times New Roman" w:hAnsi="Times New Roman" w:cs="Times New Roman"/>
          <w:noProof/>
          <w:sz w:val="23"/>
          <w:szCs w:val="23"/>
          <w:lang w:val="en-US" w:eastAsia="en-GB"/>
        </w:rPr>
        <w:t xml:space="preserve">Furthermore, the EU will support countries maximise the potential of their </w:t>
      </w:r>
      <w:r>
        <w:rPr>
          <w:rFonts w:ascii="Times New Roman" w:hAnsi="Times New Roman" w:cs="Times New Roman"/>
          <w:b/>
          <w:bCs/>
          <w:noProof/>
          <w:sz w:val="23"/>
          <w:szCs w:val="23"/>
          <w:lang w:val="en-US" w:eastAsia="en-GB"/>
        </w:rPr>
        <w:t>culture and creative industries</w:t>
      </w:r>
      <w:r>
        <w:rPr>
          <w:rFonts w:ascii="Times New Roman" w:eastAsia="Times New Roman" w:hAnsi="Times New Roman" w:cs="Times New Roman"/>
          <w:noProof/>
          <w:sz w:val="23"/>
          <w:szCs w:val="23"/>
          <w:lang w:val="en-US" w:eastAsia="en-GB"/>
        </w:rPr>
        <w:t xml:space="preserve">, </w:t>
      </w:r>
      <w:r>
        <w:rPr>
          <w:rFonts w:ascii="Times New Roman" w:hAnsi="Times New Roman" w:cs="Times New Roman"/>
          <w:noProof/>
          <w:sz w:val="23"/>
          <w:szCs w:val="23"/>
          <w:lang w:val="en-US" w:eastAsia="en-GB"/>
        </w:rPr>
        <w:t>as engines for sustainable social and economic development. The EU</w:t>
      </w:r>
      <w:r>
        <w:rPr>
          <w:rFonts w:ascii="Times New Roman" w:eastAsia="Times New Roman" w:hAnsi="Times New Roman" w:cs="Times New Roman"/>
          <w:noProof/>
          <w:sz w:val="23"/>
          <w:szCs w:val="23"/>
          <w:lang w:val="en-US" w:eastAsia="en-GB"/>
        </w:rPr>
        <w:t xml:space="preserve"> will promote </w:t>
      </w:r>
      <w:r>
        <w:rPr>
          <w:rFonts w:ascii="Times New Roman" w:hAnsi="Times New Roman" w:cs="Times New Roman"/>
          <w:noProof/>
          <w:sz w:val="23"/>
          <w:szCs w:val="23"/>
          <w:lang w:val="en-US" w:eastAsia="en-GB"/>
        </w:rPr>
        <w:t>the key role of culture to build openness and promote European values, and to foster intercultural dialogue</w:t>
      </w:r>
      <w:r>
        <w:rPr>
          <w:rFonts w:ascii="Times New Roman" w:eastAsia="Times New Roman" w:hAnsi="Times New Roman" w:cs="Times New Roman"/>
          <w:noProof/>
          <w:sz w:val="23"/>
          <w:szCs w:val="23"/>
          <w:lang w:val="en-US" w:eastAsia="en-GB"/>
        </w:rPr>
        <w:t xml:space="preserve"> for peaceful inter-community relations, and will reinforce cooperation in cultural heritage and creative industries including the audio-visual sector.</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lang w:eastAsia="en-GB"/>
        </w:rPr>
      </w:pPr>
      <w:r>
        <w:rPr>
          <w:rFonts w:ascii="Times New Roman" w:eastAsia="Times New Roman" w:hAnsi="Times New Roman" w:cs="Times New Roman"/>
          <w:b/>
          <w:noProof/>
          <w:sz w:val="23"/>
          <w:szCs w:val="23"/>
          <w:lang w:eastAsia="en-GB"/>
        </w:rPr>
        <w:t>4.</w:t>
      </w:r>
      <w:r>
        <w:rPr>
          <w:rFonts w:ascii="Times New Roman" w:eastAsia="Times New Roman" w:hAnsi="Times New Roman" w:cs="Times New Roman"/>
          <w:b/>
          <w:noProof/>
          <w:sz w:val="23"/>
          <w:szCs w:val="23"/>
          <w:lang w:val="en-IE" w:eastAsia="en-GB"/>
        </w:rPr>
        <w:t>2</w:t>
      </w:r>
      <w:r>
        <w:rPr>
          <w:rFonts w:ascii="Times New Roman" w:eastAsia="Times New Roman" w:hAnsi="Times New Roman" w:cs="Times New Roman"/>
          <w:b/>
          <w:noProof/>
          <w:sz w:val="23"/>
          <w:szCs w:val="23"/>
          <w:lang w:eastAsia="en-GB"/>
        </w:rPr>
        <w:t xml:space="preserve"> Together for accountable institutions, the rule of law, and security</w:t>
      </w:r>
    </w:p>
    <w:p>
      <w:pPr>
        <w:spacing w:after="240" w:line="240" w:lineRule="auto"/>
        <w:jc w:val="both"/>
        <w:rPr>
          <w:rFonts w:ascii="Times New Roman" w:eastAsia="Times New Roman" w:hAnsi="Times New Roman" w:cs="Times New Roman"/>
          <w:noProof/>
          <w:sz w:val="23"/>
          <w:szCs w:val="23"/>
          <w:lang w:val="en-US" w:eastAsia="en-GB"/>
        </w:rPr>
      </w:pPr>
      <w:r>
        <w:rPr>
          <w:rFonts w:ascii="Times New Roman" w:eastAsia="Times New Roman" w:hAnsi="Times New Roman" w:cs="Times New Roman"/>
          <w:b/>
          <w:noProof/>
          <w:sz w:val="23"/>
          <w:szCs w:val="23"/>
          <w:lang w:val="en-US" w:eastAsia="en-GB"/>
        </w:rPr>
        <w:t>Good governance</w:t>
      </w:r>
      <w:r>
        <w:rPr>
          <w:rFonts w:ascii="Times New Roman" w:eastAsia="Times New Roman" w:hAnsi="Times New Roman" w:cs="Times New Roman"/>
          <w:bCs/>
          <w:noProof/>
          <w:sz w:val="23"/>
          <w:szCs w:val="23"/>
          <w:lang w:val="en-US" w:eastAsia="en-GB"/>
        </w:rPr>
        <w:t xml:space="preserve"> and </w:t>
      </w:r>
      <w:r>
        <w:rPr>
          <w:rFonts w:ascii="Times New Roman" w:eastAsia="Times New Roman" w:hAnsi="Times New Roman" w:cs="Times New Roman"/>
          <w:b/>
          <w:bCs/>
          <w:noProof/>
          <w:sz w:val="23"/>
          <w:szCs w:val="23"/>
          <w:lang w:val="en-US" w:eastAsia="en-GB"/>
        </w:rPr>
        <w:t>democratic institutions</w:t>
      </w:r>
      <w:r>
        <w:rPr>
          <w:rFonts w:ascii="Times New Roman" w:eastAsia="Times New Roman" w:hAnsi="Times New Roman" w:cs="Times New Roman"/>
          <w:noProof/>
          <w:sz w:val="23"/>
          <w:szCs w:val="23"/>
          <w:lang w:val="en-US" w:eastAsia="en-GB"/>
        </w:rPr>
        <w:t xml:space="preserve">, </w:t>
      </w:r>
      <w:r>
        <w:rPr>
          <w:rFonts w:ascii="Times New Roman" w:eastAsia="Times New Roman" w:hAnsi="Times New Roman" w:cs="Times New Roman"/>
          <w:b/>
          <w:bCs/>
          <w:noProof/>
          <w:sz w:val="23"/>
          <w:szCs w:val="23"/>
          <w:lang w:val="en-US" w:eastAsia="en-GB"/>
        </w:rPr>
        <w:t xml:space="preserve">rule of law, </w:t>
      </w:r>
      <w:r>
        <w:rPr>
          <w:rFonts w:ascii="Times New Roman" w:eastAsia="Times New Roman" w:hAnsi="Times New Roman" w:cs="Times New Roman"/>
          <w:bCs/>
          <w:noProof/>
          <w:sz w:val="23"/>
          <w:szCs w:val="23"/>
          <w:lang w:val="en-US" w:eastAsia="en-GB"/>
        </w:rPr>
        <w:t>successful</w:t>
      </w:r>
      <w:r>
        <w:rPr>
          <w:rFonts w:ascii="Times New Roman" w:eastAsia="Times New Roman" w:hAnsi="Times New Roman" w:cs="Times New Roman"/>
          <w:b/>
          <w:bCs/>
          <w:noProof/>
          <w:sz w:val="23"/>
          <w:szCs w:val="23"/>
          <w:lang w:val="en-US" w:eastAsia="en-GB"/>
        </w:rPr>
        <w:t xml:space="preserve"> anti-corruption policies, fight against organised crime</w:t>
      </w:r>
      <w:r>
        <w:rPr>
          <w:rFonts w:ascii="Times New Roman" w:eastAsia="Times New Roman" w:hAnsi="Times New Roman" w:cs="Times New Roman"/>
          <w:bCs/>
          <w:noProof/>
          <w:sz w:val="23"/>
          <w:szCs w:val="23"/>
          <w:lang w:val="en-US" w:eastAsia="en-GB"/>
        </w:rPr>
        <w:t xml:space="preserve">, </w:t>
      </w:r>
      <w:r>
        <w:rPr>
          <w:rFonts w:ascii="Times New Roman" w:eastAsia="Times New Roman" w:hAnsi="Times New Roman" w:cs="Times New Roman"/>
          <w:noProof/>
          <w:sz w:val="23"/>
          <w:szCs w:val="23"/>
          <w:lang w:val="en-US" w:eastAsia="en-GB"/>
        </w:rPr>
        <w:t xml:space="preserve">respect of </w:t>
      </w:r>
      <w:r>
        <w:rPr>
          <w:rFonts w:ascii="Times New Roman" w:eastAsia="Times New Roman" w:hAnsi="Times New Roman" w:cs="Times New Roman"/>
          <w:b/>
          <w:noProof/>
          <w:sz w:val="23"/>
          <w:szCs w:val="23"/>
          <w:lang w:val="en-US" w:eastAsia="en-GB"/>
        </w:rPr>
        <w:t xml:space="preserve">human rights </w:t>
      </w:r>
      <w:r>
        <w:rPr>
          <w:rFonts w:ascii="Times New Roman" w:eastAsia="Times New Roman" w:hAnsi="Times New Roman" w:cs="Times New Roman"/>
          <w:noProof/>
          <w:sz w:val="23"/>
          <w:szCs w:val="23"/>
          <w:lang w:val="en-US" w:eastAsia="en-GB"/>
        </w:rPr>
        <w:t xml:space="preserve">and </w:t>
      </w:r>
      <w:r>
        <w:rPr>
          <w:rFonts w:ascii="Times New Roman" w:eastAsia="Times New Roman" w:hAnsi="Times New Roman" w:cs="Times New Roman"/>
          <w:b/>
          <w:noProof/>
          <w:sz w:val="23"/>
          <w:szCs w:val="23"/>
          <w:lang w:val="en-US" w:eastAsia="en-GB"/>
        </w:rPr>
        <w:t>security</w:t>
      </w:r>
      <w:r>
        <w:rPr>
          <w:rFonts w:ascii="Times New Roman" w:eastAsia="Times New Roman" w:hAnsi="Times New Roman" w:cs="Times New Roman"/>
          <w:noProof/>
          <w:sz w:val="23"/>
          <w:szCs w:val="23"/>
          <w:lang w:val="en-US" w:eastAsia="en-GB"/>
        </w:rPr>
        <w:t>, including support to populations affected by conflict,</w:t>
      </w:r>
      <w:r>
        <w:rPr>
          <w:rFonts w:ascii="Times New Roman" w:eastAsia="Times New Roman" w:hAnsi="Times New Roman" w:cs="Times New Roman"/>
          <w:bCs/>
          <w:noProof/>
          <w:sz w:val="23"/>
          <w:szCs w:val="23"/>
          <w:lang w:val="en-US" w:eastAsia="en-GB"/>
        </w:rPr>
        <w:t xml:space="preserve"> are the </w:t>
      </w:r>
      <w:r>
        <w:rPr>
          <w:rFonts w:ascii="Times New Roman" w:eastAsia="Times New Roman" w:hAnsi="Times New Roman" w:cs="Times New Roman"/>
          <w:b/>
          <w:noProof/>
          <w:sz w:val="23"/>
          <w:szCs w:val="23"/>
          <w:lang w:val="en-US" w:eastAsia="en-GB"/>
        </w:rPr>
        <w:t>backbone of strong and resilient states and societies</w:t>
      </w:r>
      <w:r>
        <w:rPr>
          <w:rFonts w:ascii="Times New Roman" w:eastAsia="Times New Roman" w:hAnsi="Times New Roman" w:cs="Times New Roman"/>
          <w:noProof/>
          <w:sz w:val="23"/>
          <w:szCs w:val="23"/>
          <w:lang w:val="en-US" w:eastAsia="en-GB"/>
        </w:rPr>
        <w:t>.</w:t>
      </w:r>
      <w:r>
        <w:rPr>
          <w:rFonts w:ascii="Times New Roman" w:hAnsi="Times New Roman" w:cs="Times New Roman"/>
          <w:noProof/>
        </w:rPr>
        <w:t xml:space="preserve"> </w:t>
      </w:r>
      <w:r>
        <w:rPr>
          <w:rFonts w:ascii="Times New Roman" w:eastAsia="Times New Roman" w:hAnsi="Times New Roman" w:cs="Times New Roman"/>
          <w:noProof/>
          <w:sz w:val="23"/>
          <w:szCs w:val="23"/>
          <w:lang w:val="en-US" w:eastAsia="en-GB"/>
        </w:rPr>
        <w:t xml:space="preserve">They are also significant </w:t>
      </w:r>
      <w:r>
        <w:rPr>
          <w:rFonts w:ascii="Times New Roman" w:eastAsia="Times New Roman" w:hAnsi="Times New Roman" w:cs="Times New Roman"/>
          <w:b/>
          <w:noProof/>
          <w:sz w:val="23"/>
          <w:szCs w:val="23"/>
          <w:lang w:val="en-US" w:eastAsia="en-GB"/>
        </w:rPr>
        <w:t>preconditions for a functioning market economy</w:t>
      </w:r>
      <w:r>
        <w:rPr>
          <w:rFonts w:ascii="Times New Roman" w:eastAsia="Times New Roman" w:hAnsi="Times New Roman" w:cs="Times New Roman"/>
          <w:noProof/>
          <w:sz w:val="23"/>
          <w:szCs w:val="23"/>
          <w:lang w:val="en-US" w:eastAsia="en-GB"/>
        </w:rPr>
        <w:t xml:space="preserve"> and for </w:t>
      </w:r>
      <w:r>
        <w:rPr>
          <w:rFonts w:ascii="Times New Roman" w:eastAsia="Times New Roman" w:hAnsi="Times New Roman" w:cs="Times New Roman"/>
          <w:b/>
          <w:noProof/>
          <w:sz w:val="23"/>
          <w:szCs w:val="23"/>
          <w:lang w:val="en-US" w:eastAsia="en-GB"/>
        </w:rPr>
        <w:t>sustainable growth</w:t>
      </w:r>
      <w:r>
        <w:rPr>
          <w:rFonts w:ascii="Times New Roman" w:hAnsi="Times New Roman" w:cs="Times New Roman"/>
          <w:noProof/>
        </w:rPr>
        <w:t xml:space="preserve">. </w:t>
      </w:r>
      <w:r>
        <w:rPr>
          <w:rFonts w:ascii="Times New Roman" w:eastAsia="Times New Roman" w:hAnsi="Times New Roman" w:cs="Times New Roman"/>
          <w:noProof/>
          <w:sz w:val="23"/>
          <w:szCs w:val="23"/>
          <w:lang w:val="en-US" w:eastAsia="en-GB"/>
        </w:rPr>
        <w:t>In particular, rule of law is a key factor in ensuring an effective business climate and an important consideration in attracting foreign direct investment.</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Looking ahead, there needs to be a renewed commitment to the fundamentals of the partnership in order to build on the achievements to date. In particular, the EU’s support for resilient institutions, rule of law and security will include: (i) proposing ways to better measure the impact of judicial reforms; (ii) consider progress in rule of law reforms when deciding on assistance; (iii) reinvigorating EU support for fighting corruption and economic crime; (iv) improving cross-border cooperation to better protect people against organised crime; and (v) stepping up support for security dialogues and cooperation.</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4.2.1 Judicial reforms</w:t>
      </w:r>
    </w:p>
    <w:p>
      <w:pPr>
        <w:autoSpaceDE w:val="0"/>
        <w:autoSpaceDN w:val="0"/>
        <w:adjustRightInd w:val="0"/>
        <w:spacing w:after="240" w:line="240" w:lineRule="auto"/>
        <w:jc w:val="both"/>
        <w:rPr>
          <w:rFonts w:ascii="Times New Roman" w:hAnsi="Times New Roman" w:cs="Times New Roman"/>
          <w:noProof/>
          <w:color w:val="000000"/>
          <w:sz w:val="23"/>
          <w:szCs w:val="23"/>
          <w:lang w:val="en-IE" w:eastAsia="en-GB"/>
        </w:rPr>
      </w:pPr>
      <w:r>
        <w:rPr>
          <w:rFonts w:ascii="Times New Roman" w:hAnsi="Times New Roman" w:cs="Times New Roman"/>
          <w:noProof/>
          <w:color w:val="000000"/>
          <w:sz w:val="23"/>
          <w:szCs w:val="23"/>
          <w:lang w:val="en-IE" w:eastAsia="en-GB"/>
        </w:rPr>
        <w:t xml:space="preserve">Future reforms should be based on alignment with </w:t>
      </w:r>
      <w:r>
        <w:rPr>
          <w:rFonts w:ascii="Times New Roman" w:hAnsi="Times New Roman" w:cs="Times New Roman"/>
          <w:b/>
          <w:noProof/>
          <w:color w:val="000000"/>
          <w:sz w:val="23"/>
          <w:szCs w:val="23"/>
          <w:lang w:val="en-IE" w:eastAsia="en-GB"/>
        </w:rPr>
        <w:t>European standards</w:t>
      </w:r>
      <w:r>
        <w:rPr>
          <w:rFonts w:ascii="Times New Roman" w:hAnsi="Times New Roman" w:cs="Times New Roman"/>
          <w:noProof/>
          <w:color w:val="000000"/>
          <w:sz w:val="23"/>
          <w:szCs w:val="23"/>
          <w:lang w:val="en-IE" w:eastAsia="en-GB"/>
        </w:rPr>
        <w:t xml:space="preserve">. There should be a </w:t>
      </w:r>
      <w:r>
        <w:rPr>
          <w:rFonts w:ascii="Times New Roman" w:hAnsi="Times New Roman" w:cs="Times New Roman"/>
          <w:b/>
          <w:noProof/>
          <w:color w:val="000000"/>
          <w:sz w:val="23"/>
          <w:szCs w:val="23"/>
          <w:lang w:val="en-IE" w:eastAsia="en-GB"/>
        </w:rPr>
        <w:t>holistic approach</w:t>
      </w:r>
      <w:r>
        <w:rPr>
          <w:rFonts w:ascii="Times New Roman" w:hAnsi="Times New Roman" w:cs="Times New Roman"/>
          <w:noProof/>
          <w:color w:val="000000"/>
          <w:sz w:val="23"/>
          <w:szCs w:val="23"/>
          <w:lang w:val="en-IE" w:eastAsia="en-GB"/>
        </w:rPr>
        <w:t xml:space="preserve"> that covers prosecution and law enforcement services. The </w:t>
      </w:r>
      <w:r>
        <w:rPr>
          <w:rFonts w:ascii="Times New Roman" w:hAnsi="Times New Roman" w:cs="Times New Roman"/>
          <w:b/>
          <w:noProof/>
          <w:color w:val="000000"/>
          <w:sz w:val="23"/>
          <w:szCs w:val="23"/>
          <w:lang w:val="en-IE" w:eastAsia="en-GB"/>
        </w:rPr>
        <w:t>independence and accountability</w:t>
      </w:r>
      <w:r>
        <w:rPr>
          <w:rFonts w:ascii="Times New Roman" w:hAnsi="Times New Roman" w:cs="Times New Roman"/>
          <w:noProof/>
          <w:color w:val="000000"/>
          <w:sz w:val="23"/>
          <w:szCs w:val="23"/>
          <w:lang w:val="en-IE" w:eastAsia="en-GB"/>
        </w:rPr>
        <w:t xml:space="preserve"> of the judiciary and prosecution are essential, in a system of checks and balances, to ensure that all state institutions abide by the law and that citizens have access to justice and can exercise their rights fully.</w:t>
      </w:r>
    </w:p>
    <w:p>
      <w:pPr>
        <w:autoSpaceDE w:val="0"/>
        <w:autoSpaceDN w:val="0"/>
        <w:adjustRightInd w:val="0"/>
        <w:spacing w:after="240" w:line="240" w:lineRule="auto"/>
        <w:jc w:val="both"/>
        <w:rPr>
          <w:rFonts w:ascii="Times New Roman" w:hAnsi="Times New Roman" w:cs="Times New Roman"/>
          <w:noProof/>
          <w:color w:val="000000"/>
          <w:sz w:val="23"/>
          <w:szCs w:val="23"/>
          <w:lang w:val="en-IE" w:eastAsia="en-GB"/>
        </w:rPr>
      </w:pPr>
      <w:r>
        <w:rPr>
          <w:rFonts w:ascii="Times New Roman" w:hAnsi="Times New Roman" w:cs="Times New Roman"/>
          <w:noProof/>
          <w:color w:val="000000"/>
          <w:sz w:val="23"/>
          <w:szCs w:val="23"/>
          <w:lang w:val="en-IE" w:eastAsia="en-GB"/>
        </w:rPr>
        <w:t xml:space="preserve">The EU will encourage the </w:t>
      </w:r>
      <w:r>
        <w:rPr>
          <w:rFonts w:ascii="Times New Roman" w:hAnsi="Times New Roman" w:cs="Times New Roman"/>
          <w:b/>
          <w:noProof/>
          <w:color w:val="000000"/>
          <w:sz w:val="23"/>
          <w:szCs w:val="23"/>
          <w:lang w:val="en-IE" w:eastAsia="en-GB"/>
        </w:rPr>
        <w:t>active role of international institutions and experts</w:t>
      </w:r>
      <w:r>
        <w:rPr>
          <w:rFonts w:ascii="Times New Roman" w:hAnsi="Times New Roman" w:cs="Times New Roman"/>
          <w:noProof/>
          <w:color w:val="000000"/>
          <w:sz w:val="23"/>
          <w:szCs w:val="23"/>
          <w:lang w:val="en-IE" w:eastAsia="en-GB"/>
        </w:rPr>
        <w:t xml:space="preserve"> to support and legitimise reform processes and will look to its own expertise on rule of law issues. Reforms should be based on </w:t>
      </w:r>
      <w:r>
        <w:rPr>
          <w:rFonts w:ascii="Times New Roman" w:hAnsi="Times New Roman" w:cs="Times New Roman"/>
          <w:b/>
          <w:noProof/>
          <w:color w:val="000000"/>
          <w:sz w:val="23"/>
          <w:szCs w:val="23"/>
          <w:lang w:val="en-IE" w:eastAsia="en-GB"/>
        </w:rPr>
        <w:t>high quality reform strategies</w:t>
      </w:r>
      <w:r>
        <w:rPr>
          <w:rFonts w:ascii="Times New Roman" w:hAnsi="Times New Roman" w:cs="Times New Roman"/>
          <w:noProof/>
          <w:color w:val="000000"/>
          <w:sz w:val="23"/>
          <w:szCs w:val="23"/>
          <w:lang w:val="en-IE" w:eastAsia="en-GB"/>
        </w:rPr>
        <w:t xml:space="preserve"> that are based on first-rate diagnostics of the issues that need be addressed. There is a need for </w:t>
      </w:r>
      <w:r>
        <w:rPr>
          <w:rFonts w:ascii="Times New Roman" w:hAnsi="Times New Roman" w:cs="Times New Roman"/>
          <w:b/>
          <w:noProof/>
          <w:color w:val="000000"/>
          <w:sz w:val="23"/>
          <w:szCs w:val="23"/>
          <w:lang w:val="en-IE" w:eastAsia="en-GB"/>
        </w:rPr>
        <w:t>better measurement of the real results/impacts</w:t>
      </w:r>
      <w:r>
        <w:rPr>
          <w:rFonts w:ascii="Times New Roman" w:hAnsi="Times New Roman" w:cs="Times New Roman"/>
          <w:noProof/>
          <w:color w:val="000000"/>
          <w:sz w:val="23"/>
          <w:szCs w:val="23"/>
          <w:lang w:val="en-IE" w:eastAsia="en-GB"/>
        </w:rPr>
        <w:t xml:space="preserve"> of reforms and their perceptions by citizens. The EU will support increase the capacity of the relevant national institutions to deliver </w:t>
      </w:r>
      <w:r>
        <w:rPr>
          <w:rFonts w:ascii="Times New Roman" w:hAnsi="Times New Roman" w:cs="Times New Roman"/>
          <w:b/>
          <w:noProof/>
          <w:color w:val="000000"/>
          <w:sz w:val="23"/>
          <w:szCs w:val="23"/>
          <w:lang w:val="en-IE" w:eastAsia="en-GB"/>
        </w:rPr>
        <w:t>judicial training</w:t>
      </w:r>
      <w:r>
        <w:rPr>
          <w:rFonts w:ascii="Times New Roman" w:hAnsi="Times New Roman" w:cs="Times New Roman"/>
          <w:noProof/>
          <w:color w:val="000000"/>
          <w:sz w:val="23"/>
          <w:szCs w:val="23"/>
          <w:lang w:val="en-IE" w:eastAsia="en-GB"/>
        </w:rPr>
        <w:t xml:space="preserve"> on the values and rules that justice practitioners, such as judges and prosecutors, need to adhere to in their work.</w:t>
      </w:r>
    </w:p>
    <w:p>
      <w:pPr>
        <w:autoSpaceDE w:val="0"/>
        <w:autoSpaceDN w:val="0"/>
        <w:adjustRightInd w:val="0"/>
        <w:spacing w:after="240" w:line="240" w:lineRule="auto"/>
        <w:jc w:val="both"/>
        <w:rPr>
          <w:rFonts w:ascii="Times New Roman" w:hAnsi="Times New Roman" w:cs="Times New Roman"/>
          <w:noProof/>
          <w:color w:val="000000"/>
          <w:sz w:val="23"/>
          <w:szCs w:val="23"/>
          <w:highlight w:val="yellow"/>
          <w:lang w:val="en-IE" w:eastAsia="en-GB"/>
        </w:rPr>
      </w:pPr>
      <w:r>
        <w:rPr>
          <w:rFonts w:ascii="Times New Roman" w:hAnsi="Times New Roman" w:cs="Times New Roman"/>
          <w:noProof/>
          <w:color w:val="000000"/>
          <w:sz w:val="23"/>
          <w:szCs w:val="23"/>
          <w:lang w:val="en-IE" w:eastAsia="en-GB"/>
        </w:rPr>
        <w:t xml:space="preserve">In this critical area the EU will promote a </w:t>
      </w:r>
      <w:r>
        <w:rPr>
          <w:rFonts w:ascii="Times New Roman" w:hAnsi="Times New Roman" w:cs="Times New Roman"/>
          <w:b/>
          <w:noProof/>
          <w:color w:val="000000"/>
          <w:sz w:val="23"/>
          <w:szCs w:val="23"/>
          <w:lang w:val="en-IE" w:eastAsia="en-GB"/>
        </w:rPr>
        <w:t>rule of law culture</w:t>
      </w:r>
      <w:r>
        <w:rPr>
          <w:rFonts w:ascii="Times New Roman" w:hAnsi="Times New Roman" w:cs="Times New Roman"/>
          <w:noProof/>
          <w:color w:val="000000"/>
          <w:sz w:val="23"/>
          <w:szCs w:val="23"/>
          <w:lang w:val="en-IE" w:eastAsia="en-GB"/>
        </w:rPr>
        <w:t xml:space="preserve"> through close involvement of civil society and business community, as well as strengthened cooperation with EU stakeholders.</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4.2.2 Tackling corruption and economic crime</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Corruption undermines the rule of law and the sustainable development of societies. New </w:t>
      </w:r>
      <w:r>
        <w:rPr>
          <w:rFonts w:ascii="Times New Roman" w:eastAsia="Times New Roman" w:hAnsi="Times New Roman" w:cs="Times New Roman"/>
          <w:b/>
          <w:bCs/>
          <w:noProof/>
          <w:sz w:val="23"/>
          <w:szCs w:val="23"/>
          <w:lang w:eastAsia="en-GB"/>
        </w:rPr>
        <w:t>anti-corruption</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bCs/>
          <w:noProof/>
          <w:sz w:val="23"/>
          <w:szCs w:val="23"/>
          <w:lang w:eastAsia="en-GB"/>
        </w:rPr>
        <w:t>digital tools</w:t>
      </w:r>
      <w:r>
        <w:rPr>
          <w:rFonts w:ascii="Times New Roman" w:eastAsia="Times New Roman" w:hAnsi="Times New Roman" w:cs="Times New Roman"/>
          <w:noProof/>
          <w:sz w:val="23"/>
          <w:szCs w:val="23"/>
          <w:lang w:eastAsia="en-GB"/>
        </w:rPr>
        <w:t xml:space="preserve"> help to </w:t>
      </w:r>
      <w:r>
        <w:rPr>
          <w:rFonts w:ascii="Times New Roman" w:eastAsia="Times New Roman" w:hAnsi="Times New Roman" w:cs="Times New Roman"/>
          <w:b/>
          <w:bCs/>
          <w:noProof/>
          <w:sz w:val="23"/>
          <w:szCs w:val="23"/>
          <w:lang w:eastAsia="en-GB"/>
        </w:rPr>
        <w:t>prevent and detect</w:t>
      </w:r>
      <w:r>
        <w:rPr>
          <w:rFonts w:ascii="Times New Roman" w:eastAsia="Times New Roman" w:hAnsi="Times New Roman" w:cs="Times New Roman"/>
          <w:noProof/>
          <w:sz w:val="23"/>
          <w:szCs w:val="23"/>
          <w:lang w:eastAsia="en-GB"/>
        </w:rPr>
        <w:t xml:space="preserve"> irregularities better, and several specialised bodies have been set up in recent years to tackle corruption</w:t>
      </w:r>
      <w:r>
        <w:rPr>
          <w:rFonts w:ascii="Times New Roman" w:eastAsia="Times New Roman" w:hAnsi="Times New Roman" w:cs="Times New Roman"/>
          <w:noProof/>
          <w:sz w:val="23"/>
          <w:szCs w:val="23"/>
          <w:vertAlign w:val="superscript"/>
          <w:lang w:eastAsia="en-GB"/>
        </w:rPr>
        <w:footnoteReference w:id="11"/>
      </w:r>
      <w:r>
        <w:rPr>
          <w:rFonts w:ascii="Times New Roman" w:eastAsia="Times New Roman" w:hAnsi="Times New Roman" w:cs="Times New Roman"/>
          <w:noProof/>
          <w:sz w:val="23"/>
          <w:szCs w:val="23"/>
          <w:lang w:eastAsia="en-GB"/>
        </w:rPr>
        <w:t xml:space="preserve">. Despite this, a new level of rigorousness is needed to </w:t>
      </w:r>
      <w:r>
        <w:rPr>
          <w:rFonts w:ascii="Times New Roman" w:eastAsia="Times New Roman" w:hAnsi="Times New Roman" w:cs="Times New Roman"/>
          <w:b/>
          <w:bCs/>
          <w:noProof/>
          <w:sz w:val="23"/>
          <w:szCs w:val="23"/>
          <w:lang w:eastAsia="en-GB"/>
        </w:rPr>
        <w:t>improve investigation, prosecution and sanction of economic crime</w:t>
      </w:r>
      <w:r>
        <w:rPr>
          <w:rFonts w:ascii="Times New Roman" w:eastAsia="Times New Roman" w:hAnsi="Times New Roman" w:cs="Times New Roman"/>
          <w:noProof/>
          <w:sz w:val="23"/>
          <w:szCs w:val="23"/>
          <w:lang w:eastAsia="en-GB"/>
        </w:rPr>
        <w:t>, thereby demonstrating that the anti-corruption and law enforcement bodies are independent and</w:t>
      </w:r>
      <w:r>
        <w:rPr>
          <w:rFonts w:ascii="Times New Roman" w:eastAsia="Times New Roman" w:hAnsi="Times New Roman" w:cs="Times New Roman"/>
          <w:b/>
          <w:bCs/>
          <w:noProof/>
          <w:sz w:val="23"/>
          <w:szCs w:val="23"/>
          <w:lang w:eastAsia="en-GB"/>
        </w:rPr>
        <w:t xml:space="preserve"> deliver results</w:t>
      </w:r>
      <w:r>
        <w:rPr>
          <w:rFonts w:ascii="Times New Roman" w:eastAsia="Times New Roman" w:hAnsi="Times New Roman" w:cs="Times New Roman"/>
          <w:noProof/>
          <w:sz w:val="23"/>
          <w:szCs w:val="23"/>
          <w:lang w:eastAsia="en-GB"/>
        </w:rPr>
        <w:t xml:space="preserve">. The EU will support a results-driven legislative and institutional framework, with a focus on </w:t>
      </w:r>
      <w:r>
        <w:rPr>
          <w:rFonts w:ascii="Times New Roman" w:eastAsia="Times New Roman" w:hAnsi="Times New Roman" w:cs="Times New Roman"/>
          <w:b/>
          <w:bCs/>
          <w:noProof/>
          <w:sz w:val="23"/>
          <w:szCs w:val="23"/>
          <w:lang w:eastAsia="en-GB"/>
        </w:rPr>
        <w:t>high-level corruption</w:t>
      </w:r>
      <w:r>
        <w:rPr>
          <w:rFonts w:ascii="Times New Roman" w:eastAsia="Times New Roman" w:hAnsi="Times New Roman" w:cs="Times New Roman"/>
          <w:noProof/>
          <w:sz w:val="23"/>
          <w:szCs w:val="23"/>
          <w:lang w:eastAsia="en-GB"/>
        </w:rPr>
        <w:t xml:space="preserve">, and will pay particular attention to the area of </w:t>
      </w:r>
      <w:r>
        <w:rPr>
          <w:rFonts w:ascii="Times New Roman" w:eastAsia="Times New Roman" w:hAnsi="Times New Roman" w:cs="Times New Roman"/>
          <w:b/>
          <w:bCs/>
          <w:noProof/>
          <w:sz w:val="23"/>
          <w:szCs w:val="23"/>
          <w:lang w:eastAsia="en-GB"/>
        </w:rPr>
        <w:t>public procurement</w:t>
      </w:r>
      <w:r>
        <w:rPr>
          <w:rFonts w:ascii="Times New Roman" w:eastAsia="Times New Roman" w:hAnsi="Times New Roman" w:cs="Times New Roman"/>
          <w:noProof/>
          <w:sz w:val="23"/>
          <w:szCs w:val="23"/>
          <w:lang w:eastAsia="en-GB"/>
        </w:rPr>
        <w:t>. In this respect, the potential of digital solutions for improving the traceability and transparency of public procurement systems will be explored to the full. The EU will also help the partner countries integrate integrity and accountability in all levels of public administration,</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Corruption is one of the many aspects of a broader criminal phenomenon, namely </w:t>
      </w:r>
      <w:r>
        <w:rPr>
          <w:rFonts w:ascii="Times New Roman" w:eastAsia="Times New Roman" w:hAnsi="Times New Roman" w:cs="Times New Roman"/>
          <w:b/>
          <w:noProof/>
          <w:sz w:val="23"/>
          <w:szCs w:val="23"/>
          <w:lang w:eastAsia="en-GB"/>
        </w:rPr>
        <w:t>economic crime</w:t>
      </w:r>
      <w:r>
        <w:rPr>
          <w:rFonts w:ascii="Times New Roman" w:eastAsia="Times New Roman" w:hAnsi="Times New Roman" w:cs="Times New Roman"/>
          <w:noProof/>
          <w:sz w:val="23"/>
          <w:szCs w:val="23"/>
          <w:lang w:eastAsia="en-GB"/>
        </w:rPr>
        <w:t xml:space="preserve">. Partner countries need to step up their efforts to establish a solid and effective framework to fight economic crimes. In this regard, registries of beneficial ownership are essential to </w:t>
      </w:r>
      <w:r>
        <w:rPr>
          <w:rFonts w:ascii="Times New Roman" w:eastAsia="Times New Roman" w:hAnsi="Times New Roman" w:cs="Times New Roman"/>
          <w:b/>
          <w:bCs/>
          <w:noProof/>
          <w:sz w:val="23"/>
          <w:szCs w:val="23"/>
          <w:lang w:eastAsia="en-GB"/>
        </w:rPr>
        <w:t>fight money laundering</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Cs/>
          <w:noProof/>
          <w:sz w:val="23"/>
          <w:szCs w:val="23"/>
          <w:lang w:eastAsia="en-GB"/>
        </w:rPr>
        <w:t>It is important for the Eastern partners to put in place robust asset recovery frameworks</w:t>
      </w:r>
      <w:r>
        <w:rPr>
          <w:rFonts w:ascii="Times New Roman" w:eastAsia="Times New Roman" w:hAnsi="Times New Roman" w:cs="Times New Roman"/>
          <w:noProof/>
          <w:sz w:val="23"/>
          <w:szCs w:val="23"/>
          <w:lang w:eastAsia="en-GB"/>
        </w:rPr>
        <w:t xml:space="preserve">, including by setting up functioning </w:t>
      </w:r>
      <w:r>
        <w:rPr>
          <w:rFonts w:ascii="Times New Roman" w:eastAsia="Times New Roman" w:hAnsi="Times New Roman" w:cs="Times New Roman"/>
          <w:b/>
          <w:noProof/>
          <w:sz w:val="23"/>
          <w:szCs w:val="23"/>
          <w:lang w:eastAsia="en-GB"/>
        </w:rPr>
        <w:t>asset recovery</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noProof/>
          <w:sz w:val="23"/>
          <w:szCs w:val="23"/>
          <w:lang w:eastAsia="en-GB"/>
        </w:rPr>
        <w:t>offices</w:t>
      </w:r>
      <w:r>
        <w:rPr>
          <w:rFonts w:ascii="Times New Roman" w:eastAsia="Times New Roman" w:hAnsi="Times New Roman" w:cs="Times New Roman"/>
          <w:noProof/>
          <w:sz w:val="23"/>
          <w:szCs w:val="23"/>
          <w:lang w:eastAsia="en-GB"/>
        </w:rPr>
        <w:t xml:space="preserve"> that are in a position to trace and identify criminal wealth. This is crucial in view of freezing and confiscating illicit assets, and for the recovery of criminal proceeds as an important instrument in the fight against organised crime.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4.2.3 Combating organised crime and strengthening security</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One shared challenge in the broad area of security is </w:t>
      </w:r>
      <w:r>
        <w:rPr>
          <w:rFonts w:ascii="Times New Roman" w:eastAsia="Times New Roman" w:hAnsi="Times New Roman" w:cs="Times New Roman"/>
          <w:b/>
          <w:bCs/>
          <w:noProof/>
          <w:sz w:val="23"/>
          <w:szCs w:val="23"/>
          <w:lang w:eastAsia="en-GB"/>
        </w:rPr>
        <w:t>organised crime</w:t>
      </w:r>
      <w:r>
        <w:rPr>
          <w:rFonts w:ascii="Times New Roman" w:eastAsia="Times New Roman" w:hAnsi="Times New Roman" w:cs="Times New Roman"/>
          <w:noProof/>
          <w:sz w:val="23"/>
          <w:szCs w:val="23"/>
          <w:lang w:eastAsia="en-GB"/>
        </w:rPr>
        <w:t xml:space="preserve">. Here, the EU will continue support: (i) increased </w:t>
      </w:r>
      <w:r>
        <w:rPr>
          <w:rFonts w:ascii="Times New Roman" w:eastAsia="Times New Roman" w:hAnsi="Times New Roman" w:cs="Times New Roman"/>
          <w:b/>
          <w:noProof/>
          <w:sz w:val="23"/>
          <w:szCs w:val="23"/>
          <w:lang w:eastAsia="en-GB"/>
        </w:rPr>
        <w:t>cooperation with EU justice and home affairs agencies</w:t>
      </w:r>
      <w:r>
        <w:rPr>
          <w:rFonts w:ascii="Times New Roman" w:eastAsia="Times New Roman" w:hAnsi="Times New Roman" w:cs="Times New Roman"/>
          <w:noProof/>
          <w:sz w:val="23"/>
          <w:szCs w:val="23"/>
          <w:lang w:eastAsia="en-GB"/>
        </w:rPr>
        <w:t xml:space="preserve">; (ii) </w:t>
      </w:r>
      <w:r>
        <w:rPr>
          <w:rFonts w:ascii="Times New Roman" w:eastAsia="Times New Roman" w:hAnsi="Times New Roman" w:cs="Times New Roman"/>
          <w:b/>
          <w:bCs/>
          <w:noProof/>
          <w:sz w:val="23"/>
          <w:szCs w:val="23"/>
          <w:lang w:eastAsia="en-GB"/>
        </w:rPr>
        <w:t>security sector reform;</w:t>
      </w:r>
      <w:r>
        <w:rPr>
          <w:rFonts w:ascii="Times New Roman" w:eastAsia="Times New Roman" w:hAnsi="Times New Roman" w:cs="Times New Roman"/>
          <w:bCs/>
          <w:noProof/>
          <w:sz w:val="23"/>
          <w:szCs w:val="23"/>
          <w:lang w:eastAsia="en-GB"/>
        </w:rPr>
        <w:t xml:space="preserve"> (iii) the </w:t>
      </w:r>
      <w:r>
        <w:rPr>
          <w:rFonts w:ascii="Times New Roman" w:eastAsia="Times New Roman" w:hAnsi="Times New Roman" w:cs="Times New Roman"/>
          <w:b/>
          <w:bCs/>
          <w:noProof/>
          <w:sz w:val="23"/>
          <w:szCs w:val="23"/>
          <w:lang w:eastAsia="en-GB"/>
        </w:rPr>
        <w:t>fight against trafficking</w:t>
      </w:r>
      <w:r>
        <w:rPr>
          <w:rFonts w:ascii="Times New Roman" w:eastAsia="Times New Roman" w:hAnsi="Times New Roman" w:cs="Times New Roman"/>
          <w:bCs/>
          <w:noProof/>
          <w:sz w:val="23"/>
          <w:szCs w:val="23"/>
          <w:lang w:eastAsia="en-GB"/>
        </w:rPr>
        <w:t xml:space="preserve"> of human beings and</w:t>
      </w:r>
      <w:r>
        <w:rPr>
          <w:rFonts w:ascii="Times New Roman" w:eastAsia="Times New Roman" w:hAnsi="Times New Roman" w:cs="Times New Roman"/>
          <w:b/>
          <w:bCs/>
          <w:noProof/>
          <w:sz w:val="23"/>
          <w:szCs w:val="23"/>
          <w:lang w:eastAsia="en-GB"/>
        </w:rPr>
        <w:t xml:space="preserve"> </w:t>
      </w:r>
      <w:r>
        <w:rPr>
          <w:rFonts w:ascii="Times New Roman" w:eastAsia="Times New Roman" w:hAnsi="Times New Roman" w:cs="Times New Roman"/>
          <w:bCs/>
          <w:noProof/>
          <w:sz w:val="23"/>
          <w:szCs w:val="23"/>
          <w:lang w:eastAsia="en-GB"/>
        </w:rPr>
        <w:t>illicit goods (notably drugs and firearms); and (iv)</w:t>
      </w:r>
      <w:r>
        <w:rPr>
          <w:rFonts w:ascii="Times New Roman" w:eastAsia="Times New Roman" w:hAnsi="Times New Roman" w:cs="Times New Roman"/>
          <w:b/>
          <w:bCs/>
          <w:noProof/>
          <w:sz w:val="23"/>
          <w:szCs w:val="23"/>
          <w:lang w:eastAsia="en-GB"/>
        </w:rPr>
        <w:t xml:space="preserve"> integrated border management</w:t>
      </w:r>
      <w:r>
        <w:rPr>
          <w:rFonts w:ascii="Times New Roman" w:eastAsia="Times New Roman" w:hAnsi="Times New Roman" w:cs="Times New Roman"/>
          <w:noProof/>
          <w:sz w:val="23"/>
          <w:szCs w:val="23"/>
          <w:lang w:eastAsia="en-GB"/>
        </w:rPr>
        <w:t xml:space="preserve"> to improve partner countries' ability to withstand the pressures they face and step up their resilience. The EU will continue cooperation  on </w:t>
      </w:r>
      <w:r>
        <w:rPr>
          <w:rFonts w:ascii="Times New Roman" w:eastAsia="Times New Roman" w:hAnsi="Times New Roman" w:cs="Times New Roman"/>
          <w:b/>
          <w:noProof/>
          <w:sz w:val="23"/>
          <w:szCs w:val="23"/>
          <w:lang w:eastAsia="en-GB"/>
        </w:rPr>
        <w:t>cyber resilience</w:t>
      </w:r>
      <w:r>
        <w:rPr>
          <w:rFonts w:ascii="Times New Roman" w:eastAsia="Times New Roman" w:hAnsi="Times New Roman" w:cs="Times New Roman"/>
          <w:noProof/>
          <w:sz w:val="23"/>
          <w:szCs w:val="23"/>
          <w:lang w:eastAsia="en-GB"/>
        </w:rPr>
        <w:t xml:space="preserve"> with the partner countries. Moreover, a functional and enforceable framework to fight cybercrime, with the Council of Europe’s Budapest Convention as a baseline, is fundamental.</w:t>
      </w:r>
    </w:p>
    <w:p>
      <w:pPr>
        <w:spacing w:after="240" w:line="240" w:lineRule="auto"/>
        <w:jc w:val="both"/>
        <w:rPr>
          <w:rFonts w:ascii="Times New Roman" w:eastAsia="Times New Roman" w:hAnsi="Times New Roman" w:cs="Times New Roman"/>
          <w:i/>
          <w:iCs/>
          <w:noProof/>
          <w:sz w:val="23"/>
          <w:szCs w:val="23"/>
          <w:lang w:eastAsia="en-GB"/>
        </w:rPr>
      </w:pPr>
      <w:r>
        <w:rPr>
          <w:rFonts w:ascii="Times New Roman" w:eastAsia="Times New Roman" w:hAnsi="Times New Roman" w:cs="Times New Roman"/>
          <w:noProof/>
          <w:sz w:val="23"/>
          <w:szCs w:val="23"/>
          <w:lang w:eastAsia="en-GB"/>
        </w:rPr>
        <w:t xml:space="preserve">Continued cooperation between the partner countries and the </w:t>
      </w:r>
      <w:r>
        <w:rPr>
          <w:rFonts w:ascii="Times New Roman" w:eastAsia="Times New Roman" w:hAnsi="Times New Roman" w:cs="Times New Roman"/>
          <w:b/>
          <w:noProof/>
          <w:sz w:val="23"/>
          <w:szCs w:val="23"/>
          <w:lang w:eastAsia="en-GB"/>
        </w:rPr>
        <w:t xml:space="preserve">EU </w:t>
      </w:r>
      <w:r>
        <w:rPr>
          <w:rFonts w:ascii="Times New Roman" w:eastAsia="Times New Roman" w:hAnsi="Times New Roman" w:cs="Times New Roman"/>
          <w:b/>
          <w:bCs/>
          <w:noProof/>
          <w:sz w:val="23"/>
          <w:szCs w:val="23"/>
          <w:lang w:eastAsia="en-GB"/>
        </w:rPr>
        <w:t>Civil Protection</w:t>
      </w:r>
      <w:r>
        <w:rPr>
          <w:rFonts w:ascii="Times New Roman" w:eastAsia="Times New Roman" w:hAnsi="Times New Roman" w:cs="Times New Roman"/>
          <w:b/>
          <w:noProof/>
          <w:sz w:val="23"/>
          <w:szCs w:val="23"/>
          <w:lang w:eastAsia="en-GB"/>
        </w:rPr>
        <w:t xml:space="preserve"> Mechanism</w:t>
      </w:r>
      <w:r>
        <w:rPr>
          <w:rFonts w:ascii="Times New Roman" w:eastAsia="Times New Roman" w:hAnsi="Times New Roman" w:cs="Times New Roman"/>
          <w:noProof/>
          <w:sz w:val="23"/>
          <w:szCs w:val="23"/>
          <w:lang w:eastAsia="en-GB"/>
        </w:rPr>
        <w:t xml:space="preserve">, as well as among partner countries, will be key to enhance prevention of, preparedness for, and response to natural and man-made disasters. Moreover, unresolved conflicts continue to hamper development in the region. Under the agreed negotiating formats and processes, the EU is committed to promote the peaceful settlement of these </w:t>
      </w:r>
      <w:r>
        <w:rPr>
          <w:rFonts w:ascii="Times New Roman" w:eastAsia="Times New Roman" w:hAnsi="Times New Roman" w:cs="Times New Roman"/>
          <w:b/>
          <w:bCs/>
          <w:noProof/>
          <w:sz w:val="23"/>
          <w:szCs w:val="23"/>
          <w:lang w:eastAsia="en-GB"/>
        </w:rPr>
        <w:t>conflicts</w:t>
      </w:r>
      <w:r>
        <w:rPr>
          <w:rFonts w:ascii="Times New Roman" w:eastAsia="Times New Roman" w:hAnsi="Times New Roman" w:cs="Times New Roman"/>
          <w:noProof/>
          <w:sz w:val="23"/>
          <w:szCs w:val="23"/>
          <w:lang w:eastAsia="en-GB"/>
        </w:rPr>
        <w:t xml:space="preserve">. Being conscious of the impact this can have on economic and social developments, the role of women and young people in peacebuilding will be strengthened through joint actions to further the EU’s political commitment for the implementation of the Women Peace and Security agenda </w:t>
      </w:r>
      <w:r>
        <w:rPr>
          <w:rStyle w:val="FootnoteReference"/>
          <w:rFonts w:ascii="Times New Roman" w:eastAsia="Times New Roman" w:hAnsi="Times New Roman" w:cs="Times New Roman"/>
          <w:noProof/>
          <w:sz w:val="23"/>
          <w:szCs w:val="23"/>
          <w:lang w:eastAsia="en-GB"/>
        </w:rPr>
        <w:footnoteReference w:id="12"/>
      </w:r>
      <w:r>
        <w:rPr>
          <w:rFonts w:ascii="Times New Roman" w:eastAsia="Times New Roman" w:hAnsi="Times New Roman" w:cs="Times New Roman"/>
          <w:noProof/>
          <w:sz w:val="23"/>
          <w:szCs w:val="23"/>
          <w:lang w:eastAsia="en-GB"/>
        </w:rPr>
        <w:t xml:space="preserve"> at regional and international levels. In particular, the EU will pursue efforts to support conflict prevention, confidence building and the facilitation of negotiated peaceful conflict settlements. The EU will also continue providing assistance to populations affected by conflicts to enhance their resilience. </w:t>
      </w:r>
      <w:r>
        <w:rPr>
          <w:rFonts w:ascii="Times New Roman" w:eastAsia="Times New Roman" w:hAnsi="Times New Roman" w:cs="Times New Roman"/>
          <w:b/>
          <w:bCs/>
          <w:noProof/>
          <w:sz w:val="23"/>
          <w:szCs w:val="23"/>
          <w:lang w:eastAsia="en-GB"/>
        </w:rPr>
        <w:t>Security dialogues and practical Common Security and Defence Policy (CSDP) cooperation</w:t>
      </w:r>
      <w:r>
        <w:rPr>
          <w:rFonts w:ascii="Times New Roman" w:eastAsia="Times New Roman" w:hAnsi="Times New Roman" w:cs="Times New Roman"/>
          <w:noProof/>
          <w:sz w:val="23"/>
          <w:szCs w:val="23"/>
          <w:lang w:eastAsia="en-GB"/>
        </w:rPr>
        <w:t xml:space="preserve"> will also be strengthened to support contributions by partner countries to the European civil and military missions and operations. The EU will consider providing training opportunities and capacity building to the partner countries, including on countering hybrid threats, where appropriate.</w:t>
      </w:r>
    </w:p>
    <w:p>
      <w:pPr>
        <w:keepNext/>
        <w:spacing w:after="240" w:line="240" w:lineRule="auto"/>
        <w:ind w:left="720"/>
        <w:jc w:val="both"/>
        <w:outlineLvl w:val="1"/>
        <w:rPr>
          <w:rFonts w:ascii="Times New Roman" w:eastAsia="Times New Roman" w:hAnsi="Times New Roman" w:cs="Times New Roman"/>
          <w:b/>
          <w:noProof/>
          <w:sz w:val="23"/>
          <w:szCs w:val="23"/>
          <w:lang w:eastAsia="en-GB"/>
        </w:rPr>
      </w:pPr>
      <w:r>
        <w:rPr>
          <w:rFonts w:ascii="Times New Roman" w:eastAsia="Times New Roman" w:hAnsi="Times New Roman" w:cs="Times New Roman"/>
          <w:b/>
          <w:noProof/>
          <w:sz w:val="23"/>
          <w:szCs w:val="23"/>
          <w:lang w:eastAsia="en-GB"/>
        </w:rPr>
        <w:t xml:space="preserve">4.3 Together towards environmental and climate resilience </w:t>
      </w:r>
    </w:p>
    <w:p>
      <w:pPr>
        <w:spacing w:after="120" w:line="240" w:lineRule="auto"/>
        <w:jc w:val="both"/>
        <w:rPr>
          <w:rFonts w:ascii="Times New Roman" w:eastAsia="Times New Roman" w:hAnsi="Times New Roman" w:cs="Times New Roman"/>
          <w:noProof/>
          <w:color w:val="FF0000"/>
          <w:sz w:val="23"/>
          <w:szCs w:val="23"/>
          <w:lang w:eastAsia="en-GB"/>
        </w:rPr>
      </w:pPr>
      <w:r>
        <w:rPr>
          <w:rFonts w:ascii="Times New Roman" w:eastAsia="Times New Roman" w:hAnsi="Times New Roman" w:cs="Times New Roman"/>
          <w:noProof/>
          <w:sz w:val="23"/>
          <w:szCs w:val="23"/>
          <w:lang w:eastAsia="en-GB"/>
        </w:rPr>
        <w:t>The European Green Deal makes it clear that environmental and climate challenges require urgent action by the EU and the partner countries. Modernising economies and trade patterns will help reducing the risk of carbon leakage. This is also necessary given the achievements in economic integration and changing consumer preferences in the EU and the EaP. The EU will continue to link the partner countries to the increasingly complex and high-end economic value-chains as it transforms its own economy. The EU will also help partner countries fulfil their nationally determined contributions to the Paris Agreement and modernise their economies, reducing their carbon footprint and moving towards climate neutrality, while acknowledging the investment challenges. In this respect, the partner countries have expressed in various fora their support to the comprehensive approach for change presented in the European Green Deal. It is equally important to implement the Sendai Framework for Disaster Risk Reduction and increase efforts in climate change adaptation.</w:t>
      </w:r>
    </w:p>
    <w:p>
      <w:pPr>
        <w:spacing w:after="12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The EU will work together with the partner countries to transform the region into fair and prosperous societies, with modern, resource-efficient, clean, circular and competitive economies, while increasing their </w:t>
      </w:r>
      <w:r>
        <w:rPr>
          <w:rFonts w:ascii="Times New Roman" w:eastAsia="Times New Roman" w:hAnsi="Times New Roman" w:cs="Times New Roman"/>
          <w:b/>
          <w:noProof/>
          <w:sz w:val="23"/>
          <w:szCs w:val="23"/>
          <w:lang w:eastAsia="en-GB"/>
        </w:rPr>
        <w:t>environmental and climate resilience</w:t>
      </w:r>
      <w:r>
        <w:rPr>
          <w:rFonts w:ascii="Times New Roman" w:eastAsia="Times New Roman" w:hAnsi="Times New Roman" w:cs="Times New Roman"/>
          <w:noProof/>
          <w:sz w:val="23"/>
          <w:szCs w:val="23"/>
          <w:lang w:eastAsia="en-GB"/>
        </w:rPr>
        <w:t>, including through more sustainable use of natural resources. The prominence of the environmental and climate agenda is increasing in the region. Public demands are growing to: (i) improve air and water quality; (ii) manage effectively waste, land, and water resources; and (iii) respond to extreme weather events and illegal logging and deforestation. This is also a significant opportunity to boost activity in innovative sectors. Several partner countries have adopted green economy action plans and long-term strategies, which they wish to speed up. Similarly, private sector partners are increasingly considering the opportunities of a greener, circular economy and wish to address the risks caused by climate change. The partner countries can already benefit from Copernicus data and services, which are freely and openly available to support informed decision making in the region.</w:t>
      </w:r>
    </w:p>
    <w:p>
      <w:pPr>
        <w:spacing w:after="120" w:line="240" w:lineRule="auto"/>
        <w:jc w:val="both"/>
        <w:rPr>
          <w:rFonts w:ascii="Times New Roman" w:eastAsia="Times New Roman" w:hAnsi="Times New Roman" w:cs="Times New Roman"/>
          <w:noProof/>
          <w:color w:val="000000" w:themeColor="text1"/>
          <w:sz w:val="23"/>
          <w:szCs w:val="23"/>
          <w:lang w:val="en-IE" w:eastAsia="en-GB"/>
        </w:rPr>
      </w:pPr>
      <w:r>
        <w:rPr>
          <w:rFonts w:ascii="Times New Roman" w:eastAsia="Times New Roman" w:hAnsi="Times New Roman" w:cs="Times New Roman"/>
          <w:noProof/>
          <w:sz w:val="23"/>
          <w:szCs w:val="23"/>
          <w:lang w:eastAsia="en-GB"/>
        </w:rPr>
        <w:t xml:space="preserve">The EaP will therefore need to: (i) scale up action in areas that are critical for people’s health and wellbeing; (ii) increase the resource-efficiency of economies; (iii) develop new green jobs and economic opportunities linked to the green transition; (iv) develop local and renewable sources of energy; and (v) manage natural assets to maximise sustainability. </w:t>
      </w:r>
      <w:r>
        <w:rPr>
          <w:rFonts w:ascii="Times New Roman" w:eastAsia="Times New Roman" w:hAnsi="Times New Roman" w:cs="Times New Roman"/>
          <w:b/>
          <w:noProof/>
          <w:sz w:val="23"/>
          <w:szCs w:val="23"/>
          <w:lang w:eastAsia="en-GB"/>
        </w:rPr>
        <w:t>The EU will support this transition, giving due respect to global challenges and environmental and climate realities in the partner countries focusing first on the low-hanging fruit.</w:t>
      </w:r>
    </w:p>
    <w:p>
      <w:pPr>
        <w:keepNext/>
        <w:tabs>
          <w:tab w:val="num" w:pos="1922"/>
        </w:tabs>
        <w:spacing w:after="240" w:line="240" w:lineRule="auto"/>
        <w:ind w:left="1922" w:hanging="720"/>
        <w:jc w:val="both"/>
        <w:outlineLvl w:val="2"/>
        <w:rPr>
          <w:rFonts w:ascii="Times New Roman" w:eastAsia="Times New Roman" w:hAnsi="Times New Roman" w:cs="Times New Roman"/>
          <w:i/>
          <w:noProof/>
          <w:color w:val="000000" w:themeColor="text1"/>
          <w:sz w:val="23"/>
          <w:szCs w:val="23"/>
          <w:lang w:val="en-IE" w:eastAsia="en-GB"/>
        </w:rPr>
      </w:pPr>
      <w:r>
        <w:rPr>
          <w:rFonts w:ascii="Times New Roman" w:eastAsia="Times New Roman" w:hAnsi="Times New Roman" w:cs="Times New Roman"/>
          <w:i/>
          <w:noProof/>
          <w:sz w:val="23"/>
          <w:szCs w:val="23"/>
          <w:lang w:eastAsia="en-GB"/>
        </w:rPr>
        <w:t>4.3.1 Benefits for people’s health and wellbeing</w:t>
      </w:r>
    </w:p>
    <w:p>
      <w:pPr>
        <w:spacing w:after="120" w:line="240" w:lineRule="auto"/>
        <w:jc w:val="both"/>
        <w:rPr>
          <w:rFonts w:ascii="Times New Roman" w:eastAsia="Times New Roman" w:hAnsi="Times New Roman" w:cs="Times New Roman"/>
          <w:noProof/>
          <w:sz w:val="23"/>
          <w:szCs w:val="23"/>
          <w:lang w:val="en-IE" w:eastAsia="en-GB"/>
        </w:rPr>
      </w:pPr>
      <w:r>
        <w:rPr>
          <w:rFonts w:ascii="Times New Roman" w:eastAsia="Times New Roman" w:hAnsi="Times New Roman" w:cs="Times New Roman"/>
          <w:noProof/>
          <w:sz w:val="23"/>
          <w:szCs w:val="23"/>
          <w:lang w:val="en-IE" w:eastAsia="en-GB"/>
        </w:rPr>
        <w:t xml:space="preserve">For environment-related quality of life, increased effort is needed to make urban development more sustainable and further improve the delivery of </w:t>
      </w:r>
      <w:r>
        <w:rPr>
          <w:rFonts w:ascii="Times New Roman" w:eastAsia="Times New Roman" w:hAnsi="Times New Roman" w:cs="Times New Roman"/>
          <w:b/>
          <w:noProof/>
          <w:sz w:val="23"/>
          <w:szCs w:val="23"/>
          <w:lang w:val="en-IE" w:eastAsia="en-GB"/>
        </w:rPr>
        <w:t>environmental services</w:t>
      </w:r>
      <w:r>
        <w:rPr>
          <w:rFonts w:ascii="Times New Roman" w:eastAsia="Times New Roman" w:hAnsi="Times New Roman" w:cs="Times New Roman"/>
          <w:noProof/>
          <w:sz w:val="23"/>
          <w:szCs w:val="23"/>
          <w:lang w:val="en-IE" w:eastAsia="en-GB"/>
        </w:rPr>
        <w:t xml:space="preserve">, such as water supply and sanitation, waste management, green areas and urban mobility. </w:t>
      </w:r>
      <w:r>
        <w:rPr>
          <w:rFonts w:ascii="Times New Roman" w:hAnsi="Times New Roman"/>
          <w:noProof/>
          <w:sz w:val="23"/>
          <w:szCs w:val="23"/>
        </w:rPr>
        <w:t>The EU will support actions and policy development aiming at preventing and reducing pollution and thereby decreasing the negative health impacts of in particular air, water and soil pollution and toxic chemicals, taking the EU’s zero pollution ambition as a guideline.</w:t>
      </w:r>
      <w:r>
        <w:rPr>
          <w:rFonts w:ascii="Times New Roman" w:eastAsia="Times New Roman" w:hAnsi="Times New Roman" w:cs="Times New Roman"/>
          <w:noProof/>
          <w:sz w:val="23"/>
          <w:szCs w:val="23"/>
          <w:lang w:val="en-IE" w:eastAsia="en-GB"/>
        </w:rPr>
        <w:t xml:space="preserve"> The EU will scale up support for increasing the </w:t>
      </w:r>
      <w:r>
        <w:rPr>
          <w:rFonts w:ascii="Times New Roman" w:eastAsia="Times New Roman" w:hAnsi="Times New Roman" w:cs="Times New Roman"/>
          <w:b/>
          <w:noProof/>
          <w:sz w:val="23"/>
          <w:szCs w:val="23"/>
          <w:lang w:val="en-IE" w:eastAsia="en-GB"/>
        </w:rPr>
        <w:t>energy efficiency</w:t>
      </w:r>
      <w:r>
        <w:rPr>
          <w:rFonts w:ascii="Times New Roman" w:eastAsia="Times New Roman" w:hAnsi="Times New Roman" w:cs="Times New Roman"/>
          <w:noProof/>
          <w:sz w:val="23"/>
          <w:szCs w:val="23"/>
          <w:lang w:val="en-IE" w:eastAsia="en-GB"/>
        </w:rPr>
        <w:t xml:space="preserve"> of buildings, which is essential to address energy poverty and reduce greenhouse gas emissions. Innovative</w:t>
      </w:r>
      <w:r>
        <w:rPr>
          <w:rFonts w:ascii="Times New Roman" w:eastAsia="Times New Roman" w:hAnsi="Times New Roman" w:cs="Times New Roman"/>
          <w:noProof/>
          <w:sz w:val="23"/>
          <w:szCs w:val="23"/>
          <w:lang w:eastAsia="en-GB"/>
        </w:rPr>
        <w:t xml:space="preserve"> financing instruments (such as energy performance contracts, on-tax and on-bill financing) could be used to achieve higher building renovation rates through attracting private finance. The EU will support the development of </w:t>
      </w:r>
      <w:r>
        <w:rPr>
          <w:rFonts w:ascii="Times New Roman" w:eastAsia="Times New Roman" w:hAnsi="Times New Roman" w:cs="Times New Roman"/>
          <w:b/>
          <w:noProof/>
          <w:sz w:val="23"/>
          <w:szCs w:val="23"/>
          <w:lang w:eastAsia="en-GB"/>
        </w:rPr>
        <w:t>renewable energy</w:t>
      </w:r>
      <w:r>
        <w:rPr>
          <w:rFonts w:ascii="Times New Roman" w:eastAsia="Times New Roman" w:hAnsi="Times New Roman" w:cs="Times New Roman"/>
          <w:noProof/>
          <w:sz w:val="23"/>
          <w:szCs w:val="23"/>
          <w:lang w:eastAsia="en-GB"/>
        </w:rPr>
        <w:t xml:space="preserve"> sources, notably as a way to accelerate the reduction of coal use, which is essential to reduce air pollution. </w:t>
      </w:r>
      <w:r>
        <w:rPr>
          <w:rFonts w:ascii="Times New Roman" w:eastAsia="Times New Roman" w:hAnsi="Times New Roman" w:cs="Times New Roman"/>
          <w:noProof/>
          <w:color w:val="000000" w:themeColor="text1"/>
          <w:sz w:val="23"/>
          <w:szCs w:val="23"/>
          <w:lang w:val="en-IE" w:eastAsia="en-GB"/>
        </w:rPr>
        <w:t xml:space="preserve">The EU will continue to roll out tools and implement the </w:t>
      </w:r>
      <w:r>
        <w:rPr>
          <w:rFonts w:ascii="Times New Roman" w:eastAsia="Times New Roman" w:hAnsi="Times New Roman" w:cs="Times New Roman"/>
          <w:noProof/>
          <w:color w:val="000000" w:themeColor="text1"/>
          <w:sz w:val="23"/>
          <w:szCs w:val="23"/>
          <w:lang w:val="en-US" w:eastAsia="en-GB"/>
        </w:rPr>
        <w:t>high-level energy efficiency initiative</w:t>
      </w:r>
      <w:r>
        <w:rPr>
          <w:rFonts w:ascii="Times New Roman" w:eastAsia="Times New Roman" w:hAnsi="Times New Roman" w:cs="Times New Roman"/>
          <w:noProof/>
          <w:color w:val="000000" w:themeColor="text1"/>
          <w:sz w:val="23"/>
          <w:szCs w:val="23"/>
          <w:lang w:val="en-IE" w:eastAsia="en-GB"/>
        </w:rPr>
        <w:t xml:space="preserve"> together with IFIs to </w:t>
      </w:r>
      <w:r>
        <w:rPr>
          <w:rFonts w:ascii="Times New Roman" w:eastAsia="Times New Roman" w:hAnsi="Times New Roman" w:cs="Times New Roman"/>
          <w:noProof/>
          <w:sz w:val="23"/>
          <w:szCs w:val="23"/>
          <w:lang w:eastAsia="en-GB"/>
        </w:rPr>
        <w:t>modernise energy legislation and put in place a smart regulatory framework that</w:t>
      </w:r>
      <w:r>
        <w:rPr>
          <w:rFonts w:ascii="Times New Roman" w:eastAsia="Times New Roman" w:hAnsi="Times New Roman" w:cs="Times New Roman"/>
          <w:noProof/>
          <w:sz w:val="23"/>
          <w:szCs w:val="23"/>
          <w:lang w:val="en-IE" w:eastAsia="en-GB"/>
        </w:rPr>
        <w:t xml:space="preserve"> promotes energy efficiency and renewable energy, through green finance schemes and by </w:t>
      </w:r>
      <w:r>
        <w:rPr>
          <w:rFonts w:ascii="Times New Roman" w:eastAsia="Times New Roman" w:hAnsi="Times New Roman" w:cs="Times New Roman"/>
          <w:noProof/>
          <w:color w:val="000000" w:themeColor="text1"/>
          <w:sz w:val="23"/>
          <w:szCs w:val="23"/>
          <w:lang w:val="en-IE" w:eastAsia="en-GB"/>
        </w:rPr>
        <w:t xml:space="preserve">involving the private sector. </w:t>
      </w:r>
      <w:r>
        <w:rPr>
          <w:rFonts w:ascii="Times New Roman" w:eastAsia="Times New Roman" w:hAnsi="Times New Roman" w:cs="Times New Roman"/>
          <w:noProof/>
          <w:sz w:val="23"/>
          <w:szCs w:val="23"/>
          <w:lang w:val="en-IE" w:eastAsia="en-GB"/>
        </w:rPr>
        <w:t xml:space="preserve">Measures to reconvert those cities or regions that suffer most from pollution will be identified. </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In the area of </w:t>
      </w:r>
      <w:r>
        <w:rPr>
          <w:rFonts w:ascii="Times New Roman" w:eastAsia="Times New Roman" w:hAnsi="Times New Roman" w:cs="Times New Roman"/>
          <w:b/>
          <w:noProof/>
          <w:sz w:val="23"/>
          <w:szCs w:val="23"/>
          <w:lang w:eastAsia="en-GB"/>
        </w:rPr>
        <w:t>public</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noProof/>
          <w:sz w:val="23"/>
          <w:szCs w:val="23"/>
          <w:lang w:eastAsia="en-GB"/>
        </w:rPr>
        <w:t>health</w:t>
      </w:r>
      <w:r>
        <w:rPr>
          <w:rFonts w:ascii="Times New Roman" w:eastAsia="Times New Roman" w:hAnsi="Times New Roman" w:cs="Times New Roman"/>
          <w:noProof/>
          <w:sz w:val="23"/>
          <w:szCs w:val="23"/>
          <w:lang w:eastAsia="en-GB"/>
        </w:rPr>
        <w:t>, the EU will support the partner countries in the modernisation of medical facilities, e-health, training of medical staff and providing affordable medical care and promoting access to people across society. This will include support in better addressing communicable and non-communicable diseases as in the case of the coronavirus disease (COVID-19).</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4.3.2 Circular economy</w:t>
      </w:r>
    </w:p>
    <w:p>
      <w:pPr>
        <w:spacing w:after="120" w:line="240" w:lineRule="auto"/>
        <w:jc w:val="both"/>
        <w:rPr>
          <w:rFonts w:ascii="Times New Roman" w:eastAsia="Times New Roman" w:hAnsi="Times New Roman" w:cs="Times New Roman"/>
          <w:noProof/>
          <w:sz w:val="23"/>
          <w:szCs w:val="23"/>
          <w:lang w:val="en-IE" w:eastAsia="en-GB"/>
        </w:rPr>
      </w:pPr>
      <w:r>
        <w:rPr>
          <w:rFonts w:ascii="Times New Roman" w:hAnsi="Times New Roman"/>
          <w:noProof/>
          <w:sz w:val="23"/>
          <w:szCs w:val="23"/>
        </w:rPr>
        <w:t>Facilitating the transition to resource efficient and circular economies will be the principal goal of action</w:t>
      </w:r>
      <w:r>
        <w:rPr>
          <w:rFonts w:ascii="Times New Roman" w:eastAsia="Times New Roman" w:hAnsi="Times New Roman" w:cs="Times New Roman"/>
          <w:noProof/>
          <w:sz w:val="23"/>
          <w:szCs w:val="23"/>
          <w:lang w:val="en-IE" w:eastAsia="en-GB"/>
        </w:rPr>
        <w:t xml:space="preserve">. Reducing wasteful production is a key starting point to increase competitiveness at a relatively low cost. In terms of new economic opportunities and competitiveness, the EU will promote the green, circular economy based on the outcomes of the recent policy dialogue. The EU will support businesses and business-to-business contacts in this area. </w:t>
      </w:r>
      <w:r>
        <w:rPr>
          <w:rFonts w:ascii="Times New Roman" w:eastAsia="Times New Roman" w:hAnsi="Times New Roman" w:cs="Times New Roman"/>
          <w:b/>
          <w:noProof/>
          <w:sz w:val="23"/>
          <w:szCs w:val="23"/>
          <w:lang w:val="en-IE" w:eastAsia="en-GB"/>
        </w:rPr>
        <w:t>Circular economy</w:t>
      </w:r>
      <w:r>
        <w:rPr>
          <w:rFonts w:ascii="Times New Roman" w:eastAsia="Times New Roman" w:hAnsi="Times New Roman" w:cs="Times New Roman"/>
          <w:noProof/>
          <w:sz w:val="23"/>
          <w:szCs w:val="23"/>
          <w:lang w:val="en-IE" w:eastAsia="en-GB"/>
        </w:rPr>
        <w:t xml:space="preserve"> field trips will take place upon countries’ request. Work will continue on the promotion of sustainable product policies, eco-innovation, extended producer responsibility, </w:t>
      </w:r>
      <w:r>
        <w:rPr>
          <w:rFonts w:ascii="Times New Roman" w:hAnsi="Times New Roman"/>
          <w:noProof/>
          <w:sz w:val="23"/>
          <w:szCs w:val="23"/>
        </w:rPr>
        <w:t>other ways to prevent and reduce waste, waste management</w:t>
      </w:r>
      <w:r>
        <w:rPr>
          <w:rFonts w:ascii="Times New Roman" w:eastAsia="Times New Roman" w:hAnsi="Times New Roman" w:cs="Times New Roman"/>
          <w:noProof/>
          <w:sz w:val="23"/>
          <w:szCs w:val="23"/>
          <w:lang w:val="en-IE" w:eastAsia="en-GB"/>
        </w:rPr>
        <w:t xml:space="preserve">, green public procurement </w:t>
      </w:r>
      <w:r>
        <w:rPr>
          <w:rFonts w:ascii="Times New Roman" w:hAnsi="Times New Roman"/>
          <w:noProof/>
          <w:sz w:val="23"/>
          <w:szCs w:val="23"/>
        </w:rPr>
        <w:t>and better consumer information. The EU will engage with the partner countries towards reforming a number of resource-intensive sectors such as plastics, textiles or construction</w:t>
      </w:r>
      <w:r>
        <w:rPr>
          <w:rFonts w:ascii="Times New Roman" w:eastAsia="Times New Roman" w:hAnsi="Times New Roman" w:cs="Times New Roman"/>
          <w:noProof/>
          <w:sz w:val="23"/>
          <w:szCs w:val="23"/>
          <w:lang w:val="en-IE" w:eastAsia="en-GB"/>
        </w:rPr>
        <w:t>. Opportunities for green jobs will be carefully identified. Key sectors will benefit from an analysis of possible measures to boost jobs and competitiveness through a green, circular economy.</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4.3.3 Economy’s natural assets base</w:t>
      </w:r>
    </w:p>
    <w:p>
      <w:pPr>
        <w:spacing w:after="120" w:line="240" w:lineRule="auto"/>
        <w:jc w:val="both"/>
        <w:rPr>
          <w:rFonts w:ascii="Times New Roman" w:eastAsia="Times New Roman" w:hAnsi="Times New Roman" w:cs="Times New Roman"/>
          <w:b/>
          <w:bCs/>
          <w:noProof/>
          <w:color w:val="000000" w:themeColor="text1"/>
          <w:sz w:val="23"/>
          <w:szCs w:val="23"/>
          <w:lang w:val="en-US" w:eastAsia="en-GB"/>
        </w:rPr>
      </w:pPr>
      <w:r>
        <w:rPr>
          <w:rFonts w:ascii="Times New Roman" w:eastAsiaTheme="minorEastAsia" w:hAnsi="Times New Roman" w:cs="Times New Roman"/>
          <w:bCs/>
          <w:noProof/>
          <w:color w:val="000000" w:themeColor="text1"/>
          <w:sz w:val="23"/>
          <w:szCs w:val="23"/>
        </w:rPr>
        <w:t xml:space="preserve">Halting the loss of </w:t>
      </w:r>
      <w:r>
        <w:rPr>
          <w:rFonts w:ascii="Times New Roman" w:eastAsiaTheme="minorEastAsia" w:hAnsi="Times New Roman" w:cs="Times New Roman"/>
          <w:b/>
          <w:bCs/>
          <w:noProof/>
          <w:color w:val="000000" w:themeColor="text1"/>
          <w:sz w:val="23"/>
          <w:szCs w:val="23"/>
        </w:rPr>
        <w:t>biodiversity</w:t>
      </w:r>
      <w:r>
        <w:rPr>
          <w:rFonts w:ascii="Times New Roman" w:eastAsiaTheme="minorEastAsia" w:hAnsi="Times New Roman" w:cs="Times New Roman"/>
          <w:bCs/>
          <w:noProof/>
          <w:color w:val="000000" w:themeColor="text1"/>
          <w:sz w:val="23"/>
          <w:szCs w:val="23"/>
        </w:rPr>
        <w:t xml:space="preserve"> will be one of the main goals of cooperation. This includes tackling deforestation and desertification, introducing measures to protect specific species and extending and effectively managing protected areas</w:t>
      </w:r>
      <w:r>
        <w:rPr>
          <w:rFonts w:ascii="Times New Roman" w:eastAsiaTheme="minorEastAsia" w:hAnsi="Times New Roman" w:cs="Times New Roman"/>
          <w:b/>
          <w:bCs/>
          <w:noProof/>
          <w:color w:val="000000" w:themeColor="text1"/>
          <w:sz w:val="23"/>
          <w:szCs w:val="23"/>
        </w:rPr>
        <w:t xml:space="preserve">. </w:t>
      </w:r>
      <w:r>
        <w:rPr>
          <w:rFonts w:ascii="Times New Roman" w:eastAsiaTheme="minorEastAsia" w:hAnsi="Times New Roman" w:cs="Times New Roman"/>
          <w:bCs/>
          <w:noProof/>
          <w:color w:val="000000" w:themeColor="text1"/>
          <w:sz w:val="23"/>
          <w:szCs w:val="23"/>
        </w:rPr>
        <w:t>It also includes working together with other sectors</w:t>
      </w:r>
      <w:r>
        <w:rPr>
          <w:rFonts w:ascii="Times New Roman" w:eastAsiaTheme="minorEastAsia" w:hAnsi="Times New Roman" w:cs="Times New Roman"/>
          <w:b/>
          <w:bCs/>
          <w:noProof/>
          <w:color w:val="000000" w:themeColor="text1"/>
          <w:sz w:val="23"/>
          <w:szCs w:val="23"/>
        </w:rPr>
        <w:t xml:space="preserve"> </w:t>
      </w:r>
      <w:r>
        <w:rPr>
          <w:rFonts w:ascii="Times New Roman" w:eastAsiaTheme="minorEastAsia" w:hAnsi="Times New Roman" w:cs="Times New Roman"/>
          <w:bCs/>
          <w:noProof/>
          <w:color w:val="000000" w:themeColor="text1"/>
          <w:sz w:val="23"/>
          <w:szCs w:val="23"/>
        </w:rPr>
        <w:t xml:space="preserve">on reducing the negative impact of human activities on biodiversity. To preserve natural resources, that form the basis of economies, the EU will further work with the partner countries to address water quality and availability and improve control and surveillance for fishing activities to tackle overexploitation. River-basin management planning will be extended to all river basins. We will continue cooperation on </w:t>
      </w:r>
      <w:r>
        <w:rPr>
          <w:rFonts w:ascii="Times New Roman" w:eastAsia="Times New Roman" w:hAnsi="Times New Roman" w:cs="Times New Roman"/>
          <w:noProof/>
          <w:color w:val="000000"/>
          <w:sz w:val="24"/>
          <w:szCs w:val="24"/>
          <w:lang w:val="en-IE"/>
        </w:rPr>
        <w:t xml:space="preserve">unlocking the potential of the </w:t>
      </w:r>
      <w:r>
        <w:rPr>
          <w:rFonts w:ascii="Times New Roman" w:eastAsia="Times New Roman" w:hAnsi="Times New Roman" w:cs="Times New Roman"/>
          <w:b/>
          <w:noProof/>
          <w:color w:val="000000"/>
          <w:sz w:val="24"/>
          <w:szCs w:val="24"/>
          <w:lang w:val="en-IE"/>
        </w:rPr>
        <w:t>raw materials</w:t>
      </w:r>
      <w:r>
        <w:rPr>
          <w:rFonts w:ascii="Times New Roman" w:eastAsia="Times New Roman" w:hAnsi="Times New Roman" w:cs="Times New Roman"/>
          <w:noProof/>
          <w:color w:val="000000"/>
          <w:sz w:val="24"/>
          <w:szCs w:val="24"/>
          <w:lang w:val="en-IE"/>
        </w:rPr>
        <w:t xml:space="preserve"> sector to contribute to the Sustainable Development Goals, </w:t>
      </w:r>
      <w:r>
        <w:rPr>
          <w:rFonts w:ascii="Times New Roman" w:hAnsi="Times New Roman" w:cs="Times New Roman"/>
          <w:noProof/>
          <w:sz w:val="23"/>
          <w:szCs w:val="23"/>
        </w:rPr>
        <w:t>tackling deforestation and</w:t>
      </w:r>
      <w:r>
        <w:rPr>
          <w:rFonts w:ascii="Times New Roman" w:eastAsiaTheme="minorEastAsia" w:hAnsi="Times New Roman" w:cs="Times New Roman"/>
          <w:bCs/>
          <w:noProof/>
          <w:color w:val="000000" w:themeColor="text1"/>
          <w:sz w:val="23"/>
          <w:szCs w:val="23"/>
        </w:rPr>
        <w:t xml:space="preserve"> improving sustainable forest management including as long-term carbon storage and fossil substitutes. Efforts will be made to reduce illegal logging and make timber traceable. </w:t>
      </w:r>
      <w:r>
        <w:rPr>
          <w:rFonts w:ascii="Times New Roman" w:eastAsia="Times New Roman" w:hAnsi="Times New Roman" w:cs="Times New Roman"/>
          <w:noProof/>
          <w:sz w:val="23"/>
          <w:szCs w:val="23"/>
          <w:lang w:eastAsia="en-GB"/>
        </w:rPr>
        <w:t xml:space="preserve">The EU will support </w:t>
      </w:r>
      <w:r>
        <w:rPr>
          <w:rFonts w:ascii="Times New Roman" w:eastAsia="Times New Roman" w:hAnsi="Times New Roman" w:cs="Times New Roman"/>
          <w:b/>
          <w:bCs/>
          <w:noProof/>
          <w:sz w:val="23"/>
          <w:szCs w:val="23"/>
          <w:lang w:eastAsia="en-GB"/>
        </w:rPr>
        <w:t>sustainable agriculture, fisheries,</w:t>
      </w:r>
      <w:r>
        <w:rPr>
          <w:rFonts w:ascii="Times New Roman" w:eastAsia="Times New Roman" w:hAnsi="Times New Roman" w:cs="Times New Roman"/>
          <w:b/>
          <w:noProof/>
          <w:sz w:val="23"/>
          <w:szCs w:val="23"/>
          <w:lang w:eastAsia="en-GB"/>
        </w:rPr>
        <w:t xml:space="preserve"> and food safety</w:t>
      </w:r>
      <w:r>
        <w:rPr>
          <w:rFonts w:ascii="Times New Roman" w:eastAsia="Times New Roman" w:hAnsi="Times New Roman" w:cs="Times New Roman"/>
          <w:noProof/>
          <w:sz w:val="23"/>
          <w:szCs w:val="23"/>
          <w:lang w:eastAsia="en-GB"/>
        </w:rPr>
        <w:t xml:space="preserve"> through knowledge transfer and innovation, in particular in sectors with high benefit. It will also continue to strengthen the position of farmers and fishermen in the value chain while improving the quality of life in rural and marine coastal areas.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4.3.4 Policies and governance in support of greener growth</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val="en-IE" w:eastAsia="en-GB"/>
        </w:rPr>
        <w:t xml:space="preserve">To succeed the partner countries will need to invest further in: (i) </w:t>
      </w:r>
      <w:r>
        <w:rPr>
          <w:rFonts w:ascii="Times New Roman" w:eastAsia="Times New Roman" w:hAnsi="Times New Roman" w:cs="Times New Roman"/>
          <w:b/>
          <w:noProof/>
          <w:sz w:val="23"/>
          <w:szCs w:val="23"/>
          <w:lang w:val="en-IE" w:eastAsia="en-GB"/>
        </w:rPr>
        <w:t>environmental governance</w:t>
      </w:r>
      <w:r>
        <w:rPr>
          <w:rFonts w:ascii="Times New Roman" w:eastAsia="Times New Roman" w:hAnsi="Times New Roman" w:cs="Times New Roman"/>
          <w:noProof/>
          <w:sz w:val="23"/>
          <w:szCs w:val="23"/>
          <w:lang w:val="en-IE" w:eastAsia="en-GB"/>
        </w:rPr>
        <w:t xml:space="preserve">; (ii) the sound planning of policies and investments; (iii) administrative capacity </w:t>
      </w:r>
      <w:r>
        <w:rPr>
          <w:rFonts w:ascii="Times New Roman" w:hAnsi="Times New Roman"/>
          <w:noProof/>
          <w:sz w:val="23"/>
          <w:szCs w:val="23"/>
        </w:rPr>
        <w:t>to implement and enforce legislation</w:t>
      </w:r>
      <w:r>
        <w:rPr>
          <w:rFonts w:ascii="Times New Roman" w:eastAsia="Times New Roman" w:hAnsi="Times New Roman" w:cs="Times New Roman"/>
          <w:noProof/>
          <w:sz w:val="23"/>
          <w:szCs w:val="23"/>
          <w:lang w:val="en-IE" w:eastAsia="en-GB"/>
        </w:rPr>
        <w:t>; (iv) enhanced public access to information, awareness, and participation; and (v) more adapted and effective financing mechanisms. This will require</w:t>
      </w:r>
      <w:r>
        <w:rPr>
          <w:rFonts w:ascii="Times New Roman" w:eastAsia="Times New Roman" w:hAnsi="Times New Roman" w:cs="Times New Roman"/>
          <w:noProof/>
          <w:color w:val="000000" w:themeColor="text1"/>
          <w:sz w:val="23"/>
          <w:szCs w:val="23"/>
          <w:lang w:val="en-IE" w:eastAsia="en-GB"/>
        </w:rPr>
        <w:t xml:space="preserve"> strong policy dialogue and improved outreach to all stakeholders, including the relevant parliamentary committees. </w:t>
      </w:r>
      <w:r>
        <w:rPr>
          <w:rFonts w:ascii="Times New Roman" w:eastAsia="Times New Roman" w:hAnsi="Times New Roman" w:cs="Times New Roman"/>
          <w:b/>
          <w:noProof/>
          <w:color w:val="000000" w:themeColor="text1"/>
          <w:sz w:val="23"/>
          <w:szCs w:val="23"/>
          <w:lang w:val="en-IE" w:eastAsia="en-GB"/>
        </w:rPr>
        <w:t>Raising awareness</w:t>
      </w:r>
      <w:r>
        <w:rPr>
          <w:rFonts w:ascii="Times New Roman" w:eastAsia="Times New Roman" w:hAnsi="Times New Roman" w:cs="Times New Roman"/>
          <w:noProof/>
          <w:color w:val="000000" w:themeColor="text1"/>
          <w:sz w:val="23"/>
          <w:szCs w:val="23"/>
          <w:lang w:val="en-IE" w:eastAsia="en-GB"/>
        </w:rPr>
        <w:t xml:space="preserve">, including by teaming up with civil society, will also be important. </w:t>
      </w:r>
      <w:r>
        <w:rPr>
          <w:rFonts w:ascii="Times New Roman" w:eastAsia="Times New Roman" w:hAnsi="Times New Roman" w:cs="Times New Roman"/>
          <w:bCs/>
          <w:noProof/>
          <w:sz w:val="23"/>
          <w:szCs w:val="23"/>
          <w:lang w:eastAsia="en-GB"/>
        </w:rPr>
        <w:t xml:space="preserve">The EU better support issue-specific leadership roles of Member States and partner countries in specific areas to encourage faster implementation of </w:t>
      </w:r>
      <w:r>
        <w:rPr>
          <w:rFonts w:ascii="Times New Roman" w:eastAsia="Times New Roman" w:hAnsi="Times New Roman" w:cs="Times New Roman"/>
          <w:noProof/>
          <w:sz w:val="23"/>
          <w:szCs w:val="23"/>
          <w:lang w:val="en-IE" w:eastAsia="en-GB"/>
        </w:rPr>
        <w:t>modern policies and practices, and increase the countries’ ownership.</w:t>
      </w:r>
      <w:r>
        <w:rPr>
          <w:rFonts w:ascii="Times New Roman" w:eastAsia="Times New Roman" w:hAnsi="Times New Roman" w:cs="Times New Roman"/>
          <w:noProof/>
          <w:sz w:val="23"/>
          <w:szCs w:val="23"/>
          <w:lang w:eastAsia="en-GB"/>
        </w:rPr>
        <w:t xml:space="preserve"> The </w:t>
      </w:r>
      <w:r>
        <w:rPr>
          <w:rFonts w:ascii="Times New Roman" w:eastAsia="Times New Roman" w:hAnsi="Times New Roman" w:cs="Times New Roman"/>
          <w:b/>
          <w:bCs/>
          <w:noProof/>
          <w:sz w:val="23"/>
          <w:szCs w:val="23"/>
          <w:lang w:eastAsia="en-GB"/>
        </w:rPr>
        <w:t>Common Maritime Agenda for the Black Sea</w:t>
      </w:r>
      <w:r>
        <w:rPr>
          <w:rStyle w:val="FootnoteReference"/>
          <w:rFonts w:ascii="Times New Roman" w:eastAsia="Times New Roman" w:hAnsi="Times New Roman" w:cs="Times New Roman"/>
          <w:b/>
          <w:bCs/>
          <w:noProof/>
          <w:sz w:val="23"/>
          <w:szCs w:val="23"/>
          <w:lang w:eastAsia="en-GB"/>
        </w:rPr>
        <w:footnoteReference w:id="13"/>
      </w:r>
      <w:r>
        <w:rPr>
          <w:rFonts w:ascii="Times New Roman" w:eastAsia="Times New Roman" w:hAnsi="Times New Roman" w:cs="Times New Roman"/>
          <w:b/>
          <w:bCs/>
          <w:noProof/>
          <w:sz w:val="23"/>
          <w:szCs w:val="23"/>
          <w:lang w:eastAsia="en-GB"/>
        </w:rPr>
        <w:t xml:space="preserve"> </w:t>
      </w:r>
      <w:r>
        <w:rPr>
          <w:rFonts w:ascii="Times New Roman" w:eastAsia="Times New Roman" w:hAnsi="Times New Roman" w:cs="Times New Roman"/>
          <w:noProof/>
          <w:sz w:val="23"/>
          <w:szCs w:val="23"/>
          <w:lang w:eastAsia="en-GB"/>
        </w:rPr>
        <w:t xml:space="preserve">will contribute </w:t>
      </w:r>
      <w:r>
        <w:rPr>
          <w:rFonts w:ascii="Times New Roman" w:eastAsia="Times New Roman" w:hAnsi="Times New Roman" w:cs="Times New Roman"/>
          <w:bCs/>
          <w:noProof/>
          <w:sz w:val="23"/>
          <w:szCs w:val="23"/>
          <w:lang w:eastAsia="en-GB"/>
        </w:rPr>
        <w:t>as a regional governance framework.</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4.3.5 Strengthening energy security and nuclear safety</w:t>
      </w:r>
    </w:p>
    <w:p>
      <w:pPr>
        <w:spacing w:after="240" w:line="240" w:lineRule="auto"/>
        <w:jc w:val="both"/>
        <w:rPr>
          <w:rFonts w:ascii="Times New Roman" w:eastAsia="Times New Roman" w:hAnsi="Times New Roman" w:cs="Times New Roman"/>
          <w:noProof/>
          <w:sz w:val="23"/>
          <w:szCs w:val="23"/>
        </w:rPr>
      </w:pPr>
      <w:r>
        <w:rPr>
          <w:rFonts w:ascii="Times New Roman" w:eastAsia="Times New Roman" w:hAnsi="Times New Roman" w:cs="Times New Roman"/>
          <w:noProof/>
          <w:sz w:val="23"/>
          <w:szCs w:val="23"/>
          <w:lang w:val="en-IE" w:eastAsia="en-GB"/>
        </w:rPr>
        <w:t xml:space="preserve">To strengthen energy security, diversification of the energy mix is necessary, notably via renewable energy sources. Partner countries are competent in </w:t>
      </w:r>
      <w:r>
        <w:rPr>
          <w:rFonts w:ascii="Times New Roman" w:eastAsia="Times New Roman" w:hAnsi="Times New Roman" w:cs="Times New Roman"/>
          <w:b/>
          <w:noProof/>
          <w:sz w:val="23"/>
          <w:szCs w:val="23"/>
          <w:lang w:val="en-IE" w:eastAsia="en-GB"/>
        </w:rPr>
        <w:t>deciding on their own energy mix</w:t>
      </w:r>
      <w:r>
        <w:rPr>
          <w:rFonts w:ascii="Times New Roman" w:eastAsia="Times New Roman" w:hAnsi="Times New Roman" w:cs="Times New Roman"/>
          <w:noProof/>
          <w:sz w:val="23"/>
          <w:szCs w:val="23"/>
          <w:lang w:val="en-IE" w:eastAsia="en-GB"/>
        </w:rPr>
        <w:t xml:space="preserve"> in view of achieving their respective climate targets. Some countries may choose nuclear as a low carbon energy source to play a role in meeting those targets. In this context, the EU will continue to contribute to </w:t>
      </w:r>
      <w:r>
        <w:rPr>
          <w:rFonts w:ascii="Times New Roman" w:eastAsia="Times New Roman" w:hAnsi="Times New Roman" w:cs="Times New Roman"/>
          <w:b/>
          <w:noProof/>
          <w:sz w:val="23"/>
          <w:szCs w:val="23"/>
          <w:lang w:val="en-IE" w:eastAsia="en-GB"/>
        </w:rPr>
        <w:t>strengthening international nuclear safety</w:t>
      </w:r>
      <w:r>
        <w:rPr>
          <w:rFonts w:ascii="Times New Roman" w:eastAsia="Times New Roman" w:hAnsi="Times New Roman" w:cs="Times New Roman"/>
          <w:noProof/>
          <w:sz w:val="23"/>
          <w:szCs w:val="23"/>
          <w:lang w:val="en-IE" w:eastAsia="en-GB"/>
        </w:rPr>
        <w:t xml:space="preserve">. The EU’s forerunner role in binding nuclear legislation will be the basis of further bilateral exchanges. We will continue to organise nuclear stress test peer reviews and follow-up activities. The </w:t>
      </w:r>
      <w:r>
        <w:rPr>
          <w:rFonts w:ascii="Times New Roman" w:eastAsia="Times New Roman" w:hAnsi="Times New Roman" w:cs="Times New Roman"/>
          <w:b/>
          <w:noProof/>
          <w:sz w:val="23"/>
          <w:szCs w:val="23"/>
          <w:lang w:val="en-IE" w:eastAsia="en-GB"/>
        </w:rPr>
        <w:t>EU will also share its experience</w:t>
      </w:r>
      <w:r>
        <w:rPr>
          <w:rFonts w:ascii="Times New Roman" w:eastAsia="Times New Roman" w:hAnsi="Times New Roman" w:cs="Times New Roman"/>
          <w:noProof/>
          <w:sz w:val="23"/>
          <w:szCs w:val="23"/>
          <w:lang w:val="en-IE" w:eastAsia="en-GB"/>
        </w:rPr>
        <w:t xml:space="preserve"> in the fields of decommissioning, radioactive waste management, and radiation protection. </w:t>
      </w:r>
      <w:r>
        <w:rPr>
          <w:rFonts w:ascii="Times New Roman" w:eastAsia="Times New Roman" w:hAnsi="Times New Roman" w:cs="Times New Roman"/>
          <w:noProof/>
          <w:sz w:val="23"/>
          <w:szCs w:val="23"/>
        </w:rPr>
        <w:t>The participation of partner countries in the EU arrangements for environmental monitoring – EURDEP – and for exchanging information in case of radiological or nuclear emergencies – ECURIE – is also of key importance.</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4.3.6. Accelerating the shift to sustainable and smart mobility</w:t>
      </w:r>
    </w:p>
    <w:p>
      <w:pPr>
        <w:spacing w:after="240" w:line="240" w:lineRule="auto"/>
        <w:jc w:val="both"/>
        <w:rPr>
          <w:rFonts w:ascii="Times New Roman" w:eastAsia="Times New Roman" w:hAnsi="Times New Roman" w:cs="Times New Roman"/>
          <w:noProof/>
          <w:sz w:val="23"/>
          <w:szCs w:val="23"/>
        </w:rPr>
      </w:pPr>
      <w:r>
        <w:rPr>
          <w:rFonts w:ascii="Times New Roman" w:eastAsia="Times New Roman" w:hAnsi="Times New Roman" w:cs="Times New Roman"/>
          <w:noProof/>
          <w:sz w:val="23"/>
          <w:szCs w:val="23"/>
        </w:rPr>
        <w:t xml:space="preserve">Transport has to become more sustainable and transport policies in the EaP should be revamped to ensure reduction of greenhouse gas emissions. Therefore the EU will increasingly work with partner countries on </w:t>
      </w:r>
      <w:r>
        <w:rPr>
          <w:rFonts w:ascii="Times New Roman" w:eastAsia="Times New Roman" w:hAnsi="Times New Roman" w:cs="Times New Roman"/>
          <w:b/>
          <w:noProof/>
          <w:sz w:val="23"/>
          <w:szCs w:val="23"/>
        </w:rPr>
        <w:t>green transport solutions</w:t>
      </w:r>
      <w:r>
        <w:rPr>
          <w:rFonts w:ascii="Times New Roman" w:eastAsia="Times New Roman" w:hAnsi="Times New Roman" w:cs="Times New Roman"/>
          <w:noProof/>
          <w:sz w:val="23"/>
          <w:szCs w:val="23"/>
        </w:rPr>
        <w:t xml:space="preserve">, by helping build future-oriented smart cities creating urban mobility plans to integrate transport modes in urban areas. For the long haul this will include optimisation of transport including through </w:t>
      </w:r>
      <w:r>
        <w:rPr>
          <w:rFonts w:ascii="Times New Roman" w:eastAsia="Times New Roman" w:hAnsi="Times New Roman" w:cs="Times New Roman"/>
          <w:b/>
          <w:noProof/>
          <w:sz w:val="23"/>
          <w:szCs w:val="23"/>
        </w:rPr>
        <w:t>digitalisation</w:t>
      </w:r>
      <w:r>
        <w:rPr>
          <w:rFonts w:ascii="Times New Roman" w:eastAsia="Times New Roman" w:hAnsi="Times New Roman" w:cs="Times New Roman"/>
          <w:noProof/>
          <w:sz w:val="23"/>
          <w:szCs w:val="23"/>
        </w:rPr>
        <w:t>.</w:t>
      </w:r>
    </w:p>
    <w:p>
      <w:pPr>
        <w:keepNext/>
        <w:tabs>
          <w:tab w:val="num" w:pos="1922"/>
        </w:tabs>
        <w:spacing w:after="240" w:line="240" w:lineRule="auto"/>
        <w:ind w:left="1922" w:hanging="720"/>
        <w:jc w:val="both"/>
        <w:outlineLvl w:val="2"/>
        <w:rPr>
          <w:rFonts w:ascii="Times New Roman" w:eastAsia="Times New Roman" w:hAnsi="Times New Roman" w:cs="Times New Roman"/>
          <w:noProof/>
          <w:sz w:val="23"/>
          <w:szCs w:val="23"/>
          <w:lang w:eastAsia="en-GB"/>
        </w:rPr>
      </w:pPr>
      <w:r>
        <w:rPr>
          <w:rFonts w:ascii="Times New Roman" w:eastAsia="Times New Roman" w:hAnsi="Times New Roman" w:cs="Times New Roman"/>
          <w:b/>
          <w:noProof/>
          <w:sz w:val="23"/>
          <w:szCs w:val="23"/>
          <w:lang w:eastAsia="en-GB"/>
        </w:rPr>
        <w:t>4.4 Together for a resilient digital transformation</w:t>
      </w:r>
      <w:r>
        <w:rPr>
          <w:rFonts w:ascii="Times New Roman" w:eastAsia="Times New Roman" w:hAnsi="Times New Roman" w:cs="Times New Roman"/>
          <w:i/>
          <w:noProof/>
          <w:sz w:val="23"/>
          <w:szCs w:val="23"/>
          <w:lang w:eastAsia="en-GB"/>
        </w:rPr>
        <w:t xml:space="preserve"> </w:t>
      </w:r>
    </w:p>
    <w:p>
      <w:pPr>
        <w:spacing w:line="240" w:lineRule="auto"/>
        <w:jc w:val="both"/>
        <w:rPr>
          <w:rFonts w:ascii="Times New Roman" w:hAnsi="Times New Roman" w:cs="Times New Roman"/>
          <w:noProof/>
          <w:color w:val="000000"/>
          <w:sz w:val="23"/>
          <w:szCs w:val="23"/>
        </w:rPr>
      </w:pPr>
      <w:r>
        <w:rPr>
          <w:rFonts w:ascii="Times New Roman" w:hAnsi="Times New Roman" w:cs="Times New Roman"/>
          <w:noProof/>
          <w:color w:val="000000"/>
          <w:sz w:val="23"/>
          <w:szCs w:val="23"/>
        </w:rPr>
        <w:t xml:space="preserve">As indicated in the </w:t>
      </w:r>
      <w:r>
        <w:rPr>
          <w:rFonts w:ascii="Times New Roman" w:hAnsi="Times New Roman" w:cs="Times New Roman"/>
          <w:b/>
          <w:noProof/>
          <w:color w:val="000000"/>
          <w:sz w:val="23"/>
          <w:szCs w:val="23"/>
        </w:rPr>
        <w:t>Strategy on Shaping Europe’s digital future</w:t>
      </w:r>
      <w:r>
        <w:rPr>
          <w:rStyle w:val="FootnoteReference"/>
          <w:rFonts w:ascii="Times New Roman" w:hAnsi="Times New Roman" w:cs="Times New Roman"/>
          <w:b/>
          <w:noProof/>
          <w:color w:val="000000"/>
          <w:sz w:val="23"/>
          <w:szCs w:val="23"/>
        </w:rPr>
        <w:footnoteReference w:id="14"/>
      </w:r>
      <w:r>
        <w:rPr>
          <w:rFonts w:ascii="Times New Roman" w:hAnsi="Times New Roman" w:cs="Times New Roman"/>
          <w:noProof/>
          <w:color w:val="000000"/>
          <w:sz w:val="23"/>
          <w:szCs w:val="23"/>
        </w:rPr>
        <w:t xml:space="preserve">, a strong digital presence in the EU’s neighbourhood will enable growth and drive sustainable development. In this respect, the EU will invest further in the </w:t>
      </w:r>
      <w:r>
        <w:rPr>
          <w:rFonts w:ascii="Times New Roman" w:hAnsi="Times New Roman" w:cs="Times New Roman"/>
          <w:b/>
          <w:bCs/>
          <w:noProof/>
          <w:color w:val="000000"/>
          <w:sz w:val="23"/>
          <w:szCs w:val="23"/>
        </w:rPr>
        <w:t>digital transformation</w:t>
      </w:r>
      <w:r>
        <w:rPr>
          <w:rFonts w:ascii="Times New Roman" w:hAnsi="Times New Roman" w:cs="Times New Roman"/>
          <w:noProof/>
          <w:color w:val="000000"/>
          <w:sz w:val="23"/>
          <w:szCs w:val="23"/>
        </w:rPr>
        <w:t xml:space="preserve"> of the partner countries, in line with EU legislation and best practices. Work in this area beyond 2020 will aim to extend the benefits of the Digital Single Market to the partner countries and support the full implementation of the partner countries’ commitments in the </w:t>
      </w:r>
      <w:r>
        <w:rPr>
          <w:rFonts w:ascii="Times New Roman" w:hAnsi="Times New Roman" w:cs="Times New Roman"/>
          <w:b/>
          <w:noProof/>
          <w:color w:val="000000"/>
          <w:sz w:val="23"/>
          <w:szCs w:val="23"/>
        </w:rPr>
        <w:t xml:space="preserve">Association Agreements and other bilateral agreements. </w:t>
      </w:r>
      <w:r>
        <w:rPr>
          <w:rFonts w:ascii="Times New Roman" w:hAnsi="Times New Roman" w:cs="Times New Roman"/>
          <w:noProof/>
          <w:color w:val="000000"/>
          <w:sz w:val="23"/>
          <w:szCs w:val="23"/>
        </w:rPr>
        <w:t xml:space="preserve">Work will build on the success of the policy initiative for the </w:t>
      </w:r>
      <w:r>
        <w:rPr>
          <w:rFonts w:ascii="Times New Roman" w:hAnsi="Times New Roman" w:cs="Times New Roman"/>
          <w:b/>
          <w:noProof/>
          <w:color w:val="000000"/>
          <w:sz w:val="23"/>
          <w:szCs w:val="23"/>
        </w:rPr>
        <w:t>Harmonisation of Digital Markets</w:t>
      </w:r>
      <w:r>
        <w:rPr>
          <w:rFonts w:ascii="Times New Roman" w:hAnsi="Times New Roman" w:cs="Times New Roman"/>
          <w:noProof/>
          <w:color w:val="000000"/>
          <w:sz w:val="23"/>
          <w:szCs w:val="23"/>
        </w:rPr>
        <w:t xml:space="preserve"> in the EaP and the operational programmes launched under the </w:t>
      </w:r>
      <w:r>
        <w:rPr>
          <w:rFonts w:ascii="Times New Roman" w:hAnsi="Times New Roman" w:cs="Times New Roman"/>
          <w:b/>
          <w:noProof/>
          <w:color w:val="000000"/>
          <w:sz w:val="23"/>
          <w:szCs w:val="23"/>
        </w:rPr>
        <w:t xml:space="preserve">EU4Digital </w:t>
      </w:r>
      <w:r>
        <w:rPr>
          <w:rFonts w:ascii="Times New Roman" w:hAnsi="Times New Roman" w:cs="Times New Roman"/>
          <w:noProof/>
          <w:color w:val="000000"/>
          <w:sz w:val="23"/>
          <w:szCs w:val="23"/>
        </w:rPr>
        <w:t>brand.</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4.4.1. Digital infrastructure</w:t>
      </w:r>
    </w:p>
    <w:p>
      <w:pPr>
        <w:spacing w:line="240" w:lineRule="auto"/>
        <w:jc w:val="both"/>
        <w:rPr>
          <w:rFonts w:ascii="Times New Roman" w:hAnsi="Times New Roman" w:cs="Times New Roman"/>
          <w:noProof/>
          <w:color w:val="000000"/>
          <w:sz w:val="23"/>
          <w:szCs w:val="23"/>
          <w:lang w:val="en-US"/>
        </w:rPr>
      </w:pPr>
      <w:r>
        <w:rPr>
          <w:rFonts w:ascii="Times New Roman" w:hAnsi="Times New Roman" w:cs="Times New Roman"/>
          <w:noProof/>
          <w:color w:val="000000"/>
          <w:sz w:val="23"/>
          <w:szCs w:val="23"/>
          <w:lang w:val="en-US"/>
        </w:rPr>
        <w:t>A modern economy</w:t>
      </w:r>
      <w:r>
        <w:rPr>
          <w:rFonts w:ascii="Times New Roman" w:hAnsi="Times New Roman" w:cs="Times New Roman"/>
          <w:noProof/>
          <w:color w:val="000000"/>
          <w:sz w:val="23"/>
          <w:szCs w:val="23"/>
        </w:rPr>
        <w:t xml:space="preserve"> based on data can only be fully realised if citizens and businesses have access to high quality electronic communications infrastructure and services at affordable prices. The EU will continue to support the strengthening of the independence of </w:t>
      </w:r>
      <w:r>
        <w:rPr>
          <w:rFonts w:ascii="Times New Roman" w:hAnsi="Times New Roman" w:cs="Times New Roman"/>
          <w:b/>
          <w:bCs/>
          <w:noProof/>
          <w:color w:val="000000"/>
          <w:sz w:val="23"/>
          <w:szCs w:val="23"/>
        </w:rPr>
        <w:t xml:space="preserve">regulatory authorities </w:t>
      </w:r>
      <w:r>
        <w:rPr>
          <w:rFonts w:ascii="Times New Roman" w:hAnsi="Times New Roman" w:cs="Times New Roman"/>
          <w:bCs/>
          <w:noProof/>
          <w:color w:val="000000"/>
          <w:sz w:val="23"/>
          <w:szCs w:val="23"/>
        </w:rPr>
        <w:t>where appropriate and the establishment of the necessary regulatory powers, to allow the</w:t>
      </w:r>
      <w:r>
        <w:rPr>
          <w:rFonts w:ascii="Times New Roman" w:hAnsi="Times New Roman" w:cs="Times New Roman"/>
          <w:noProof/>
          <w:color w:val="000000"/>
          <w:sz w:val="23"/>
          <w:szCs w:val="23"/>
        </w:rPr>
        <w:t xml:space="preserve"> proper functioning of the electronic communications markets in the partner countries. The EU will also continue to support, notably through technical assistance and exchange of best practices, the extension of </w:t>
      </w:r>
      <w:r>
        <w:rPr>
          <w:rFonts w:ascii="Times New Roman" w:hAnsi="Times New Roman" w:cs="Times New Roman"/>
          <w:b/>
          <w:noProof/>
          <w:color w:val="000000"/>
          <w:sz w:val="23"/>
          <w:szCs w:val="23"/>
        </w:rPr>
        <w:t>secure and very</w:t>
      </w:r>
      <w:r>
        <w:rPr>
          <w:rFonts w:ascii="Times New Roman" w:hAnsi="Times New Roman" w:cs="Times New Roman"/>
          <w:noProof/>
          <w:color w:val="000000"/>
          <w:sz w:val="23"/>
          <w:szCs w:val="23"/>
        </w:rPr>
        <w:t xml:space="preserve"> </w:t>
      </w:r>
      <w:r>
        <w:rPr>
          <w:rFonts w:ascii="Times New Roman" w:hAnsi="Times New Roman" w:cs="Times New Roman"/>
          <w:b/>
          <w:noProof/>
          <w:color w:val="000000"/>
          <w:sz w:val="23"/>
          <w:szCs w:val="23"/>
        </w:rPr>
        <w:t>high capacity Gigabit</w:t>
      </w:r>
      <w:r>
        <w:rPr>
          <w:rFonts w:ascii="Times New Roman" w:hAnsi="Times New Roman" w:cs="Times New Roman"/>
          <w:noProof/>
          <w:color w:val="000000"/>
          <w:sz w:val="23"/>
          <w:szCs w:val="23"/>
        </w:rPr>
        <w:t xml:space="preserve"> </w:t>
      </w:r>
      <w:r>
        <w:rPr>
          <w:rFonts w:ascii="Times New Roman" w:hAnsi="Times New Roman" w:cs="Times New Roman"/>
          <w:b/>
          <w:bCs/>
          <w:noProof/>
          <w:color w:val="000000"/>
          <w:sz w:val="23"/>
          <w:szCs w:val="23"/>
        </w:rPr>
        <w:t>broadband</w:t>
      </w:r>
      <w:r>
        <w:rPr>
          <w:rFonts w:ascii="Times New Roman" w:hAnsi="Times New Roman" w:cs="Times New Roman"/>
          <w:noProof/>
          <w:color w:val="000000"/>
          <w:sz w:val="23"/>
          <w:szCs w:val="23"/>
        </w:rPr>
        <w:t xml:space="preserve"> infrastructures in partner countries, in particular in remote or less densely populated areas, and to foster its use. Ensuring services are available at affordable prices will be important to maximise impact for the EaP population. In this context, the EU will support the implementation of </w:t>
      </w:r>
      <w:r>
        <w:rPr>
          <w:rFonts w:ascii="Times New Roman" w:hAnsi="Times New Roman" w:cs="Times New Roman"/>
          <w:b/>
          <w:bCs/>
          <w:noProof/>
          <w:color w:val="000000"/>
          <w:sz w:val="23"/>
          <w:szCs w:val="23"/>
        </w:rPr>
        <w:t xml:space="preserve">roaming </w:t>
      </w:r>
      <w:r>
        <w:rPr>
          <w:rFonts w:ascii="Times New Roman" w:hAnsi="Times New Roman" w:cs="Times New Roman"/>
          <w:noProof/>
          <w:color w:val="000000"/>
          <w:sz w:val="23"/>
          <w:szCs w:val="23"/>
        </w:rPr>
        <w:t>and</w:t>
      </w:r>
      <w:r>
        <w:rPr>
          <w:rFonts w:ascii="Times New Roman" w:hAnsi="Times New Roman" w:cs="Times New Roman"/>
          <w:b/>
          <w:bCs/>
          <w:noProof/>
          <w:color w:val="000000"/>
          <w:sz w:val="23"/>
          <w:szCs w:val="23"/>
        </w:rPr>
        <w:t xml:space="preserve"> spectrum</w:t>
      </w:r>
      <w:r>
        <w:rPr>
          <w:rFonts w:ascii="Times New Roman" w:hAnsi="Times New Roman" w:cs="Times New Roman"/>
          <w:b/>
          <w:bCs/>
          <w:noProof/>
          <w:color w:val="000000"/>
          <w:sz w:val="23"/>
          <w:szCs w:val="23"/>
          <w:lang w:val="en-US"/>
        </w:rPr>
        <w:t xml:space="preserve"> </w:t>
      </w:r>
      <w:r>
        <w:rPr>
          <w:rFonts w:ascii="Times New Roman" w:hAnsi="Times New Roman" w:cs="Times New Roman"/>
          <w:noProof/>
          <w:color w:val="000000"/>
          <w:sz w:val="23"/>
          <w:szCs w:val="23"/>
          <w:lang w:val="en-US"/>
        </w:rPr>
        <w:t>agreements</w:t>
      </w:r>
      <w:r>
        <w:rPr>
          <w:rFonts w:ascii="Times New Roman" w:hAnsi="Times New Roman" w:cs="Times New Roman"/>
          <w:b/>
          <w:bCs/>
          <w:noProof/>
          <w:color w:val="000000"/>
          <w:sz w:val="23"/>
          <w:szCs w:val="23"/>
          <w:lang w:val="en-US"/>
        </w:rPr>
        <w:t xml:space="preserve"> </w:t>
      </w:r>
      <w:r>
        <w:rPr>
          <w:rFonts w:ascii="Times New Roman" w:hAnsi="Times New Roman" w:cs="Times New Roman"/>
          <w:noProof/>
          <w:color w:val="000000"/>
          <w:sz w:val="23"/>
          <w:szCs w:val="23"/>
          <w:lang w:val="en-US"/>
        </w:rPr>
        <w:t>among the partner countries and, where appropriate, with the EU.</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4.4.2 eGovernance</w:t>
      </w:r>
    </w:p>
    <w:p>
      <w:pPr>
        <w:spacing w:line="240" w:lineRule="auto"/>
        <w:jc w:val="both"/>
        <w:rPr>
          <w:rFonts w:ascii="Times New Roman" w:hAnsi="Times New Roman" w:cs="Times New Roman"/>
          <w:noProof/>
          <w:color w:val="000000"/>
          <w:sz w:val="23"/>
          <w:szCs w:val="23"/>
          <w:lang w:val="en-US"/>
        </w:rPr>
      </w:pPr>
      <w:r>
        <w:rPr>
          <w:rFonts w:ascii="Times New Roman" w:hAnsi="Times New Roman" w:cs="Times New Roman"/>
          <w:noProof/>
          <w:color w:val="000000"/>
          <w:sz w:val="23"/>
          <w:szCs w:val="23"/>
          <w:lang w:val="en-US"/>
        </w:rPr>
        <w:t>The EU will support further the strengthening of</w:t>
      </w:r>
      <w:r>
        <w:rPr>
          <w:rFonts w:ascii="Times New Roman" w:hAnsi="Times New Roman" w:cs="Times New Roman"/>
          <w:b/>
          <w:bCs/>
          <w:noProof/>
          <w:color w:val="000000"/>
          <w:sz w:val="23"/>
          <w:szCs w:val="23"/>
          <w:lang w:val="en-US"/>
        </w:rPr>
        <w:t xml:space="preserve"> eGovernance</w:t>
      </w:r>
      <w:r>
        <w:rPr>
          <w:rFonts w:ascii="Times New Roman" w:hAnsi="Times New Roman" w:cs="Times New Roman"/>
          <w:noProof/>
          <w:color w:val="000000"/>
          <w:sz w:val="23"/>
          <w:szCs w:val="23"/>
          <w:lang w:val="en-US"/>
        </w:rPr>
        <w:t xml:space="preserve"> in the EaP region, in order to increase efficiency, transparency and accountability for public administrations and facilitate reforms. In this respect, the EU will support the adoption of legal frameworks for </w:t>
      </w:r>
      <w:r>
        <w:rPr>
          <w:rFonts w:ascii="Times New Roman" w:hAnsi="Times New Roman" w:cs="Times New Roman"/>
          <w:b/>
          <w:noProof/>
          <w:color w:val="000000"/>
          <w:sz w:val="23"/>
          <w:szCs w:val="23"/>
          <w:lang w:val="en-US"/>
        </w:rPr>
        <w:t>electronic identification</w:t>
      </w:r>
      <w:r>
        <w:rPr>
          <w:rFonts w:ascii="Times New Roman" w:hAnsi="Times New Roman" w:cs="Times New Roman"/>
          <w:noProof/>
          <w:color w:val="000000"/>
          <w:sz w:val="23"/>
          <w:szCs w:val="23"/>
          <w:lang w:val="en-US"/>
        </w:rPr>
        <w:t xml:space="preserve"> schemes and </w:t>
      </w:r>
      <w:r>
        <w:rPr>
          <w:rFonts w:ascii="Times New Roman" w:hAnsi="Times New Roman" w:cs="Times New Roman"/>
          <w:b/>
          <w:noProof/>
          <w:color w:val="000000"/>
          <w:sz w:val="23"/>
          <w:szCs w:val="23"/>
          <w:lang w:val="en-US"/>
        </w:rPr>
        <w:t xml:space="preserve">electronic trust </w:t>
      </w:r>
      <w:r>
        <w:rPr>
          <w:rFonts w:ascii="Times New Roman" w:hAnsi="Times New Roman" w:cs="Times New Roman"/>
          <w:noProof/>
          <w:color w:val="000000"/>
          <w:sz w:val="23"/>
          <w:szCs w:val="23"/>
          <w:lang w:val="en-US"/>
        </w:rPr>
        <w:t xml:space="preserve">services in the EaP, in line with EU legislation and best practices, in order to pave the way for mutual recognition agreements among the partner countries and with the EU. Standardised interoperable </w:t>
      </w:r>
      <w:r>
        <w:rPr>
          <w:rFonts w:ascii="Times New Roman" w:hAnsi="Times New Roman" w:cs="Times New Roman"/>
          <w:b/>
          <w:bCs/>
          <w:noProof/>
          <w:color w:val="000000"/>
          <w:sz w:val="23"/>
          <w:szCs w:val="23"/>
          <w:lang w:val="en-US"/>
        </w:rPr>
        <w:t>eServices platforms</w:t>
      </w:r>
      <w:r>
        <w:rPr>
          <w:rFonts w:ascii="Times New Roman" w:hAnsi="Times New Roman" w:cs="Times New Roman"/>
          <w:noProof/>
          <w:color w:val="000000"/>
          <w:sz w:val="23"/>
          <w:szCs w:val="23"/>
          <w:lang w:val="en-US"/>
        </w:rPr>
        <w:t xml:space="preserve"> will be supported.</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 xml:space="preserve">4.4.3. Digital economy and innovation </w:t>
      </w:r>
    </w:p>
    <w:p>
      <w:pPr>
        <w:spacing w:line="240" w:lineRule="auto"/>
        <w:jc w:val="both"/>
        <w:rPr>
          <w:rFonts w:ascii="Times New Roman" w:hAnsi="Times New Roman" w:cs="Times New Roman"/>
          <w:noProof/>
          <w:color w:val="000000"/>
          <w:sz w:val="23"/>
          <w:szCs w:val="23"/>
          <w:lang w:val="en-US"/>
        </w:rPr>
      </w:pPr>
      <w:r>
        <w:rPr>
          <w:rFonts w:ascii="Times New Roman" w:hAnsi="Times New Roman" w:cs="Times New Roman"/>
          <w:noProof/>
          <w:color w:val="000000"/>
          <w:sz w:val="23"/>
          <w:szCs w:val="23"/>
        </w:rPr>
        <w:t xml:space="preserve">The EU will support EaP governments in developing digital innovations programmes and support the scaling up of highly innovative digital </w:t>
      </w:r>
      <w:r>
        <w:rPr>
          <w:rFonts w:ascii="Times New Roman" w:hAnsi="Times New Roman" w:cs="Times New Roman"/>
          <w:b/>
          <w:bCs/>
          <w:noProof/>
          <w:color w:val="000000"/>
          <w:sz w:val="23"/>
          <w:szCs w:val="23"/>
        </w:rPr>
        <w:t xml:space="preserve">start-ups </w:t>
      </w:r>
      <w:r>
        <w:rPr>
          <w:rFonts w:ascii="Times New Roman" w:hAnsi="Times New Roman" w:cs="Times New Roman"/>
          <w:bCs/>
          <w:noProof/>
          <w:color w:val="000000"/>
          <w:sz w:val="23"/>
          <w:szCs w:val="23"/>
        </w:rPr>
        <w:t xml:space="preserve">in the EaP region through the extension of the Digital Innovation and Scale-up Initiative to the partner countries. In particular, it will </w:t>
      </w:r>
      <w:r>
        <w:rPr>
          <w:rFonts w:ascii="Times New Roman" w:hAnsi="Times New Roman" w:cs="Times New Roman"/>
          <w:noProof/>
          <w:color w:val="000000"/>
          <w:sz w:val="23"/>
          <w:szCs w:val="23"/>
        </w:rPr>
        <w:t>assist digital start-ups and SMEs to improve their access to finance, better reach into EU markets, and strengthen links with EU innovation ecosystems</w:t>
      </w:r>
      <w:r>
        <w:rPr>
          <w:rFonts w:ascii="Times New Roman" w:hAnsi="Times New Roman" w:cs="Times New Roman"/>
          <w:noProof/>
          <w:sz w:val="23"/>
          <w:szCs w:val="23"/>
        </w:rPr>
        <w:t>.</w:t>
      </w:r>
      <w:r>
        <w:rPr>
          <w:noProof/>
        </w:rPr>
        <w:t xml:space="preserve"> </w:t>
      </w:r>
      <w:r>
        <w:rPr>
          <w:rFonts w:ascii="Times New Roman" w:hAnsi="Times New Roman" w:cs="Times New Roman"/>
          <w:noProof/>
          <w:sz w:val="23"/>
          <w:szCs w:val="23"/>
        </w:rPr>
        <w:t>EU space-based data and services of the flagship programmes Copernicus and Galileo are already available freely and openly. The EU will cooperate with Eastern Partnership countries to boost their uptake to enable innovative start-ups and SMEs and facilitate business cooperation across borders.</w:t>
      </w:r>
    </w:p>
    <w:p>
      <w:pPr>
        <w:spacing w:after="240" w:line="240" w:lineRule="auto"/>
        <w:jc w:val="both"/>
        <w:rPr>
          <w:rFonts w:ascii="Times New Roman" w:hAnsi="Times New Roman" w:cs="Times New Roman"/>
          <w:noProof/>
          <w:color w:val="000000"/>
          <w:sz w:val="23"/>
          <w:szCs w:val="23"/>
          <w:lang w:val="en-US"/>
        </w:rPr>
      </w:pPr>
      <w:r>
        <w:rPr>
          <w:rFonts w:ascii="Times New Roman" w:hAnsi="Times New Roman" w:cs="Times New Roman"/>
          <w:noProof/>
          <w:color w:val="000000"/>
          <w:sz w:val="23"/>
          <w:szCs w:val="23"/>
          <w:lang w:val="en-US"/>
        </w:rPr>
        <w:t>The EU will further support the partner countries to address the</w:t>
      </w:r>
      <w:r>
        <w:rPr>
          <w:rFonts w:ascii="Times New Roman" w:hAnsi="Times New Roman" w:cs="Times New Roman"/>
          <w:b/>
          <w:bCs/>
          <w:noProof/>
          <w:color w:val="000000"/>
          <w:sz w:val="23"/>
          <w:szCs w:val="23"/>
          <w:lang w:val="en-US"/>
        </w:rPr>
        <w:t xml:space="preserve"> digital skills </w:t>
      </w:r>
      <w:r>
        <w:rPr>
          <w:rFonts w:ascii="Times New Roman" w:hAnsi="Times New Roman" w:cs="Times New Roman"/>
          <w:noProof/>
          <w:color w:val="000000"/>
          <w:sz w:val="23"/>
          <w:szCs w:val="23"/>
          <w:lang w:val="en-US"/>
        </w:rPr>
        <w:t>gap with particular focus on gender equality and social inclusiveness.</w:t>
      </w:r>
    </w:p>
    <w:p>
      <w:pPr>
        <w:spacing w:after="240" w:line="240" w:lineRule="auto"/>
        <w:jc w:val="both"/>
        <w:rPr>
          <w:rFonts w:ascii="Times New Roman" w:hAnsi="Times New Roman" w:cs="Times New Roman"/>
          <w:noProof/>
          <w:color w:val="000000"/>
          <w:sz w:val="23"/>
          <w:szCs w:val="23"/>
          <w:lang w:val="en-US"/>
        </w:rPr>
      </w:pPr>
    </w:p>
    <w:p>
      <w:pPr>
        <w:keepNext/>
        <w:tabs>
          <w:tab w:val="num" w:pos="1922"/>
        </w:tabs>
        <w:spacing w:after="240"/>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 xml:space="preserve">4.4.4. Cyber resilience </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The EU will further support and assist the </w:t>
      </w:r>
      <w:r>
        <w:rPr>
          <w:rFonts w:ascii="Times New Roman" w:eastAsia="Times New Roman" w:hAnsi="Times New Roman" w:cs="Times New Roman"/>
          <w:b/>
          <w:noProof/>
          <w:sz w:val="23"/>
          <w:szCs w:val="23"/>
          <w:lang w:eastAsia="en-GB"/>
        </w:rPr>
        <w:t xml:space="preserve">cyber resilience </w:t>
      </w:r>
      <w:r>
        <w:rPr>
          <w:rFonts w:ascii="Times New Roman" w:eastAsia="Times New Roman" w:hAnsi="Times New Roman" w:cs="Times New Roman"/>
          <w:noProof/>
          <w:sz w:val="23"/>
          <w:szCs w:val="23"/>
          <w:lang w:eastAsia="en-GB"/>
        </w:rPr>
        <w:t xml:space="preserve">of the partner countries. </w:t>
      </w:r>
      <w:r>
        <w:rPr>
          <w:rFonts w:ascii="Times New Roman" w:hAnsi="Times New Roman" w:cs="Times New Roman"/>
          <w:noProof/>
          <w:color w:val="000000"/>
          <w:sz w:val="23"/>
          <w:szCs w:val="23"/>
          <w:lang w:val="en-US"/>
        </w:rPr>
        <w:t>The development of robust legal, policy</w:t>
      </w:r>
      <w:r>
        <w:rPr>
          <w:rFonts w:ascii="Times New Roman" w:eastAsia="Times New Roman" w:hAnsi="Times New Roman" w:cs="Times New Roman"/>
          <w:noProof/>
          <w:sz w:val="23"/>
          <w:szCs w:val="23"/>
          <w:lang w:eastAsia="en-GB"/>
        </w:rPr>
        <w:t xml:space="preserve"> and operational cybersecurity frameworks in the partner countries will continue to be supported, based on EU legislation and best practices, including the EU’s </w:t>
      </w:r>
      <w:r>
        <w:rPr>
          <w:rFonts w:ascii="Times New Roman" w:eastAsia="Times New Roman" w:hAnsi="Times New Roman" w:cs="Times New Roman"/>
          <w:b/>
          <w:noProof/>
          <w:sz w:val="23"/>
          <w:szCs w:val="23"/>
          <w:lang w:eastAsia="en-GB"/>
        </w:rPr>
        <w:t>cybersecurity certification</w:t>
      </w:r>
      <w:r>
        <w:rPr>
          <w:rFonts w:ascii="Times New Roman" w:eastAsia="Times New Roman" w:hAnsi="Times New Roman" w:cs="Times New Roman"/>
          <w:noProof/>
          <w:sz w:val="23"/>
          <w:szCs w:val="23"/>
          <w:lang w:eastAsia="en-GB"/>
        </w:rPr>
        <w:t xml:space="preserve"> framework.</w:t>
      </w:r>
    </w:p>
    <w:p>
      <w:pPr>
        <w:keepNext/>
        <w:spacing w:after="240" w:line="240" w:lineRule="auto"/>
        <w:ind w:left="851"/>
        <w:jc w:val="both"/>
        <w:outlineLvl w:val="1"/>
        <w:rPr>
          <w:rFonts w:ascii="Times New Roman" w:eastAsia="Times New Roman" w:hAnsi="Times New Roman" w:cs="Times New Roman"/>
          <w:b/>
          <w:noProof/>
          <w:sz w:val="23"/>
          <w:szCs w:val="23"/>
          <w:lang w:eastAsia="en-GB"/>
        </w:rPr>
      </w:pPr>
      <w:r>
        <w:rPr>
          <w:rFonts w:ascii="Times New Roman" w:eastAsia="Times New Roman" w:hAnsi="Times New Roman" w:cs="Times New Roman"/>
          <w:b/>
          <w:noProof/>
          <w:sz w:val="23"/>
          <w:szCs w:val="23"/>
          <w:lang w:eastAsia="en-GB"/>
        </w:rPr>
        <w:t>4.5 Together for resilient, fair and inclusive societies</w:t>
      </w:r>
    </w:p>
    <w:p>
      <w:pPr>
        <w:spacing w:after="12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Transparent, citizen-centred and accountable public administrations, and free and fair elections, are essential for democracy. Together with an engaged civil society, free, plural and independent media and the protection of citizens’ rights, these are key ingredients for resilient, fair, inclusive, and democratic societies.</w:t>
      </w:r>
    </w:p>
    <w:p>
      <w:pPr>
        <w:spacing w:after="12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Cooperating with the partner countries in these areas will be a key priority for the EU. Access to evidence-based information supports democratic systems and empowers people to make informed choices. As addressing migration challenges is also a joint priority, the EU will continue to work with the partner countries to ensure mobility and people to people contacts in a secure and well-managed environment, as well as to ensure support to vulnerable migrants and refugees.</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4.5.1 Public administration reform and civic engagement</w:t>
      </w:r>
    </w:p>
    <w:p>
      <w:pPr>
        <w:spacing w:after="120" w:line="240" w:lineRule="auto"/>
        <w:jc w:val="both"/>
        <w:rPr>
          <w:rFonts w:ascii="Times New Roman" w:eastAsia="Times New Roman" w:hAnsi="Times New Roman" w:cs="Times New Roman"/>
          <w:noProof/>
          <w:sz w:val="23"/>
          <w:szCs w:val="23"/>
          <w:lang w:val="en-US" w:eastAsia="en-GB"/>
        </w:rPr>
      </w:pPr>
      <w:r>
        <w:rPr>
          <w:rFonts w:ascii="Times New Roman" w:eastAsia="Times New Roman" w:hAnsi="Times New Roman" w:cs="Times New Roman"/>
          <w:noProof/>
          <w:sz w:val="23"/>
          <w:szCs w:val="23"/>
          <w:lang w:val="en-US" w:eastAsia="en-GB"/>
        </w:rPr>
        <w:t xml:space="preserve">For </w:t>
      </w:r>
      <w:r>
        <w:rPr>
          <w:rFonts w:ascii="Times New Roman" w:eastAsia="Times New Roman" w:hAnsi="Times New Roman" w:cs="Times New Roman"/>
          <w:bCs/>
          <w:noProof/>
          <w:sz w:val="23"/>
          <w:szCs w:val="23"/>
          <w:lang w:val="en-US" w:eastAsia="en-GB"/>
        </w:rPr>
        <w:t>public administration reform</w:t>
      </w:r>
      <w:r>
        <w:rPr>
          <w:rFonts w:ascii="Times New Roman" w:eastAsia="Times New Roman" w:hAnsi="Times New Roman" w:cs="Times New Roman"/>
          <w:noProof/>
          <w:sz w:val="23"/>
          <w:szCs w:val="23"/>
          <w:lang w:val="en-US" w:eastAsia="en-GB"/>
        </w:rPr>
        <w:t xml:space="preserve">, continued political will from partner countries is crucial to ensure that authorities </w:t>
      </w:r>
      <w:r>
        <w:rPr>
          <w:rFonts w:ascii="Times New Roman" w:eastAsia="Times New Roman" w:hAnsi="Times New Roman" w:cs="Times New Roman"/>
          <w:b/>
          <w:bCs/>
          <w:noProof/>
          <w:sz w:val="23"/>
          <w:szCs w:val="23"/>
          <w:lang w:val="en-US" w:eastAsia="en-GB"/>
        </w:rPr>
        <w:t>involve citizens</w:t>
      </w:r>
      <w:r>
        <w:rPr>
          <w:rFonts w:ascii="Times New Roman" w:eastAsia="Times New Roman" w:hAnsi="Times New Roman" w:cs="Times New Roman"/>
          <w:b/>
          <w:noProof/>
          <w:sz w:val="23"/>
          <w:szCs w:val="23"/>
          <w:lang w:val="en-US" w:eastAsia="en-GB"/>
        </w:rPr>
        <w:t xml:space="preserve"> in decision-making</w:t>
      </w:r>
      <w:r>
        <w:rPr>
          <w:rFonts w:ascii="Times New Roman" w:eastAsia="Times New Roman" w:hAnsi="Times New Roman" w:cs="Times New Roman"/>
          <w:noProof/>
          <w:sz w:val="23"/>
          <w:szCs w:val="23"/>
          <w:lang w:val="en-US" w:eastAsia="en-GB"/>
        </w:rPr>
        <w:t xml:space="preserve">. The EU will support </w:t>
      </w:r>
      <w:r>
        <w:rPr>
          <w:rFonts w:ascii="Times New Roman" w:eastAsia="Times New Roman" w:hAnsi="Times New Roman" w:cs="Times New Roman"/>
          <w:bCs/>
          <w:noProof/>
          <w:sz w:val="23"/>
          <w:szCs w:val="23"/>
          <w:lang w:val="en-US" w:eastAsia="en-GB"/>
        </w:rPr>
        <w:t>inclusive and evidence-based</w:t>
      </w:r>
      <w:r>
        <w:rPr>
          <w:rFonts w:ascii="Times New Roman" w:eastAsia="Times New Roman" w:hAnsi="Times New Roman" w:cs="Times New Roman"/>
          <w:noProof/>
          <w:sz w:val="23"/>
          <w:szCs w:val="23"/>
          <w:lang w:val="en-US" w:eastAsia="en-GB"/>
        </w:rPr>
        <w:t xml:space="preserve"> policy development, as well as sound public financial management, with the aim of improving services to people and businesses. The partner countries need to </w:t>
      </w:r>
      <w:r>
        <w:rPr>
          <w:rFonts w:ascii="Times New Roman" w:eastAsia="Times New Roman" w:hAnsi="Times New Roman" w:cs="Times New Roman"/>
          <w:b/>
          <w:bCs/>
          <w:noProof/>
          <w:sz w:val="23"/>
          <w:szCs w:val="23"/>
          <w:lang w:val="en-US" w:eastAsia="en-GB"/>
        </w:rPr>
        <w:t>professionalise</w:t>
      </w:r>
      <w:r>
        <w:rPr>
          <w:rFonts w:ascii="Times New Roman" w:eastAsia="Times New Roman" w:hAnsi="Times New Roman" w:cs="Times New Roman"/>
          <w:b/>
          <w:noProof/>
          <w:sz w:val="23"/>
          <w:szCs w:val="23"/>
          <w:lang w:val="en-US" w:eastAsia="en-GB"/>
        </w:rPr>
        <w:t xml:space="preserve"> </w:t>
      </w:r>
      <w:r>
        <w:rPr>
          <w:rFonts w:ascii="Times New Roman" w:eastAsia="Times New Roman" w:hAnsi="Times New Roman" w:cs="Times New Roman"/>
          <w:noProof/>
          <w:sz w:val="23"/>
          <w:szCs w:val="23"/>
          <w:lang w:val="en-US" w:eastAsia="en-GB"/>
        </w:rPr>
        <w:t xml:space="preserve">their civil service and increase </w:t>
      </w:r>
      <w:r>
        <w:rPr>
          <w:rFonts w:ascii="Times New Roman" w:eastAsia="Times New Roman" w:hAnsi="Times New Roman" w:cs="Times New Roman"/>
          <w:bCs/>
          <w:noProof/>
          <w:sz w:val="23"/>
          <w:szCs w:val="23"/>
          <w:lang w:val="en-US" w:eastAsia="en-GB"/>
        </w:rPr>
        <w:t>accountability</w:t>
      </w:r>
      <w:r>
        <w:rPr>
          <w:rFonts w:ascii="Times New Roman" w:eastAsia="Times New Roman" w:hAnsi="Times New Roman" w:cs="Times New Roman"/>
          <w:noProof/>
          <w:sz w:val="23"/>
          <w:szCs w:val="23"/>
          <w:lang w:val="en-US" w:eastAsia="en-GB"/>
        </w:rPr>
        <w:t xml:space="preserve"> at all levels of government. Public administration reform, including issues related to transparency, is also a key driver of economic growth and can reduce corruption risks, for example through e-government solutions. Furthermore, the EU and the partner countries will consider </w:t>
      </w:r>
      <w:r>
        <w:rPr>
          <w:rFonts w:ascii="Times New Roman" w:eastAsia="Times New Roman" w:hAnsi="Times New Roman" w:cs="Times New Roman"/>
          <w:bCs/>
          <w:noProof/>
          <w:sz w:val="23"/>
          <w:szCs w:val="23"/>
          <w:lang w:val="en-US" w:eastAsia="en-GB"/>
        </w:rPr>
        <w:t xml:space="preserve">intensifying </w:t>
      </w:r>
      <w:r>
        <w:rPr>
          <w:rFonts w:ascii="Times New Roman" w:eastAsia="Times New Roman" w:hAnsi="Times New Roman" w:cs="Times New Roman"/>
          <w:b/>
          <w:bCs/>
          <w:noProof/>
          <w:sz w:val="23"/>
          <w:szCs w:val="23"/>
          <w:lang w:val="en-US" w:eastAsia="en-GB"/>
        </w:rPr>
        <w:t>peer-to-peer learning</w:t>
      </w:r>
      <w:r>
        <w:rPr>
          <w:rFonts w:ascii="Times New Roman" w:eastAsia="Times New Roman" w:hAnsi="Times New Roman" w:cs="Times New Roman"/>
          <w:noProof/>
          <w:sz w:val="23"/>
          <w:szCs w:val="23"/>
          <w:lang w:val="en-US" w:eastAsia="en-GB"/>
        </w:rPr>
        <w:t xml:space="preserve">, including through an EaP School of Public Administration. Monitoring the implementation of reforms remains crucial, and </w:t>
      </w:r>
      <w:r>
        <w:rPr>
          <w:rFonts w:ascii="Times New Roman" w:eastAsia="Times New Roman" w:hAnsi="Times New Roman" w:cs="Times New Roman"/>
          <w:bCs/>
          <w:noProof/>
          <w:sz w:val="23"/>
          <w:szCs w:val="23"/>
          <w:lang w:val="en-US" w:eastAsia="en-GB"/>
        </w:rPr>
        <w:t>civil society</w:t>
      </w:r>
      <w:r>
        <w:rPr>
          <w:rFonts w:ascii="Times New Roman" w:eastAsia="Times New Roman" w:hAnsi="Times New Roman" w:cs="Times New Roman"/>
          <w:noProof/>
          <w:sz w:val="23"/>
          <w:szCs w:val="23"/>
          <w:lang w:val="en-US" w:eastAsia="en-GB"/>
        </w:rPr>
        <w:t xml:space="preserve"> should play a stronger role in it.</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4.5.2 Civil society and youth participation</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Building on innovative actions and engagement to date, the EU will further support the </w:t>
      </w:r>
      <w:r>
        <w:rPr>
          <w:rFonts w:ascii="Times New Roman" w:eastAsia="Times New Roman" w:hAnsi="Times New Roman" w:cs="Times New Roman"/>
          <w:b/>
          <w:bCs/>
          <w:noProof/>
          <w:sz w:val="23"/>
          <w:szCs w:val="23"/>
          <w:lang w:eastAsia="en-GB"/>
        </w:rPr>
        <w:t>capacity of civil society organisations</w:t>
      </w:r>
      <w:r>
        <w:rPr>
          <w:rFonts w:ascii="Times New Roman" w:eastAsia="Times New Roman" w:hAnsi="Times New Roman" w:cs="Times New Roman"/>
          <w:noProof/>
          <w:sz w:val="23"/>
          <w:szCs w:val="23"/>
          <w:lang w:eastAsia="en-GB"/>
        </w:rPr>
        <w:t xml:space="preserve">, particularly grass root organisations, to meaningfully engage in policy-making processes and policy dialogue, and promote reforms and public accountability. It will develop further </w:t>
      </w:r>
      <w:r>
        <w:rPr>
          <w:rFonts w:ascii="Times New Roman" w:eastAsia="Times New Roman" w:hAnsi="Times New Roman" w:cs="Times New Roman"/>
          <w:bCs/>
          <w:noProof/>
          <w:sz w:val="23"/>
          <w:szCs w:val="23"/>
          <w:lang w:eastAsia="en-GB"/>
        </w:rPr>
        <w:t>strategic partnerships</w:t>
      </w:r>
      <w:r>
        <w:rPr>
          <w:rFonts w:ascii="Times New Roman" w:eastAsia="Times New Roman" w:hAnsi="Times New Roman" w:cs="Times New Roman"/>
          <w:noProof/>
          <w:sz w:val="23"/>
          <w:szCs w:val="23"/>
          <w:lang w:eastAsia="en-GB"/>
        </w:rPr>
        <w:t xml:space="preserve"> with key organisations to strengthen cooperation, build up the leadership skills of civil society activists, and engage with social partners (trades unions and employers’ organisations). </w:t>
      </w:r>
      <w:r>
        <w:rPr>
          <w:rFonts w:ascii="Times New Roman" w:eastAsia="Times New Roman" w:hAnsi="Times New Roman" w:cs="Times New Roman"/>
          <w:bCs/>
          <w:noProof/>
          <w:sz w:val="23"/>
          <w:szCs w:val="23"/>
          <w:lang w:eastAsia="en-GB"/>
        </w:rPr>
        <w:t>Social innovation</w:t>
      </w:r>
      <w:r>
        <w:rPr>
          <w:rFonts w:ascii="Times New Roman" w:eastAsia="Times New Roman" w:hAnsi="Times New Roman" w:cs="Times New Roman"/>
          <w:noProof/>
          <w:sz w:val="23"/>
          <w:szCs w:val="23"/>
          <w:lang w:eastAsia="en-GB"/>
        </w:rPr>
        <w:t xml:space="preserve"> and </w:t>
      </w:r>
      <w:r>
        <w:rPr>
          <w:rFonts w:ascii="Times New Roman" w:eastAsia="Times New Roman" w:hAnsi="Times New Roman" w:cs="Times New Roman"/>
          <w:bCs/>
          <w:noProof/>
          <w:sz w:val="23"/>
          <w:szCs w:val="23"/>
          <w:lang w:eastAsia="en-GB"/>
        </w:rPr>
        <w:t>social entrepreneurship</w:t>
      </w:r>
      <w:r>
        <w:rPr>
          <w:rFonts w:ascii="Times New Roman" w:eastAsia="Times New Roman" w:hAnsi="Times New Roman" w:cs="Times New Roman"/>
          <w:noProof/>
          <w:sz w:val="23"/>
          <w:szCs w:val="23"/>
          <w:lang w:eastAsia="en-GB"/>
        </w:rPr>
        <w:t xml:space="preserve"> will also be supported. Working with the partner countries to promote an </w:t>
      </w:r>
      <w:r>
        <w:rPr>
          <w:rFonts w:ascii="Times New Roman" w:eastAsia="Times New Roman" w:hAnsi="Times New Roman" w:cs="Times New Roman"/>
          <w:bCs/>
          <w:noProof/>
          <w:sz w:val="23"/>
          <w:szCs w:val="23"/>
          <w:lang w:eastAsia="en-GB"/>
        </w:rPr>
        <w:t>enabling environment</w:t>
      </w:r>
      <w:r>
        <w:rPr>
          <w:rFonts w:ascii="Times New Roman" w:eastAsia="Times New Roman" w:hAnsi="Times New Roman" w:cs="Times New Roman"/>
          <w:noProof/>
          <w:sz w:val="23"/>
          <w:szCs w:val="23"/>
          <w:lang w:eastAsia="en-GB"/>
        </w:rPr>
        <w:t xml:space="preserve"> for civil society will be key. The EaP Civil Society Forum will continue to be a key partner in advancing the role of civil society in policy dialogue.</w:t>
      </w:r>
    </w:p>
    <w:p>
      <w:pPr>
        <w:spacing w:after="12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val="en-US" w:eastAsia="en-GB"/>
        </w:rPr>
        <w:t xml:space="preserve">The EU will also increasingly </w:t>
      </w:r>
      <w:r>
        <w:rPr>
          <w:rFonts w:ascii="Times New Roman" w:eastAsia="Times New Roman" w:hAnsi="Times New Roman" w:cs="Times New Roman"/>
          <w:bCs/>
          <w:noProof/>
          <w:sz w:val="23"/>
          <w:szCs w:val="23"/>
          <w:lang w:eastAsia="en-GB"/>
        </w:rPr>
        <w:t>focus on</w:t>
      </w:r>
      <w:r>
        <w:rPr>
          <w:rFonts w:ascii="Times New Roman" w:eastAsia="Times New Roman" w:hAnsi="Times New Roman" w:cs="Times New Roman"/>
          <w:b/>
          <w:bCs/>
          <w:noProof/>
          <w:sz w:val="23"/>
          <w:szCs w:val="23"/>
          <w:lang w:eastAsia="en-GB"/>
        </w:rPr>
        <w:t xml:space="preserve"> youth participation and leadership</w:t>
      </w:r>
      <w:r>
        <w:rPr>
          <w:rFonts w:ascii="Times New Roman" w:eastAsia="Times New Roman" w:hAnsi="Times New Roman" w:cs="Times New Roman"/>
          <w:bCs/>
          <w:noProof/>
          <w:sz w:val="23"/>
          <w:szCs w:val="23"/>
          <w:lang w:eastAsia="en-GB"/>
        </w:rPr>
        <w:t>.</w:t>
      </w:r>
      <w:r>
        <w:rPr>
          <w:rFonts w:ascii="Times New Roman" w:eastAsia="Times New Roman" w:hAnsi="Times New Roman" w:cs="Times New Roman"/>
          <w:b/>
          <w:bCs/>
          <w:noProof/>
          <w:sz w:val="23"/>
          <w:szCs w:val="23"/>
          <w:lang w:eastAsia="en-GB"/>
        </w:rPr>
        <w:t xml:space="preserve"> </w:t>
      </w:r>
      <w:r>
        <w:rPr>
          <w:rFonts w:ascii="Times New Roman" w:eastAsia="Times New Roman" w:hAnsi="Times New Roman" w:cs="Times New Roman"/>
          <w:bCs/>
          <w:noProof/>
          <w:sz w:val="23"/>
          <w:szCs w:val="23"/>
          <w:lang w:eastAsia="en-GB"/>
        </w:rPr>
        <w:t xml:space="preserve">The </w:t>
      </w:r>
      <w:r>
        <w:rPr>
          <w:rFonts w:ascii="Times New Roman" w:eastAsia="Times New Roman" w:hAnsi="Times New Roman" w:cs="Times New Roman"/>
          <w:b/>
          <w:bCs/>
          <w:noProof/>
          <w:sz w:val="23"/>
          <w:szCs w:val="23"/>
          <w:lang w:eastAsia="en-GB"/>
        </w:rPr>
        <w:t xml:space="preserve">Erasmus+ </w:t>
      </w:r>
      <w:r>
        <w:rPr>
          <w:rFonts w:ascii="Times New Roman" w:eastAsia="Times New Roman" w:hAnsi="Times New Roman" w:cs="Times New Roman"/>
          <w:bCs/>
          <w:noProof/>
          <w:sz w:val="23"/>
          <w:szCs w:val="23"/>
          <w:lang w:eastAsia="en-GB"/>
        </w:rPr>
        <w:t xml:space="preserve">and </w:t>
      </w:r>
      <w:r>
        <w:rPr>
          <w:rFonts w:ascii="Times New Roman" w:eastAsia="Times New Roman" w:hAnsi="Times New Roman" w:cs="Times New Roman"/>
          <w:b/>
          <w:bCs/>
          <w:noProof/>
          <w:sz w:val="23"/>
          <w:szCs w:val="23"/>
          <w:lang w:eastAsia="en-GB"/>
        </w:rPr>
        <w:t xml:space="preserve">European Solidarity Corps </w:t>
      </w:r>
      <w:r>
        <w:rPr>
          <w:rFonts w:ascii="Times New Roman" w:eastAsia="Times New Roman" w:hAnsi="Times New Roman" w:cs="Times New Roman"/>
          <w:bCs/>
          <w:noProof/>
          <w:sz w:val="23"/>
          <w:szCs w:val="23"/>
          <w:lang w:eastAsia="en-GB"/>
        </w:rPr>
        <w:t>programmes will empower the young generation by contributing to the establishment of inclusive and evidence-based youth policy, developing skills, supporting volunteering and cooperation projects. The</w:t>
      </w:r>
      <w:r>
        <w:rPr>
          <w:rFonts w:ascii="Times New Roman" w:eastAsia="Times New Roman" w:hAnsi="Times New Roman" w:cs="Times New Roman"/>
          <w:b/>
          <w:bCs/>
          <w:noProof/>
          <w:sz w:val="23"/>
          <w:szCs w:val="23"/>
          <w:lang w:eastAsia="en-GB"/>
        </w:rPr>
        <w:t xml:space="preserve"> Civil Society Fellowships scheme </w:t>
      </w:r>
      <w:r>
        <w:rPr>
          <w:rFonts w:ascii="Times New Roman" w:eastAsia="Times New Roman" w:hAnsi="Times New Roman" w:cs="Times New Roman"/>
          <w:bCs/>
          <w:noProof/>
          <w:sz w:val="23"/>
          <w:szCs w:val="23"/>
          <w:lang w:eastAsia="en-GB"/>
        </w:rPr>
        <w:t>and the</w:t>
      </w:r>
      <w:r>
        <w:rPr>
          <w:rFonts w:ascii="Times New Roman" w:eastAsia="Times New Roman" w:hAnsi="Times New Roman" w:cs="Times New Roman"/>
          <w:b/>
          <w:bCs/>
          <w:noProof/>
          <w:sz w:val="23"/>
          <w:szCs w:val="23"/>
          <w:lang w:eastAsia="en-GB"/>
        </w:rPr>
        <w:t xml:space="preserve"> Young European Ambassadors</w:t>
      </w:r>
      <w:r>
        <w:rPr>
          <w:rFonts w:ascii="Times New Roman" w:eastAsia="Times New Roman" w:hAnsi="Times New Roman" w:cs="Times New Roman"/>
          <w:noProof/>
          <w:sz w:val="23"/>
          <w:szCs w:val="23"/>
          <w:lang w:eastAsia="en-GB"/>
        </w:rPr>
        <w:t xml:space="preserve"> initiative will be strengthened to better help young people to develop key competences and skills, including awareness on the need to address gender inequalities and for their active participation in democratic life and fostering civic engagement. The </w:t>
      </w:r>
      <w:r>
        <w:rPr>
          <w:rFonts w:ascii="Times New Roman" w:eastAsia="Times New Roman" w:hAnsi="Times New Roman" w:cs="Times New Roman"/>
          <w:b/>
          <w:noProof/>
          <w:sz w:val="23"/>
          <w:szCs w:val="23"/>
          <w:lang w:eastAsia="en-GB"/>
        </w:rPr>
        <w:t>EaP Youth Forum</w:t>
      </w:r>
      <w:r>
        <w:rPr>
          <w:rFonts w:ascii="Times New Roman" w:eastAsia="Times New Roman" w:hAnsi="Times New Roman" w:cs="Times New Roman"/>
          <w:noProof/>
          <w:sz w:val="23"/>
          <w:szCs w:val="23"/>
          <w:lang w:eastAsia="en-GB"/>
        </w:rPr>
        <w:t xml:space="preserve"> will play even greater role and become better integrated in structured youth policy dialogue within a network of EaP youth councils, modelled on the EU-internal youth structured dialogue.</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4.5.3 Independent media and fact-based information</w:t>
      </w:r>
    </w:p>
    <w:p>
      <w:pPr>
        <w:spacing w:after="12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In a well-functioning </w:t>
      </w:r>
      <w:r>
        <w:rPr>
          <w:rFonts w:ascii="Times New Roman" w:eastAsia="Times New Roman" w:hAnsi="Times New Roman" w:cs="Times New Roman"/>
          <w:b/>
          <w:bCs/>
          <w:iCs/>
          <w:noProof/>
          <w:sz w:val="23"/>
          <w:szCs w:val="23"/>
          <w:lang w:eastAsia="en-GB"/>
        </w:rPr>
        <w:t>media</w:t>
      </w:r>
      <w:r>
        <w:rPr>
          <w:rFonts w:ascii="Times New Roman" w:eastAsia="Times New Roman" w:hAnsi="Times New Roman" w:cs="Times New Roman"/>
          <w:b/>
          <w:bCs/>
          <w:noProof/>
          <w:sz w:val="23"/>
          <w:szCs w:val="23"/>
          <w:lang w:eastAsia="en-GB"/>
        </w:rPr>
        <w:t xml:space="preserve"> </w:t>
      </w:r>
      <w:r>
        <w:rPr>
          <w:rFonts w:ascii="Times New Roman" w:eastAsia="Times New Roman" w:hAnsi="Times New Roman" w:cs="Times New Roman"/>
          <w:b/>
          <w:bCs/>
          <w:iCs/>
          <w:noProof/>
          <w:sz w:val="23"/>
          <w:szCs w:val="23"/>
          <w:lang w:eastAsia="en-GB"/>
        </w:rPr>
        <w:t>environment</w:t>
      </w:r>
      <w:r>
        <w:rPr>
          <w:rFonts w:ascii="Times New Roman" w:eastAsia="Times New Roman" w:hAnsi="Times New Roman" w:cs="Times New Roman"/>
          <w:noProof/>
          <w:sz w:val="23"/>
          <w:szCs w:val="23"/>
          <w:u w:val="single"/>
          <w:lang w:eastAsia="en-GB"/>
        </w:rPr>
        <w:t xml:space="preserve"> </w:t>
      </w:r>
      <w:r>
        <w:rPr>
          <w:rFonts w:ascii="Times New Roman" w:eastAsia="Times New Roman" w:hAnsi="Times New Roman" w:cs="Times New Roman"/>
          <w:noProof/>
          <w:sz w:val="23"/>
          <w:szCs w:val="23"/>
          <w:lang w:eastAsia="en-GB"/>
        </w:rPr>
        <w:t xml:space="preserve">independent journalists, civil society and individuals can provide checks and balances and hold governments accountable. Ensuring access to accurate and fact-based information for all, empowers people to make informed decisions and </w:t>
      </w:r>
      <w:r>
        <w:rPr>
          <w:rFonts w:ascii="Times New Roman" w:eastAsia="Times New Roman" w:hAnsi="Times New Roman" w:cs="Times New Roman"/>
          <w:bCs/>
          <w:noProof/>
          <w:sz w:val="23"/>
          <w:szCs w:val="23"/>
          <w:lang w:eastAsia="en-GB"/>
        </w:rPr>
        <w:t>participate actively in the democratic process</w:t>
      </w:r>
      <w:r>
        <w:rPr>
          <w:rFonts w:ascii="Times New Roman" w:eastAsia="Times New Roman" w:hAnsi="Times New Roman" w:cs="Times New Roman"/>
          <w:noProof/>
          <w:sz w:val="23"/>
          <w:szCs w:val="23"/>
          <w:lang w:eastAsia="en-GB"/>
        </w:rPr>
        <w:t xml:space="preserve">. The EU will support </w:t>
      </w:r>
      <w:r>
        <w:rPr>
          <w:rFonts w:ascii="Times New Roman" w:eastAsia="Times New Roman" w:hAnsi="Times New Roman" w:cs="Times New Roman"/>
          <w:bCs/>
          <w:noProof/>
          <w:sz w:val="23"/>
          <w:szCs w:val="23"/>
          <w:lang w:eastAsia="en-GB"/>
        </w:rPr>
        <w:t>independent media</w:t>
      </w:r>
      <w:r>
        <w:rPr>
          <w:rFonts w:ascii="Times New Roman" w:eastAsia="Times New Roman" w:hAnsi="Times New Roman" w:cs="Times New Roman"/>
          <w:noProof/>
          <w:sz w:val="23"/>
          <w:szCs w:val="23"/>
          <w:lang w:eastAsia="en-GB"/>
        </w:rPr>
        <w:t xml:space="preserve"> outlets that produce high quality and diverse content. With the adoption of the </w:t>
      </w:r>
      <w:r>
        <w:rPr>
          <w:rFonts w:ascii="Times New Roman" w:eastAsia="Times New Roman" w:hAnsi="Times New Roman" w:cs="Times New Roman"/>
          <w:b/>
          <w:noProof/>
          <w:sz w:val="23"/>
          <w:szCs w:val="23"/>
          <w:lang w:eastAsia="en-GB"/>
        </w:rPr>
        <w:t>Action Plan against</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noProof/>
          <w:sz w:val="23"/>
          <w:szCs w:val="23"/>
          <w:lang w:eastAsia="en-GB"/>
        </w:rPr>
        <w:t>disinformation</w:t>
      </w:r>
      <w:r>
        <w:rPr>
          <w:rStyle w:val="FootnoteReference"/>
          <w:rFonts w:ascii="Times New Roman" w:eastAsia="Times New Roman" w:hAnsi="Times New Roman" w:cs="Times New Roman"/>
          <w:b/>
          <w:noProof/>
          <w:sz w:val="23"/>
          <w:szCs w:val="23"/>
          <w:lang w:eastAsia="en-GB"/>
        </w:rPr>
        <w:footnoteReference w:id="15"/>
      </w:r>
      <w:r>
        <w:rPr>
          <w:rFonts w:ascii="Times New Roman" w:eastAsia="Times New Roman" w:hAnsi="Times New Roman" w:cs="Times New Roman"/>
          <w:b/>
          <w:noProof/>
          <w:sz w:val="23"/>
          <w:szCs w:val="23"/>
          <w:lang w:eastAsia="en-GB"/>
        </w:rPr>
        <w:t xml:space="preserve"> </w:t>
      </w:r>
      <w:r>
        <w:rPr>
          <w:rFonts w:ascii="Times New Roman" w:eastAsia="Times New Roman" w:hAnsi="Times New Roman" w:cs="Times New Roman"/>
          <w:noProof/>
          <w:sz w:val="23"/>
          <w:szCs w:val="23"/>
          <w:lang w:eastAsia="en-GB"/>
        </w:rPr>
        <w:t xml:space="preserve">in December 2018, the EU put in place a strong framework </w:t>
      </w:r>
      <w:r>
        <w:rPr>
          <w:rFonts w:ascii="Times New Roman" w:eastAsia="Times New Roman" w:hAnsi="Times New Roman" w:cs="Times New Roman"/>
          <w:b/>
          <w:noProof/>
          <w:sz w:val="23"/>
          <w:szCs w:val="23"/>
          <w:lang w:eastAsia="en-GB"/>
        </w:rPr>
        <w:t xml:space="preserve">to </w:t>
      </w:r>
      <w:r>
        <w:rPr>
          <w:rFonts w:ascii="Times New Roman" w:eastAsia="Times New Roman" w:hAnsi="Times New Roman" w:cs="Times New Roman"/>
          <w:b/>
          <w:bCs/>
          <w:noProof/>
          <w:sz w:val="23"/>
          <w:szCs w:val="23"/>
          <w:lang w:eastAsia="en-GB"/>
        </w:rPr>
        <w:t>counter disinformation threats inside and outside the EU</w:t>
      </w:r>
      <w:r>
        <w:rPr>
          <w:rFonts w:ascii="Times New Roman" w:eastAsia="Times New Roman" w:hAnsi="Times New Roman" w:cs="Times New Roman"/>
          <w:noProof/>
          <w:sz w:val="23"/>
          <w:szCs w:val="23"/>
          <w:lang w:eastAsia="en-GB"/>
        </w:rPr>
        <w:t>. Looking ahead, all relevant actors, including EU institutions, EU Member States, partner countries, industry and civil society should continue to play a role in scaling up independent fact-checking services, and promoting media literacy. Strengthening work with civil society to tackle disinformation will be also key.</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eastAsia="en-GB"/>
        </w:rPr>
      </w:pPr>
      <w:r>
        <w:rPr>
          <w:rFonts w:ascii="Times New Roman" w:eastAsia="Times New Roman" w:hAnsi="Times New Roman" w:cs="Times New Roman"/>
          <w:i/>
          <w:noProof/>
          <w:sz w:val="23"/>
          <w:szCs w:val="23"/>
          <w:lang w:eastAsia="en-GB"/>
        </w:rPr>
        <w:t>4.5.4 Protection of human rights</w:t>
      </w:r>
    </w:p>
    <w:p>
      <w:pPr>
        <w:spacing w:after="240" w:line="240" w:lineRule="auto"/>
        <w:jc w:val="both"/>
        <w:rPr>
          <w:rFonts w:ascii="Times New Roman" w:eastAsia="Times New Roman" w:hAnsi="Times New Roman" w:cs="Times New Roman"/>
          <w:noProof/>
          <w:sz w:val="23"/>
          <w:szCs w:val="23"/>
          <w:lang w:val="en-US" w:eastAsia="en-GB"/>
        </w:rPr>
      </w:pPr>
      <w:r>
        <w:rPr>
          <w:rFonts w:ascii="Times New Roman" w:hAnsi="Times New Roman" w:cs="Times New Roman"/>
          <w:noProof/>
          <w:sz w:val="23"/>
          <w:szCs w:val="23"/>
          <w:lang w:val="en-US" w:eastAsia="en-GB"/>
        </w:rPr>
        <w:t xml:space="preserve">The EU will continue to support the partner countries in advancing human rights, including ensuring that everyone can fully enjoy civil and political, as well as economic, social and cultural rights. The EU will step up action to combat all forms of discrimination including on grounds of sex, racial or ethnic origin, religion or belief, disability, age or sexual orientation. The EU will support partner countries in their implementation of the </w:t>
      </w:r>
      <w:r>
        <w:rPr>
          <w:rFonts w:ascii="Times New Roman" w:hAnsi="Times New Roman" w:cs="Times New Roman"/>
          <w:b/>
          <w:bCs/>
          <w:noProof/>
          <w:sz w:val="23"/>
          <w:szCs w:val="23"/>
          <w:lang w:val="en-US" w:eastAsia="en-GB"/>
        </w:rPr>
        <w:t xml:space="preserve">UN Convention on the Rights of Persons with disabilities, </w:t>
      </w:r>
      <w:r>
        <w:rPr>
          <w:rFonts w:ascii="Times New Roman" w:hAnsi="Times New Roman" w:cs="Times New Roman"/>
          <w:noProof/>
          <w:sz w:val="23"/>
          <w:szCs w:val="23"/>
          <w:lang w:val="en-US" w:eastAsia="en-GB"/>
        </w:rPr>
        <w:t>as well in the development of accessible products and services.</w:t>
      </w:r>
      <w:r>
        <w:rPr>
          <w:rFonts w:ascii="Times New Roman" w:hAnsi="Times New Roman" w:cs="Times New Roman"/>
          <w:noProof/>
          <w:sz w:val="23"/>
          <w:szCs w:val="23"/>
          <w:lang w:eastAsia="en-GB"/>
        </w:rPr>
        <w:t xml:space="preserve"> The </w:t>
      </w:r>
      <w:r>
        <w:rPr>
          <w:rFonts w:ascii="Times New Roman" w:hAnsi="Times New Roman" w:cs="Times New Roman"/>
          <w:bCs/>
          <w:noProof/>
          <w:sz w:val="23"/>
          <w:szCs w:val="23"/>
          <w:lang w:val="en-US" w:eastAsia="en-GB"/>
        </w:rPr>
        <w:t>EU will also continue to support the partner countries in</w:t>
      </w:r>
      <w:r>
        <w:rPr>
          <w:rFonts w:ascii="Times New Roman" w:hAnsi="Times New Roman" w:cs="Times New Roman"/>
          <w:b/>
          <w:bCs/>
          <w:noProof/>
          <w:sz w:val="23"/>
          <w:szCs w:val="23"/>
          <w:lang w:val="en-US" w:eastAsia="en-GB"/>
        </w:rPr>
        <w:t xml:space="preserve"> ensuring respect for rights already exercised of persons belonging to minorities, conflict affected populations, and promoting gender equality</w:t>
      </w:r>
      <w:r>
        <w:rPr>
          <w:rFonts w:ascii="Times New Roman" w:hAnsi="Times New Roman" w:cs="Times New Roman"/>
          <w:noProof/>
          <w:sz w:val="23"/>
          <w:szCs w:val="23"/>
          <w:u w:val="single"/>
          <w:lang w:val="en-US" w:eastAsia="en-GB"/>
        </w:rPr>
        <w:t>.</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To ensure a high level of protection of the fundamental rights to privacy and </w:t>
      </w:r>
      <w:r>
        <w:rPr>
          <w:rFonts w:ascii="Times New Roman" w:eastAsia="Times New Roman" w:hAnsi="Times New Roman" w:cs="Times New Roman"/>
          <w:b/>
          <w:noProof/>
          <w:sz w:val="23"/>
          <w:szCs w:val="23"/>
          <w:lang w:eastAsia="en-GB"/>
        </w:rPr>
        <w:t>data protection</w:t>
      </w:r>
      <w:r>
        <w:rPr>
          <w:rFonts w:ascii="Times New Roman" w:eastAsia="Times New Roman" w:hAnsi="Times New Roman" w:cs="Times New Roman"/>
          <w:noProof/>
          <w:sz w:val="23"/>
          <w:szCs w:val="23"/>
          <w:lang w:eastAsia="en-GB"/>
        </w:rPr>
        <w:t>, the EU will continue to engage with Eastern partner countries to promote further converge with EU and international data protection standards, in order to facilitate commercial exchanges and law enforcement cooperation.</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en-US" w:eastAsia="en-GB"/>
        </w:rPr>
      </w:pPr>
      <w:r>
        <w:rPr>
          <w:rFonts w:ascii="Times New Roman" w:eastAsia="Times New Roman" w:hAnsi="Times New Roman" w:cs="Times New Roman"/>
          <w:i/>
          <w:noProof/>
          <w:sz w:val="23"/>
          <w:szCs w:val="23"/>
          <w:lang w:eastAsia="en-GB"/>
        </w:rPr>
        <w:t>4.5.5 Mobility</w:t>
      </w:r>
    </w:p>
    <w:p>
      <w:pPr>
        <w:spacing w:after="120" w:line="240" w:lineRule="auto"/>
        <w:jc w:val="both"/>
        <w:rPr>
          <w:rFonts w:ascii="Times New Roman" w:eastAsia="Times New Roman" w:hAnsi="Times New Roman" w:cs="Times New Roman"/>
          <w:b/>
          <w:noProof/>
          <w:sz w:val="23"/>
          <w:szCs w:val="23"/>
          <w:lang w:eastAsia="en-GB"/>
        </w:rPr>
      </w:pPr>
      <w:r>
        <w:rPr>
          <w:rFonts w:ascii="Times New Roman" w:eastAsia="Times New Roman" w:hAnsi="Times New Roman" w:cs="Times New Roman"/>
          <w:noProof/>
          <w:sz w:val="23"/>
          <w:szCs w:val="23"/>
          <w:lang w:val="en-IE" w:eastAsia="en-GB"/>
        </w:rPr>
        <w:t xml:space="preserve">To ensure mobility and people-to-people contacts in a secure and well-managed environment the successful implementation of existing agreements on </w:t>
      </w:r>
      <w:r>
        <w:rPr>
          <w:rFonts w:ascii="Times New Roman" w:eastAsia="Times New Roman" w:hAnsi="Times New Roman" w:cs="Times New Roman"/>
          <w:b/>
          <w:noProof/>
          <w:sz w:val="23"/>
          <w:szCs w:val="23"/>
          <w:lang w:val="en-IE" w:eastAsia="en-GB"/>
        </w:rPr>
        <w:t>visa facilitation and readmission</w:t>
      </w:r>
      <w:r>
        <w:rPr>
          <w:rFonts w:ascii="Times New Roman" w:eastAsia="Times New Roman" w:hAnsi="Times New Roman" w:cs="Times New Roman"/>
          <w:noProof/>
          <w:sz w:val="23"/>
          <w:szCs w:val="23"/>
          <w:lang w:val="en-IE" w:eastAsia="en-GB"/>
        </w:rPr>
        <w:t>, as well as the</w:t>
      </w:r>
      <w:r>
        <w:rPr>
          <w:rFonts w:ascii="Times New Roman" w:eastAsia="Times New Roman" w:hAnsi="Times New Roman" w:cs="Times New Roman"/>
          <w:b/>
          <w:noProof/>
          <w:sz w:val="23"/>
          <w:szCs w:val="23"/>
          <w:lang w:val="en-IE" w:eastAsia="en-GB"/>
        </w:rPr>
        <w:t xml:space="preserve"> </w:t>
      </w:r>
      <w:r>
        <w:rPr>
          <w:rFonts w:ascii="Times New Roman" w:eastAsia="Times New Roman" w:hAnsi="Times New Roman" w:cs="Times New Roman"/>
          <w:noProof/>
          <w:sz w:val="23"/>
          <w:szCs w:val="23"/>
          <w:lang w:val="en-IE" w:eastAsia="en-GB"/>
        </w:rPr>
        <w:t xml:space="preserve">continuous fulfilment of relevant visa liberalisation benchmarks, are essential. The possibility to launch new visa liberalisation dialogues with the remaining countries, whose citizens require visas to travel to the EU, will be considered, provided that well-managed and secure mobility conditions are in place, including through the satisfactory implementation of the visa facilitation and readmission agreements. Complementing this, balanced and mutually beneficial </w:t>
      </w:r>
      <w:r>
        <w:rPr>
          <w:rFonts w:ascii="Times New Roman" w:eastAsia="Times New Roman" w:hAnsi="Times New Roman" w:cs="Times New Roman"/>
          <w:b/>
          <w:bCs/>
          <w:noProof/>
          <w:sz w:val="23"/>
          <w:szCs w:val="23"/>
          <w:lang w:val="en-IE" w:eastAsia="en-GB"/>
        </w:rPr>
        <w:t xml:space="preserve">mobility partnerships </w:t>
      </w:r>
      <w:r>
        <w:rPr>
          <w:rFonts w:ascii="Times New Roman" w:eastAsia="Times New Roman" w:hAnsi="Times New Roman" w:cs="Times New Roman"/>
          <w:noProof/>
          <w:sz w:val="23"/>
          <w:szCs w:val="23"/>
          <w:lang w:val="en-IE" w:eastAsia="en-GB"/>
        </w:rPr>
        <w:t>will ensure sustainable engagement.</w:t>
      </w:r>
      <w:r>
        <w:rPr>
          <w:rFonts w:ascii="Times New Roman" w:eastAsia="Times New Roman" w:hAnsi="Times New Roman" w:cs="Times New Roman"/>
          <w:noProof/>
          <w:sz w:val="23"/>
          <w:szCs w:val="23"/>
          <w:lang w:eastAsia="en-GB"/>
        </w:rPr>
        <w:t xml:space="preserve"> </w:t>
      </w:r>
      <w:r>
        <w:rPr>
          <w:rFonts w:ascii="Times New Roman" w:eastAsia="Times New Roman" w:hAnsi="Times New Roman" w:cs="Times New Roman"/>
          <w:b/>
          <w:noProof/>
          <w:sz w:val="23"/>
          <w:szCs w:val="23"/>
          <w:lang w:eastAsia="en-GB"/>
        </w:rPr>
        <w:t>Labour migration</w:t>
      </w:r>
      <w:r>
        <w:rPr>
          <w:rFonts w:ascii="Times New Roman" w:eastAsia="Times New Roman" w:hAnsi="Times New Roman" w:cs="Times New Roman"/>
          <w:noProof/>
          <w:sz w:val="23"/>
          <w:szCs w:val="23"/>
          <w:lang w:eastAsia="en-GB"/>
        </w:rPr>
        <w:t xml:space="preserve"> initiatives amongst the partner countries as well as between EaP and EU countries will be considered which aim to establish partnerships to foster legal migration and mobility, enhancing cooperation and cross fertilisation of skills and competencies while taking account of the impact of brain drain on partner countries’ human capital. To help people and goods move across borders, technical and administrative cooperation in </w:t>
      </w:r>
      <w:r>
        <w:rPr>
          <w:rFonts w:ascii="Times New Roman" w:eastAsia="Times New Roman" w:hAnsi="Times New Roman" w:cs="Times New Roman"/>
          <w:b/>
          <w:noProof/>
          <w:sz w:val="23"/>
          <w:szCs w:val="23"/>
          <w:lang w:eastAsia="en-GB"/>
        </w:rPr>
        <w:t>integrated border management</w:t>
      </w:r>
      <w:r>
        <w:rPr>
          <w:rFonts w:ascii="Times New Roman" w:eastAsia="Times New Roman" w:hAnsi="Times New Roman" w:cs="Times New Roman"/>
          <w:noProof/>
          <w:sz w:val="23"/>
          <w:szCs w:val="23"/>
          <w:lang w:eastAsia="en-GB"/>
        </w:rPr>
        <w:t xml:space="preserve"> will be strengthened.</w:t>
      </w:r>
    </w:p>
    <w:p>
      <w:pPr>
        <w:keepNext/>
        <w:numPr>
          <w:ilvl w:val="0"/>
          <w:numId w:val="1"/>
        </w:numPr>
        <w:spacing w:before="240" w:after="240" w:line="240" w:lineRule="auto"/>
        <w:jc w:val="both"/>
        <w:outlineLvl w:val="0"/>
        <w:rPr>
          <w:rFonts w:ascii="Times New Roman" w:eastAsia="Times New Roman" w:hAnsi="Times New Roman" w:cs="Times New Roman"/>
          <w:b/>
          <w:smallCaps/>
          <w:noProof/>
          <w:sz w:val="23"/>
          <w:szCs w:val="23"/>
          <w:lang w:eastAsia="en-GB"/>
        </w:rPr>
      </w:pPr>
      <w:bookmarkStart w:id="2" w:name="da"/>
      <w:bookmarkEnd w:id="2"/>
      <w:r>
        <w:rPr>
          <w:rFonts w:ascii="Times New Roman" w:eastAsia="Times New Roman" w:hAnsi="Times New Roman" w:cs="Times New Roman"/>
          <w:b/>
          <w:smallCaps/>
          <w:noProof/>
          <w:sz w:val="23"/>
          <w:szCs w:val="23"/>
          <w:lang w:eastAsia="en-GB"/>
        </w:rPr>
        <w:t>Strategic communication, governance and implementation</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lang w:eastAsia="en-GB"/>
        </w:rPr>
      </w:pPr>
      <w:r>
        <w:rPr>
          <w:rFonts w:ascii="Times New Roman" w:eastAsia="Times New Roman" w:hAnsi="Times New Roman" w:cs="Times New Roman"/>
          <w:b/>
          <w:noProof/>
          <w:sz w:val="23"/>
          <w:szCs w:val="23"/>
          <w:lang w:eastAsia="en-GB"/>
        </w:rPr>
        <w:t>5.1 Strategic communication</w:t>
      </w:r>
    </w:p>
    <w:p>
      <w:pPr>
        <w:spacing w:after="200" w:line="240" w:lineRule="auto"/>
        <w:jc w:val="both"/>
        <w:rPr>
          <w:rFonts w:ascii="Times New Roman" w:eastAsia="Times New Roman" w:hAnsi="Times New Roman" w:cs="Times New Roman"/>
          <w:noProof/>
          <w:sz w:val="23"/>
          <w:szCs w:val="23"/>
          <w:lang w:val="en-IE" w:eastAsia="en-GB"/>
        </w:rPr>
      </w:pPr>
      <w:r>
        <w:rPr>
          <w:rFonts w:ascii="Times New Roman" w:eastAsia="Times New Roman" w:hAnsi="Times New Roman" w:cs="Times New Roman"/>
          <w:b/>
          <w:bCs/>
          <w:noProof/>
          <w:sz w:val="23"/>
          <w:szCs w:val="23"/>
          <w:lang w:eastAsia="en-GB"/>
        </w:rPr>
        <w:t>Strategic communication</w:t>
      </w:r>
      <w:r>
        <w:rPr>
          <w:rFonts w:ascii="Times New Roman" w:eastAsia="Times New Roman" w:hAnsi="Times New Roman" w:cs="Times New Roman"/>
          <w:noProof/>
          <w:sz w:val="23"/>
          <w:szCs w:val="23"/>
          <w:lang w:eastAsia="en-GB"/>
        </w:rPr>
        <w:t xml:space="preserve"> is crucial for building resilience, and is a core duty for policy-makers at the service of citizens. In the EaP, a call for stronger and more strategic approach to communication </w:t>
      </w:r>
      <w:r>
        <w:rPr>
          <w:rFonts w:ascii="Times New Roman" w:eastAsia="Times New Roman" w:hAnsi="Times New Roman" w:cs="Times New Roman"/>
          <w:noProof/>
          <w:sz w:val="23"/>
          <w:szCs w:val="23"/>
          <w:lang w:val="en-IE" w:eastAsia="en-GB"/>
        </w:rPr>
        <w:t>has gained high political attention in recent years, also in the wake of growing disinformation against EU values.</w:t>
      </w:r>
      <w:r>
        <w:rPr>
          <w:rFonts w:ascii="Times New Roman" w:eastAsia="Times New Roman" w:hAnsi="Times New Roman" w:cs="Times New Roman"/>
          <w:noProof/>
          <w:sz w:val="23"/>
          <w:szCs w:val="23"/>
          <w:lang w:eastAsia="en-GB"/>
        </w:rPr>
        <w:t xml:space="preserve"> Joint work between the European Commission services and the European External Action Service </w:t>
      </w:r>
      <w:r>
        <w:rPr>
          <w:rFonts w:ascii="Times New Roman" w:eastAsia="Times New Roman" w:hAnsi="Times New Roman" w:cs="Times New Roman"/>
          <w:noProof/>
          <w:sz w:val="23"/>
          <w:szCs w:val="23"/>
          <w:lang w:val="en-IE" w:eastAsia="en-GB"/>
        </w:rPr>
        <w:t xml:space="preserve">therefore aims to </w:t>
      </w:r>
      <w:r>
        <w:rPr>
          <w:rFonts w:ascii="Times New Roman" w:eastAsia="Times New Roman" w:hAnsi="Times New Roman" w:cs="Times New Roman"/>
          <w:noProof/>
          <w:sz w:val="23"/>
          <w:szCs w:val="23"/>
          <w:lang w:eastAsia="en-GB"/>
        </w:rPr>
        <w:t xml:space="preserve">strengthen the EU’s communication in partner countries through clear, story-based, tailor-made messaging, and raising awareness of the </w:t>
      </w:r>
      <w:r>
        <w:rPr>
          <w:rFonts w:ascii="Times New Roman" w:eastAsia="Times New Roman" w:hAnsi="Times New Roman" w:cs="Times New Roman"/>
          <w:b/>
          <w:bCs/>
          <w:noProof/>
          <w:sz w:val="23"/>
          <w:szCs w:val="23"/>
          <w:lang w:eastAsia="en-GB"/>
        </w:rPr>
        <w:t>positive impact of EU policies</w:t>
      </w:r>
      <w:r>
        <w:rPr>
          <w:rFonts w:ascii="Times New Roman" w:eastAsia="Times New Roman" w:hAnsi="Times New Roman" w:cs="Times New Roman"/>
          <w:noProof/>
          <w:sz w:val="23"/>
          <w:szCs w:val="23"/>
          <w:lang w:eastAsia="en-GB"/>
        </w:rPr>
        <w:t xml:space="preserve"> and actions to people across the region</w:t>
      </w:r>
      <w:r>
        <w:rPr>
          <w:rFonts w:ascii="Times New Roman" w:eastAsia="Times New Roman" w:hAnsi="Times New Roman" w:cs="Times New Roman"/>
          <w:noProof/>
          <w:sz w:val="23"/>
          <w:szCs w:val="23"/>
          <w:lang w:val="en-IE" w:eastAsia="en-GB"/>
        </w:rPr>
        <w:t xml:space="preserve">, with the overarching message ‘Stronger Together’. The EU has also taken key steps in promoting better EU visibility by moving away from a project-based communication to national and more </w:t>
      </w:r>
      <w:r>
        <w:rPr>
          <w:rFonts w:ascii="Times New Roman" w:eastAsia="Times New Roman" w:hAnsi="Times New Roman" w:cs="Times New Roman"/>
          <w:b/>
          <w:bCs/>
          <w:noProof/>
          <w:sz w:val="23"/>
          <w:szCs w:val="23"/>
          <w:lang w:val="en-IE" w:eastAsia="en-GB"/>
        </w:rPr>
        <w:t>thematic, campaign-based communication</w:t>
      </w:r>
      <w:r>
        <w:rPr>
          <w:rFonts w:ascii="Times New Roman" w:eastAsia="Times New Roman" w:hAnsi="Times New Roman" w:cs="Times New Roman"/>
          <w:noProof/>
          <w:sz w:val="23"/>
          <w:szCs w:val="23"/>
          <w:lang w:val="en-IE" w:eastAsia="en-GB"/>
        </w:rPr>
        <w:t xml:space="preserve"> to avoid fragmentation of branding. EU actions are systematically branded under the ‘EU4’ heading (e.g. EU4Energy, EU4Business, EU4Digital, and EU4Georgia). Brand development has also flexibly allowed for country-specific positioning (e.g. Moving Forward Together in Ukraine). Focus is on</w:t>
      </w:r>
      <w:r>
        <w:rPr>
          <w:rFonts w:ascii="Times New Roman" w:eastAsia="Times New Roman" w:hAnsi="Times New Roman" w:cs="Times New Roman"/>
          <w:b/>
          <w:bCs/>
          <w:noProof/>
          <w:sz w:val="23"/>
          <w:szCs w:val="23"/>
          <w:lang w:val="en-IE" w:eastAsia="en-GB"/>
        </w:rPr>
        <w:t xml:space="preserve"> outreach to key multipliers</w:t>
      </w:r>
      <w:r>
        <w:rPr>
          <w:rFonts w:ascii="Times New Roman" w:eastAsia="Times New Roman" w:hAnsi="Times New Roman" w:cs="Times New Roman"/>
          <w:noProof/>
          <w:sz w:val="23"/>
          <w:szCs w:val="23"/>
          <w:lang w:val="en-IE" w:eastAsia="en-GB"/>
        </w:rPr>
        <w:t xml:space="preserve">, such as young people, to help promote EU values and actions in the partner countries. For instance through the Young European Ambassadors initiative involves 740 young people who spread positive messages about the EU in their local communities. This strengthened and coordinated approach has led to a better understanding of and </w:t>
      </w:r>
      <w:r>
        <w:rPr>
          <w:rFonts w:ascii="Times New Roman" w:eastAsia="Times New Roman" w:hAnsi="Times New Roman" w:cs="Times New Roman"/>
          <w:b/>
          <w:noProof/>
          <w:sz w:val="23"/>
          <w:szCs w:val="23"/>
          <w:lang w:val="en-IE" w:eastAsia="en-GB"/>
        </w:rPr>
        <w:t>increased credibility</w:t>
      </w:r>
      <w:r>
        <w:rPr>
          <w:rFonts w:ascii="Times New Roman" w:eastAsia="Times New Roman" w:hAnsi="Times New Roman" w:cs="Times New Roman"/>
          <w:noProof/>
          <w:sz w:val="23"/>
          <w:szCs w:val="23"/>
          <w:lang w:val="en-IE" w:eastAsia="en-GB"/>
        </w:rPr>
        <w:t xml:space="preserve"> for the EU among citizens across the EaP</w:t>
      </w:r>
      <w:r>
        <w:rPr>
          <w:rStyle w:val="FootnoteReference"/>
          <w:rFonts w:ascii="Times New Roman" w:eastAsia="Times New Roman" w:hAnsi="Times New Roman" w:cs="Times New Roman"/>
          <w:noProof/>
          <w:sz w:val="23"/>
          <w:szCs w:val="23"/>
          <w:lang w:val="en-IE" w:eastAsia="en-GB"/>
        </w:rPr>
        <w:footnoteReference w:id="16"/>
      </w:r>
      <w:r>
        <w:rPr>
          <w:rFonts w:ascii="Times New Roman" w:eastAsia="Times New Roman" w:hAnsi="Times New Roman" w:cs="Times New Roman"/>
          <w:noProof/>
          <w:sz w:val="23"/>
          <w:szCs w:val="23"/>
          <w:lang w:val="en-IE" w:eastAsia="en-GB"/>
        </w:rPr>
        <w:t>.</w:t>
      </w:r>
    </w:p>
    <w:p>
      <w:pPr>
        <w:spacing w:after="200" w:line="240" w:lineRule="auto"/>
        <w:jc w:val="both"/>
        <w:rPr>
          <w:rFonts w:ascii="Times New Roman" w:eastAsia="Times New Roman" w:hAnsi="Times New Roman" w:cs="Times New Roman"/>
          <w:b/>
          <w:bCs/>
          <w:noProof/>
          <w:sz w:val="23"/>
          <w:szCs w:val="23"/>
          <w:lang w:val="en-IE" w:eastAsia="en-GB"/>
        </w:rPr>
      </w:pPr>
      <w:r>
        <w:rPr>
          <w:rFonts w:ascii="Times New Roman" w:eastAsia="Times New Roman" w:hAnsi="Times New Roman" w:cs="Times New Roman"/>
          <w:noProof/>
          <w:sz w:val="23"/>
          <w:szCs w:val="23"/>
          <w:lang w:val="en-IE" w:eastAsia="en-GB"/>
        </w:rPr>
        <w:t xml:space="preserve">The structured consultation on the future of the EaP demonstrated the </w:t>
      </w:r>
      <w:r>
        <w:rPr>
          <w:rFonts w:ascii="Times New Roman" w:eastAsia="Times New Roman" w:hAnsi="Times New Roman" w:cs="Times New Roman"/>
          <w:b/>
          <w:bCs/>
          <w:noProof/>
          <w:sz w:val="23"/>
          <w:szCs w:val="23"/>
          <w:lang w:val="en-IE" w:eastAsia="en-GB"/>
        </w:rPr>
        <w:t xml:space="preserve">broad consensus and expectation </w:t>
      </w:r>
      <w:r>
        <w:rPr>
          <w:rFonts w:ascii="Times New Roman" w:eastAsia="Times New Roman" w:hAnsi="Times New Roman" w:cs="Times New Roman"/>
          <w:noProof/>
          <w:sz w:val="23"/>
          <w:szCs w:val="23"/>
          <w:lang w:val="en-IE" w:eastAsia="en-GB"/>
        </w:rPr>
        <w:t xml:space="preserve">of stakeholders and citizens to continue to work on and </w:t>
      </w:r>
      <w:r>
        <w:rPr>
          <w:rFonts w:ascii="Times New Roman" w:eastAsia="Times New Roman" w:hAnsi="Times New Roman" w:cs="Times New Roman"/>
          <w:b/>
          <w:bCs/>
          <w:noProof/>
          <w:sz w:val="23"/>
          <w:szCs w:val="23"/>
          <w:lang w:val="en-IE" w:eastAsia="en-GB"/>
        </w:rPr>
        <w:t>reinforce successful initiatives</w:t>
      </w:r>
      <w:r>
        <w:rPr>
          <w:rFonts w:ascii="Times New Roman" w:eastAsia="Times New Roman" w:hAnsi="Times New Roman" w:cs="Times New Roman"/>
          <w:noProof/>
          <w:sz w:val="23"/>
          <w:szCs w:val="23"/>
          <w:lang w:val="en-IE" w:eastAsia="en-GB"/>
        </w:rPr>
        <w:t xml:space="preserve"> to make EU communication more strategic and impactful in the wake of </w:t>
      </w:r>
      <w:r>
        <w:rPr>
          <w:rFonts w:ascii="Times New Roman" w:eastAsia="Times New Roman" w:hAnsi="Times New Roman" w:cs="Times New Roman"/>
          <w:b/>
          <w:bCs/>
          <w:noProof/>
          <w:sz w:val="23"/>
          <w:szCs w:val="23"/>
          <w:lang w:val="en-IE" w:eastAsia="en-GB"/>
        </w:rPr>
        <w:t>growing disinformation against EU values.</w:t>
      </w:r>
    </w:p>
    <w:p>
      <w:pPr>
        <w:spacing w:after="200" w:line="240" w:lineRule="auto"/>
        <w:jc w:val="both"/>
        <w:rPr>
          <w:rFonts w:ascii="Times New Roman" w:eastAsia="Times New Roman" w:hAnsi="Times New Roman" w:cs="Times New Roman"/>
          <w:noProof/>
          <w:sz w:val="23"/>
          <w:szCs w:val="23"/>
          <w:u w:val="single"/>
          <w:lang w:val="en-IE" w:eastAsia="en-GB"/>
        </w:rPr>
      </w:pPr>
      <w:r>
        <w:rPr>
          <w:rFonts w:ascii="Times New Roman" w:eastAsia="Times New Roman" w:hAnsi="Times New Roman" w:cs="Times New Roman"/>
          <w:noProof/>
          <w:sz w:val="23"/>
          <w:szCs w:val="23"/>
          <w:lang w:eastAsia="en-GB"/>
        </w:rPr>
        <w:t xml:space="preserve">Communication on the European Union and its relations with the partner countries should be carried out with </w:t>
      </w:r>
      <w:r>
        <w:rPr>
          <w:rFonts w:ascii="Times New Roman" w:eastAsia="Times New Roman" w:hAnsi="Times New Roman" w:cs="Times New Roman"/>
          <w:b/>
          <w:bCs/>
          <w:noProof/>
          <w:sz w:val="23"/>
          <w:szCs w:val="23"/>
          <w:lang w:eastAsia="en-GB"/>
        </w:rPr>
        <w:t>ownership</w:t>
      </w:r>
      <w:r>
        <w:rPr>
          <w:rFonts w:ascii="Times New Roman" w:eastAsia="Times New Roman" w:hAnsi="Times New Roman" w:cs="Times New Roman"/>
          <w:noProof/>
          <w:sz w:val="23"/>
          <w:szCs w:val="23"/>
          <w:lang w:eastAsia="en-GB"/>
        </w:rPr>
        <w:t xml:space="preserve"> and with </w:t>
      </w:r>
      <w:r>
        <w:rPr>
          <w:rFonts w:ascii="Times New Roman" w:eastAsia="Times New Roman" w:hAnsi="Times New Roman" w:cs="Times New Roman"/>
          <w:b/>
          <w:bCs/>
          <w:noProof/>
          <w:sz w:val="23"/>
          <w:szCs w:val="23"/>
          <w:lang w:eastAsia="en-GB"/>
        </w:rPr>
        <w:t>joint responsibility</w:t>
      </w:r>
      <w:r>
        <w:rPr>
          <w:rFonts w:ascii="Times New Roman" w:eastAsia="Times New Roman" w:hAnsi="Times New Roman" w:cs="Times New Roman"/>
          <w:noProof/>
          <w:sz w:val="23"/>
          <w:szCs w:val="23"/>
          <w:lang w:eastAsia="en-GB"/>
        </w:rPr>
        <w:t xml:space="preserve">, to citizens of </w:t>
      </w:r>
      <w:r>
        <w:rPr>
          <w:rFonts w:ascii="Times New Roman" w:eastAsia="Times New Roman" w:hAnsi="Times New Roman" w:cs="Times New Roman"/>
          <w:b/>
          <w:bCs/>
          <w:noProof/>
          <w:sz w:val="23"/>
          <w:szCs w:val="23"/>
          <w:lang w:eastAsia="en-GB"/>
        </w:rPr>
        <w:t xml:space="preserve">both the EU Member States and the partner countries. </w:t>
      </w:r>
      <w:r>
        <w:rPr>
          <w:rFonts w:ascii="Times New Roman" w:eastAsia="Times New Roman" w:hAnsi="Times New Roman" w:cs="Times New Roman"/>
          <w:noProof/>
          <w:sz w:val="23"/>
          <w:szCs w:val="23"/>
          <w:lang w:eastAsia="en-GB"/>
        </w:rPr>
        <w:t xml:space="preserve">In this context, </w:t>
      </w:r>
      <w:r>
        <w:rPr>
          <w:rFonts w:ascii="Times New Roman" w:eastAsia="Times New Roman" w:hAnsi="Times New Roman" w:cs="Times New Roman"/>
          <w:bCs/>
          <w:noProof/>
          <w:sz w:val="23"/>
          <w:szCs w:val="23"/>
          <w:lang w:eastAsia="en-GB"/>
        </w:rPr>
        <w:t>E</w:t>
      </w:r>
      <w:r>
        <w:rPr>
          <w:rFonts w:ascii="Times New Roman" w:eastAsia="Times New Roman" w:hAnsi="Times New Roman" w:cs="Times New Roman"/>
          <w:bCs/>
          <w:noProof/>
          <w:sz w:val="23"/>
          <w:szCs w:val="23"/>
          <w:lang w:val="en-IE" w:eastAsia="en-GB"/>
        </w:rPr>
        <w:t>U countries</w:t>
      </w:r>
      <w:r>
        <w:rPr>
          <w:rFonts w:ascii="Times New Roman" w:eastAsia="Times New Roman" w:hAnsi="Times New Roman" w:cs="Times New Roman"/>
          <w:noProof/>
          <w:sz w:val="23"/>
          <w:szCs w:val="23"/>
          <w:lang w:val="en-IE" w:eastAsia="en-GB"/>
        </w:rPr>
        <w:t xml:space="preserve">, </w:t>
      </w:r>
      <w:r>
        <w:rPr>
          <w:rFonts w:ascii="Times New Roman" w:eastAsia="Times New Roman" w:hAnsi="Times New Roman" w:cs="Times New Roman"/>
          <w:bCs/>
          <w:noProof/>
          <w:sz w:val="23"/>
          <w:szCs w:val="23"/>
          <w:lang w:val="en-IE" w:eastAsia="en-GB"/>
        </w:rPr>
        <w:t>partner country governments, local administrations</w:t>
      </w:r>
      <w:r>
        <w:rPr>
          <w:rFonts w:ascii="Times New Roman" w:eastAsia="Times New Roman" w:hAnsi="Times New Roman" w:cs="Times New Roman"/>
          <w:noProof/>
          <w:sz w:val="23"/>
          <w:szCs w:val="23"/>
          <w:lang w:val="en-IE" w:eastAsia="en-GB"/>
        </w:rPr>
        <w:t xml:space="preserve">, </w:t>
      </w:r>
      <w:r>
        <w:rPr>
          <w:rFonts w:ascii="Times New Roman" w:eastAsia="Times New Roman" w:hAnsi="Times New Roman" w:cs="Times New Roman"/>
          <w:bCs/>
          <w:noProof/>
          <w:sz w:val="23"/>
          <w:szCs w:val="23"/>
          <w:lang w:val="en-IE" w:eastAsia="en-GB"/>
        </w:rPr>
        <w:t>implementing partners</w:t>
      </w:r>
      <w:r>
        <w:rPr>
          <w:rFonts w:ascii="Times New Roman" w:eastAsia="Times New Roman" w:hAnsi="Times New Roman" w:cs="Times New Roman"/>
          <w:noProof/>
          <w:sz w:val="23"/>
          <w:szCs w:val="23"/>
          <w:lang w:val="en-IE" w:eastAsia="en-GB"/>
        </w:rPr>
        <w:t xml:space="preserve"> of EU-funded projects, and EU institutions (including EU delegations), should </w:t>
      </w:r>
      <w:r>
        <w:rPr>
          <w:rFonts w:ascii="Times New Roman" w:eastAsia="Times New Roman" w:hAnsi="Times New Roman" w:cs="Times New Roman"/>
          <w:b/>
          <w:bCs/>
          <w:noProof/>
          <w:sz w:val="23"/>
          <w:szCs w:val="23"/>
          <w:lang w:val="en-IE" w:eastAsia="en-GB"/>
        </w:rPr>
        <w:t>work together</w:t>
      </w:r>
      <w:r>
        <w:rPr>
          <w:rFonts w:ascii="Times New Roman" w:eastAsia="Times New Roman" w:hAnsi="Times New Roman" w:cs="Times New Roman"/>
          <w:noProof/>
          <w:sz w:val="23"/>
          <w:szCs w:val="23"/>
          <w:lang w:val="en-IE" w:eastAsia="en-GB"/>
        </w:rPr>
        <w:t xml:space="preserve"> to communicate the benefits of cooperation, based on joint policy priorities and overall promoting the EU in the region. This communication should be in the framework of a </w:t>
      </w:r>
      <w:r>
        <w:rPr>
          <w:rFonts w:ascii="Times New Roman" w:eastAsia="Times New Roman" w:hAnsi="Times New Roman" w:cs="Times New Roman"/>
          <w:b/>
          <w:bCs/>
          <w:noProof/>
          <w:sz w:val="23"/>
          <w:szCs w:val="23"/>
          <w:lang w:val="en-IE" w:eastAsia="en-GB"/>
        </w:rPr>
        <w:t>common European narrative</w:t>
      </w:r>
      <w:r>
        <w:rPr>
          <w:rFonts w:ascii="Times New Roman" w:eastAsia="Times New Roman" w:hAnsi="Times New Roman" w:cs="Times New Roman"/>
          <w:noProof/>
          <w:sz w:val="23"/>
          <w:szCs w:val="23"/>
          <w:lang w:val="en-IE" w:eastAsia="en-GB"/>
        </w:rPr>
        <w:t xml:space="preserve">, based on </w:t>
      </w:r>
      <w:r>
        <w:rPr>
          <w:rFonts w:ascii="Times New Roman" w:eastAsia="Times New Roman" w:hAnsi="Times New Roman" w:cs="Times New Roman"/>
          <w:b/>
          <w:bCs/>
          <w:noProof/>
          <w:sz w:val="23"/>
          <w:szCs w:val="23"/>
          <w:lang w:val="en-IE" w:eastAsia="en-GB"/>
        </w:rPr>
        <w:t>shared values</w:t>
      </w:r>
      <w:r>
        <w:rPr>
          <w:rFonts w:ascii="Times New Roman" w:eastAsia="Times New Roman" w:hAnsi="Times New Roman" w:cs="Times New Roman"/>
          <w:noProof/>
          <w:sz w:val="23"/>
          <w:szCs w:val="23"/>
          <w:lang w:val="en-IE" w:eastAsia="en-GB"/>
        </w:rPr>
        <w:t xml:space="preserve"> and the benefits of cooperation to the lives of people.</w:t>
      </w:r>
    </w:p>
    <w:p>
      <w:pPr>
        <w:spacing w:after="200" w:line="240" w:lineRule="auto"/>
        <w:jc w:val="both"/>
        <w:rPr>
          <w:rFonts w:ascii="Times New Roman" w:eastAsia="Times New Roman" w:hAnsi="Times New Roman" w:cs="Times New Roman"/>
          <w:noProof/>
          <w:sz w:val="23"/>
          <w:szCs w:val="23"/>
          <w:u w:val="single"/>
          <w:lang w:val="en-IE" w:eastAsia="en-GB"/>
        </w:rPr>
      </w:pPr>
      <w:r>
        <w:rPr>
          <w:rFonts w:ascii="Times New Roman" w:eastAsia="Times New Roman" w:hAnsi="Times New Roman" w:cs="Times New Roman"/>
          <w:noProof/>
          <w:sz w:val="23"/>
          <w:szCs w:val="23"/>
          <w:lang w:val="en-IE" w:eastAsia="en-GB"/>
        </w:rPr>
        <w:t xml:space="preserve">Engagement with people at </w:t>
      </w:r>
      <w:r>
        <w:rPr>
          <w:rFonts w:ascii="Times New Roman" w:eastAsia="Times New Roman" w:hAnsi="Times New Roman" w:cs="Times New Roman"/>
          <w:b/>
          <w:bCs/>
          <w:noProof/>
          <w:sz w:val="23"/>
          <w:szCs w:val="23"/>
          <w:lang w:val="en-IE" w:eastAsia="en-GB"/>
        </w:rPr>
        <w:t>local level</w:t>
      </w:r>
      <w:r>
        <w:rPr>
          <w:rFonts w:ascii="Times New Roman" w:eastAsia="Times New Roman" w:hAnsi="Times New Roman" w:cs="Times New Roman"/>
          <w:noProof/>
          <w:sz w:val="23"/>
          <w:szCs w:val="23"/>
          <w:lang w:val="en-IE" w:eastAsia="en-GB"/>
        </w:rPr>
        <w:t xml:space="preserve"> and in national and minority languages, as well as Russian, should be increased to improve the understanding of EU values, political priorities and actions. Outreach will </w:t>
      </w:r>
      <w:r>
        <w:rPr>
          <w:rFonts w:ascii="Times New Roman" w:eastAsia="Times New Roman" w:hAnsi="Times New Roman" w:cs="Times New Roman"/>
          <w:b/>
          <w:bCs/>
          <w:noProof/>
          <w:sz w:val="23"/>
          <w:szCs w:val="23"/>
          <w:lang w:val="en-IE" w:eastAsia="en-GB"/>
        </w:rPr>
        <w:t xml:space="preserve">focus on key multipliers and opinion leaders </w:t>
      </w:r>
      <w:r>
        <w:rPr>
          <w:rFonts w:ascii="Times New Roman" w:eastAsia="Times New Roman" w:hAnsi="Times New Roman" w:cs="Times New Roman"/>
          <w:noProof/>
          <w:sz w:val="23"/>
          <w:szCs w:val="23"/>
          <w:lang w:val="en-IE" w:eastAsia="en-GB"/>
        </w:rPr>
        <w:t>(including but not limited to local authorities, religious leaders, and teachers, through study visits, local discussion fora and trainings) to</w:t>
      </w:r>
      <w:r>
        <w:rPr>
          <w:rFonts w:ascii="Times New Roman" w:eastAsia="Times New Roman" w:hAnsi="Times New Roman" w:cs="Times New Roman"/>
          <w:bCs/>
          <w:noProof/>
          <w:sz w:val="23"/>
          <w:szCs w:val="23"/>
          <w:lang w:val="en-IE" w:eastAsia="en-GB"/>
        </w:rPr>
        <w:t xml:space="preserve"> make the EU message heard in the regions</w:t>
      </w:r>
      <w:r>
        <w:rPr>
          <w:rFonts w:ascii="Times New Roman" w:eastAsia="Times New Roman" w:hAnsi="Times New Roman" w:cs="Times New Roman"/>
          <w:noProof/>
          <w:sz w:val="23"/>
          <w:szCs w:val="23"/>
          <w:lang w:val="en-IE" w:eastAsia="en-GB"/>
        </w:rPr>
        <w:t>.</w:t>
      </w:r>
    </w:p>
    <w:p>
      <w:pPr>
        <w:spacing w:after="200" w:line="240" w:lineRule="auto"/>
        <w:jc w:val="both"/>
        <w:rPr>
          <w:rFonts w:ascii="Times New Roman" w:eastAsia="Times New Roman" w:hAnsi="Times New Roman" w:cs="Times New Roman"/>
          <w:noProof/>
          <w:sz w:val="23"/>
          <w:szCs w:val="23"/>
          <w:lang w:val="en-IE" w:eastAsia="en-GB"/>
        </w:rPr>
      </w:pPr>
      <w:r>
        <w:rPr>
          <w:rFonts w:ascii="Times New Roman" w:eastAsia="Times New Roman" w:hAnsi="Times New Roman" w:cs="Times New Roman"/>
          <w:noProof/>
          <w:sz w:val="23"/>
          <w:szCs w:val="23"/>
          <w:lang w:val="en-IE" w:eastAsia="en-GB"/>
        </w:rPr>
        <w:t xml:space="preserve">Outreach to </w:t>
      </w:r>
      <w:r>
        <w:rPr>
          <w:rFonts w:ascii="Times New Roman" w:eastAsia="Times New Roman" w:hAnsi="Times New Roman" w:cs="Times New Roman"/>
          <w:b/>
          <w:bCs/>
          <w:noProof/>
          <w:sz w:val="23"/>
          <w:szCs w:val="23"/>
          <w:lang w:val="en-IE" w:eastAsia="en-GB"/>
        </w:rPr>
        <w:t xml:space="preserve">young people </w:t>
      </w:r>
      <w:r>
        <w:rPr>
          <w:rFonts w:ascii="Times New Roman" w:eastAsia="Times New Roman" w:hAnsi="Times New Roman" w:cs="Times New Roman"/>
          <w:noProof/>
          <w:sz w:val="23"/>
          <w:szCs w:val="23"/>
          <w:lang w:val="en-IE" w:eastAsia="en-GB"/>
        </w:rPr>
        <w:t>will increase, for example through the promotion of teaching and learning about the European Union in different levels of education. The inclusion of EU-related information into educational curricular in schools will be supported.</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lang w:val="en-IE" w:eastAsia="en-GB"/>
        </w:rPr>
      </w:pPr>
      <w:r>
        <w:rPr>
          <w:rFonts w:ascii="Times New Roman" w:eastAsia="Times New Roman" w:hAnsi="Times New Roman" w:cs="Times New Roman"/>
          <w:b/>
          <w:noProof/>
          <w:sz w:val="23"/>
          <w:szCs w:val="23"/>
          <w:lang w:val="en-IE" w:eastAsia="en-GB"/>
        </w:rPr>
        <w:t>5.2 Governance and implementation</w:t>
      </w:r>
    </w:p>
    <w:p>
      <w:pPr>
        <w:keepNext/>
        <w:tabs>
          <w:tab w:val="num" w:pos="1922"/>
        </w:tabs>
        <w:spacing w:after="240" w:line="240" w:lineRule="auto"/>
        <w:jc w:val="both"/>
        <w:outlineLvl w:val="2"/>
        <w:rPr>
          <w:rFonts w:ascii="Times New Roman" w:eastAsiaTheme="minorEastAsia" w:hAnsi="Times New Roman" w:cs="Times New Roman"/>
          <w:noProof/>
          <w:sz w:val="23"/>
          <w:szCs w:val="23"/>
        </w:rPr>
      </w:pPr>
      <w:r>
        <w:rPr>
          <w:rFonts w:ascii="Times New Roman" w:eastAsiaTheme="minorEastAsia" w:hAnsi="Times New Roman" w:cs="Times New Roman"/>
          <w:noProof/>
          <w:sz w:val="23"/>
          <w:szCs w:val="23"/>
        </w:rPr>
        <w:t xml:space="preserve">The </w:t>
      </w:r>
      <w:r>
        <w:rPr>
          <w:rFonts w:ascii="Times New Roman" w:eastAsiaTheme="minorEastAsia" w:hAnsi="Times New Roman" w:cs="Times New Roman"/>
          <w:b/>
          <w:bCs/>
          <w:noProof/>
          <w:sz w:val="23"/>
          <w:szCs w:val="23"/>
        </w:rPr>
        <w:t>revised multilateral EaP architecture</w:t>
      </w:r>
      <w:r>
        <w:rPr>
          <w:rFonts w:ascii="Times New Roman" w:eastAsiaTheme="minorEastAsia" w:hAnsi="Times New Roman" w:cs="Times New Roman"/>
          <w:noProof/>
          <w:sz w:val="23"/>
          <w:szCs w:val="23"/>
        </w:rPr>
        <w:t xml:space="preserve"> adopted at the 2017 Summit is a useful framework for exchanges and cooperation, through regular meetings and exchanges. As confirmed by most stakeholders in the consultation, the </w:t>
      </w:r>
      <w:r>
        <w:rPr>
          <w:rFonts w:ascii="Times New Roman" w:eastAsiaTheme="minorEastAsia" w:hAnsi="Times New Roman" w:cs="Times New Roman"/>
          <w:b/>
          <w:bCs/>
          <w:noProof/>
          <w:sz w:val="23"/>
          <w:szCs w:val="23"/>
        </w:rPr>
        <w:t>current framework is valid and should continue</w:t>
      </w:r>
      <w:r>
        <w:rPr>
          <w:rFonts w:ascii="Times New Roman" w:eastAsiaTheme="minorEastAsia" w:hAnsi="Times New Roman" w:cs="Times New Roman"/>
          <w:noProof/>
          <w:sz w:val="23"/>
          <w:szCs w:val="23"/>
        </w:rPr>
        <w:t xml:space="preserve">, with the necessary adjustments to bring it in line with the main policy objectives post 2020 outlined in this joint communication. </w:t>
      </w:r>
      <w:r>
        <w:rPr>
          <w:rFonts w:ascii="Times New Roman" w:eastAsia="Times New Roman" w:hAnsi="Times New Roman" w:cs="Times New Roman"/>
          <w:b/>
          <w:bCs/>
          <w:noProof/>
          <w:sz w:val="23"/>
          <w:szCs w:val="23"/>
          <w:lang w:eastAsia="en-GB"/>
        </w:rPr>
        <w:t xml:space="preserve">The focus will be on making the existing structures more effective. </w:t>
      </w:r>
      <w:r>
        <w:rPr>
          <w:rFonts w:ascii="Times New Roman" w:eastAsiaTheme="minorEastAsia" w:hAnsi="Times New Roman" w:cs="Times New Roman"/>
          <w:noProof/>
          <w:sz w:val="23"/>
          <w:szCs w:val="23"/>
        </w:rPr>
        <w:t xml:space="preserve">One of the first tasks of the platforms and panels under the EaP architecture will be to </w:t>
      </w:r>
      <w:r>
        <w:rPr>
          <w:rFonts w:ascii="Times New Roman" w:eastAsiaTheme="minorEastAsia" w:hAnsi="Times New Roman" w:cs="Times New Roman"/>
          <w:b/>
          <w:noProof/>
          <w:sz w:val="23"/>
          <w:szCs w:val="23"/>
        </w:rPr>
        <w:t>shape the future deliverables based on the priorities set out in this joint communication</w:t>
      </w:r>
      <w:r>
        <w:rPr>
          <w:rFonts w:ascii="Times New Roman" w:eastAsiaTheme="minorEastAsia" w:hAnsi="Times New Roman" w:cs="Times New Roman"/>
          <w:noProof/>
          <w:sz w:val="23"/>
          <w:szCs w:val="23"/>
        </w:rPr>
        <w:t>.</w:t>
      </w:r>
    </w:p>
    <w:p>
      <w:pPr>
        <w:spacing w:after="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The priorities outlined in this joint communication will also underpin the </w:t>
      </w:r>
      <w:r>
        <w:rPr>
          <w:rFonts w:ascii="Times New Roman" w:eastAsia="Times New Roman" w:hAnsi="Times New Roman" w:cs="Times New Roman"/>
          <w:b/>
          <w:bCs/>
          <w:noProof/>
          <w:sz w:val="23"/>
          <w:szCs w:val="23"/>
          <w:lang w:eastAsia="en-GB"/>
        </w:rPr>
        <w:t xml:space="preserve">future programming of EU assistance </w:t>
      </w:r>
      <w:r>
        <w:rPr>
          <w:rFonts w:ascii="Times New Roman" w:eastAsia="Times New Roman" w:hAnsi="Times New Roman" w:cs="Times New Roman"/>
          <w:b/>
          <w:noProof/>
          <w:sz w:val="23"/>
          <w:szCs w:val="23"/>
          <w:lang w:eastAsia="en-GB"/>
        </w:rPr>
        <w:t>for 2021-2027</w:t>
      </w:r>
      <w:r>
        <w:rPr>
          <w:rFonts w:ascii="Times New Roman" w:eastAsia="Times New Roman" w:hAnsi="Times New Roman" w:cs="Times New Roman"/>
          <w:noProof/>
          <w:sz w:val="23"/>
          <w:szCs w:val="23"/>
          <w:lang w:eastAsia="en-GB"/>
        </w:rPr>
        <w:t>, along with the joint documents between the EU and partner countries setting out common priorities (e.g. Partnership Priorities and Association Agendas). Under the renewed policy, the EU and the partner countries will continue working on joint endeavours and actions, and will receive support, capacity building and knowledge sharing on specific objectives and policies as necessary. Regional-wide programmes will be implemented in the field with financial and logistical support from IFIs. Coherence and complementarity between all EU interventions should be ensured, as well as a clear link between the policy and the programming, including future Interreg NEXT and other territorial cooperation programmes.</w:t>
      </w:r>
    </w:p>
    <w:p>
      <w:pPr>
        <w:spacing w:after="0" w:line="240" w:lineRule="auto"/>
        <w:jc w:val="both"/>
        <w:rPr>
          <w:rFonts w:ascii="Times New Roman" w:hAnsi="Times New Roman" w:cs="Times New Roman"/>
          <w:noProof/>
          <w:sz w:val="23"/>
          <w:szCs w:val="23"/>
        </w:rPr>
      </w:pPr>
    </w:p>
    <w:p>
      <w:pPr>
        <w:spacing w:after="200" w:line="240" w:lineRule="auto"/>
        <w:jc w:val="both"/>
        <w:rPr>
          <w:rFonts w:ascii="Times New Roman" w:eastAsia="Times New Roman" w:hAnsi="Times New Roman" w:cs="Times New Roman"/>
          <w:noProof/>
          <w:sz w:val="23"/>
          <w:szCs w:val="23"/>
          <w:lang w:val="en-IE" w:eastAsia="en-GB"/>
        </w:rPr>
      </w:pPr>
      <w:r>
        <w:rPr>
          <w:rFonts w:ascii="Times New Roman" w:eastAsia="Times New Roman" w:hAnsi="Times New Roman" w:cs="Times New Roman"/>
          <w:b/>
          <w:noProof/>
          <w:sz w:val="23"/>
          <w:szCs w:val="23"/>
          <w:lang w:val="en-IE" w:eastAsia="en-GB"/>
        </w:rPr>
        <w:t>Civil society organisations</w:t>
      </w:r>
      <w:r>
        <w:rPr>
          <w:rFonts w:ascii="Times New Roman" w:eastAsia="Times New Roman" w:hAnsi="Times New Roman" w:cs="Times New Roman"/>
          <w:noProof/>
          <w:sz w:val="23"/>
          <w:szCs w:val="23"/>
          <w:lang w:val="en-IE" w:eastAsia="en-GB"/>
        </w:rPr>
        <w:t xml:space="preserve"> are crucial for disseminating EU-positive messages outside of the capitals, and ensuring lasting results and better services for people on the ground. As part of the its new approach to civil society in the partner countries, the EU has established framework partnership agreements with key civil society organisations to better channel support and increase impact. Increased re-granting through these key partners should further increase outreach in the East, including by smaller, local organisations that operate in the local languages.</w:t>
      </w:r>
    </w:p>
    <w:p>
      <w:pPr>
        <w:spacing w:after="200" w:line="240" w:lineRule="auto"/>
        <w:jc w:val="both"/>
        <w:rPr>
          <w:rFonts w:ascii="Times New Roman" w:eastAsia="Times New Roman" w:hAnsi="Times New Roman" w:cs="Times New Roman"/>
          <w:noProof/>
          <w:sz w:val="23"/>
          <w:szCs w:val="23"/>
          <w:lang w:val="en-IE" w:eastAsia="en-GB"/>
        </w:rPr>
      </w:pPr>
      <w:r>
        <w:rPr>
          <w:rFonts w:ascii="Times New Roman" w:eastAsia="Times New Roman" w:hAnsi="Times New Roman" w:cs="Times New Roman"/>
          <w:noProof/>
          <w:sz w:val="23"/>
          <w:szCs w:val="23"/>
          <w:lang w:val="en-IE" w:eastAsia="en-GB"/>
        </w:rPr>
        <w:t xml:space="preserve">The EU will engage more systematically with </w:t>
      </w:r>
      <w:r>
        <w:rPr>
          <w:rFonts w:ascii="Times New Roman" w:eastAsia="Times New Roman" w:hAnsi="Times New Roman" w:cs="Times New Roman"/>
          <w:b/>
          <w:bCs/>
          <w:noProof/>
          <w:sz w:val="23"/>
          <w:szCs w:val="23"/>
          <w:lang w:val="en-IE" w:eastAsia="en-GB"/>
        </w:rPr>
        <w:t>think tanks covering the EaP</w:t>
      </w:r>
      <w:r>
        <w:rPr>
          <w:rFonts w:ascii="Times New Roman" w:eastAsia="Times New Roman" w:hAnsi="Times New Roman" w:cs="Times New Roman"/>
          <w:noProof/>
          <w:sz w:val="23"/>
          <w:szCs w:val="23"/>
          <w:lang w:val="en-IE" w:eastAsia="en-GB"/>
        </w:rPr>
        <w:t>. This will support education and awareness-raising initiatives of these countries and ensure that people are better informed and therefore more likely to support development reforms.</w:t>
      </w:r>
    </w:p>
    <w:p>
      <w:pPr>
        <w:spacing w:after="200" w:line="240" w:lineRule="auto"/>
        <w:jc w:val="both"/>
        <w:rPr>
          <w:rFonts w:ascii="Times New Roman" w:eastAsia="Times New Roman" w:hAnsi="Times New Roman" w:cs="Times New Roman"/>
          <w:noProof/>
          <w:sz w:val="23"/>
          <w:szCs w:val="23"/>
          <w:lang w:val="en-IE" w:eastAsia="en-GB"/>
        </w:rPr>
      </w:pPr>
      <w:r>
        <w:rPr>
          <w:rFonts w:ascii="Times New Roman" w:eastAsia="Times New Roman" w:hAnsi="Times New Roman" w:cs="Times New Roman"/>
          <w:noProof/>
          <w:sz w:val="23"/>
          <w:szCs w:val="23"/>
          <w:lang w:val="en-IE" w:eastAsia="en-GB"/>
        </w:rPr>
        <w:t xml:space="preserve">The EU intends to further step up its </w:t>
      </w:r>
      <w:r>
        <w:rPr>
          <w:rFonts w:ascii="Times New Roman" w:eastAsia="Times New Roman" w:hAnsi="Times New Roman" w:cs="Times New Roman"/>
          <w:b/>
          <w:noProof/>
          <w:sz w:val="23"/>
          <w:szCs w:val="23"/>
          <w:lang w:val="en-IE" w:eastAsia="en-GB"/>
        </w:rPr>
        <w:t xml:space="preserve">partnership with IFIs, </w:t>
      </w:r>
      <w:r>
        <w:rPr>
          <w:rFonts w:ascii="Times New Roman" w:eastAsia="Times New Roman" w:hAnsi="Times New Roman" w:cs="Times New Roman"/>
          <w:noProof/>
          <w:sz w:val="23"/>
          <w:szCs w:val="23"/>
          <w:lang w:val="en-IE" w:eastAsia="en-GB"/>
        </w:rPr>
        <w:t>by making better use of the possibilities offered by the EFSD guarantees to strengthen resilience of our partner countries and boost the private sector, while upholding commitments stemming from the Association Agreements and other bilateral agreements.</w:t>
      </w:r>
    </w:p>
    <w:p>
      <w:pPr>
        <w:spacing w:after="200" w:line="240" w:lineRule="auto"/>
        <w:jc w:val="both"/>
        <w:rPr>
          <w:rFonts w:ascii="Times New Roman" w:eastAsia="Times New Roman" w:hAnsi="Times New Roman" w:cs="Times New Roman"/>
          <w:noProof/>
          <w:sz w:val="23"/>
          <w:szCs w:val="23"/>
          <w:lang w:val="en-IE" w:eastAsia="en-GB"/>
        </w:rPr>
      </w:pPr>
      <w:r>
        <w:rPr>
          <w:rFonts w:ascii="Times New Roman" w:eastAsia="Times New Roman" w:hAnsi="Times New Roman" w:cs="Times New Roman"/>
          <w:noProof/>
          <w:sz w:val="23"/>
          <w:szCs w:val="23"/>
          <w:lang w:val="en-IE" w:eastAsia="en-GB"/>
        </w:rPr>
        <w:t xml:space="preserve">The </w:t>
      </w:r>
      <w:r>
        <w:rPr>
          <w:rFonts w:ascii="Times New Roman" w:eastAsia="Times New Roman" w:hAnsi="Times New Roman" w:cs="Times New Roman"/>
          <w:b/>
          <w:bCs/>
          <w:noProof/>
          <w:sz w:val="23"/>
          <w:szCs w:val="23"/>
          <w:lang w:val="en-IE" w:eastAsia="en-GB"/>
        </w:rPr>
        <w:t>EU will also strengthen joint ownership and partnership among EU countries</w:t>
      </w:r>
      <w:r>
        <w:rPr>
          <w:rFonts w:ascii="Times New Roman" w:eastAsia="Times New Roman" w:hAnsi="Times New Roman" w:cs="Times New Roman"/>
          <w:noProof/>
          <w:sz w:val="23"/>
          <w:szCs w:val="23"/>
          <w:lang w:val="en-IE" w:eastAsia="en-GB"/>
        </w:rPr>
        <w:t xml:space="preserve"> to better support the ambitious reform agenda. In this way, partner countries can benefit from EU expertise and experience.</w:t>
      </w:r>
    </w:p>
    <w:p>
      <w:pPr>
        <w:keepNext/>
        <w:numPr>
          <w:ilvl w:val="0"/>
          <w:numId w:val="1"/>
        </w:numPr>
        <w:spacing w:before="240" w:after="240" w:line="240" w:lineRule="auto"/>
        <w:ind w:left="567" w:hanging="567"/>
        <w:jc w:val="both"/>
        <w:outlineLvl w:val="0"/>
        <w:rPr>
          <w:rFonts w:ascii="Times New Roman" w:eastAsia="Times New Roman" w:hAnsi="Times New Roman" w:cs="Times New Roman"/>
          <w:b/>
          <w:smallCaps/>
          <w:noProof/>
          <w:sz w:val="23"/>
          <w:szCs w:val="23"/>
          <w:lang w:eastAsia="en-GB"/>
        </w:rPr>
      </w:pPr>
      <w:r>
        <w:rPr>
          <w:rFonts w:ascii="Times New Roman" w:eastAsia="Times New Roman" w:hAnsi="Times New Roman" w:cs="Times New Roman"/>
          <w:b/>
          <w:smallCaps/>
          <w:noProof/>
          <w:sz w:val="23"/>
          <w:szCs w:val="23"/>
          <w:lang w:eastAsia="en-GB"/>
        </w:rPr>
        <w:t>Conclusion and next steps</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The recent structured consultation clearly underlined that the continued success of the Eastern Partnership will depend on strengthening joint </w:t>
      </w:r>
      <w:r>
        <w:rPr>
          <w:rFonts w:ascii="Times New Roman" w:eastAsia="Times New Roman" w:hAnsi="Times New Roman" w:cs="Times New Roman"/>
          <w:b/>
          <w:bCs/>
          <w:noProof/>
          <w:sz w:val="23"/>
          <w:szCs w:val="23"/>
          <w:lang w:eastAsia="en-GB"/>
        </w:rPr>
        <w:t>ownership</w:t>
      </w:r>
      <w:r>
        <w:rPr>
          <w:rFonts w:ascii="Times New Roman" w:eastAsia="Times New Roman" w:hAnsi="Times New Roman" w:cs="Times New Roman"/>
          <w:noProof/>
          <w:sz w:val="23"/>
          <w:szCs w:val="23"/>
          <w:lang w:eastAsia="en-GB"/>
        </w:rPr>
        <w:t xml:space="preserve">, reinforcing an </w:t>
      </w:r>
      <w:r>
        <w:rPr>
          <w:rFonts w:ascii="Times New Roman" w:eastAsia="Times New Roman" w:hAnsi="Times New Roman" w:cs="Times New Roman"/>
          <w:b/>
          <w:bCs/>
          <w:noProof/>
          <w:sz w:val="23"/>
          <w:szCs w:val="23"/>
          <w:lang w:eastAsia="en-GB"/>
        </w:rPr>
        <w:t xml:space="preserve">ambitious </w:t>
      </w:r>
      <w:r>
        <w:rPr>
          <w:rFonts w:ascii="Times New Roman" w:eastAsia="Times New Roman" w:hAnsi="Times New Roman" w:cs="Times New Roman"/>
          <w:noProof/>
          <w:sz w:val="23"/>
          <w:szCs w:val="23"/>
          <w:lang w:eastAsia="en-GB"/>
        </w:rPr>
        <w:t xml:space="preserve">reform agenda, and </w:t>
      </w:r>
      <w:r>
        <w:rPr>
          <w:rFonts w:ascii="Times New Roman" w:eastAsia="Times New Roman" w:hAnsi="Times New Roman" w:cs="Times New Roman"/>
          <w:b/>
          <w:bCs/>
          <w:noProof/>
          <w:sz w:val="23"/>
          <w:szCs w:val="23"/>
          <w:lang w:eastAsia="en-GB"/>
        </w:rPr>
        <w:t>tackling joint challenges.</w:t>
      </w:r>
      <w:r>
        <w:rPr>
          <w:rFonts w:ascii="Times New Roman" w:eastAsia="Times New Roman" w:hAnsi="Times New Roman" w:cs="Times New Roman"/>
          <w:noProof/>
          <w:sz w:val="23"/>
          <w:szCs w:val="23"/>
          <w:lang w:eastAsia="en-GB"/>
        </w:rPr>
        <w:t xml:space="preserve"> EU Member States, partner countries and civil society have the joint responsibility to ensure a robust and relevant partnership that benefits the whole of society. The joint commitment to this new approach will benefit people in all partner countries, and will contribute to building a </w:t>
      </w:r>
      <w:r>
        <w:rPr>
          <w:rFonts w:ascii="Times New Roman" w:eastAsia="Times New Roman" w:hAnsi="Times New Roman" w:cs="Times New Roman"/>
          <w:b/>
          <w:bCs/>
          <w:noProof/>
          <w:sz w:val="23"/>
          <w:szCs w:val="23"/>
          <w:lang w:eastAsia="en-GB"/>
        </w:rPr>
        <w:t>stronger Europe in the world</w:t>
      </w:r>
      <w:r>
        <w:rPr>
          <w:rFonts w:ascii="Times New Roman" w:eastAsia="Times New Roman" w:hAnsi="Times New Roman" w:cs="Times New Roman"/>
          <w:noProof/>
          <w:sz w:val="23"/>
          <w:szCs w:val="23"/>
          <w:lang w:eastAsia="en-GB"/>
        </w:rPr>
        <w:t>.</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This joint communication proposes strengthening </w:t>
      </w:r>
      <w:r>
        <w:rPr>
          <w:rFonts w:ascii="Times New Roman" w:eastAsia="Times New Roman" w:hAnsi="Times New Roman" w:cs="Times New Roman"/>
          <w:b/>
          <w:noProof/>
          <w:sz w:val="23"/>
          <w:szCs w:val="23"/>
          <w:lang w:eastAsia="en-GB"/>
        </w:rPr>
        <w:t>resilience</w:t>
      </w:r>
      <w:r>
        <w:rPr>
          <w:rFonts w:ascii="Times New Roman" w:eastAsia="Times New Roman" w:hAnsi="Times New Roman" w:cs="Times New Roman"/>
          <w:noProof/>
          <w:sz w:val="23"/>
          <w:szCs w:val="23"/>
          <w:lang w:eastAsia="en-GB"/>
        </w:rPr>
        <w:t xml:space="preserve"> as an overriding objective, with the EU, its Member States and the partner countries </w:t>
      </w:r>
      <w:r>
        <w:rPr>
          <w:rFonts w:ascii="Times New Roman" w:eastAsia="Times New Roman" w:hAnsi="Times New Roman" w:cs="Times New Roman"/>
          <w:bCs/>
          <w:noProof/>
          <w:sz w:val="23"/>
          <w:szCs w:val="23"/>
          <w:lang w:eastAsia="en-GB"/>
        </w:rPr>
        <w:t>working together towards the following long-term policy objectives for the EaP beyond 2020</w:t>
      </w:r>
      <w:r>
        <w:rPr>
          <w:rFonts w:ascii="Times New Roman" w:eastAsia="Times New Roman" w:hAnsi="Times New Roman" w:cs="Times New Roman"/>
          <w:noProof/>
          <w:sz w:val="23"/>
          <w:szCs w:val="23"/>
          <w:lang w:eastAsia="en-GB"/>
        </w:rPr>
        <w:t>:</w:t>
      </w:r>
    </w:p>
    <w:p>
      <w:pPr>
        <w:numPr>
          <w:ilvl w:val="0"/>
          <w:numId w:val="2"/>
        </w:numPr>
        <w:spacing w:after="240" w:line="240" w:lineRule="auto"/>
        <w:contextualSpacing/>
        <w:jc w:val="both"/>
        <w:rPr>
          <w:rFonts w:ascii="Times New Roman" w:hAnsi="Times New Roman" w:cs="Times New Roman"/>
          <w:noProof/>
          <w:sz w:val="23"/>
          <w:szCs w:val="23"/>
          <w:lang w:eastAsia="en-GB"/>
        </w:rPr>
      </w:pPr>
      <w:r>
        <w:rPr>
          <w:rFonts w:ascii="Times New Roman" w:hAnsi="Times New Roman" w:cs="Times New Roman"/>
          <w:noProof/>
          <w:sz w:val="23"/>
          <w:szCs w:val="23"/>
          <w:lang w:eastAsia="en-GB"/>
        </w:rPr>
        <w:t>together for resilient, sustainable and integrated economies;</w:t>
      </w:r>
    </w:p>
    <w:p>
      <w:pPr>
        <w:numPr>
          <w:ilvl w:val="0"/>
          <w:numId w:val="2"/>
        </w:numPr>
        <w:spacing w:after="240" w:line="240" w:lineRule="auto"/>
        <w:contextualSpacing/>
        <w:jc w:val="both"/>
        <w:rPr>
          <w:rFonts w:ascii="Times New Roman" w:hAnsi="Times New Roman" w:cs="Times New Roman"/>
          <w:noProof/>
          <w:sz w:val="23"/>
          <w:szCs w:val="23"/>
          <w:lang w:eastAsia="en-GB"/>
        </w:rPr>
      </w:pPr>
      <w:r>
        <w:rPr>
          <w:rFonts w:ascii="Times New Roman" w:hAnsi="Times New Roman" w:cs="Times New Roman"/>
          <w:noProof/>
          <w:sz w:val="23"/>
          <w:szCs w:val="23"/>
          <w:lang w:eastAsia="en-GB"/>
        </w:rPr>
        <w:t>together for accountable institutions, the rule of law and security;</w:t>
      </w:r>
    </w:p>
    <w:p>
      <w:pPr>
        <w:numPr>
          <w:ilvl w:val="0"/>
          <w:numId w:val="2"/>
        </w:numPr>
        <w:spacing w:after="240" w:line="240" w:lineRule="auto"/>
        <w:contextualSpacing/>
        <w:jc w:val="both"/>
        <w:rPr>
          <w:rFonts w:ascii="Times New Roman" w:hAnsi="Times New Roman" w:cs="Times New Roman"/>
          <w:noProof/>
          <w:sz w:val="23"/>
          <w:szCs w:val="23"/>
          <w:lang w:eastAsia="en-GB"/>
        </w:rPr>
      </w:pPr>
      <w:r>
        <w:rPr>
          <w:rFonts w:ascii="Times New Roman" w:hAnsi="Times New Roman" w:cs="Times New Roman"/>
          <w:noProof/>
          <w:sz w:val="23"/>
          <w:szCs w:val="23"/>
          <w:lang w:eastAsia="en-GB"/>
        </w:rPr>
        <w:t>together towards environmental and climate resilience;</w:t>
      </w:r>
    </w:p>
    <w:p>
      <w:pPr>
        <w:numPr>
          <w:ilvl w:val="0"/>
          <w:numId w:val="2"/>
        </w:numPr>
        <w:spacing w:after="240" w:line="240" w:lineRule="auto"/>
        <w:contextualSpacing/>
        <w:jc w:val="both"/>
        <w:rPr>
          <w:rFonts w:ascii="Times New Roman" w:hAnsi="Times New Roman" w:cs="Times New Roman"/>
          <w:noProof/>
          <w:sz w:val="23"/>
          <w:szCs w:val="23"/>
          <w:lang w:eastAsia="en-GB"/>
        </w:rPr>
      </w:pPr>
      <w:r>
        <w:rPr>
          <w:rFonts w:ascii="Times New Roman" w:hAnsi="Times New Roman" w:cs="Times New Roman"/>
          <w:noProof/>
          <w:sz w:val="23"/>
          <w:szCs w:val="23"/>
          <w:lang w:eastAsia="en-GB"/>
        </w:rPr>
        <w:t xml:space="preserve">together for a resilient digital transformation </w:t>
      </w:r>
    </w:p>
    <w:p>
      <w:pPr>
        <w:numPr>
          <w:ilvl w:val="0"/>
          <w:numId w:val="2"/>
        </w:numPr>
        <w:spacing w:after="240" w:line="240" w:lineRule="auto"/>
        <w:contextualSpacing/>
        <w:jc w:val="both"/>
        <w:rPr>
          <w:rFonts w:ascii="Times New Roman" w:hAnsi="Times New Roman" w:cs="Times New Roman"/>
          <w:noProof/>
          <w:sz w:val="23"/>
          <w:szCs w:val="23"/>
          <w:lang w:eastAsia="en-GB"/>
        </w:rPr>
      </w:pPr>
      <w:r>
        <w:rPr>
          <w:rFonts w:ascii="Times New Roman" w:hAnsi="Times New Roman" w:cs="Times New Roman"/>
          <w:noProof/>
          <w:sz w:val="23"/>
          <w:szCs w:val="23"/>
          <w:lang w:eastAsia="en-GB"/>
        </w:rPr>
        <w:t>together for resilient, fair and inclusive societies.</w:t>
      </w:r>
    </w:p>
    <w:p>
      <w:pPr>
        <w:spacing w:after="240" w:line="240" w:lineRule="auto"/>
        <w:ind w:left="720"/>
        <w:contextualSpacing/>
        <w:jc w:val="both"/>
        <w:rPr>
          <w:rFonts w:ascii="Times New Roman" w:hAnsi="Times New Roman" w:cs="Times New Roman"/>
          <w:b/>
          <w:bCs/>
          <w:noProof/>
          <w:sz w:val="23"/>
          <w:szCs w:val="23"/>
          <w:lang w:eastAsia="en-GB"/>
        </w:rPr>
      </w:pP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The European Council, the European Parliament and the Council are invited to endorse this joint communication that will also be presented to the European Economic and Social Committee and the Committee of the Regions.  It will also be discussed with partner countries in view of the EaP Summit in June 2020.</w:t>
      </w:r>
    </w:p>
    <w:p>
      <w:pPr>
        <w:spacing w:after="240" w:line="240" w:lineRule="auto"/>
        <w:jc w:val="both"/>
        <w:rPr>
          <w:rFonts w:ascii="Times New Roman" w:eastAsia="Times New Roman" w:hAnsi="Times New Roman" w:cs="Times New Roman"/>
          <w:noProof/>
          <w:sz w:val="23"/>
          <w:szCs w:val="23"/>
          <w:lang w:eastAsia="en-GB"/>
        </w:rPr>
      </w:pPr>
      <w:r>
        <w:rPr>
          <w:rFonts w:ascii="Times New Roman" w:eastAsia="Times New Roman" w:hAnsi="Times New Roman" w:cs="Times New Roman"/>
          <w:noProof/>
          <w:sz w:val="23"/>
          <w:szCs w:val="23"/>
          <w:lang w:eastAsia="en-GB"/>
        </w:rPr>
        <w:t xml:space="preserve">The </w:t>
      </w:r>
      <w:r>
        <w:rPr>
          <w:rFonts w:ascii="Times New Roman" w:eastAsia="Times New Roman" w:hAnsi="Times New Roman" w:cs="Times New Roman"/>
          <w:b/>
          <w:bCs/>
          <w:noProof/>
          <w:sz w:val="23"/>
          <w:szCs w:val="23"/>
          <w:lang w:eastAsia="en-GB"/>
        </w:rPr>
        <w:t>EaP Summit</w:t>
      </w:r>
      <w:r>
        <w:rPr>
          <w:rFonts w:ascii="Times New Roman" w:eastAsia="Times New Roman" w:hAnsi="Times New Roman" w:cs="Times New Roman"/>
          <w:noProof/>
          <w:sz w:val="23"/>
          <w:szCs w:val="23"/>
          <w:lang w:eastAsia="en-GB"/>
        </w:rPr>
        <w:t xml:space="preserve"> will give a mandate to develop a new set of tangible deliverables building on the current agenda, with the aim to put the recommendations outlined in this document into practice. Shaping the future deliverables for beyond 2020 will therefore be a key task for the second half of 2020.</w:t>
      </w:r>
    </w:p>
    <w:p>
      <w:pPr>
        <w:spacing w:after="240" w:line="240" w:lineRule="auto"/>
        <w:jc w:val="both"/>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code="9"/>
      <w:pgMar w:top="1021" w:right="1588" w:bottom="1021" w:left="1588" w:header="601"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68988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de-DE"/>
        </w:rPr>
      </w:pPr>
      <w:r>
        <w:rPr>
          <w:rStyle w:val="FootnoteReference"/>
        </w:rPr>
        <w:footnoteRef/>
      </w:r>
      <w:r>
        <w:rPr>
          <w:lang w:val="de-DE"/>
        </w:rPr>
        <w:t xml:space="preserve"> Hereinafter ‘Moldova’</w:t>
      </w:r>
    </w:p>
  </w:footnote>
  <w:footnote w:id="3">
    <w:p>
      <w:pPr>
        <w:pStyle w:val="FootnoteText"/>
        <w:rPr>
          <w:lang w:val="de-DE"/>
        </w:rPr>
      </w:pPr>
      <w:r>
        <w:rPr>
          <w:rStyle w:val="FootnoteReference"/>
        </w:rPr>
        <w:footnoteRef/>
      </w:r>
      <w:r>
        <w:rPr>
          <w:lang w:val="de-DE"/>
        </w:rPr>
        <w:t xml:space="preserve"> </w:t>
      </w:r>
      <w:hyperlink r:id="rId1" w:history="1">
        <w:r>
          <w:rPr>
            <w:rStyle w:val="Hyperlink"/>
            <w:lang w:val="de-DE"/>
          </w:rPr>
          <w:t>https://eeas.europa.eu/sites/eeas/files/eugs_review_web_0.pdf</w:t>
        </w:r>
      </w:hyperlink>
    </w:p>
  </w:footnote>
  <w:footnote w:id="4">
    <w:p>
      <w:pPr>
        <w:pStyle w:val="FootnoteText"/>
        <w:rPr>
          <w:lang w:val="de-DE"/>
        </w:rPr>
      </w:pPr>
      <w:r>
        <w:rPr>
          <w:rStyle w:val="FootnoteReference"/>
        </w:rPr>
        <w:footnoteRef/>
      </w:r>
      <w:r>
        <w:rPr>
          <w:lang w:val="de-DE"/>
        </w:rPr>
        <w:t xml:space="preserve"> </w:t>
      </w:r>
      <w:hyperlink r:id="rId2" w:history="1">
        <w:r>
          <w:rPr>
            <w:rStyle w:val="Hyperlink"/>
            <w:lang w:val="de-DE"/>
          </w:rPr>
          <w:t>https://ec.europa.eu/commission/sites/beta-political/files/political-guidelines-next-commission_en.pdf</w:t>
        </w:r>
      </w:hyperlink>
    </w:p>
  </w:footnote>
  <w:footnote w:id="5">
    <w:p>
      <w:pPr>
        <w:pStyle w:val="FootnoteText"/>
      </w:pPr>
      <w:r>
        <w:rPr>
          <w:rStyle w:val="FootnoteReference"/>
        </w:rPr>
        <w:footnoteRef/>
      </w:r>
      <w:r>
        <w:t xml:space="preserve"> These include the Communications ‘The European Green Deal’ (COM(2019) 640), ‘Shaping Europe's digital future’ (COM(2020) 67), ‘A New Industrial Strategy for Europe’ (COM(2020) 102) and ‘A Union of Equality: Gender Equality Strategy 2020-2025 (COM(2020) 152).</w:t>
      </w:r>
    </w:p>
  </w:footnote>
  <w:footnote w:id="6">
    <w:p>
      <w:pPr>
        <w:pStyle w:val="FootnoteText"/>
      </w:pPr>
      <w:r>
        <w:rPr>
          <w:rStyle w:val="FootnoteReference"/>
        </w:rPr>
        <w:footnoteRef/>
      </w:r>
      <w:hyperlink r:id="rId3" w:history="1">
        <w:r>
          <w:rPr>
            <w:rStyle w:val="Hyperlink"/>
          </w:rPr>
          <w:t>https://eeas.europa.eu/sites/eeas/files/join_2017_21_f1_communication_from_commission_to_inst_en_v7_p1_916039.pdf</w:t>
        </w:r>
      </w:hyperlink>
    </w:p>
  </w:footnote>
  <w:footnote w:id="7">
    <w:p>
      <w:pPr>
        <w:pStyle w:val="FootnoteText"/>
      </w:pPr>
      <w:r>
        <w:rPr>
          <w:rStyle w:val="FootnoteReference"/>
        </w:rPr>
        <w:footnoteRef/>
      </w:r>
      <w:r>
        <w:t xml:space="preserve"> </w:t>
      </w:r>
      <w:hyperlink r:id="rId4" w:history="1">
        <w:r>
          <w:rPr>
            <w:rStyle w:val="Hyperlink"/>
          </w:rPr>
          <w:t>https://ec.europa.eu/commission/eu-external-investment-plan_en</w:t>
        </w:r>
      </w:hyperlink>
    </w:p>
  </w:footnote>
  <w:footnote w:id="8">
    <w:p>
      <w:pPr>
        <w:pStyle w:val="FootnoteText"/>
      </w:pPr>
      <w:r>
        <w:rPr>
          <w:rStyle w:val="FootnoteReference"/>
        </w:rPr>
        <w:footnoteRef/>
      </w:r>
      <w:hyperlink r:id="rId5" w:history="1">
        <w:r>
          <w:rPr>
            <w:rStyle w:val="Hyperlink"/>
          </w:rPr>
          <w:t>https://ec.europa.eu/transport/themes/international/european_neighbourhood_policy/eastern_partnership/tent-maps_en</w:t>
        </w:r>
      </w:hyperlink>
    </w:p>
  </w:footnote>
  <w:footnote w:id="9">
    <w:p>
      <w:pPr>
        <w:pStyle w:val="FootnoteText"/>
      </w:pPr>
      <w:r>
        <w:rPr>
          <w:rStyle w:val="FootnoteReference"/>
        </w:rPr>
        <w:footnoteRef/>
      </w:r>
      <w:r>
        <w:t xml:space="preserve"> </w:t>
      </w:r>
      <w:hyperlink r:id="rId6" w:history="1">
        <w:r>
          <w:rPr>
            <w:rStyle w:val="Hyperlink"/>
          </w:rPr>
          <w:t>https://ec.europa.eu/neighbourhood-enlargement/sites/near/files/eap_declaration_finalversion2604.pdf</w:t>
        </w:r>
      </w:hyperlink>
    </w:p>
  </w:footnote>
  <w:footnote w:id="10">
    <w:p>
      <w:pPr>
        <w:pStyle w:val="FootnoteText"/>
      </w:pPr>
      <w:r>
        <w:rPr>
          <w:rStyle w:val="FootnoteReference"/>
        </w:rPr>
        <w:footnoteRef/>
      </w:r>
      <w:r>
        <w:t xml:space="preserve"> </w:t>
      </w:r>
      <w:hyperlink r:id="rId7" w:history="1">
        <w:r>
          <w:rPr>
            <w:rStyle w:val="Hyperlink"/>
          </w:rPr>
          <w:t>https://eeas.europa.eu/headquarters/headquarters-homepage/50699/connecting-europe-asia-eu-strategy_en</w:t>
        </w:r>
      </w:hyperlink>
    </w:p>
    <w:p>
      <w:pPr>
        <w:pStyle w:val="FootnoteText"/>
      </w:pPr>
    </w:p>
  </w:footnote>
  <w:footnote w:id="11">
    <w:p>
      <w:pPr>
        <w:pStyle w:val="FootnoteText"/>
        <w:rPr>
          <w:lang w:val="en-US"/>
        </w:rPr>
      </w:pPr>
      <w:r>
        <w:rPr>
          <w:rStyle w:val="FootnoteReference"/>
        </w:rPr>
        <w:footnoteRef/>
      </w:r>
      <w:r>
        <w:t xml:space="preserve"> All the partner countries have ratified the United Nations Convention against Corruption.</w:t>
      </w:r>
    </w:p>
  </w:footnote>
  <w:footnote w:id="12">
    <w:p>
      <w:pPr>
        <w:pStyle w:val="FootnoteText"/>
      </w:pPr>
      <w:r>
        <w:rPr>
          <w:rStyle w:val="FootnoteReference"/>
        </w:rPr>
        <w:footnoteRef/>
      </w:r>
      <w:r>
        <w:t xml:space="preserve"> </w:t>
      </w:r>
      <w:hyperlink r:id="rId8" w:history="1">
        <w:r>
          <w:rPr>
            <w:rStyle w:val="Hyperlink"/>
          </w:rPr>
          <w:t>https://documents-dds-ny.un.org/doc/UNDOC/GEN/N00/720/18/PDF/N0072018.pdf?OpenElement</w:t>
        </w:r>
      </w:hyperlink>
    </w:p>
  </w:footnote>
  <w:footnote w:id="13">
    <w:p>
      <w:pPr>
        <w:pStyle w:val="FootnoteText"/>
      </w:pPr>
      <w:r>
        <w:rPr>
          <w:rStyle w:val="FootnoteReference"/>
        </w:rPr>
        <w:footnoteRef/>
      </w:r>
      <w:r>
        <w:t xml:space="preserve"> </w:t>
      </w:r>
      <w:hyperlink r:id="rId9" w:history="1">
        <w:r>
          <w:rPr>
            <w:rStyle w:val="Hyperlink"/>
          </w:rPr>
          <w:t>https://ec.europa.eu/maritimeaffairs/press/black-sea-ministers-endorse-common-maritime-agenda_en</w:t>
        </w:r>
      </w:hyperlink>
    </w:p>
    <w:p>
      <w:pPr>
        <w:pStyle w:val="FootnoteText"/>
      </w:pPr>
    </w:p>
  </w:footnote>
  <w:footnote w:id="14">
    <w:p>
      <w:pPr>
        <w:pStyle w:val="FootnoteText"/>
      </w:pPr>
      <w:r>
        <w:rPr>
          <w:rStyle w:val="FootnoteReference"/>
        </w:rPr>
        <w:footnoteRef/>
      </w:r>
      <w:r>
        <w:t xml:space="preserve"> </w:t>
      </w:r>
      <w:hyperlink r:id="rId10" w:history="1">
        <w:r>
          <w:rPr>
            <w:rStyle w:val="Hyperlink"/>
          </w:rPr>
          <w:t>https://ec.europa.eu/info/sites/info/files/communication-shaping-europes-digital-future-feb2020_en_4.pdf</w:t>
        </w:r>
      </w:hyperlink>
    </w:p>
    <w:p>
      <w:pPr>
        <w:pStyle w:val="FootnoteText"/>
      </w:pPr>
    </w:p>
  </w:footnote>
  <w:footnote w:id="15">
    <w:p>
      <w:pPr>
        <w:pStyle w:val="FootnoteText"/>
      </w:pPr>
      <w:r>
        <w:rPr>
          <w:rStyle w:val="FootnoteReference"/>
        </w:rPr>
        <w:footnoteRef/>
      </w:r>
      <w:r>
        <w:t xml:space="preserve"> </w:t>
      </w:r>
      <w:hyperlink r:id="rId11" w:history="1">
        <w:r>
          <w:rPr>
            <w:rStyle w:val="Hyperlink"/>
          </w:rPr>
          <w:t>https://eeas.europa.eu/sites/eeas/files/action_plan_against_disinformation.pdf</w:t>
        </w:r>
      </w:hyperlink>
    </w:p>
  </w:footnote>
  <w:footnote w:id="16">
    <w:p>
      <w:pPr>
        <w:pStyle w:val="FootnoteText"/>
      </w:pPr>
      <w:r>
        <w:rPr>
          <w:rStyle w:val="FootnoteReference"/>
        </w:rPr>
        <w:footnoteRef/>
      </w:r>
      <w:r>
        <w:t xml:space="preserve"> Annual Opinion polls carried out by European Commission’s “EU Neighbours East” show a steady increase in the positive perception of the EU by citizens from across the partner countries, with 52% of citizens (up 7 percentage points since 2016) having a positive image of the EU in 2019. An overall 67% of the population (up 4%) believe that relations between their country and the EU are positive and the EU remains the most trusted foreign institution for 58% of citizens.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1D3"/>
    <w:multiLevelType w:val="hybridMultilevel"/>
    <w:tmpl w:val="93B4E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A80014"/>
    <w:multiLevelType w:val="hybridMultilevel"/>
    <w:tmpl w:val="611A9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BE1C36"/>
    <w:multiLevelType w:val="hybridMultilevel"/>
    <w:tmpl w:val="09BCD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845BDC"/>
    <w:multiLevelType w:val="hybridMultilevel"/>
    <w:tmpl w:val="7188F34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2785F15"/>
    <w:multiLevelType w:val="multilevel"/>
    <w:tmpl w:val="4C20EA5A"/>
    <w:lvl w:ilvl="0">
      <w:start w:val="1"/>
      <w:numFmt w:val="bullet"/>
      <w:lvlText w:val=""/>
      <w:lvlJc w:val="left"/>
      <w:pPr>
        <w:ind w:left="720" w:hanging="360"/>
      </w:pPr>
      <w:rPr>
        <w:rFonts w:ascii="Symbol" w:hAnsi="Symbol" w:hint="default"/>
      </w:rPr>
    </w:lvl>
    <w:lvl w:ilvl="1">
      <w:start w:val="1"/>
      <w:numFmt w:val="decimal"/>
      <w:isLgl/>
      <w:lvlText w:val="%1.%2"/>
      <w:lvlJc w:val="left"/>
      <w:pPr>
        <w:ind w:left="1306" w:hanging="525"/>
      </w:pPr>
      <w:rPr>
        <w:rFonts w:hint="default"/>
      </w:rPr>
    </w:lvl>
    <w:lvl w:ilvl="2">
      <w:start w:val="3"/>
      <w:numFmt w:val="decimal"/>
      <w:isLgl/>
      <w:lvlText w:val="%1.%2.%3"/>
      <w:lvlJc w:val="left"/>
      <w:pPr>
        <w:ind w:left="1922" w:hanging="720"/>
      </w:pPr>
      <w:rPr>
        <w:rFonts w:hint="default"/>
      </w:rPr>
    </w:lvl>
    <w:lvl w:ilvl="3">
      <w:start w:val="1"/>
      <w:numFmt w:val="decimal"/>
      <w:isLgl/>
      <w:lvlText w:val="%1.%2.%3.%4"/>
      <w:lvlJc w:val="left"/>
      <w:pPr>
        <w:ind w:left="2343" w:hanging="720"/>
      </w:pPr>
      <w:rPr>
        <w:rFonts w:hint="default"/>
      </w:rPr>
    </w:lvl>
    <w:lvl w:ilvl="4">
      <w:start w:val="1"/>
      <w:numFmt w:val="decimal"/>
      <w:isLgl/>
      <w:lvlText w:val="%1.%2.%3.%4.%5"/>
      <w:lvlJc w:val="left"/>
      <w:pPr>
        <w:ind w:left="3124" w:hanging="1080"/>
      </w:pPr>
      <w:rPr>
        <w:rFonts w:hint="default"/>
      </w:rPr>
    </w:lvl>
    <w:lvl w:ilvl="5">
      <w:start w:val="1"/>
      <w:numFmt w:val="decimal"/>
      <w:isLgl/>
      <w:lvlText w:val="%1.%2.%3.%4.%5.%6"/>
      <w:lvlJc w:val="left"/>
      <w:pPr>
        <w:ind w:left="3545" w:hanging="1080"/>
      </w:pPr>
      <w:rPr>
        <w:rFonts w:hint="default"/>
      </w:rPr>
    </w:lvl>
    <w:lvl w:ilvl="6">
      <w:start w:val="1"/>
      <w:numFmt w:val="decimal"/>
      <w:isLgl/>
      <w:lvlText w:val="%1.%2.%3.%4.%5.%6.%7"/>
      <w:lvlJc w:val="left"/>
      <w:pPr>
        <w:ind w:left="4326" w:hanging="1440"/>
      </w:pPr>
      <w:rPr>
        <w:rFonts w:hint="default"/>
      </w:rPr>
    </w:lvl>
    <w:lvl w:ilvl="7">
      <w:start w:val="1"/>
      <w:numFmt w:val="decimal"/>
      <w:isLgl/>
      <w:lvlText w:val="%1.%2.%3.%4.%5.%6.%7.%8"/>
      <w:lvlJc w:val="left"/>
      <w:pPr>
        <w:ind w:left="4747" w:hanging="1440"/>
      </w:pPr>
      <w:rPr>
        <w:rFonts w:hint="default"/>
      </w:rPr>
    </w:lvl>
    <w:lvl w:ilvl="8">
      <w:start w:val="1"/>
      <w:numFmt w:val="decimal"/>
      <w:isLgl/>
      <w:lvlText w:val="%1.%2.%3.%4.%5.%6.%7.%8.%9"/>
      <w:lvlJc w:val="left"/>
      <w:pPr>
        <w:ind w:left="5528" w:hanging="1800"/>
      </w:pPr>
      <w:rPr>
        <w:rFont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CCFFE2A-CC6C-4CDC-B5C4-0E15E11BE148"/>
    <w:docVar w:name="LW_COVERPAGE_TYPE" w:val="1"/>
    <w:docVar w:name="LW_CROSSREFERENCE" w:val="{SWD(2020) 56 final}"/>
    <w:docVar w:name="LW_DocType" w:val="NORMAL"/>
    <w:docVar w:name="LW_EMISSION" w:val="18.3.2020"/>
    <w:docVar w:name="LW_EMISSION_ISODATE" w:val="2020-03-18"/>
    <w:docVar w:name="LW_EMISSION_LOCATION" w:val="BRX"/>
    <w:docVar w:name="LW_EMISSION_PREFIX" w:val="Brussels, "/>
    <w:docVar w:name="LW_EMISSION_SUFFIX" w:val=" "/>
    <w:docVar w:name="LW_ID_DOCTYPE_NONLW" w:val="CP-042"/>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I.NEW.CP" w:val="&lt;UNUSED&gt;"/>
    <w:docVar w:name="LW_REF.II.NEW.CP_NUMBER" w:val="&lt;UNUSED&gt;"/>
    <w:docVar w:name="LW_REF.II.NEW.CP_YEAR" w:val="2020"/>
    <w:docVar w:name="LW_REF.INST.NEW" w:val="JOIN"/>
    <w:docVar w:name="LW_REF.INST.NEW_ADOPTED" w:val="final"/>
    <w:docVar w:name="LW_REF.INST.NEW_TEXT" w:val="(2020) 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astern Partnership policy beyond 2020_x000d__x000d__x000d__x000d__x000b__x000d__x000d__x000d__x000d__x000b_&lt;FMT:Italic&gt;Reinforcing Resilience - an Eastern Partnership that delivers for all&lt;/FMT&gt;"/>
    <w:docVar w:name="LW_TYPE.DOC.CP" w:val="JOINT COMMUNICATION TO THE EUROPEAN  PARLIAMENT, THE EUROPEAN COUNCIL, THE COUNCIL, THE EUROPEAN ECONOMIC AND SOCIAL COMMITTEE AND THE COMMITTEE OF THE REGIONS"/>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0"/>
    <w:qFormat/>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keepNext/>
      <w:tabs>
        <w:tab w:val="num" w:pos="1712"/>
      </w:tabs>
      <w:spacing w:after="240" w:line="240" w:lineRule="auto"/>
      <w:ind w:left="1712" w:hanging="720"/>
      <w:jc w:val="both"/>
      <w:outlineLvl w:val="1"/>
    </w:pPr>
    <w:rPr>
      <w:rFonts w:ascii="Times New Roman" w:eastAsia="Times New Roman" w:hAnsi="Times New Roman" w:cs="Times New Roman"/>
      <w:b/>
      <w:sz w:val="24"/>
      <w:szCs w:val="20"/>
      <w:lang w:eastAsia="en-GB"/>
    </w:rPr>
  </w:style>
  <w:style w:type="paragraph" w:styleId="Heading3">
    <w:name w:val="heading 3"/>
    <w:basedOn w:val="Normal"/>
    <w:next w:val="Normal"/>
    <w:link w:val="Heading3Char"/>
    <w:uiPriority w:val="90"/>
    <w:qFormat/>
    <w:pPr>
      <w:keepNext/>
      <w:tabs>
        <w:tab w:val="num" w:pos="1922"/>
      </w:tabs>
      <w:spacing w:after="240" w:line="240" w:lineRule="auto"/>
      <w:ind w:left="1922" w:hanging="720"/>
      <w:jc w:val="both"/>
      <w:outlineLvl w:val="2"/>
    </w:pPr>
    <w:rPr>
      <w:rFonts w:ascii="Times New Roman" w:eastAsia="Times New Roman" w:hAnsi="Times New Roman" w:cs="Times New Roman"/>
      <w:i/>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eastAsia="en-GB"/>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
    <w:basedOn w:val="Normal"/>
    <w:link w:val="ListParagraphChar"/>
    <w:uiPriority w:val="34"/>
    <w:qFormat/>
    <w:pPr>
      <w:ind w:left="720"/>
      <w:contextualSpacing/>
    </w:pPr>
    <w:rPr>
      <w:lang w:eastAsia="en-GB"/>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Pr>
      <w:lang w:eastAsia="en-GB"/>
    </w:rPr>
  </w:style>
  <w:style w:type="paragraph" w:customStyle="1" w:styleId="Default">
    <w:name w:val="Default"/>
    <w:pPr>
      <w:autoSpaceDE w:val="0"/>
      <w:autoSpaceDN w:val="0"/>
      <w:adjustRightInd w:val="0"/>
      <w:spacing w:after="240" w:line="240" w:lineRule="auto"/>
      <w:jc w:val="both"/>
    </w:pPr>
    <w:rPr>
      <w:rFonts w:ascii="Times New Roman" w:hAnsi="Times New Roman" w:cs="Times New Roman"/>
      <w:color w:val="000000"/>
      <w:sz w:val="24"/>
      <w:szCs w:val="24"/>
      <w:lang w:eastAsia="en-GB"/>
    </w:rPr>
  </w:style>
  <w:style w:type="paragraph" w:styleId="NormalWeb">
    <w:name w:val="Normal (Web)"/>
    <w:basedOn w:val="Normal"/>
    <w:uiPriority w:val="99"/>
    <w:unhideWhenUsed/>
    <w:pPr>
      <w:spacing w:after="150" w:line="240" w:lineRule="auto"/>
    </w:pPr>
    <w:rPr>
      <w:rFonts w:ascii="Times New Roman" w:eastAsia="Times New Roman" w:hAnsi="Times New Roman" w:cs="Times New Roman"/>
      <w:sz w:val="24"/>
      <w:szCs w:val="24"/>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rPr>
      <w:rFonts w:ascii="Times New Roman" w:eastAsia="Times New Roman" w:hAnsi="Times New Roman" w:cs="Times New Roman"/>
      <w:sz w:val="20"/>
      <w:szCs w:val="20"/>
      <w:lang w:eastAsia="en-GB"/>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character" w:styleId="EndnoteReference">
    <w:name w:val="endnote reference"/>
    <w:basedOn w:val="DefaultParagraphFont"/>
    <w:semiHidden/>
    <w:unhideWhenUsed/>
    <w:rPr>
      <w:vertAlign w:val="superscript"/>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rossReference">
    <w:name w:val="Cross Reference"/>
    <w:basedOn w:val="DefaultParagraphFont"/>
    <w:uiPriority w:val="99"/>
    <w:rPr>
      <w:i/>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0"/>
    <w:qFormat/>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keepNext/>
      <w:tabs>
        <w:tab w:val="num" w:pos="1712"/>
      </w:tabs>
      <w:spacing w:after="240" w:line="240" w:lineRule="auto"/>
      <w:ind w:left="1712" w:hanging="720"/>
      <w:jc w:val="both"/>
      <w:outlineLvl w:val="1"/>
    </w:pPr>
    <w:rPr>
      <w:rFonts w:ascii="Times New Roman" w:eastAsia="Times New Roman" w:hAnsi="Times New Roman" w:cs="Times New Roman"/>
      <w:b/>
      <w:sz w:val="24"/>
      <w:szCs w:val="20"/>
      <w:lang w:eastAsia="en-GB"/>
    </w:rPr>
  </w:style>
  <w:style w:type="paragraph" w:styleId="Heading3">
    <w:name w:val="heading 3"/>
    <w:basedOn w:val="Normal"/>
    <w:next w:val="Normal"/>
    <w:link w:val="Heading3Char"/>
    <w:uiPriority w:val="90"/>
    <w:qFormat/>
    <w:pPr>
      <w:keepNext/>
      <w:tabs>
        <w:tab w:val="num" w:pos="1922"/>
      </w:tabs>
      <w:spacing w:after="240" w:line="240" w:lineRule="auto"/>
      <w:ind w:left="1922" w:hanging="720"/>
      <w:jc w:val="both"/>
      <w:outlineLvl w:val="2"/>
    </w:pPr>
    <w:rPr>
      <w:rFonts w:ascii="Times New Roman" w:eastAsia="Times New Roman" w:hAnsi="Times New Roman" w:cs="Times New Roman"/>
      <w:i/>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eastAsia="en-GB"/>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
    <w:basedOn w:val="Normal"/>
    <w:link w:val="ListParagraphChar"/>
    <w:uiPriority w:val="34"/>
    <w:qFormat/>
    <w:pPr>
      <w:ind w:left="720"/>
      <w:contextualSpacing/>
    </w:pPr>
    <w:rPr>
      <w:lang w:eastAsia="en-GB"/>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Pr>
      <w:lang w:eastAsia="en-GB"/>
    </w:rPr>
  </w:style>
  <w:style w:type="paragraph" w:customStyle="1" w:styleId="Default">
    <w:name w:val="Default"/>
    <w:pPr>
      <w:autoSpaceDE w:val="0"/>
      <w:autoSpaceDN w:val="0"/>
      <w:adjustRightInd w:val="0"/>
      <w:spacing w:after="240" w:line="240" w:lineRule="auto"/>
      <w:jc w:val="both"/>
    </w:pPr>
    <w:rPr>
      <w:rFonts w:ascii="Times New Roman" w:hAnsi="Times New Roman" w:cs="Times New Roman"/>
      <w:color w:val="000000"/>
      <w:sz w:val="24"/>
      <w:szCs w:val="24"/>
      <w:lang w:eastAsia="en-GB"/>
    </w:rPr>
  </w:style>
  <w:style w:type="paragraph" w:styleId="NormalWeb">
    <w:name w:val="Normal (Web)"/>
    <w:basedOn w:val="Normal"/>
    <w:uiPriority w:val="99"/>
    <w:unhideWhenUsed/>
    <w:pPr>
      <w:spacing w:after="150" w:line="240" w:lineRule="auto"/>
    </w:pPr>
    <w:rPr>
      <w:rFonts w:ascii="Times New Roman" w:eastAsia="Times New Roman" w:hAnsi="Times New Roman" w:cs="Times New Roman"/>
      <w:sz w:val="24"/>
      <w:szCs w:val="24"/>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rPr>
      <w:rFonts w:ascii="Times New Roman" w:eastAsia="Times New Roman" w:hAnsi="Times New Roman" w:cs="Times New Roman"/>
      <w:sz w:val="20"/>
      <w:szCs w:val="20"/>
      <w:lang w:eastAsia="en-GB"/>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character" w:styleId="EndnoteReference">
    <w:name w:val="endnote reference"/>
    <w:basedOn w:val="DefaultParagraphFont"/>
    <w:semiHidden/>
    <w:unhideWhenUsed/>
    <w:rPr>
      <w:vertAlign w:val="superscript"/>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rossReference">
    <w:name w:val="Cross Reference"/>
    <w:basedOn w:val="DefaultParagraphFont"/>
    <w:uiPriority w:val="99"/>
    <w:rPr>
      <w:i/>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85497">
      <w:bodyDiv w:val="1"/>
      <w:marLeft w:val="0"/>
      <w:marRight w:val="0"/>
      <w:marTop w:val="0"/>
      <w:marBottom w:val="0"/>
      <w:divBdr>
        <w:top w:val="none" w:sz="0" w:space="0" w:color="auto"/>
        <w:left w:val="none" w:sz="0" w:space="0" w:color="auto"/>
        <w:bottom w:val="none" w:sz="0" w:space="0" w:color="auto"/>
        <w:right w:val="none" w:sz="0" w:space="0" w:color="auto"/>
      </w:divBdr>
    </w:div>
    <w:div w:id="712390240">
      <w:bodyDiv w:val="1"/>
      <w:marLeft w:val="0"/>
      <w:marRight w:val="0"/>
      <w:marTop w:val="0"/>
      <w:marBottom w:val="0"/>
      <w:divBdr>
        <w:top w:val="none" w:sz="0" w:space="0" w:color="auto"/>
        <w:left w:val="none" w:sz="0" w:space="0" w:color="auto"/>
        <w:bottom w:val="none" w:sz="0" w:space="0" w:color="auto"/>
        <w:right w:val="none" w:sz="0" w:space="0" w:color="auto"/>
      </w:divBdr>
    </w:div>
    <w:div w:id="909844840">
      <w:bodyDiv w:val="1"/>
      <w:marLeft w:val="0"/>
      <w:marRight w:val="0"/>
      <w:marTop w:val="0"/>
      <w:marBottom w:val="0"/>
      <w:divBdr>
        <w:top w:val="none" w:sz="0" w:space="0" w:color="auto"/>
        <w:left w:val="none" w:sz="0" w:space="0" w:color="auto"/>
        <w:bottom w:val="none" w:sz="0" w:space="0" w:color="auto"/>
        <w:right w:val="none" w:sz="0" w:space="0" w:color="auto"/>
      </w:divBdr>
    </w:div>
    <w:div w:id="1125779637">
      <w:bodyDiv w:val="1"/>
      <w:marLeft w:val="0"/>
      <w:marRight w:val="0"/>
      <w:marTop w:val="0"/>
      <w:marBottom w:val="0"/>
      <w:divBdr>
        <w:top w:val="none" w:sz="0" w:space="0" w:color="auto"/>
        <w:left w:val="none" w:sz="0" w:space="0" w:color="auto"/>
        <w:bottom w:val="none" w:sz="0" w:space="0" w:color="auto"/>
        <w:right w:val="none" w:sz="0" w:space="0" w:color="auto"/>
      </w:divBdr>
    </w:div>
    <w:div w:id="1244727331">
      <w:bodyDiv w:val="1"/>
      <w:marLeft w:val="0"/>
      <w:marRight w:val="0"/>
      <w:marTop w:val="0"/>
      <w:marBottom w:val="0"/>
      <w:divBdr>
        <w:top w:val="none" w:sz="0" w:space="0" w:color="auto"/>
        <w:left w:val="none" w:sz="0" w:space="0" w:color="auto"/>
        <w:bottom w:val="none" w:sz="0" w:space="0" w:color="auto"/>
        <w:right w:val="none" w:sz="0" w:space="0" w:color="auto"/>
      </w:divBdr>
    </w:div>
    <w:div w:id="189303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dds-ny.un.org/doc/UNDOC/GEN/N00/720/18/PDF/N0072018.pdf?OpenElement" TargetMode="External"/><Relationship Id="rId3" Type="http://schemas.openxmlformats.org/officeDocument/2006/relationships/hyperlink" Target="https://eeas.europa.eu/sites/eeas/files/join_2017_21_f1_communication_from_commission_to_inst_en_v7_p1_916039.pdf" TargetMode="External"/><Relationship Id="rId7" Type="http://schemas.openxmlformats.org/officeDocument/2006/relationships/hyperlink" Target="https://eeas.europa.eu/headquarters/headquarters-homepage/50699/connecting-europe-asia-eu-strategy_en" TargetMode="External"/><Relationship Id="rId2" Type="http://schemas.openxmlformats.org/officeDocument/2006/relationships/hyperlink" Target="https://ec.europa.eu/commission/sites/beta-political/files/political-guidelines-next-commission_en.pdf" TargetMode="External"/><Relationship Id="rId1" Type="http://schemas.openxmlformats.org/officeDocument/2006/relationships/hyperlink" Target="https://eeas.europa.eu/sites/eeas/files/eugs_review_web_0.pdf" TargetMode="External"/><Relationship Id="rId6" Type="http://schemas.openxmlformats.org/officeDocument/2006/relationships/hyperlink" Target="https://ec.europa.eu/neighbourhood-enlargement/sites/near/files/eap_declaration_finalversion2604.pdf" TargetMode="External"/><Relationship Id="rId11" Type="http://schemas.openxmlformats.org/officeDocument/2006/relationships/hyperlink" Target="https://eeas.europa.eu/sites/eeas/files/action_plan_against_disinformation.pdf" TargetMode="External"/><Relationship Id="rId5" Type="http://schemas.openxmlformats.org/officeDocument/2006/relationships/hyperlink" Target="https://ec.europa.eu/transport/themes/international/european_neighbourhood_policy/eastern_partnership/tent-maps_en" TargetMode="External"/><Relationship Id="rId10" Type="http://schemas.openxmlformats.org/officeDocument/2006/relationships/hyperlink" Target="https://ec.europa.eu/info/sites/info/files/communication-shaping-europes-digital-future-feb2020_en_4.pdf" TargetMode="External"/><Relationship Id="rId4" Type="http://schemas.openxmlformats.org/officeDocument/2006/relationships/hyperlink" Target="https://ec.europa.eu/commission/eu-external-investment-plan_en" TargetMode="External"/><Relationship Id="rId9" Type="http://schemas.openxmlformats.org/officeDocument/2006/relationships/hyperlink" Target="https://ec.europa.eu/maritimeaffairs/press/black-sea-ministers-endorse-common-maritime-agend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2A3D6-5513-48B7-A223-92E20FA82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9375</Words>
  <Characters>55034</Characters>
  <Application>Microsoft Office Word</Application>
  <DocSecurity>0</DocSecurity>
  <Lines>786</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2020-03-17T16:24:00Z</dcterms:created>
  <dcterms:modified xsi:type="dcterms:W3CDTF">2020-03-17T16:59:00Z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CP-042</vt:lpwstr>
  </property>
</Properties>
</file>