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alt="EFCA8825-371D-467C-85BE-B56DFEFF1B04" style="width:451.25pt;height:293.85pt">
            <v:imagedata r:id="rId12" o:title=""/>
          </v:shape>
        </w:pict>
      </w:r>
    </w:p>
    <w:bookmarkEnd w:id="0"/>
    <w:p>
      <w:pPr>
        <w:pStyle w:val="Pagedecouverture"/>
        <w:rPr>
          <w:noProof/>
        </w:rPr>
        <w:sectPr>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0"/>
          <w:cols w:space="720"/>
          <w:docGrid w:linePitch="360"/>
        </w:sectPr>
      </w:pPr>
    </w:p>
    <w:p>
      <w:pPr>
        <w:pStyle w:val="ListParagraph"/>
        <w:numPr>
          <w:ilvl w:val="0"/>
          <w:numId w:val="6"/>
        </w:numPr>
        <w:rPr>
          <w:rFonts w:ascii="Times New Roman" w:eastAsia="Times New Roman" w:hAnsi="Times New Roman" w:cs="Times New Roman"/>
          <w:noProof/>
          <w:sz w:val="24"/>
          <w:szCs w:val="24"/>
        </w:rPr>
      </w:pPr>
      <w:bookmarkStart w:id="1" w:name="_GoBack"/>
      <w:bookmarkEnd w:id="1"/>
      <w:r>
        <w:rPr>
          <w:rFonts w:ascii="Times New Roman" w:hAnsi="Times New Roman"/>
          <w:b/>
          <w:bCs/>
          <w:noProof/>
          <w:sz w:val="24"/>
          <w:szCs w:val="24"/>
        </w:rPr>
        <w:lastRenderedPageBreak/>
        <w:t>Introducere: provocări noi și vechi pentru ajutorul umanitar al UE</w:t>
      </w:r>
      <w:r>
        <w:rPr>
          <w:rFonts w:ascii="Times New Roman" w:hAnsi="Times New Roman"/>
          <w:noProof/>
          <w:sz w:val="24"/>
          <w:szCs w:val="24"/>
        </w:rPr>
        <w:t xml:space="preserve"> </w:t>
      </w:r>
    </w:p>
    <w:p>
      <w:pPr>
        <w:jc w:val="both"/>
        <w:rPr>
          <w:rFonts w:ascii="Times New Roman" w:eastAsia="Times New Roman" w:hAnsi="Times New Roman" w:cs="Times New Roman"/>
          <w:noProof/>
          <w:sz w:val="24"/>
          <w:szCs w:val="24"/>
        </w:rPr>
      </w:pPr>
      <w:r>
        <w:rPr>
          <w:rFonts w:ascii="Times New Roman" w:hAnsi="Times New Roman"/>
          <w:noProof/>
          <w:sz w:val="24"/>
          <w:szCs w:val="24"/>
        </w:rPr>
        <w:t xml:space="preserve">Uniunea Europeană împreună cu statele membre ale UE sunt </w:t>
      </w:r>
      <w:r>
        <w:rPr>
          <w:rFonts w:ascii="Times New Roman" w:hAnsi="Times New Roman"/>
          <w:b/>
          <w:bCs/>
          <w:noProof/>
          <w:sz w:val="24"/>
          <w:szCs w:val="24"/>
        </w:rPr>
        <w:t>cel mai mare donator de ajutor umanitar din lume</w:t>
      </w:r>
      <w:r>
        <w:rPr>
          <w:rFonts w:ascii="Times New Roman" w:hAnsi="Times New Roman"/>
          <w:noProof/>
          <w:sz w:val="24"/>
          <w:szCs w:val="24"/>
        </w:rPr>
        <w:t>, furnizând aproximativ 36 % din asistența umanitară globală</w:t>
      </w:r>
      <w:r>
        <w:rPr>
          <w:rStyle w:val="FootnoteReference"/>
          <w:rFonts w:ascii="Times New Roman" w:eastAsia="Times New Roman" w:hAnsi="Times New Roman" w:cs="Times New Roman"/>
          <w:noProof/>
          <w:sz w:val="24"/>
          <w:szCs w:val="24"/>
          <w:lang w:val="en-IE"/>
        </w:rPr>
        <w:footnoteReference w:id="2"/>
      </w:r>
      <w:r>
        <w:rPr>
          <w:rFonts w:ascii="Times New Roman" w:hAnsi="Times New Roman"/>
          <w:noProof/>
          <w:sz w:val="24"/>
          <w:szCs w:val="24"/>
        </w:rPr>
        <w:t xml:space="preserve">. Într-o lume în care amprenta conflictelor și a dezastrelor se extinde constant, ajutorul umanitar este un pilon cheie al acțiunii externe a UE și o parte importantă a capacității acesteia de a proiecta valorile sale la nivel global. </w:t>
      </w:r>
    </w:p>
    <w:p>
      <w:pPr>
        <w:jc w:val="both"/>
        <w:rPr>
          <w:rFonts w:ascii="Times New Roman" w:eastAsia="Times New Roman" w:hAnsi="Times New Roman" w:cs="Times New Roman"/>
          <w:noProof/>
          <w:sz w:val="24"/>
          <w:szCs w:val="24"/>
        </w:rPr>
      </w:pPr>
      <w:r>
        <w:rPr>
          <w:rFonts w:ascii="Times New Roman" w:hAnsi="Times New Roman"/>
          <w:noProof/>
          <w:sz w:val="24"/>
          <w:szCs w:val="24"/>
        </w:rPr>
        <w:t xml:space="preserve">Cu toate acestea, ajutorul umanitar se confruntă în prezent cu un set de provocări fără precedent, amplificate de pandemia de COVID-19. </w:t>
      </w:r>
      <w:r>
        <w:rPr>
          <w:rFonts w:ascii="Times New Roman" w:hAnsi="Times New Roman"/>
          <w:b/>
          <w:noProof/>
          <w:sz w:val="24"/>
          <w:szCs w:val="24"/>
        </w:rPr>
        <w:t>N</w:t>
      </w:r>
      <w:r>
        <w:rPr>
          <w:rFonts w:ascii="Times New Roman" w:hAnsi="Times New Roman"/>
          <w:b/>
          <w:bCs/>
          <w:noProof/>
          <w:sz w:val="24"/>
          <w:szCs w:val="24"/>
        </w:rPr>
        <w:t>evoile umanitare au atins un nivel record</w:t>
      </w:r>
      <w:r>
        <w:rPr>
          <w:rFonts w:ascii="Times New Roman" w:hAnsi="Times New Roman"/>
          <w:bCs/>
          <w:noProof/>
          <w:sz w:val="24"/>
          <w:szCs w:val="24"/>
        </w:rPr>
        <w:t xml:space="preserve">, situație determinată </w:t>
      </w:r>
      <w:r>
        <w:rPr>
          <w:rFonts w:ascii="Times New Roman" w:hAnsi="Times New Roman"/>
          <w:noProof/>
          <w:sz w:val="24"/>
          <w:szCs w:val="24"/>
        </w:rPr>
        <w:t>în mare măsură de reapariția conflictelor statale</w:t>
      </w:r>
      <w:r>
        <w:rPr>
          <w:rStyle w:val="FootnoteReference"/>
          <w:rFonts w:ascii="Times New Roman" w:hAnsi="Times New Roman" w:cs="Times New Roman"/>
          <w:noProof/>
          <w:sz w:val="24"/>
          <w:szCs w:val="24"/>
          <w:lang w:val="en-IE"/>
        </w:rPr>
        <w:footnoteReference w:id="3"/>
      </w:r>
      <w:r>
        <w:rPr>
          <w:rFonts w:ascii="Times New Roman" w:hAnsi="Times New Roman"/>
          <w:noProof/>
          <w:sz w:val="24"/>
          <w:szCs w:val="24"/>
        </w:rPr>
        <w:t>, combinată cu impactul schimbărilor climatice, degradarea mediului, creșterea populației globale și guvernanța deficitară</w:t>
      </w:r>
      <w:r>
        <w:rPr>
          <w:rFonts w:ascii="Times New Roman" w:hAnsi="Times New Roman"/>
          <w:bCs/>
          <w:noProof/>
          <w:sz w:val="24"/>
          <w:szCs w:val="24"/>
        </w:rPr>
        <w:t xml:space="preserve">. Mai mult, </w:t>
      </w:r>
      <w:r>
        <w:rPr>
          <w:rFonts w:ascii="Times New Roman" w:hAnsi="Times New Roman"/>
          <w:b/>
          <w:bCs/>
          <w:noProof/>
          <w:sz w:val="24"/>
          <w:szCs w:val="24"/>
        </w:rPr>
        <w:t>decalajul dintre nevoile umanitare și resursele disponibile</w:t>
      </w:r>
      <w:r>
        <w:rPr>
          <w:rFonts w:ascii="Times New Roman" w:hAnsi="Times New Roman"/>
          <w:noProof/>
          <w:sz w:val="24"/>
          <w:szCs w:val="24"/>
        </w:rPr>
        <w:t xml:space="preserve"> la nivel mondial este în creștere. </w:t>
      </w:r>
      <w:r>
        <w:rPr>
          <w:rFonts w:ascii="Times New Roman" w:hAnsi="Times New Roman"/>
          <w:b/>
          <w:bCs/>
          <w:noProof/>
          <w:sz w:val="24"/>
          <w:szCs w:val="24"/>
        </w:rPr>
        <w:t>Normele și principiile de bază sunt contestate</w:t>
      </w:r>
      <w:r>
        <w:rPr>
          <w:rFonts w:ascii="Times New Roman" w:hAnsi="Times New Roman"/>
          <w:noProof/>
          <w:sz w:val="24"/>
          <w:szCs w:val="24"/>
        </w:rPr>
        <w:t xml:space="preserve"> cum rar s-a întâmplat până acum, acordarea ajutorului necesar fiind mai dificilă și mai periculoasă. </w:t>
      </w:r>
    </w:p>
    <w:p>
      <w:pPr>
        <w:jc w:val="both"/>
        <w:rPr>
          <w:rFonts w:ascii="Times New Roman" w:eastAsia="Times New Roman" w:hAnsi="Times New Roman" w:cs="Times New Roman"/>
          <w:noProof/>
          <w:sz w:val="24"/>
          <w:szCs w:val="24"/>
        </w:rPr>
      </w:pPr>
      <w:r>
        <w:rPr>
          <w:rFonts w:ascii="Times New Roman" w:hAnsi="Times New Roman"/>
          <w:noProof/>
          <w:sz w:val="24"/>
          <w:szCs w:val="24"/>
        </w:rPr>
        <w:t>Comunicarea de față prezintă modul în care UE, în colaborare cu partenerii săi diverși din domeniul umanitar și cu alți donatori, poate depăși această provocare.</w:t>
      </w:r>
    </w:p>
    <w:p>
      <w:pPr>
        <w:jc w:val="both"/>
        <w:rPr>
          <w:rFonts w:ascii="Times New Roman" w:eastAsia="Times New Roman" w:hAnsi="Times New Roman" w:cs="Times New Roman"/>
          <w:i/>
          <w:iCs/>
          <w:noProof/>
          <w:sz w:val="24"/>
          <w:szCs w:val="24"/>
        </w:rPr>
      </w:pPr>
      <w:r>
        <w:rPr>
          <w:rFonts w:ascii="Times New Roman" w:hAnsi="Times New Roman"/>
          <w:i/>
          <w:iCs/>
          <w:noProof/>
          <w:sz w:val="24"/>
          <w:szCs w:val="24"/>
        </w:rPr>
        <w:t>Nevoi umanitare: o curbă ascendentă – amplificată semnificativ de impactul pandemiei de COVID-19 și al schimbărilor climatice</w:t>
      </w:r>
    </w:p>
    <w:p>
      <w:pPr>
        <w:jc w:val="both"/>
        <w:rPr>
          <w:rFonts w:ascii="Times New Roman" w:eastAsia="Times New Roman" w:hAnsi="Times New Roman" w:cs="Times New Roman"/>
          <w:i/>
          <w:iCs/>
          <w:noProof/>
          <w:sz w:val="24"/>
          <w:szCs w:val="24"/>
        </w:rPr>
      </w:pPr>
      <w:r>
        <w:rPr>
          <w:noProof/>
          <w:lang w:val="en-GB" w:eastAsia="en-GB"/>
        </w:rPr>
        <w:drawing>
          <wp:inline distT="0" distB="0" distL="0" distR="0">
            <wp:extent cx="5731510" cy="3037840"/>
            <wp:effectExtent l="0" t="0" r="254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731510" cy="3037840"/>
                    </a:xfrm>
                    <a:prstGeom prst="rect">
                      <a:avLst/>
                    </a:prstGeom>
                  </pic:spPr>
                </pic:pic>
              </a:graphicData>
            </a:graphic>
          </wp:inline>
        </w:drawing>
      </w:r>
    </w:p>
    <w:p>
      <w:pPr>
        <w:jc w:val="both"/>
        <w:rPr>
          <w:rFonts w:ascii="Times New Roman" w:eastAsia="Times New Roman" w:hAnsi="Times New Roman" w:cs="Times New Roman"/>
          <w:i/>
          <w:iCs/>
          <w:noProof/>
          <w:sz w:val="24"/>
          <w:szCs w:val="24"/>
          <w:lang w:val="en-IE"/>
        </w:rPr>
      </w:pPr>
    </w:p>
    <w:p>
      <w:pPr>
        <w:jc w:val="both"/>
        <w:rPr>
          <w:rFonts w:ascii="Times New Roman" w:eastAsia="Times New Roman" w:hAnsi="Times New Roman" w:cs="Times New Roman"/>
          <w:noProof/>
          <w:sz w:val="24"/>
          <w:szCs w:val="24"/>
        </w:rPr>
      </w:pPr>
      <w:r>
        <w:rPr>
          <w:rFonts w:ascii="Times New Roman" w:hAnsi="Times New Roman"/>
          <w:noProof/>
          <w:sz w:val="24"/>
          <w:szCs w:val="24"/>
        </w:rPr>
        <w:t xml:space="preserve">Responsabilitatea globală a UE ca actor umanitar nu a fost niciodată mai pronunțată ca în perioada ulterioară </w:t>
      </w:r>
      <w:r>
        <w:rPr>
          <w:rFonts w:ascii="Times New Roman" w:hAnsi="Times New Roman"/>
          <w:bCs/>
          <w:noProof/>
          <w:sz w:val="24"/>
          <w:szCs w:val="24"/>
        </w:rPr>
        <w:t xml:space="preserve">declanșării </w:t>
      </w:r>
      <w:r>
        <w:rPr>
          <w:rFonts w:ascii="Times New Roman" w:hAnsi="Times New Roman"/>
          <w:b/>
          <w:bCs/>
          <w:noProof/>
          <w:sz w:val="24"/>
          <w:szCs w:val="24"/>
        </w:rPr>
        <w:t>pandemiei de COVID-19</w:t>
      </w:r>
      <w:r>
        <w:rPr>
          <w:rFonts w:ascii="Times New Roman" w:hAnsi="Times New Roman"/>
          <w:noProof/>
          <w:sz w:val="24"/>
          <w:szCs w:val="24"/>
        </w:rPr>
        <w:t xml:space="preserve">. În 2021, se estimează că 150 de milioane de persoane au ajuns să trăiască în condiții de sărăcie extremă ca urmare a </w:t>
      </w:r>
      <w:r>
        <w:rPr>
          <w:rFonts w:ascii="Times New Roman" w:hAnsi="Times New Roman"/>
          <w:noProof/>
          <w:sz w:val="24"/>
          <w:szCs w:val="24"/>
        </w:rPr>
        <w:lastRenderedPageBreak/>
        <w:t>pandemiei</w:t>
      </w:r>
      <w:r>
        <w:rPr>
          <w:rStyle w:val="FootnoteReference"/>
          <w:rFonts w:ascii="Times New Roman" w:eastAsia="Times New Roman" w:hAnsi="Times New Roman" w:cs="Times New Roman"/>
          <w:noProof/>
          <w:sz w:val="24"/>
          <w:szCs w:val="24"/>
          <w:lang w:val="en-IE"/>
        </w:rPr>
        <w:footnoteReference w:id="4"/>
      </w:r>
      <w:r>
        <w:rPr>
          <w:rFonts w:ascii="Times New Roman" w:hAnsi="Times New Roman"/>
          <w:noProof/>
          <w:sz w:val="24"/>
          <w:szCs w:val="24"/>
        </w:rPr>
        <w:t>. Pandemia de COVID-19 a accentuat fragilitățile și inegalitățile preexistente și a amplificat și mai mult nevoile umanitare. Organizația Națiunilor Unite (ONU) estimează că aproape 235 de milioane de persoane</w:t>
      </w:r>
      <w:r>
        <w:rPr>
          <w:rFonts w:ascii="Times New Roman" w:hAnsi="Times New Roman"/>
          <w:b/>
          <w:bCs/>
          <w:noProof/>
          <w:sz w:val="24"/>
          <w:szCs w:val="24"/>
        </w:rPr>
        <w:t xml:space="preserve"> – </w:t>
      </w:r>
      <w:r>
        <w:rPr>
          <w:rFonts w:ascii="Times New Roman" w:hAnsi="Times New Roman"/>
          <w:noProof/>
          <w:sz w:val="24"/>
          <w:szCs w:val="24"/>
        </w:rPr>
        <w:t>1 din</w:t>
      </w:r>
      <w:r>
        <w:rPr>
          <w:rFonts w:ascii="Times New Roman" w:hAnsi="Times New Roman"/>
          <w:b/>
          <w:bCs/>
          <w:noProof/>
          <w:sz w:val="24"/>
          <w:szCs w:val="24"/>
        </w:rPr>
        <w:t xml:space="preserve"> </w:t>
      </w:r>
      <w:r>
        <w:rPr>
          <w:rFonts w:ascii="Times New Roman" w:hAnsi="Times New Roman"/>
          <w:noProof/>
          <w:sz w:val="24"/>
          <w:szCs w:val="24"/>
        </w:rPr>
        <w:t>33 de persoane la nivel mondial – vor avea nevoie de asistență umanitară în 2021. Aceasta reprezintă o creștere de 40 % față de nevoile estimate în 2020 (înainte de declanșarea pandemiei de COVID-19) și de aproape trei ori față de 2014. Numărul persoanelor strămutate forțat s-a dublat din 2010, ajungând la 79,5 milioane la sfârșitul anului 2019</w:t>
      </w:r>
      <w:r>
        <w:rPr>
          <w:rStyle w:val="FootnoteReference"/>
          <w:rFonts w:ascii="Times New Roman" w:eastAsia="Times New Roman" w:hAnsi="Times New Roman" w:cs="Times New Roman"/>
          <w:noProof/>
          <w:sz w:val="24"/>
          <w:szCs w:val="24"/>
          <w:lang w:val="en-IE"/>
        </w:rPr>
        <w:footnoteReference w:id="5"/>
      </w:r>
      <w:r>
        <w:rPr>
          <w:rFonts w:ascii="Times New Roman" w:hAnsi="Times New Roman"/>
          <w:noProof/>
          <w:sz w:val="24"/>
          <w:szCs w:val="24"/>
        </w:rPr>
        <w:t>. În zilele noastre, o criză umanitară durează, în medie, peste nouă ani și multe dintre aceste crize, inclusiv în vecinătatea Europei, durează mult mai mult. Prin urmare, prea multe crize umanitare sunt „uitate</w:t>
      </w:r>
      <w:r>
        <w:rPr>
          <w:rStyle w:val="FootnoteReference"/>
          <w:rFonts w:ascii="Times New Roman" w:eastAsia="Times New Roman" w:hAnsi="Times New Roman" w:cs="Times New Roman"/>
          <w:noProof/>
          <w:sz w:val="24"/>
          <w:szCs w:val="24"/>
          <w:lang w:val="en-IE"/>
        </w:rPr>
        <w:footnoteReference w:id="6"/>
      </w:r>
      <w:r>
        <w:rPr>
          <w:rFonts w:ascii="Times New Roman" w:hAnsi="Times New Roman"/>
          <w:noProof/>
          <w:sz w:val="24"/>
          <w:szCs w:val="24"/>
        </w:rPr>
        <w:t>”.</w:t>
      </w:r>
    </w:p>
    <w:p>
      <w:pPr>
        <w:jc w:val="both"/>
        <w:rPr>
          <w:rFonts w:ascii="Times New Roman" w:eastAsia="Times New Roman" w:hAnsi="Times New Roman" w:cs="Times New Roman"/>
          <w:noProof/>
          <w:sz w:val="24"/>
          <w:szCs w:val="24"/>
        </w:rPr>
      </w:pPr>
      <w:r>
        <w:rPr>
          <w:rFonts w:ascii="Times New Roman" w:hAnsi="Times New Roman"/>
          <w:noProof/>
          <w:sz w:val="24"/>
          <w:szCs w:val="24"/>
        </w:rPr>
        <w:t xml:space="preserve">UE și statele membre ale UE au reacționat furnizând, începând din aprilie 2020, un pachet de răspuns </w:t>
      </w:r>
      <w:r>
        <w:rPr>
          <w:rFonts w:ascii="Times New Roman" w:hAnsi="Times New Roman"/>
          <w:b/>
          <w:noProof/>
          <w:sz w:val="24"/>
          <w:szCs w:val="24"/>
        </w:rPr>
        <w:t>Echipa Europa</w:t>
      </w:r>
      <w:r>
        <w:rPr>
          <w:rStyle w:val="FootnoteReference"/>
          <w:rFonts w:ascii="Times New Roman" w:eastAsia="Times New Roman" w:hAnsi="Times New Roman" w:cs="Times New Roman"/>
          <w:noProof/>
          <w:sz w:val="24"/>
          <w:szCs w:val="24"/>
          <w:lang w:val="en-IE"/>
        </w:rPr>
        <w:footnoteReference w:id="7"/>
      </w:r>
      <w:r>
        <w:rPr>
          <w:rFonts w:ascii="Times New Roman" w:hAnsi="Times New Roman"/>
          <w:noProof/>
          <w:sz w:val="24"/>
          <w:szCs w:val="24"/>
        </w:rPr>
        <w:t xml:space="preserve"> în valoare de 38,5 miliarde EUR, din care 3,49 miliarde EUR sunt alocate pentru răspunsul de urgență și nevoile umanitare generate de pandemie. </w:t>
      </w:r>
    </w:p>
    <w:p>
      <w:pPr>
        <w:jc w:val="both"/>
        <w:rPr>
          <w:rFonts w:ascii="Times New Roman" w:eastAsia="Times New Roman" w:hAnsi="Times New Roman" w:cs="Times New Roman"/>
          <w:noProof/>
          <w:sz w:val="24"/>
          <w:szCs w:val="24"/>
        </w:rPr>
      </w:pPr>
      <w:r>
        <w:rPr>
          <w:rFonts w:ascii="Times New Roman" w:hAnsi="Times New Roman"/>
          <w:b/>
          <w:bCs/>
          <w:noProof/>
          <w:sz w:val="24"/>
          <w:szCs w:val="24"/>
        </w:rPr>
        <w:t>Schimbările climatice</w:t>
      </w:r>
      <w:r>
        <w:rPr>
          <w:rFonts w:ascii="Times New Roman" w:hAnsi="Times New Roman"/>
          <w:noProof/>
          <w:sz w:val="24"/>
          <w:szCs w:val="24"/>
        </w:rPr>
        <w:t xml:space="preserve"> accentuează degradarea mediului și consecințele gestionării nedurabile a resurselor naturale, amplificând în același timp nevoile umanitare. Pe lângă pericolele naturale tot mai frecvente și mai severe care provoacă dezastre, schimbările climatice și degradarea mediului se numără printre cauzele profunde ale conflictelor, insecurității alimentare și strămutării. În 2018, aproximativ 108 milioane de persoane au necesitat asistență umanitară internațională ca urmare a furtunilor, inundațiilor, secetelor și incendiilor forestiere</w:t>
      </w:r>
      <w:r>
        <w:rPr>
          <w:rStyle w:val="FootnoteReference"/>
          <w:rFonts w:ascii="Times New Roman" w:eastAsia="Times New Roman" w:hAnsi="Times New Roman" w:cs="Times New Roman"/>
          <w:noProof/>
          <w:sz w:val="24"/>
          <w:szCs w:val="24"/>
          <w:lang w:val="en-IE"/>
        </w:rPr>
        <w:footnoteReference w:id="8"/>
      </w:r>
      <w:r>
        <w:rPr>
          <w:rFonts w:ascii="Times New Roman" w:hAnsi="Times New Roman"/>
          <w:noProof/>
          <w:sz w:val="24"/>
          <w:szCs w:val="24"/>
        </w:rPr>
        <w:t>. Până în 2050, peste 200 de milioane de persoane ar putea avea nevoie de asistență umanitară în fiecare an ca urmare a dezastrelor cauzate de schimbările climatice</w:t>
      </w:r>
      <w:r>
        <w:rPr>
          <w:rStyle w:val="FootnoteReference"/>
          <w:rFonts w:ascii="Times New Roman" w:eastAsia="Times New Roman" w:hAnsi="Times New Roman" w:cs="Times New Roman"/>
          <w:noProof/>
          <w:sz w:val="24"/>
          <w:szCs w:val="24"/>
          <w:lang w:val="en-IE"/>
        </w:rPr>
        <w:footnoteReference w:id="9"/>
      </w:r>
      <w:r>
        <w:rPr>
          <w:rFonts w:ascii="Times New Roman" w:hAnsi="Times New Roman"/>
          <w:noProof/>
          <w:sz w:val="24"/>
          <w:szCs w:val="24"/>
        </w:rPr>
        <w:t xml:space="preserve"> și a impactului socioeconomic al schimbărilor climatice.</w:t>
      </w:r>
    </w:p>
    <w:p>
      <w:pPr>
        <w:jc w:val="both"/>
        <w:rPr>
          <w:rFonts w:ascii="Times New Roman" w:eastAsia="Times New Roman" w:hAnsi="Times New Roman" w:cs="Times New Roman"/>
          <w:noProof/>
          <w:sz w:val="24"/>
          <w:szCs w:val="24"/>
        </w:rPr>
      </w:pPr>
    </w:p>
    <w:p>
      <w:pPr>
        <w:jc w:val="both"/>
        <w:rPr>
          <w:rFonts w:ascii="Times New Roman" w:eastAsia="Times New Roman" w:hAnsi="Times New Roman" w:cs="Times New Roman"/>
          <w:noProof/>
          <w:sz w:val="24"/>
          <w:szCs w:val="24"/>
        </w:rPr>
      </w:pPr>
      <w:r>
        <w:rPr>
          <w:rFonts w:ascii="Times New Roman" w:hAnsi="Times New Roman"/>
          <w:i/>
          <w:iCs/>
          <w:noProof/>
          <w:sz w:val="24"/>
          <w:szCs w:val="24"/>
        </w:rPr>
        <w:t>Un deficit de finanțare în creștere – și o bază în continuare restrânsă de donatori</w:t>
      </w:r>
    </w:p>
    <w:p>
      <w:pPr>
        <w:jc w:val="both"/>
        <w:rPr>
          <w:rFonts w:ascii="Times New Roman" w:eastAsia="Times New Roman" w:hAnsi="Times New Roman" w:cs="Times New Roman"/>
          <w:noProof/>
          <w:sz w:val="24"/>
          <w:szCs w:val="24"/>
        </w:rPr>
      </w:pPr>
      <w:r>
        <w:rPr>
          <w:rFonts w:ascii="Times New Roman" w:hAnsi="Times New Roman"/>
          <w:noProof/>
          <w:sz w:val="24"/>
          <w:szCs w:val="24"/>
        </w:rPr>
        <w:t>În 2020, valoarea tuturor apelurilor umanitare ale ONU s-a ridicat la aproape 32,5 miliarde EUR, cea mai mare cifră de până acum, datorată, de asemenea, impactului pandemiei de COVID-19. În plus, există un deficit de finanțare de 17,5 miliarde EUR, mai mult de jumătate din valoarea totală. Potrivit ONU, pentru a acoperi apelurile umanitare din 2021 este nevoie de o finanțare inițială de 29 de miliarde EUR</w:t>
      </w:r>
      <w:r>
        <w:rPr>
          <w:rStyle w:val="FootnoteReference"/>
          <w:rFonts w:ascii="Times New Roman" w:eastAsia="Times New Roman" w:hAnsi="Times New Roman" w:cs="Times New Roman"/>
          <w:noProof/>
          <w:sz w:val="24"/>
          <w:szCs w:val="24"/>
          <w:lang w:val="en-IE"/>
        </w:rPr>
        <w:footnoteReference w:id="10"/>
      </w:r>
      <w:r>
        <w:rPr>
          <w:rFonts w:ascii="Times New Roman" w:hAnsi="Times New Roman"/>
          <w:noProof/>
          <w:sz w:val="24"/>
          <w:szCs w:val="24"/>
        </w:rPr>
        <w:t xml:space="preserve">. În timp ce UE și alți donatori și-au intensificat în mod substanțial eforturile în ultimii ani, fondurile umanitare globale pentru apelurile umanitare ale ONU crescând de la 4,1 miliarde EUR în 2012 la 15 miliarde EUR în 2020, </w:t>
      </w:r>
      <w:r>
        <w:rPr>
          <w:rFonts w:ascii="Times New Roman" w:hAnsi="Times New Roman"/>
          <w:b/>
          <w:bCs/>
          <w:noProof/>
          <w:sz w:val="24"/>
          <w:szCs w:val="24"/>
        </w:rPr>
        <w:t>deficitul de finanțare pentru acțiunile umanitare globale s-a accentuat totuși rapid.</w:t>
      </w:r>
      <w:r>
        <w:rPr>
          <w:rFonts w:ascii="Times New Roman" w:hAnsi="Times New Roman"/>
          <w:noProof/>
          <w:sz w:val="24"/>
          <w:szCs w:val="24"/>
        </w:rPr>
        <w:t xml:space="preserve"> </w:t>
      </w:r>
      <w:r>
        <w:rPr>
          <w:rFonts w:ascii="Times New Roman" w:hAnsi="Times New Roman"/>
          <w:b/>
          <w:noProof/>
          <w:sz w:val="24"/>
          <w:szCs w:val="24"/>
        </w:rPr>
        <w:t>Probabil că acest deficit</w:t>
      </w:r>
      <w:r>
        <w:rPr>
          <w:rFonts w:ascii="Times New Roman" w:hAnsi="Times New Roman"/>
          <w:noProof/>
          <w:sz w:val="24"/>
          <w:szCs w:val="24"/>
        </w:rPr>
        <w:t xml:space="preserve"> </w:t>
      </w:r>
      <w:r>
        <w:rPr>
          <w:rFonts w:ascii="Times New Roman" w:hAnsi="Times New Roman"/>
          <w:b/>
          <w:noProof/>
          <w:sz w:val="24"/>
          <w:szCs w:val="24"/>
        </w:rPr>
        <w:t>va continua să crească</w:t>
      </w:r>
      <w:r>
        <w:rPr>
          <w:rFonts w:ascii="Times New Roman" w:hAnsi="Times New Roman"/>
          <w:noProof/>
          <w:sz w:val="24"/>
          <w:szCs w:val="24"/>
        </w:rPr>
        <w:t>, pe măsură ce economiile donatorilor vor rămâne sub presiune din cauza consecințelor negative economice și sociale ale pandemiei de COVID-19. Unii donatori importanți au anunțat deja reduceri ale bugetelor destinate ajutorului umanitar sau ale contribuțiilor pentru abordarea crizelor majore. Îngrijorător este faptul că finanțarea acțiunilor umanitare globale continuă să se bazeze în mare măsură pe un număr foarte limitat de donatori: în 2020, primii zece donatori la nivel mondial au reprezentat 83 % din finanțările raportate</w:t>
      </w:r>
      <w:r>
        <w:rPr>
          <w:rStyle w:val="FootnoteReference"/>
          <w:rFonts w:ascii="Times New Roman" w:eastAsia="Times New Roman" w:hAnsi="Times New Roman" w:cs="Times New Roman"/>
          <w:noProof/>
          <w:sz w:val="24"/>
          <w:szCs w:val="24"/>
          <w:lang w:val="en-IE"/>
        </w:rPr>
        <w:footnoteReference w:id="11"/>
      </w:r>
      <w:r>
        <w:rPr>
          <w:rFonts w:ascii="Times New Roman" w:hAnsi="Times New Roman"/>
          <w:noProof/>
          <w:sz w:val="24"/>
          <w:szCs w:val="24"/>
        </w:rPr>
        <w:t>. Același lucru este valabil și în interiorul UE, unde cea mai mare parte a fondurilor umanitare globale ale UE provin din bugetul unui număr foarte mic de state membre și din cel al UE</w:t>
      </w:r>
      <w:r>
        <w:rPr>
          <w:rStyle w:val="FootnoteReference"/>
          <w:rFonts w:ascii="Times New Roman" w:eastAsia="Times New Roman" w:hAnsi="Times New Roman" w:cs="Times New Roman"/>
          <w:noProof/>
          <w:sz w:val="24"/>
          <w:szCs w:val="24"/>
          <w:lang w:val="en-IE"/>
        </w:rPr>
        <w:footnoteReference w:id="12"/>
      </w:r>
      <w:r>
        <w:rPr>
          <w:rFonts w:ascii="Times New Roman" w:hAnsi="Times New Roman"/>
          <w:noProof/>
          <w:sz w:val="24"/>
          <w:szCs w:val="24"/>
        </w:rPr>
        <w:t xml:space="preserve">. Acest lucru nu este durabil. </w:t>
      </w:r>
    </w:p>
    <w:p>
      <w:pPr>
        <w:jc w:val="center"/>
        <w:rPr>
          <w:rFonts w:ascii="Times New Roman" w:eastAsia="Times New Roman" w:hAnsi="Times New Roman" w:cs="Times New Roman"/>
          <w:noProof/>
          <w:sz w:val="24"/>
          <w:szCs w:val="24"/>
          <w:lang w:val="en-IE"/>
        </w:rPr>
      </w:pPr>
    </w:p>
    <w:p>
      <w:pPr>
        <w:jc w:val="center"/>
        <w:rPr>
          <w:rFonts w:ascii="Times New Roman" w:eastAsia="Times New Roman" w:hAnsi="Times New Roman" w:cs="Times New Roman"/>
          <w:noProof/>
          <w:sz w:val="24"/>
          <w:szCs w:val="24"/>
        </w:rPr>
      </w:pPr>
      <w:r>
        <w:rPr>
          <w:noProof/>
          <w:lang w:val="en-GB" w:eastAsia="en-GB"/>
        </w:rPr>
        <w:drawing>
          <wp:inline distT="0" distB="0" distL="0" distR="0">
            <wp:extent cx="5731510" cy="3122930"/>
            <wp:effectExtent l="0" t="0" r="254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731510" cy="3122930"/>
                    </a:xfrm>
                    <a:prstGeom prst="rect">
                      <a:avLst/>
                    </a:prstGeom>
                  </pic:spPr>
                </pic:pic>
              </a:graphicData>
            </a:graphic>
          </wp:inline>
        </w:drawing>
      </w:r>
    </w:p>
    <w:p>
      <w:pPr>
        <w:spacing w:line="276" w:lineRule="auto"/>
        <w:jc w:val="both"/>
        <w:rPr>
          <w:rFonts w:ascii="Times New Roman" w:eastAsia="Times New Roman" w:hAnsi="Times New Roman" w:cs="Times New Roman"/>
          <w:i/>
          <w:iCs/>
          <w:noProof/>
          <w:sz w:val="24"/>
          <w:szCs w:val="24"/>
        </w:rPr>
      </w:pPr>
      <w:r>
        <w:rPr>
          <w:rFonts w:ascii="Times New Roman" w:hAnsi="Times New Roman"/>
          <w:i/>
          <w:iCs/>
          <w:noProof/>
          <w:sz w:val="24"/>
          <w:szCs w:val="24"/>
        </w:rPr>
        <w:t>Obstacole în calea accesului la și a furnizării de ajutor umanitar</w:t>
      </w:r>
    </w:p>
    <w:p>
      <w:pPr>
        <w:jc w:val="both"/>
        <w:rPr>
          <w:rFonts w:ascii="Times New Roman" w:hAnsi="Times New Roman" w:cs="Times New Roman"/>
          <w:noProof/>
          <w:sz w:val="24"/>
          <w:szCs w:val="24"/>
        </w:rPr>
      </w:pPr>
      <w:r>
        <w:rPr>
          <w:rFonts w:ascii="Times New Roman" w:hAnsi="Times New Roman"/>
          <w:noProof/>
          <w:sz w:val="24"/>
          <w:szCs w:val="24"/>
        </w:rPr>
        <w:t>În multe conflicte, numărul atacurilor directe și adesea deliberate ale beligeranților asupra civililor, spitalelor și școlilor cu încălcarea dreptului internațional umanitar, este în creștere. În 2019 au fost raportate 277 de atacuri împotriva lucrătorilor umanitari, 125 dintre aceștia fiind uciși</w:t>
      </w:r>
      <w:r>
        <w:rPr>
          <w:rStyle w:val="FootnoteReference"/>
          <w:rFonts w:ascii="Times New Roman" w:hAnsi="Times New Roman" w:cs="Times New Roman"/>
          <w:noProof/>
          <w:sz w:val="24"/>
          <w:szCs w:val="24"/>
          <w:lang w:val="en-IE"/>
        </w:rPr>
        <w:footnoteReference w:id="13"/>
      </w:r>
      <w:r>
        <w:rPr>
          <w:rFonts w:ascii="Times New Roman" w:hAnsi="Times New Roman"/>
          <w:noProof/>
          <w:sz w:val="24"/>
          <w:szCs w:val="24"/>
        </w:rPr>
        <w:t xml:space="preserve">. În multe crize, agențiile de ajutor se confruntă, de asemenea, cu obstacole administrative și alte restricții, care le pot limita capacitatea de a ajunge la persoanele afectate. Măsurile de limitare a mișcării persoanelor ca urmare a pandemiei de COVID-19 și restricțiile de deplasare implementate au constituit o provocare suplimentară în ceea ce privește furnizarea de ajutor populațiilor afectate. </w:t>
      </w:r>
    </w:p>
    <w:p>
      <w:pPr>
        <w:jc w:val="both"/>
        <w:rPr>
          <w:rFonts w:ascii="Times New Roman" w:hAnsi="Times New Roman" w:cs="Times New Roman"/>
          <w:b/>
          <w:noProof/>
          <w:sz w:val="24"/>
          <w:szCs w:val="24"/>
        </w:rPr>
      </w:pPr>
      <w:r>
        <w:rPr>
          <w:rFonts w:ascii="Times New Roman" w:hAnsi="Times New Roman"/>
          <w:b/>
          <w:noProof/>
          <w:sz w:val="24"/>
          <w:szCs w:val="24"/>
        </w:rPr>
        <w:t>Având în vedere aceste tendințe și provocări, UE trebuie să dea un nou impuls politicii sale în domeniul ajutorului umanitar, astfel încât să poată aborda nevoile umanitare tot mai mari într-un mod mai eficace și să sprijine crearea unui mediu mai favorabil furnizării de ajutor umanitar principial. În același timp, va continua să colaboreze strâns cu actorii din domeniul dezvoltării și al consolidării păcii pentru a promova soluții pe termen lung.</w:t>
      </w:r>
    </w:p>
    <w:p>
      <w:pPr>
        <w:jc w:val="both"/>
        <w:rPr>
          <w:rFonts w:ascii="Times New Roman" w:hAnsi="Times New Roman" w:cs="Times New Roman"/>
          <w:noProof/>
          <w:sz w:val="24"/>
          <w:szCs w:val="24"/>
        </w:rPr>
      </w:pPr>
    </w:p>
    <w:p>
      <w:pPr>
        <w:jc w:val="both"/>
        <w:rPr>
          <w:rFonts w:ascii="Times New Roman" w:hAnsi="Times New Roman" w:cs="Times New Roman"/>
          <w:noProof/>
          <w:sz w:val="24"/>
          <w:szCs w:val="24"/>
        </w:rPr>
      </w:pPr>
      <w:r>
        <w:rPr>
          <w:rFonts w:ascii="Times New Roman" w:hAnsi="Times New Roman"/>
          <w:b/>
          <w:noProof/>
          <w:sz w:val="24"/>
          <w:szCs w:val="24"/>
        </w:rPr>
        <w:t>2. O bază solidă: principiile ajutorului umanitar testate și confirmate în practică</w:t>
      </w:r>
    </w:p>
    <w:p>
      <w:pPr>
        <w:jc w:val="both"/>
        <w:rPr>
          <w:rFonts w:ascii="Times New Roman" w:hAnsi="Times New Roman" w:cs="Times New Roman"/>
          <w:noProof/>
          <w:sz w:val="24"/>
          <w:szCs w:val="24"/>
        </w:rPr>
      </w:pPr>
      <w:r>
        <w:rPr>
          <w:rFonts w:ascii="Times New Roman" w:hAnsi="Times New Roman"/>
          <w:noProof/>
          <w:sz w:val="24"/>
          <w:szCs w:val="24"/>
        </w:rPr>
        <w:t>Ajutorul umanitar al UE se sprijină pe o bază juridică solidă și pe un set de principii de bază și obiective comune. Acesta va continua să fie ghidat cu strictețe de principiile umanitare universale ale umanității, neutralității, imparțialității și independenței, așa cum sunt consacrate în dreptul internațional. Asigurarea respectării dreptului internațional umanitar de către actorii statali și nestatali va rămâne un obiectiv esențial al politicii UE în domeniul ajutorului umanitar.</w:t>
      </w:r>
    </w:p>
    <w:p>
      <w:pPr>
        <w:jc w:val="both"/>
        <w:rPr>
          <w:rFonts w:ascii="Times New Roman" w:hAnsi="Times New Roman" w:cs="Times New Roman"/>
          <w:noProof/>
          <w:sz w:val="24"/>
          <w:szCs w:val="24"/>
        </w:rPr>
      </w:pPr>
      <w:r>
        <w:rPr>
          <w:rFonts w:ascii="Times New Roman" w:hAnsi="Times New Roman"/>
          <w:noProof/>
          <w:sz w:val="24"/>
          <w:szCs w:val="24"/>
        </w:rPr>
        <w:t>Consensul european privind ajutorul umanitar</w:t>
      </w:r>
      <w:r>
        <w:rPr>
          <w:rStyle w:val="FootnoteReference"/>
          <w:rFonts w:ascii="Times New Roman" w:hAnsi="Times New Roman" w:cs="Times New Roman"/>
          <w:noProof/>
          <w:sz w:val="24"/>
          <w:szCs w:val="24"/>
          <w:lang w:val="en-IE"/>
        </w:rPr>
        <w:footnoteReference w:id="14"/>
      </w:r>
      <w:r>
        <w:rPr>
          <w:rFonts w:ascii="Times New Roman" w:hAnsi="Times New Roman"/>
          <w:noProof/>
          <w:sz w:val="24"/>
          <w:szCs w:val="24"/>
        </w:rPr>
        <w:t xml:space="preserve"> rămâne cadrul de referință pentru acțiunile umanitare ale UE. Împreună cu Regulamentul privind ajutorul umanitar</w:t>
      </w:r>
      <w:r>
        <w:rPr>
          <w:rStyle w:val="FootnoteReference"/>
          <w:rFonts w:ascii="Times New Roman" w:hAnsi="Times New Roman" w:cs="Times New Roman"/>
          <w:noProof/>
          <w:sz w:val="24"/>
          <w:szCs w:val="24"/>
          <w:lang w:val="en-IE"/>
        </w:rPr>
        <w:footnoteReference w:id="15"/>
      </w:r>
      <w:r>
        <w:rPr>
          <w:rFonts w:ascii="Times New Roman" w:hAnsi="Times New Roman"/>
          <w:noProof/>
          <w:sz w:val="24"/>
          <w:szCs w:val="24"/>
        </w:rPr>
        <w:t>, Consensul stabilește natura și mandatul specifice ajutorului umanitar: ajutorul umanitar al UE este oferit numai pe baza nevoilor, conform principiilor bunelor practici privind acțiunile umanitare</w:t>
      </w:r>
      <w:r>
        <w:rPr>
          <w:rStyle w:val="FootnoteReference"/>
          <w:rFonts w:ascii="Times New Roman" w:hAnsi="Times New Roman" w:cs="Times New Roman"/>
          <w:noProof/>
          <w:sz w:val="24"/>
          <w:szCs w:val="24"/>
          <w:lang w:val="en-IE"/>
        </w:rPr>
        <w:footnoteReference w:id="16"/>
      </w:r>
      <w:r>
        <w:rPr>
          <w:rFonts w:ascii="Times New Roman" w:hAnsi="Times New Roman"/>
          <w:noProof/>
          <w:sz w:val="24"/>
          <w:szCs w:val="24"/>
        </w:rPr>
        <w:t xml:space="preserve">. Astfel cum se amintește și în </w:t>
      </w:r>
      <w:r>
        <w:rPr>
          <w:rFonts w:ascii="Times New Roman" w:hAnsi="Times New Roman"/>
          <w:iCs/>
          <w:noProof/>
          <w:sz w:val="24"/>
          <w:szCs w:val="24"/>
        </w:rPr>
        <w:t>abordarea integrată a UE în materie de conflicte și crize externe</w:t>
      </w:r>
      <w:r>
        <w:rPr>
          <w:rStyle w:val="FootnoteReference"/>
          <w:rFonts w:ascii="Times New Roman" w:eastAsia="Times New Roman" w:hAnsi="Times New Roman" w:cs="Times New Roman"/>
          <w:iCs/>
          <w:noProof/>
          <w:sz w:val="24"/>
          <w:szCs w:val="24"/>
          <w:lang w:val="en-IE"/>
        </w:rPr>
        <w:footnoteReference w:id="17"/>
      </w:r>
      <w:r>
        <w:rPr>
          <w:rFonts w:ascii="Times New Roman" w:hAnsi="Times New Roman"/>
          <w:iCs/>
          <w:noProof/>
          <w:sz w:val="24"/>
          <w:szCs w:val="24"/>
        </w:rPr>
        <w:t>, ajutorul umanitar al UE</w:t>
      </w:r>
      <w:r>
        <w:rPr>
          <w:rFonts w:ascii="Times New Roman" w:hAnsi="Times New Roman"/>
          <w:noProof/>
          <w:sz w:val="24"/>
          <w:szCs w:val="24"/>
        </w:rPr>
        <w:t xml:space="preserve"> este furnizat dincolo de orice obiectiv politic, strategic, militar sau economic. Acest lucru este esențial și pentru a asigura faptul că ajutorul poate fi oferit persoanelor afectate de criză în medii politice și de securitate adesea complexe. </w:t>
      </w:r>
    </w:p>
    <w:p>
      <w:pPr>
        <w:jc w:val="both"/>
        <w:rPr>
          <w:rFonts w:ascii="Times New Roman" w:eastAsia="Times New Roman" w:hAnsi="Times New Roman" w:cs="Times New Roman"/>
          <w:iCs/>
          <w:noProof/>
          <w:sz w:val="24"/>
          <w:szCs w:val="24"/>
        </w:rPr>
      </w:pPr>
      <w:r>
        <w:rPr>
          <w:rFonts w:ascii="Times New Roman" w:hAnsi="Times New Roman"/>
          <w:iCs/>
          <w:noProof/>
          <w:sz w:val="24"/>
          <w:szCs w:val="24"/>
        </w:rPr>
        <w:t>În timp ce ajutorul umanitar este o parte esențială a răspunsului general al UE la crize, Uniunea Europeană garantează natura distinctă a ajutorului său umanitar, întărind în același timp legătura cu inițiativele UE în materie de asistență pentru dezvoltare, soluționare a conflictelor și consolidare a păcii.</w:t>
      </w:r>
    </w:p>
    <w:p>
      <w:pPr>
        <w:jc w:val="both"/>
        <w:rPr>
          <w:rFonts w:ascii="Times New Roman" w:eastAsia="Times New Roman" w:hAnsi="Times New Roman" w:cs="Times New Roman"/>
          <w:iCs/>
          <w:noProof/>
          <w:sz w:val="24"/>
          <w:szCs w:val="24"/>
        </w:rPr>
      </w:pPr>
      <w:r>
        <w:rPr>
          <w:rFonts w:ascii="Times New Roman" w:hAnsi="Times New Roman"/>
          <w:iCs/>
          <w:noProof/>
          <w:sz w:val="24"/>
          <w:szCs w:val="24"/>
        </w:rPr>
        <w:t>Răspunsul umanitar al UE va continua să respecte principiul de „</w:t>
      </w:r>
      <w:r>
        <w:rPr>
          <w:rFonts w:ascii="Times New Roman" w:hAnsi="Times New Roman"/>
          <w:b/>
          <w:bCs/>
          <w:iCs/>
          <w:noProof/>
          <w:sz w:val="24"/>
          <w:szCs w:val="24"/>
        </w:rPr>
        <w:t>a nu face rău</w:t>
      </w:r>
      <w:r>
        <w:rPr>
          <w:rFonts w:ascii="Times New Roman" w:hAnsi="Times New Roman"/>
          <w:iCs/>
          <w:noProof/>
          <w:sz w:val="24"/>
          <w:szCs w:val="24"/>
        </w:rPr>
        <w:t>” populațiilor afectate și mediului</w:t>
      </w:r>
      <w:r>
        <w:rPr>
          <w:rStyle w:val="FootnoteReference"/>
          <w:rFonts w:ascii="Times New Roman" w:eastAsia="Times New Roman" w:hAnsi="Times New Roman" w:cs="Times New Roman"/>
          <w:iCs/>
          <w:noProof/>
          <w:sz w:val="24"/>
          <w:szCs w:val="24"/>
        </w:rPr>
        <w:footnoteReference w:id="18"/>
      </w:r>
      <w:r>
        <w:rPr>
          <w:rFonts w:ascii="Times New Roman" w:hAnsi="Times New Roman"/>
          <w:iCs/>
          <w:noProof/>
          <w:sz w:val="24"/>
          <w:szCs w:val="24"/>
        </w:rPr>
        <w:t xml:space="preserve"> și să asigure o abordare </w:t>
      </w:r>
      <w:r>
        <w:rPr>
          <w:rFonts w:ascii="Times New Roman" w:hAnsi="Times New Roman"/>
          <w:b/>
          <w:bCs/>
          <w:iCs/>
          <w:noProof/>
          <w:sz w:val="24"/>
          <w:szCs w:val="24"/>
        </w:rPr>
        <w:t>adaptată la situațiile de conflict</w:t>
      </w:r>
      <w:r>
        <w:rPr>
          <w:rFonts w:ascii="Times New Roman" w:hAnsi="Times New Roman"/>
          <w:iCs/>
          <w:noProof/>
          <w:sz w:val="24"/>
          <w:szCs w:val="24"/>
        </w:rPr>
        <w:t xml:space="preserve">, astfel încât să nu amplifice accidental conflictele. Va continua să promoveze și să consolideze </w:t>
      </w:r>
      <w:r>
        <w:rPr>
          <w:rFonts w:ascii="Times New Roman" w:hAnsi="Times New Roman"/>
          <w:b/>
          <w:bCs/>
          <w:iCs/>
          <w:noProof/>
          <w:sz w:val="24"/>
          <w:szCs w:val="24"/>
        </w:rPr>
        <w:t>coordonarea civil-militară</w:t>
      </w:r>
      <w:r>
        <w:rPr>
          <w:rFonts w:ascii="Times New Roman" w:hAnsi="Times New Roman"/>
          <w:iCs/>
          <w:noProof/>
          <w:sz w:val="24"/>
          <w:szCs w:val="24"/>
        </w:rPr>
        <w:t xml:space="preserve"> umanitară eficace astfel încât să garanteze spațiul umanitar. </w:t>
      </w:r>
    </w:p>
    <w:p>
      <w:pPr>
        <w:jc w:val="both"/>
        <w:rPr>
          <w:rFonts w:ascii="Times New Roman" w:eastAsia="Times New Roman" w:hAnsi="Times New Roman" w:cs="Times New Roman"/>
          <w:iCs/>
          <w:noProof/>
          <w:sz w:val="24"/>
          <w:szCs w:val="24"/>
        </w:rPr>
      </w:pPr>
      <w:r>
        <w:rPr>
          <w:rFonts w:ascii="Times New Roman" w:hAnsi="Times New Roman"/>
          <w:iCs/>
          <w:noProof/>
          <w:sz w:val="24"/>
          <w:szCs w:val="24"/>
        </w:rPr>
        <w:t xml:space="preserve">Ajutorul umanitar este adesea principala formă de asistență acordată persoanelor afectate de criză. Având în vedere nevoile în creștere și solicitarea la maximum a bugetelor alocate pentru ajutoare, există un risc real ca unele persoane și comunități să fie lăsate în urmă. </w:t>
      </w:r>
      <w:r>
        <w:rPr>
          <w:rFonts w:ascii="Times New Roman" w:hAnsi="Times New Roman"/>
          <w:b/>
          <w:iCs/>
          <w:noProof/>
          <w:sz w:val="24"/>
          <w:szCs w:val="24"/>
        </w:rPr>
        <w:t>UE va continua să răspundă nevoilor într-un mod echilibrat</w:t>
      </w:r>
      <w:r>
        <w:rPr>
          <w:rFonts w:ascii="Times New Roman" w:hAnsi="Times New Roman"/>
          <w:iCs/>
          <w:noProof/>
          <w:sz w:val="24"/>
          <w:szCs w:val="24"/>
        </w:rPr>
        <w:t xml:space="preserve"> și va continua să aloce 15 % din bugetul său inițial dedicat acțiunilor umanitare pentru </w:t>
      </w:r>
      <w:r>
        <w:rPr>
          <w:rFonts w:ascii="Times New Roman" w:hAnsi="Times New Roman"/>
          <w:b/>
          <w:iCs/>
          <w:noProof/>
          <w:sz w:val="24"/>
          <w:szCs w:val="24"/>
        </w:rPr>
        <w:t>„crizele uitate”</w:t>
      </w:r>
      <w:r>
        <w:rPr>
          <w:rFonts w:ascii="Times New Roman" w:hAnsi="Times New Roman"/>
          <w:iCs/>
          <w:noProof/>
          <w:sz w:val="24"/>
          <w:szCs w:val="24"/>
        </w:rPr>
        <w:t>.</w:t>
      </w:r>
    </w:p>
    <w:p>
      <w:pPr>
        <w:autoSpaceDE w:val="0"/>
        <w:autoSpaceDN w:val="0"/>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 xml:space="preserve">Integrarea continuă a </w:t>
      </w:r>
      <w:r>
        <w:rPr>
          <w:rFonts w:ascii="Times New Roman" w:hAnsi="Times New Roman"/>
          <w:b/>
          <w:bCs/>
          <w:noProof/>
          <w:sz w:val="24"/>
          <w:szCs w:val="24"/>
        </w:rPr>
        <w:t>protecției</w:t>
      </w:r>
      <w:r>
        <w:rPr>
          <w:rFonts w:ascii="Times New Roman" w:hAnsi="Times New Roman"/>
          <w:noProof/>
          <w:sz w:val="24"/>
          <w:szCs w:val="24"/>
        </w:rPr>
        <w:t xml:space="preserve"> persoanelor afectate de situații de criză, inclusiv prin prevenirea, atenuarea și răspunsul la violența sexuală și bazată pe gen și la exploatarea, abuzul și hărțuirea sexuală, va rămâne o caracteristică esențială a ajutorului umanitar al UE, în conformitate cu Planul de acțiune al UE pentru egalitatea de gen</w:t>
      </w:r>
      <w:r>
        <w:rPr>
          <w:rStyle w:val="FootnoteReference"/>
          <w:rFonts w:ascii="Times New Roman" w:eastAsia="Times New Roman" w:hAnsi="Times New Roman" w:cs="Times New Roman"/>
          <w:noProof/>
          <w:sz w:val="24"/>
          <w:szCs w:val="24"/>
        </w:rPr>
        <w:footnoteReference w:id="19"/>
      </w:r>
      <w:r>
        <w:rPr>
          <w:rFonts w:ascii="Times New Roman" w:hAnsi="Times New Roman"/>
          <w:noProof/>
          <w:sz w:val="24"/>
          <w:szCs w:val="24"/>
        </w:rPr>
        <w:t xml:space="preserve">. UE va continua să sprijine </w:t>
      </w:r>
      <w:r>
        <w:rPr>
          <w:rFonts w:ascii="Times New Roman" w:hAnsi="Times New Roman"/>
          <w:b/>
          <w:bCs/>
          <w:noProof/>
          <w:sz w:val="24"/>
          <w:szCs w:val="24"/>
        </w:rPr>
        <w:t>Apelul la acțiune pentru protecția împotriva violenței bazate pe gen</w:t>
      </w:r>
      <w:r>
        <w:rPr>
          <w:rStyle w:val="FootnoteReference"/>
          <w:rFonts w:ascii="Times New Roman" w:eastAsia="Times New Roman" w:hAnsi="Times New Roman" w:cs="Times New Roman"/>
          <w:noProof/>
        </w:rPr>
        <w:footnoteReference w:id="20"/>
      </w:r>
      <w:r>
        <w:rPr>
          <w:rFonts w:ascii="Times New Roman" w:hAnsi="Times New Roman"/>
          <w:noProof/>
          <w:sz w:val="24"/>
          <w:szCs w:val="24"/>
        </w:rPr>
        <w:t xml:space="preserve"> la nivel mondial.</w:t>
      </w:r>
      <w:r>
        <w:rPr>
          <w:rFonts w:ascii="Times New Roman" w:hAnsi="Times New Roman"/>
          <w:noProof/>
        </w:rPr>
        <w:t xml:space="preserve"> </w:t>
      </w:r>
      <w:r>
        <w:rPr>
          <w:rFonts w:ascii="Times New Roman" w:hAnsi="Times New Roman"/>
          <w:noProof/>
          <w:sz w:val="24"/>
          <w:szCs w:val="24"/>
        </w:rPr>
        <w:t>De asemenea, își va respecta angajamentele de a aborda rapid orice tip de abateri din sectorul umanitar internațional și de creștere a responsabilității</w:t>
      </w:r>
      <w:r>
        <w:rPr>
          <w:rStyle w:val="FootnoteReference"/>
          <w:rFonts w:ascii="Times New Roman" w:eastAsia="Times New Roman" w:hAnsi="Times New Roman" w:cs="Times New Roman"/>
          <w:noProof/>
          <w:sz w:val="24"/>
          <w:szCs w:val="24"/>
        </w:rPr>
        <w:footnoteReference w:id="21"/>
      </w:r>
      <w:r>
        <w:rPr>
          <w:rFonts w:ascii="Times New Roman" w:hAnsi="Times New Roman"/>
          <w:noProof/>
          <w:sz w:val="24"/>
          <w:szCs w:val="24"/>
        </w:rPr>
        <w:t xml:space="preserve">. </w:t>
      </w:r>
    </w:p>
    <w:p>
      <w:pPr>
        <w:autoSpaceDE w:val="0"/>
        <w:autoSpaceDN w:val="0"/>
        <w:spacing w:after="0" w:line="240" w:lineRule="auto"/>
        <w:jc w:val="both"/>
        <w:rPr>
          <w:rFonts w:ascii="Times New Roman" w:eastAsia="Times New Roman" w:hAnsi="Times New Roman" w:cs="Times New Roman"/>
          <w:noProof/>
          <w:sz w:val="24"/>
          <w:szCs w:val="24"/>
        </w:rPr>
      </w:pPr>
    </w:p>
    <w:p>
      <w:pPr>
        <w:jc w:val="both"/>
        <w:rPr>
          <w:rFonts w:ascii="Times New Roman" w:eastAsia="Times New Roman" w:hAnsi="Times New Roman" w:cs="Times New Roman"/>
          <w:noProof/>
          <w:sz w:val="24"/>
          <w:szCs w:val="24"/>
        </w:rPr>
      </w:pPr>
      <w:r>
        <w:rPr>
          <w:rFonts w:ascii="Times New Roman" w:hAnsi="Times New Roman"/>
          <w:noProof/>
          <w:sz w:val="24"/>
          <w:szCs w:val="24"/>
        </w:rPr>
        <w:t>Oamenii vor continua să se afle în centrul ajutorului umanitar al UE, cu oportunități pentru</w:t>
      </w:r>
      <w:r>
        <w:rPr>
          <w:rFonts w:ascii="Times New Roman" w:hAnsi="Times New Roman"/>
          <w:b/>
          <w:bCs/>
          <w:noProof/>
          <w:sz w:val="24"/>
          <w:szCs w:val="24"/>
        </w:rPr>
        <w:t xml:space="preserve"> </w:t>
      </w:r>
      <w:r>
        <w:rPr>
          <w:rFonts w:ascii="Times New Roman" w:hAnsi="Times New Roman"/>
          <w:noProof/>
          <w:sz w:val="24"/>
          <w:szCs w:val="24"/>
        </w:rPr>
        <w:t xml:space="preserve">o </w:t>
      </w:r>
      <w:r>
        <w:rPr>
          <w:rFonts w:ascii="Times New Roman" w:hAnsi="Times New Roman"/>
          <w:b/>
          <w:bCs/>
          <w:noProof/>
          <w:sz w:val="24"/>
          <w:szCs w:val="24"/>
        </w:rPr>
        <w:t>participare semnificativă a beneficiarilor acestui ajutor</w:t>
      </w:r>
      <w:r>
        <w:rPr>
          <w:rFonts w:ascii="Times New Roman" w:hAnsi="Times New Roman"/>
          <w:noProof/>
          <w:sz w:val="24"/>
          <w:szCs w:val="24"/>
        </w:rPr>
        <w:t xml:space="preserve"> la deciziile care îi privesc. De asemenea, UE se angajează să răspundă nevoilor și să asigure respectarea drepturilor unor grupuri specifice, inclusiv femei, copii, persoane în vârstă și persoane cu handicap. Acest obiectiv este inclus în agenda generală a UE privind asigurarea egalității</w:t>
      </w:r>
      <w:r>
        <w:rPr>
          <w:rStyle w:val="FootnoteReference"/>
          <w:rFonts w:ascii="Times New Roman" w:eastAsia="Times New Roman" w:hAnsi="Times New Roman" w:cs="Times New Roman"/>
          <w:noProof/>
          <w:sz w:val="24"/>
          <w:szCs w:val="24"/>
        </w:rPr>
        <w:footnoteReference w:id="22"/>
      </w:r>
      <w:r>
        <w:rPr>
          <w:rFonts w:ascii="Times New Roman" w:hAnsi="Times New Roman"/>
          <w:noProof/>
          <w:sz w:val="24"/>
          <w:szCs w:val="24"/>
        </w:rPr>
        <w:t xml:space="preserve">, o prioritate principală a Comisiei Europene. </w:t>
      </w:r>
    </w:p>
    <w:p>
      <w:pPr>
        <w:jc w:val="both"/>
        <w:rPr>
          <w:rFonts w:ascii="Times New Roman" w:eastAsia="Times New Roman" w:hAnsi="Times New Roman" w:cs="Times New Roman"/>
          <w:noProof/>
          <w:sz w:val="24"/>
          <w:szCs w:val="24"/>
        </w:rPr>
      </w:pPr>
      <w:r>
        <w:rPr>
          <w:rFonts w:ascii="Times New Roman" w:hAnsi="Times New Roman"/>
          <w:b/>
          <w:bCs/>
          <w:noProof/>
          <w:sz w:val="24"/>
          <w:szCs w:val="24"/>
        </w:rPr>
        <w:t>Accesul copiilor aflați în situații de criză la un învățământ sigur și consecvent</w:t>
      </w:r>
      <w:r>
        <w:rPr>
          <w:rFonts w:ascii="Times New Roman" w:hAnsi="Times New Roman"/>
          <w:noProof/>
          <w:sz w:val="24"/>
          <w:szCs w:val="24"/>
        </w:rPr>
        <w:t xml:space="preserve"> este esențial; totuși acest lucru este departe de a fi o realitate peste tot. Instituțiile de învățământ, și elevii înșiși, au devenit tot mai frecvent o țintă deliberată a atacurilor violente, în special în regiunea Sahel. Între timp, deși soluțiile digitale și la distanță au contribuit în multe locuri la asigurarea unui anumit nivel de continuitate pentru elevi în timpul pandemiei de COVID-19, mulți destinatari ai ajutorului umanitar nu au beneficiat de aceste oportunități, iar copiii refugiați și strămutați intern s-au confruntat cu dificultăți deosebite în ceea ce privește accesul la educație. ONU estimează</w:t>
      </w:r>
      <w:r>
        <w:rPr>
          <w:rStyle w:val="FootnoteReference"/>
          <w:rFonts w:ascii="Times New Roman" w:eastAsia="Times New Roman" w:hAnsi="Times New Roman" w:cs="Times New Roman"/>
          <w:noProof/>
          <w:sz w:val="24"/>
          <w:szCs w:val="24"/>
          <w:lang w:val="en-IE"/>
        </w:rPr>
        <w:footnoteReference w:id="23"/>
      </w:r>
      <w:r>
        <w:rPr>
          <w:rFonts w:ascii="Times New Roman" w:hAnsi="Times New Roman"/>
          <w:noProof/>
          <w:sz w:val="24"/>
          <w:szCs w:val="24"/>
        </w:rPr>
        <w:t xml:space="preserve"> că aproape 24 de milioane de copii și tineri aflați în situații de criză umanitară riscă să nu se mai întoarcă la școală din cauza pandemiei de COVID-19. Fetele sunt expuse chiar unui risc mai mare deoarece, în multe cazuri, nefrecventarea școlii duce la căsătorii timpurii și forțate</w:t>
      </w:r>
      <w:r>
        <w:rPr>
          <w:rStyle w:val="FootnoteReference"/>
          <w:rFonts w:ascii="Times New Roman" w:hAnsi="Times New Roman" w:cs="Times New Roman"/>
          <w:noProof/>
          <w:sz w:val="24"/>
          <w:szCs w:val="24"/>
        </w:rPr>
        <w:footnoteReference w:id="24"/>
      </w:r>
      <w:r>
        <w:rPr>
          <w:rFonts w:ascii="Times New Roman" w:hAnsi="Times New Roman"/>
          <w:noProof/>
          <w:sz w:val="24"/>
          <w:szCs w:val="24"/>
        </w:rPr>
        <w:t>. UE va continua să pună un accent deosebit pe sprijinirea</w:t>
      </w:r>
      <w:r>
        <w:rPr>
          <w:rFonts w:ascii="Times New Roman" w:hAnsi="Times New Roman"/>
          <w:b/>
          <w:bCs/>
          <w:noProof/>
          <w:sz w:val="24"/>
          <w:szCs w:val="24"/>
        </w:rPr>
        <w:t xml:space="preserve"> protecției și educației copiilor în situații de urgență</w:t>
      </w:r>
      <w:r>
        <w:rPr>
          <w:rFonts w:ascii="Times New Roman" w:hAnsi="Times New Roman"/>
          <w:bCs/>
          <w:noProof/>
          <w:sz w:val="24"/>
          <w:szCs w:val="24"/>
        </w:rPr>
        <w:t xml:space="preserve">, în special </w:t>
      </w:r>
      <w:r>
        <w:rPr>
          <w:rFonts w:ascii="Times New Roman" w:hAnsi="Times New Roman"/>
          <w:noProof/>
          <w:sz w:val="24"/>
          <w:szCs w:val="24"/>
        </w:rPr>
        <w:t>a accesului la educație al fetelor în contexte umanitare. Va continua să aloce acestei priorități cel puțin 10 % din bugetul său anual alocat ajutorului umanitar (în creștere față de procentul de numai 1 % din 2015) și se va implica pe deplin în punerea în aplicare a „Declarației privind școlile sigure</w:t>
      </w:r>
      <w:r>
        <w:rPr>
          <w:rStyle w:val="FootnoteReference"/>
          <w:rFonts w:ascii="Times New Roman" w:eastAsia="Times New Roman" w:hAnsi="Times New Roman" w:cs="Times New Roman"/>
          <w:noProof/>
          <w:sz w:val="24"/>
          <w:szCs w:val="24"/>
        </w:rPr>
        <w:footnoteReference w:id="25"/>
      </w:r>
      <w:r>
        <w:rPr>
          <w:rFonts w:ascii="Times New Roman" w:hAnsi="Times New Roman"/>
          <w:noProof/>
          <w:sz w:val="24"/>
          <w:szCs w:val="24"/>
        </w:rPr>
        <w:t xml:space="preserve">”. </w:t>
      </w:r>
    </w:p>
    <w:p>
      <w:pPr>
        <w:jc w:val="both"/>
        <w:rPr>
          <w:rFonts w:ascii="Times New Roman" w:eastAsia="Times New Roman" w:hAnsi="Times New Roman" w:cs="Times New Roman"/>
          <w:noProof/>
          <w:sz w:val="24"/>
          <w:szCs w:val="24"/>
        </w:rPr>
      </w:pPr>
      <w:r>
        <w:rPr>
          <w:rFonts w:ascii="Times New Roman" w:hAnsi="Times New Roman"/>
          <w:noProof/>
          <w:sz w:val="24"/>
          <w:szCs w:val="24"/>
        </w:rPr>
        <w:t xml:space="preserve">În fine, </w:t>
      </w:r>
      <w:r>
        <w:rPr>
          <w:rFonts w:ascii="Times New Roman" w:hAnsi="Times New Roman"/>
          <w:b/>
          <w:bCs/>
          <w:noProof/>
          <w:sz w:val="24"/>
          <w:szCs w:val="24"/>
        </w:rPr>
        <w:t>multilateralismul</w:t>
      </w:r>
      <w:r>
        <w:rPr>
          <w:rStyle w:val="FootnoteReference"/>
          <w:rFonts w:ascii="Times New Roman" w:eastAsia="Times New Roman" w:hAnsi="Times New Roman" w:cs="Times New Roman"/>
          <w:b/>
          <w:bCs/>
          <w:noProof/>
          <w:sz w:val="24"/>
          <w:szCs w:val="24"/>
          <w:lang w:val="en-IE"/>
        </w:rPr>
        <w:footnoteReference w:id="26"/>
      </w:r>
      <w:r>
        <w:rPr>
          <w:rFonts w:ascii="Times New Roman" w:hAnsi="Times New Roman"/>
          <w:noProof/>
          <w:sz w:val="24"/>
          <w:szCs w:val="24"/>
        </w:rPr>
        <w:t xml:space="preserve"> eficace și </w:t>
      </w:r>
      <w:r>
        <w:rPr>
          <w:rFonts w:ascii="Times New Roman" w:hAnsi="Times New Roman"/>
          <w:b/>
          <w:bCs/>
          <w:noProof/>
          <w:sz w:val="24"/>
          <w:szCs w:val="24"/>
        </w:rPr>
        <w:t>coordonarea condusă de ONU</w:t>
      </w:r>
      <w:r>
        <w:rPr>
          <w:rFonts w:ascii="Times New Roman" w:hAnsi="Times New Roman"/>
          <w:noProof/>
          <w:sz w:val="24"/>
          <w:szCs w:val="24"/>
        </w:rPr>
        <w:t xml:space="preserve"> vor continua să fie în prim planul acțiunilor umanitare ale UE</w:t>
      </w:r>
      <w:r>
        <w:rPr>
          <w:rFonts w:ascii="Times New Roman" w:hAnsi="Times New Roman"/>
          <w:bCs/>
          <w:noProof/>
          <w:sz w:val="24"/>
          <w:szCs w:val="24"/>
        </w:rPr>
        <w:t>, ca</w:t>
      </w:r>
      <w:r>
        <w:rPr>
          <w:rFonts w:ascii="Times New Roman" w:hAnsi="Times New Roman"/>
          <w:noProof/>
          <w:sz w:val="24"/>
          <w:szCs w:val="24"/>
        </w:rPr>
        <w:t xml:space="preserve"> vectori-cheie ai unui răspuns umanitar principial și coerent. În plus, UE va continua să se bazeze pe o rețea puternică de parteneri diferiți, inclusiv organizații neguvernamentale, agenții, fonduri și programe ale ONU și alte organizații internaționale, precum și agenții specializate din statele membre ale UE. Cooperarea cu acești parteneri diferiți este esențială pentru a produce rezultate notabile și de înaltă calitate pe teren.</w:t>
      </w:r>
    </w:p>
    <w:p>
      <w:pPr>
        <w:rPr>
          <w:rFonts w:ascii="Times New Roman" w:hAnsi="Times New Roman" w:cs="Times New Roman"/>
          <w:b/>
          <w:bCs/>
          <w:noProof/>
          <w:sz w:val="24"/>
          <w:szCs w:val="24"/>
        </w:rPr>
      </w:pPr>
      <w:r>
        <w:rPr>
          <w:noProof/>
        </w:rPr>
        <w:br w:type="page"/>
      </w:r>
    </w:p>
    <w:p>
      <w:pPr>
        <w:rPr>
          <w:rFonts w:ascii="Times New Roman" w:hAnsi="Times New Roman" w:cs="Times New Roman"/>
          <w:b/>
          <w:bCs/>
          <w:noProof/>
          <w:sz w:val="24"/>
          <w:szCs w:val="24"/>
        </w:rPr>
      </w:pPr>
      <w:r>
        <w:rPr>
          <w:rFonts w:ascii="Times New Roman" w:hAnsi="Times New Roman"/>
          <w:b/>
          <w:bCs/>
          <w:noProof/>
          <w:sz w:val="24"/>
          <w:szCs w:val="24"/>
        </w:rPr>
        <w:t xml:space="preserve">3. Abordarea nevoilor tot mai mari, reducerea deficitului de finanțare </w:t>
      </w:r>
    </w:p>
    <w:p>
      <w:pPr>
        <w:spacing w:line="276" w:lineRule="auto"/>
        <w:jc w:val="both"/>
        <w:rPr>
          <w:rFonts w:ascii="Times New Roman" w:eastAsia="Times New Roman" w:hAnsi="Times New Roman" w:cs="Times New Roman"/>
          <w:b/>
          <w:bCs/>
          <w:noProof/>
          <w:sz w:val="24"/>
          <w:szCs w:val="24"/>
        </w:rPr>
      </w:pPr>
      <w:r>
        <w:rPr>
          <w:rFonts w:ascii="Times New Roman" w:hAnsi="Times New Roman"/>
          <w:b/>
          <w:bCs/>
          <w:noProof/>
          <w:sz w:val="24"/>
          <w:szCs w:val="24"/>
        </w:rPr>
        <w:t xml:space="preserve">3.1 Rezultate mai bune: sporirea eficacității și a eficienței, valorificarea inovației și a capacităților </w:t>
      </w:r>
    </w:p>
    <w:p>
      <w:pPr>
        <w:jc w:val="both"/>
        <w:rPr>
          <w:rFonts w:ascii="Times New Roman" w:eastAsia="Times New Roman" w:hAnsi="Times New Roman" w:cs="Times New Roman"/>
          <w:noProof/>
          <w:sz w:val="24"/>
          <w:szCs w:val="24"/>
        </w:rPr>
      </w:pPr>
      <w:r>
        <w:rPr>
          <w:rFonts w:ascii="Times New Roman" w:hAnsi="Times New Roman"/>
          <w:noProof/>
          <w:sz w:val="24"/>
          <w:szCs w:val="24"/>
        </w:rPr>
        <w:t>Principalii donatori și organizații de ajutor umanitar recunoșteau deja în cadrul summitului umanitar mondial din 2016 provocarea structurală generată de nevoile tot mai mari și de baza de resurse finite. Aceștia au convenit asupra „înțelegerii majore” pentru adaptarea practicilor de lucru ale donatorilor și ale organizațiilor de ajutor umanitar în vederea maximizării eficienței și a impactului</w:t>
      </w:r>
      <w:r>
        <w:rPr>
          <w:rStyle w:val="FootnoteReference"/>
          <w:rFonts w:ascii="Times New Roman" w:eastAsia="Times New Roman" w:hAnsi="Times New Roman" w:cs="Times New Roman"/>
          <w:noProof/>
          <w:sz w:val="24"/>
          <w:szCs w:val="24"/>
        </w:rPr>
        <w:footnoteReference w:id="27"/>
      </w:r>
      <w:r>
        <w:rPr>
          <w:rFonts w:ascii="Times New Roman" w:hAnsi="Times New Roman"/>
          <w:noProof/>
          <w:sz w:val="24"/>
          <w:szCs w:val="24"/>
        </w:rPr>
        <w:t xml:space="preserve">. Ideile care stau la baza „înțelegerii majore” sunt mai valabile și mai urgente ca niciodată: </w:t>
      </w:r>
      <w:r>
        <w:rPr>
          <w:rFonts w:ascii="Times New Roman" w:hAnsi="Times New Roman"/>
          <w:b/>
          <w:bCs/>
          <w:noProof/>
          <w:sz w:val="24"/>
          <w:szCs w:val="24"/>
        </w:rPr>
        <w:t xml:space="preserve">flexibilitate din partea donatorilor </w:t>
      </w:r>
      <w:r>
        <w:rPr>
          <w:rFonts w:ascii="Times New Roman" w:hAnsi="Times New Roman"/>
          <w:noProof/>
          <w:sz w:val="24"/>
          <w:szCs w:val="24"/>
        </w:rPr>
        <w:t xml:space="preserve">pentru a permite partenerilor din domeniul umanitar să ofere un răspuns adaptat și în timp util, armonizând în același timp cerințele de raportare deseori oneroase ale diferiților donatori. În schimb, organizațiile de ajutor umanitar </w:t>
      </w:r>
      <w:r>
        <w:rPr>
          <w:rFonts w:ascii="Times New Roman" w:hAnsi="Times New Roman"/>
          <w:b/>
          <w:bCs/>
          <w:noProof/>
          <w:sz w:val="24"/>
          <w:szCs w:val="24"/>
        </w:rPr>
        <w:t xml:space="preserve">și-au reînnoit angajamentul </w:t>
      </w:r>
      <w:r>
        <w:rPr>
          <w:rFonts w:ascii="Times New Roman" w:hAnsi="Times New Roman"/>
          <w:noProof/>
          <w:sz w:val="24"/>
          <w:szCs w:val="24"/>
        </w:rPr>
        <w:t xml:space="preserve">cu privire la </w:t>
      </w:r>
      <w:r>
        <w:rPr>
          <w:rFonts w:ascii="Times New Roman" w:hAnsi="Times New Roman"/>
          <w:b/>
          <w:bCs/>
          <w:noProof/>
          <w:sz w:val="24"/>
          <w:szCs w:val="24"/>
        </w:rPr>
        <w:t>coordonarea în materie de evaluare a nevoilor</w:t>
      </w:r>
      <w:r>
        <w:rPr>
          <w:rFonts w:ascii="Times New Roman" w:hAnsi="Times New Roman"/>
          <w:noProof/>
          <w:sz w:val="24"/>
          <w:szCs w:val="24"/>
        </w:rPr>
        <w:t xml:space="preserve">, </w:t>
      </w:r>
      <w:r>
        <w:rPr>
          <w:rFonts w:ascii="Times New Roman" w:hAnsi="Times New Roman"/>
          <w:b/>
          <w:bCs/>
          <w:noProof/>
          <w:sz w:val="24"/>
          <w:szCs w:val="24"/>
        </w:rPr>
        <w:t>responsabilizarea</w:t>
      </w:r>
      <w:r>
        <w:rPr>
          <w:rFonts w:ascii="Times New Roman" w:hAnsi="Times New Roman"/>
          <w:noProof/>
          <w:sz w:val="24"/>
          <w:szCs w:val="24"/>
        </w:rPr>
        <w:t xml:space="preserve"> față de beneficiari și contribuabili, </w:t>
      </w:r>
      <w:r>
        <w:rPr>
          <w:rFonts w:ascii="Times New Roman" w:hAnsi="Times New Roman"/>
          <w:b/>
          <w:bCs/>
          <w:noProof/>
          <w:sz w:val="24"/>
          <w:szCs w:val="24"/>
        </w:rPr>
        <w:t xml:space="preserve">transparența și vizibilitatea </w:t>
      </w:r>
      <w:r>
        <w:rPr>
          <w:rFonts w:ascii="Times New Roman" w:hAnsi="Times New Roman"/>
          <w:bCs/>
          <w:noProof/>
          <w:sz w:val="24"/>
          <w:szCs w:val="24"/>
        </w:rPr>
        <w:t>asistenței donatorilor,</w:t>
      </w:r>
      <w:r>
        <w:rPr>
          <w:rFonts w:ascii="Times New Roman" w:hAnsi="Times New Roman"/>
          <w:noProof/>
          <w:sz w:val="24"/>
          <w:szCs w:val="24"/>
        </w:rPr>
        <w:t xml:space="preserve"> asigurând în același timp alocarea unui procent cât mai ridicat de fonduri pentru persoanele care au nevoie de asistență. În paralel, este esențial ca fondurile să poată fi mobilizate rapid ca răspuns la situațiile de urgență neprevăzute (astfel cum s-a demonstrat în cazul pandemiei de COVID-19) și la dezastrele naturale declanșate brusc mai frecvente, cum ar fi cele cauzate de schimbările climatice. UE va urmări să modernizeze în continuare mecanismele sale de finanțare pentru a oferi o </w:t>
      </w:r>
      <w:r>
        <w:rPr>
          <w:rFonts w:ascii="Times New Roman" w:hAnsi="Times New Roman"/>
          <w:b/>
          <w:bCs/>
          <w:noProof/>
          <w:sz w:val="24"/>
          <w:szCs w:val="24"/>
        </w:rPr>
        <w:t xml:space="preserve">flexibilitate operațională mai ridicată </w:t>
      </w:r>
      <w:r>
        <w:rPr>
          <w:rFonts w:ascii="Times New Roman" w:hAnsi="Times New Roman"/>
          <w:noProof/>
          <w:sz w:val="24"/>
          <w:szCs w:val="24"/>
        </w:rPr>
        <w:t xml:space="preserve">partenerilor săi din domeniul umanitar, sporind în același timp </w:t>
      </w:r>
      <w:r>
        <w:rPr>
          <w:rFonts w:ascii="Times New Roman" w:hAnsi="Times New Roman"/>
          <w:b/>
          <w:bCs/>
          <w:noProof/>
          <w:sz w:val="24"/>
          <w:szCs w:val="24"/>
        </w:rPr>
        <w:t>valoarea adăugată și vizibilitatea asistenței furnizate.</w:t>
      </w:r>
    </w:p>
    <w:tbl>
      <w:tblPr>
        <w:tblW w:w="0" w:type="auto"/>
        <w:tblInd w:w="6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pct10" w:color="auto" w:fill="auto"/>
        <w:tblLayout w:type="fixed"/>
        <w:tblLook w:val="06A0" w:firstRow="1" w:lastRow="0" w:firstColumn="1" w:lastColumn="0" w:noHBand="1" w:noVBand="1"/>
      </w:tblPr>
      <w:tblGrid>
        <w:gridCol w:w="9015"/>
      </w:tblGrid>
      <w:tr>
        <w:trPr>
          <w:trHeight w:val="1635"/>
        </w:trPr>
        <w:tc>
          <w:tcPr>
            <w:tcW w:w="9015" w:type="dxa"/>
            <w:shd w:val="pct10" w:color="auto" w:fill="auto"/>
          </w:tcPr>
          <w:p>
            <w:pPr>
              <w:spacing w:after="0"/>
              <w:jc w:val="both"/>
              <w:rPr>
                <w:rFonts w:ascii="Times New Roman" w:eastAsia="Times New Roman" w:hAnsi="Times New Roman" w:cs="Times New Roman"/>
                <w:iCs/>
                <w:noProof/>
              </w:rPr>
            </w:pPr>
            <w:r>
              <w:rPr>
                <w:rFonts w:ascii="Times New Roman" w:hAnsi="Times New Roman"/>
                <w:iCs/>
                <w:noProof/>
              </w:rPr>
              <w:t>Deși majoritatea fondurilor UE pentru asistența umanitară sunt alocate anual, Comisia Europeană a fost promotorul unor „parteneriate programatice” multianuale și multinaționale, inclusiv cu Comitetul Internațional al Crucii Roșii</w:t>
            </w:r>
            <w:r>
              <w:rPr>
                <w:rStyle w:val="FootnoteReference"/>
                <w:rFonts w:ascii="Times New Roman" w:eastAsia="Times New Roman" w:hAnsi="Times New Roman" w:cs="Times New Roman"/>
                <w:iCs/>
                <w:noProof/>
              </w:rPr>
              <w:footnoteReference w:id="28"/>
            </w:r>
            <w:r>
              <w:rPr>
                <w:rFonts w:ascii="Times New Roman" w:hAnsi="Times New Roman"/>
                <w:iCs/>
                <w:noProof/>
              </w:rPr>
              <w:t>. Aceste parteneriate vizează sporirea flexibilității oferite partenerilor din domeniul umanitar și reducerea sarcinii administrative atât pentru partenerii din domeniul umanitar, cât și pentru Comisie, maximizând în același timp impactul finanțării din partea Uniunii și sporind vizibilitatea acesteia. Această abordare-pilot va fi extinsă la entitățile și agențiile ONU, precum și la alte organizații internaționale.</w:t>
            </w:r>
          </w:p>
        </w:tc>
      </w:tr>
    </w:tbl>
    <w:p>
      <w:pPr>
        <w:spacing w:after="0"/>
        <w:jc w:val="both"/>
        <w:rPr>
          <w:rFonts w:ascii="Times New Roman" w:eastAsia="Times New Roman" w:hAnsi="Times New Roman" w:cs="Times New Roman"/>
          <w:i/>
          <w:iCs/>
          <w:noProof/>
          <w:color w:val="000000" w:themeColor="text1"/>
          <w:sz w:val="24"/>
          <w:szCs w:val="24"/>
          <w:lang w:val="fr-BE"/>
        </w:rPr>
      </w:pPr>
    </w:p>
    <w:p>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 xml:space="preserve">La nivel mai general, </w:t>
      </w:r>
      <w:r>
        <w:rPr>
          <w:rFonts w:ascii="Times New Roman" w:hAnsi="Times New Roman"/>
          <w:b/>
          <w:noProof/>
          <w:sz w:val="24"/>
          <w:szCs w:val="24"/>
        </w:rPr>
        <w:t>UE va continua să promoveze dezvoltarea și adoptarea de soluții inovatoare</w:t>
      </w:r>
      <w:r>
        <w:rPr>
          <w:rFonts w:ascii="Times New Roman" w:hAnsi="Times New Roman"/>
          <w:noProof/>
          <w:sz w:val="24"/>
          <w:szCs w:val="24"/>
        </w:rPr>
        <w:t xml:space="preserve"> care asigură un ajutor mai eficient, mai rentabil, mai ecologic și mai rezistent la schimbările climatice</w:t>
      </w:r>
      <w:r>
        <w:rPr>
          <w:rStyle w:val="FootnoteReference"/>
          <w:rFonts w:ascii="Times New Roman" w:eastAsia="Times New Roman" w:hAnsi="Times New Roman" w:cs="Times New Roman"/>
          <w:noProof/>
          <w:sz w:val="24"/>
          <w:szCs w:val="24"/>
        </w:rPr>
        <w:footnoteReference w:id="29"/>
      </w:r>
      <w:r>
        <w:rPr>
          <w:rFonts w:ascii="Times New Roman" w:hAnsi="Times New Roman"/>
          <w:noProof/>
          <w:sz w:val="24"/>
          <w:szCs w:val="24"/>
        </w:rPr>
        <w:t>.</w:t>
      </w:r>
    </w:p>
    <w:p>
      <w:pPr>
        <w:spacing w:after="0" w:line="240" w:lineRule="auto"/>
        <w:jc w:val="both"/>
        <w:rPr>
          <w:rFonts w:ascii="Times New Roman" w:eastAsia="Times New Roman" w:hAnsi="Times New Roman" w:cs="Times New Roman"/>
          <w:noProof/>
          <w:color w:val="000000" w:themeColor="text1"/>
          <w:sz w:val="24"/>
          <w:szCs w:val="24"/>
        </w:rPr>
      </w:pPr>
    </w:p>
    <w:p>
      <w:pPr>
        <w:spacing w:after="0" w:line="240" w:lineRule="auto"/>
        <w:jc w:val="both"/>
        <w:rPr>
          <w:rFonts w:ascii="Times New Roman" w:eastAsia="Times New Roman" w:hAnsi="Times New Roman" w:cs="Times New Roman"/>
          <w:noProof/>
          <w:sz w:val="24"/>
          <w:szCs w:val="24"/>
        </w:rPr>
      </w:pPr>
      <w:r>
        <w:rPr>
          <w:rFonts w:ascii="Times New Roman" w:hAnsi="Times New Roman"/>
          <w:noProof/>
          <w:color w:val="000000" w:themeColor="text1"/>
          <w:sz w:val="24"/>
          <w:szCs w:val="24"/>
        </w:rPr>
        <w:t xml:space="preserve">Utilizarea transferurilor de </w:t>
      </w:r>
      <w:r>
        <w:rPr>
          <w:rFonts w:ascii="Times New Roman" w:hAnsi="Times New Roman"/>
          <w:b/>
          <w:noProof/>
          <w:color w:val="000000" w:themeColor="text1"/>
          <w:sz w:val="24"/>
          <w:szCs w:val="24"/>
        </w:rPr>
        <w:t>numerar</w:t>
      </w:r>
      <w:r>
        <w:rPr>
          <w:rFonts w:ascii="Times New Roman" w:hAnsi="Times New Roman"/>
          <w:noProof/>
          <w:color w:val="000000" w:themeColor="text1"/>
          <w:sz w:val="24"/>
          <w:szCs w:val="24"/>
        </w:rPr>
        <w:t xml:space="preserve"> este acum recunoscută pe scară largă ca fiind cel mai eficient și mai eficace mod de a oferi asistență persoanelor afectate de conflicte sau dezastre. UE și-a asumat un angajament de lungă durată de a oferi asistență în numerar în contexte umanitare, ori de câte ori acest lucru este posibil și adecvat</w:t>
      </w:r>
      <w:r>
        <w:rPr>
          <w:rStyle w:val="FootnoteReference"/>
          <w:rFonts w:ascii="Times New Roman" w:eastAsia="Times New Roman" w:hAnsi="Times New Roman" w:cs="Times New Roman"/>
          <w:noProof/>
          <w:sz w:val="24"/>
          <w:szCs w:val="24"/>
        </w:rPr>
        <w:footnoteReference w:id="30"/>
      </w:r>
      <w:r>
        <w:rPr>
          <w:rFonts w:ascii="Times New Roman" w:hAnsi="Times New Roman"/>
          <w:noProof/>
          <w:sz w:val="24"/>
          <w:szCs w:val="24"/>
        </w:rPr>
        <w:t xml:space="preserve">. De asemenea, a colaborat cu parteneri cheie pentru a se asigura că cel mai mare procent posibil din fondurile prevăzute pentru un program de asistență în numerar ajunge la beneficiarii finali. </w:t>
      </w:r>
    </w:p>
    <w:p>
      <w:pPr>
        <w:spacing w:after="0" w:line="240" w:lineRule="auto"/>
        <w:jc w:val="both"/>
        <w:rPr>
          <w:rFonts w:ascii="Times New Roman" w:eastAsia="Times New Roman" w:hAnsi="Times New Roman" w:cs="Times New Roman"/>
          <w:noProof/>
          <w:sz w:val="24"/>
          <w:szCs w:val="24"/>
        </w:rPr>
      </w:pPr>
    </w:p>
    <w:p>
      <w:pPr>
        <w:spacing w:after="0" w:line="240" w:lineRule="auto"/>
        <w:jc w:val="both"/>
        <w:rPr>
          <w:noProof/>
        </w:rPr>
      </w:pPr>
      <w:r>
        <w:rPr>
          <w:rFonts w:ascii="Times New Roman" w:hAnsi="Times New Roman"/>
          <w:noProof/>
          <w:sz w:val="24"/>
          <w:szCs w:val="24"/>
        </w:rPr>
        <w:t>Mijloacele digitale sunt esențiale pentru efectuarea în siguranță a transferurilor de numerar. Atunci când sunt disponibile, acestea pot juca un rol important în ceea ce privește implementarea sistemului de învățare la distanță pentru educație în situații de urgență, în conformitate cu Planul de acțiune pentru educația digitală</w:t>
      </w:r>
      <w:r>
        <w:rPr>
          <w:rStyle w:val="FootnoteReference"/>
          <w:rFonts w:ascii="Times New Roman" w:eastAsia="Times New Roman" w:hAnsi="Times New Roman" w:cs="Times New Roman"/>
          <w:noProof/>
          <w:sz w:val="24"/>
          <w:szCs w:val="24"/>
        </w:rPr>
        <w:footnoteReference w:id="31"/>
      </w:r>
      <w:r>
        <w:rPr>
          <w:rFonts w:ascii="Times New Roman" w:hAnsi="Times New Roman"/>
          <w:noProof/>
          <w:sz w:val="24"/>
          <w:szCs w:val="24"/>
        </w:rPr>
        <w:t xml:space="preserve">, și activarea sistemelor de alertă timpurie pentru dezastre, pentru monitorizarea strămutărilor și pentru evaluarea nevoilor la distanță. UE va </w:t>
      </w:r>
      <w:r>
        <w:rPr>
          <w:rFonts w:ascii="Times New Roman" w:hAnsi="Times New Roman"/>
          <w:b/>
          <w:noProof/>
          <w:sz w:val="24"/>
          <w:szCs w:val="24"/>
        </w:rPr>
        <w:t>continua</w:t>
      </w:r>
      <w:r>
        <w:rPr>
          <w:rFonts w:ascii="Times New Roman" w:hAnsi="Times New Roman"/>
          <w:noProof/>
          <w:sz w:val="24"/>
          <w:szCs w:val="24"/>
        </w:rPr>
        <w:t xml:space="preserve"> </w:t>
      </w:r>
      <w:r>
        <w:rPr>
          <w:rFonts w:ascii="Times New Roman" w:hAnsi="Times New Roman"/>
          <w:b/>
          <w:bCs/>
          <w:noProof/>
          <w:sz w:val="24"/>
          <w:szCs w:val="24"/>
        </w:rPr>
        <w:t xml:space="preserve">să extindă utilizarea instrumentelor digitale sigure și eficiente </w:t>
      </w:r>
      <w:r>
        <w:rPr>
          <w:rFonts w:ascii="Times New Roman" w:hAnsi="Times New Roman"/>
          <w:noProof/>
          <w:sz w:val="24"/>
          <w:szCs w:val="24"/>
        </w:rPr>
        <w:t xml:space="preserve">în cadrul acțiunilor sale umanitare, în special pentru </w:t>
      </w:r>
      <w:r>
        <w:rPr>
          <w:rFonts w:ascii="Times New Roman" w:hAnsi="Times New Roman"/>
          <w:b/>
          <w:bCs/>
          <w:noProof/>
          <w:sz w:val="24"/>
          <w:szCs w:val="24"/>
        </w:rPr>
        <w:t xml:space="preserve">programele de stabilire a unor plase de siguranță socială receptive la șocuri, </w:t>
      </w:r>
      <w:r>
        <w:rPr>
          <w:rFonts w:ascii="Times New Roman" w:hAnsi="Times New Roman"/>
          <w:bCs/>
          <w:noProof/>
          <w:sz w:val="24"/>
          <w:szCs w:val="24"/>
        </w:rPr>
        <w:t>cum ar fi „plasa de siguranță socială de urgență”</w:t>
      </w:r>
      <w:r>
        <w:rPr>
          <w:rStyle w:val="FootnoteReference"/>
          <w:rFonts w:ascii="Times New Roman" w:hAnsi="Times New Roman" w:cs="Times New Roman"/>
          <w:bCs/>
          <w:noProof/>
          <w:sz w:val="24"/>
          <w:szCs w:val="24"/>
          <w:lang w:val="en-US"/>
        </w:rPr>
        <w:footnoteReference w:id="32"/>
      </w:r>
      <w:r>
        <w:rPr>
          <w:rFonts w:ascii="Times New Roman" w:hAnsi="Times New Roman"/>
          <w:bCs/>
          <w:noProof/>
          <w:sz w:val="24"/>
          <w:szCs w:val="24"/>
        </w:rPr>
        <w:t xml:space="preserve"> din Turcia (cel mai mare program de ajutor umanitar din istoria UE)</w:t>
      </w:r>
      <w:r>
        <w:rPr>
          <w:rFonts w:ascii="Times New Roman" w:hAnsi="Times New Roman"/>
          <w:noProof/>
          <w:sz w:val="24"/>
          <w:szCs w:val="24"/>
        </w:rPr>
        <w:t xml:space="preserve"> și pentru </w:t>
      </w:r>
      <w:r>
        <w:rPr>
          <w:rFonts w:ascii="Times New Roman" w:hAnsi="Times New Roman"/>
          <w:b/>
          <w:bCs/>
          <w:noProof/>
          <w:sz w:val="24"/>
          <w:szCs w:val="24"/>
        </w:rPr>
        <w:t>a permite conectarea beneficiarilor ajutorului umanitar</w:t>
      </w:r>
      <w:r>
        <w:rPr>
          <w:rFonts w:ascii="Times New Roman" w:hAnsi="Times New Roman"/>
          <w:noProof/>
          <w:sz w:val="24"/>
          <w:szCs w:val="24"/>
        </w:rPr>
        <w:t>, cu respectarea deplină a cerințelor de protecție a datelor</w:t>
      </w:r>
      <w:r>
        <w:rPr>
          <w:rStyle w:val="FootnoteReference"/>
          <w:rFonts w:ascii="Times New Roman" w:eastAsiaTheme="minorEastAsia" w:hAnsi="Times New Roman" w:cs="Times New Roman"/>
          <w:noProof/>
          <w:sz w:val="24"/>
          <w:szCs w:val="24"/>
        </w:rPr>
        <w:footnoteReference w:id="33"/>
      </w:r>
      <w:r>
        <w:rPr>
          <w:rFonts w:ascii="Times New Roman" w:hAnsi="Times New Roman"/>
          <w:noProof/>
          <w:sz w:val="24"/>
          <w:szCs w:val="24"/>
        </w:rPr>
        <w:t xml:space="preserve">. </w:t>
      </w:r>
    </w:p>
    <w:p>
      <w:pPr>
        <w:spacing w:after="0"/>
        <w:jc w:val="both"/>
        <w:rPr>
          <w:rFonts w:ascii="Times New Roman" w:eastAsia="Times New Roman" w:hAnsi="Times New Roman" w:cs="Times New Roman"/>
          <w:i/>
          <w:iCs/>
          <w:noProof/>
          <w:color w:val="000000" w:themeColor="text1"/>
          <w:sz w:val="24"/>
          <w:szCs w:val="24"/>
        </w:rPr>
      </w:pPr>
    </w:p>
    <w:p>
      <w:pPr>
        <w:spacing w:after="0"/>
        <w:jc w:val="both"/>
        <w:rPr>
          <w:rFonts w:ascii="Times New Roman" w:eastAsia="Times New Roman" w:hAnsi="Times New Roman" w:cs="Times New Roman"/>
          <w:i/>
          <w:iCs/>
          <w:noProof/>
          <w:color w:val="000000" w:themeColor="text1"/>
          <w:sz w:val="24"/>
          <w:szCs w:val="24"/>
        </w:rPr>
      </w:pPr>
      <w:r>
        <w:rPr>
          <w:rFonts w:ascii="Times New Roman" w:hAnsi="Times New Roman"/>
          <w:i/>
          <w:iCs/>
          <w:noProof/>
          <w:color w:val="000000" w:themeColor="text1"/>
          <w:sz w:val="24"/>
          <w:szCs w:val="24"/>
        </w:rPr>
        <w:t>Sprijin pentru unitățile de intervenție locale</w:t>
      </w:r>
    </w:p>
    <w:p>
      <w:pPr>
        <w:spacing w:after="0" w:line="240" w:lineRule="auto"/>
        <w:jc w:val="both"/>
        <w:rPr>
          <w:rFonts w:ascii="Times New Roman" w:eastAsia="Times New Roman" w:hAnsi="Times New Roman" w:cs="Times New Roman"/>
          <w:bCs/>
          <w:i/>
          <w:noProof/>
          <w:color w:val="000000" w:themeColor="text1"/>
          <w:sz w:val="24"/>
          <w:szCs w:val="24"/>
          <w:lang w:val="fr-BE"/>
        </w:rPr>
      </w:pPr>
    </w:p>
    <w:p>
      <w:pPr>
        <w:pStyle w:val="CommentText"/>
        <w:jc w:val="both"/>
        <w:rPr>
          <w:rFonts w:ascii="Times New Roman" w:eastAsia="Times New Roman" w:hAnsi="Times New Roman" w:cs="Times New Roman"/>
          <w:noProof/>
          <w:sz w:val="24"/>
          <w:szCs w:val="24"/>
        </w:rPr>
      </w:pPr>
      <w:r>
        <w:rPr>
          <w:rFonts w:ascii="Times New Roman" w:hAnsi="Times New Roman"/>
          <w:noProof/>
          <w:color w:val="000000" w:themeColor="text1"/>
          <w:sz w:val="24"/>
          <w:szCs w:val="24"/>
        </w:rPr>
        <w:t xml:space="preserve">Comunitățile și organizațiile locale sunt de obicei primele unități de intervenție în situații de criză, având </w:t>
      </w:r>
      <w:r>
        <w:rPr>
          <w:rFonts w:ascii="Times New Roman" w:hAnsi="Times New Roman"/>
          <w:noProof/>
          <w:sz w:val="24"/>
          <w:szCs w:val="24"/>
        </w:rPr>
        <w:t xml:space="preserve">un rol-cheie în furnizarea de asistență rapidă, de calitate și rentabilă pentru persoanele care au nevoie de aceasta. În timpul pandemiei de COVID-19, actorii locali au fost adesea primii care au intervenit, umplând vidul lăsat de actorii internaționali care au plecat din aceste zone. Pandemia a subliniat, de asemenea, importanța cunoașterii specificului local și a înțelegerii contextuale pentru a asigura că ajutorul este mai ușor acceptat și pentru a accelera capacitatea de intervenție. </w:t>
      </w:r>
    </w:p>
    <w:p>
      <w:pPr>
        <w:pStyle w:val="CommentText"/>
        <w:jc w:val="both"/>
        <w:rPr>
          <w:rFonts w:ascii="Times New Roman" w:eastAsia="Times New Roman" w:hAnsi="Times New Roman" w:cs="Times New Roman"/>
          <w:noProof/>
          <w:sz w:val="24"/>
          <w:szCs w:val="24"/>
        </w:rPr>
      </w:pPr>
      <w:r>
        <w:rPr>
          <w:rFonts w:ascii="Times New Roman" w:hAnsi="Times New Roman"/>
          <w:noProof/>
          <w:sz w:val="24"/>
          <w:szCs w:val="24"/>
        </w:rPr>
        <w:t xml:space="preserve">„Înțelegerea majoră” a inclus un angajament puternic din partea donatorilor și a agențiilor umanitare internaționale de a </w:t>
      </w:r>
      <w:r>
        <w:rPr>
          <w:rFonts w:ascii="Times New Roman" w:hAnsi="Times New Roman"/>
          <w:b/>
          <w:noProof/>
          <w:sz w:val="24"/>
          <w:szCs w:val="24"/>
        </w:rPr>
        <w:t>canaliza mai multe resurse direct către unitățile de intervenție locale</w:t>
      </w:r>
      <w:r>
        <w:rPr>
          <w:rFonts w:ascii="Times New Roman" w:hAnsi="Times New Roman"/>
          <w:noProof/>
          <w:sz w:val="24"/>
          <w:szCs w:val="24"/>
        </w:rPr>
        <w:t xml:space="preserve">. Cu toate acestea, fluxul de finanțare a actorilor locali și a organizațiilor neguvernamentale naționale a fost îngreunat de nevoia mai multor donatori de a concilia acest angajament cu cerințele de reglementare, transparență și responsabilizare, în special în situații de conflict unde monitorizarea financiară ar putea fi o provocare. </w:t>
      </w:r>
    </w:p>
    <w:p>
      <w:pPr>
        <w:pStyle w:val="CommentText"/>
        <w:jc w:val="both"/>
        <w:rPr>
          <w:rFonts w:ascii="Times New Roman" w:eastAsia="Times New Roman" w:hAnsi="Times New Roman" w:cs="Times New Roman"/>
          <w:noProof/>
          <w:sz w:val="24"/>
          <w:szCs w:val="24"/>
        </w:rPr>
      </w:pPr>
      <w:r>
        <w:rPr>
          <w:rFonts w:ascii="Times New Roman" w:hAnsi="Times New Roman"/>
          <w:noProof/>
          <w:sz w:val="24"/>
          <w:szCs w:val="24"/>
        </w:rPr>
        <w:t>Comisia va depune eforturi pentru a intensifica sprijinul UE pentru localizare, ținând seama de specificul țării și al contextului, precum și prin utilizarea unor instrumente diferite în conformitate cu legătura dintre domeniul umanitar, cel al dezvoltării și pace, pe patru axe:</w:t>
      </w:r>
    </w:p>
    <w:p>
      <w:pPr>
        <w:pStyle w:val="CommentText"/>
        <w:numPr>
          <w:ilvl w:val="0"/>
          <w:numId w:val="48"/>
        </w:numPr>
        <w:jc w:val="both"/>
        <w:rPr>
          <w:rFonts w:ascii="Times New Roman" w:eastAsiaTheme="minorEastAsia" w:hAnsi="Times New Roman" w:cs="Times New Roman"/>
          <w:noProof/>
          <w:sz w:val="24"/>
          <w:szCs w:val="24"/>
        </w:rPr>
      </w:pPr>
      <w:r>
        <w:rPr>
          <w:rFonts w:ascii="Times New Roman" w:hAnsi="Times New Roman"/>
          <w:noProof/>
          <w:sz w:val="24"/>
          <w:szCs w:val="24"/>
        </w:rPr>
        <w:t>investiții în consolidarea capacităților locale, pe baza experienței acumulate în cadrul unor inițiative precum</w:t>
      </w:r>
      <w:r>
        <w:rPr>
          <w:rFonts w:ascii="Times New Roman" w:hAnsi="Times New Roman"/>
          <w:iCs/>
          <w:noProof/>
          <w:sz w:val="24"/>
          <w:szCs w:val="24"/>
        </w:rPr>
        <w:t xml:space="preserve"> Fondul pentru inițiative locale din Turcia (LIFT), care oferă sprijin tehnic și financiar unităților de intervenție locale, astfel încât ajutorul să ajungă la refugiați și la comunitățile gazdă</w:t>
      </w:r>
      <w:r>
        <w:rPr>
          <w:rFonts w:ascii="Times New Roman" w:hAnsi="Times New Roman"/>
          <w:noProof/>
          <w:sz w:val="24"/>
          <w:szCs w:val="24"/>
        </w:rPr>
        <w:t xml:space="preserve">; </w:t>
      </w:r>
    </w:p>
    <w:p>
      <w:pPr>
        <w:pStyle w:val="CommentText"/>
        <w:numPr>
          <w:ilvl w:val="0"/>
          <w:numId w:val="48"/>
        </w:numPr>
        <w:jc w:val="both"/>
        <w:rPr>
          <w:rFonts w:ascii="Times New Roman" w:eastAsiaTheme="minorEastAsia" w:hAnsi="Times New Roman" w:cs="Times New Roman"/>
          <w:noProof/>
          <w:sz w:val="24"/>
          <w:szCs w:val="24"/>
        </w:rPr>
      </w:pPr>
      <w:r>
        <w:rPr>
          <w:rFonts w:ascii="Times New Roman" w:hAnsi="Times New Roman"/>
          <w:noProof/>
          <w:sz w:val="24"/>
          <w:szCs w:val="24"/>
        </w:rPr>
        <w:t xml:space="preserve">favorizarea achiziției locale și ecologice de provizii umanitare; </w:t>
      </w:r>
    </w:p>
    <w:p>
      <w:pPr>
        <w:pStyle w:val="CommentText"/>
        <w:numPr>
          <w:ilvl w:val="0"/>
          <w:numId w:val="48"/>
        </w:numPr>
        <w:jc w:val="both"/>
        <w:rPr>
          <w:rFonts w:ascii="Times New Roman" w:eastAsiaTheme="minorEastAsia" w:hAnsi="Times New Roman" w:cs="Times New Roman"/>
          <w:noProof/>
          <w:sz w:val="24"/>
          <w:szCs w:val="24"/>
        </w:rPr>
      </w:pPr>
      <w:r>
        <w:rPr>
          <w:rFonts w:ascii="Times New Roman" w:hAnsi="Times New Roman"/>
          <w:noProof/>
          <w:sz w:val="24"/>
          <w:szCs w:val="24"/>
        </w:rPr>
        <w:t xml:space="preserve">sprijinirea modelelor de finanțare localizate, cum ar fi mecanismele de finanțare comune cu donatori multipli, cu un accent puternic pe unitățile de intervenție locale; </w:t>
      </w:r>
    </w:p>
    <w:p>
      <w:pPr>
        <w:pStyle w:val="CommentText"/>
        <w:numPr>
          <w:ilvl w:val="0"/>
          <w:numId w:val="48"/>
        </w:numPr>
        <w:jc w:val="both"/>
        <w:rPr>
          <w:rFonts w:ascii="Times New Roman" w:eastAsiaTheme="minorEastAsia" w:hAnsi="Times New Roman" w:cs="Times New Roman"/>
          <w:noProof/>
          <w:sz w:val="24"/>
          <w:szCs w:val="24"/>
        </w:rPr>
      </w:pPr>
      <w:r>
        <w:rPr>
          <w:rFonts w:ascii="Times New Roman" w:hAnsi="Times New Roman"/>
          <w:noProof/>
          <w:sz w:val="24"/>
          <w:szCs w:val="24"/>
        </w:rPr>
        <w:t xml:space="preserve">încurajarea stabilirii de consorții bazate pe parteneriate egale, responsabilități și finanțare comune între actorii internaționali și locali. </w:t>
      </w:r>
    </w:p>
    <w:p>
      <w:pPr>
        <w:pStyle w:val="CommentText"/>
        <w:ind w:left="720"/>
        <w:jc w:val="both"/>
        <w:rPr>
          <w:rFonts w:ascii="Times New Roman" w:eastAsiaTheme="minorEastAsia" w:hAnsi="Times New Roman" w:cs="Times New Roman"/>
          <w:noProof/>
          <w:sz w:val="24"/>
          <w:szCs w:val="24"/>
        </w:rPr>
      </w:pPr>
    </w:p>
    <w:tbl>
      <w:tblPr>
        <w:tblStyle w:val="TableGrid"/>
        <w:tblW w:w="0" w:type="auto"/>
        <w:shd w:val="pct10" w:color="auto" w:fill="auto"/>
        <w:tblLook w:val="04A0" w:firstRow="1" w:lastRow="0" w:firstColumn="1" w:lastColumn="0" w:noHBand="0" w:noVBand="1"/>
      </w:tblPr>
      <w:tblGrid>
        <w:gridCol w:w="9242"/>
      </w:tblGrid>
      <w:tr>
        <w:tc>
          <w:tcPr>
            <w:tcW w:w="9242" w:type="dxa"/>
            <w:shd w:val="pct10" w:color="auto" w:fill="auto"/>
          </w:tcPr>
          <w:p>
            <w:pPr>
              <w:pStyle w:val="CommentText"/>
              <w:jc w:val="both"/>
              <w:rPr>
                <w:rFonts w:ascii="Times New Roman" w:eastAsia="Times New Roman" w:hAnsi="Times New Roman" w:cs="Times New Roman"/>
                <w:noProof/>
                <w:sz w:val="24"/>
                <w:szCs w:val="24"/>
              </w:rPr>
            </w:pPr>
            <w:r>
              <w:rPr>
                <w:rFonts w:ascii="Times New Roman" w:hAnsi="Times New Roman"/>
                <w:iCs/>
                <w:noProof/>
                <w:sz w:val="22"/>
              </w:rPr>
              <w:t>În conformitate cu angajamentele asumate prin „înțelegerea majoră”, UE contribuie la fondurile comune naționale gestionate de ONU</w:t>
            </w:r>
            <w:r>
              <w:rPr>
                <w:rStyle w:val="FootnoteReference"/>
                <w:rFonts w:ascii="Times New Roman" w:eastAsia="Times New Roman" w:hAnsi="Times New Roman" w:cs="Times New Roman"/>
                <w:iCs/>
                <w:noProof/>
                <w:sz w:val="22"/>
              </w:rPr>
              <w:footnoteReference w:id="34"/>
            </w:r>
            <w:r>
              <w:rPr>
                <w:rFonts w:ascii="Times New Roman" w:hAnsi="Times New Roman"/>
                <w:iCs/>
                <w:noProof/>
                <w:sz w:val="22"/>
              </w:rPr>
              <w:t xml:space="preserve"> în Sudanul de Sud și Ucraina, pe baza unor proiecte-pilot. Aceste fonduri permit donatorilor internaționali să sprijine în mod indirect organizațiile neguvernamentale locale și naționale, inclusiv prin promovarea participării acestora la mecanismele naționale de coordonare umanitară.</w:t>
            </w:r>
          </w:p>
        </w:tc>
      </w:tr>
    </w:tbl>
    <w:p>
      <w:pPr>
        <w:pStyle w:val="CommentText"/>
        <w:jc w:val="both"/>
        <w:rPr>
          <w:rFonts w:ascii="Times New Roman" w:eastAsia="Times New Roman" w:hAnsi="Times New Roman" w:cs="Times New Roman"/>
          <w:noProof/>
          <w:sz w:val="24"/>
          <w:szCs w:val="24"/>
        </w:rPr>
      </w:pPr>
    </w:p>
    <w:p>
      <w:pPr>
        <w:pStyle w:val="CommentText"/>
        <w:jc w:val="both"/>
        <w:rPr>
          <w:rFonts w:ascii="Times New Roman" w:eastAsia="Times New Roman" w:hAnsi="Times New Roman" w:cs="Times New Roman"/>
          <w:noProof/>
          <w:sz w:val="24"/>
          <w:szCs w:val="24"/>
        </w:rPr>
      </w:pPr>
    </w:p>
    <w:tbl>
      <w:tblPr>
        <w:tblStyle w:val="TableGrid"/>
        <w:tblW w:w="0" w:type="auto"/>
        <w:tblLook w:val="04A0" w:firstRow="1" w:lastRow="0" w:firstColumn="1" w:lastColumn="0" w:noHBand="0" w:noVBand="1"/>
      </w:tblPr>
      <w:tblGrid>
        <w:gridCol w:w="9242"/>
      </w:tblGrid>
      <w:tr>
        <w:tc>
          <w:tcPr>
            <w:tcW w:w="9242" w:type="dxa"/>
          </w:tcPr>
          <w:p>
            <w:pPr>
              <w:rPr>
                <w:rFonts w:ascii="Times New Roman" w:eastAsia="Times New Roman" w:hAnsi="Times New Roman" w:cs="Times New Roman"/>
                <w:i/>
                <w:iCs/>
                <w:noProof/>
                <w:sz w:val="24"/>
                <w:szCs w:val="24"/>
              </w:rPr>
            </w:pPr>
            <w:r>
              <w:rPr>
                <w:rFonts w:ascii="Times New Roman" w:hAnsi="Times New Roman"/>
                <w:b/>
                <w:i/>
                <w:iCs/>
                <w:noProof/>
                <w:sz w:val="24"/>
                <w:szCs w:val="24"/>
              </w:rPr>
              <w:t>Obiectiv:</w:t>
            </w:r>
            <w:r>
              <w:rPr>
                <w:rFonts w:ascii="Times New Roman" w:hAnsi="Times New Roman"/>
                <w:i/>
                <w:iCs/>
                <w:noProof/>
                <w:sz w:val="24"/>
                <w:szCs w:val="24"/>
              </w:rPr>
              <w:t xml:space="preserve"> promovarea unor acțiuni umanitare și mecanisme de finanțare flexibile și eficiente.</w:t>
            </w:r>
          </w:p>
          <w:p>
            <w:pPr>
              <w:jc w:val="both"/>
              <w:rPr>
                <w:rFonts w:ascii="Times New Roman" w:eastAsiaTheme="minorEastAsia" w:hAnsi="Times New Roman" w:cs="Times New Roman"/>
                <w:i/>
                <w:iCs/>
                <w:noProof/>
                <w:sz w:val="24"/>
                <w:szCs w:val="24"/>
              </w:rPr>
            </w:pPr>
          </w:p>
          <w:p>
            <w:pPr>
              <w:jc w:val="both"/>
              <w:rPr>
                <w:rFonts w:ascii="Times New Roman" w:eastAsiaTheme="minorEastAsia" w:hAnsi="Times New Roman" w:cs="Times New Roman"/>
                <w:b/>
                <w:i/>
                <w:iCs/>
                <w:noProof/>
                <w:sz w:val="24"/>
                <w:szCs w:val="24"/>
              </w:rPr>
            </w:pPr>
            <w:r>
              <w:rPr>
                <w:rFonts w:ascii="Times New Roman" w:hAnsi="Times New Roman"/>
                <w:b/>
                <w:i/>
                <w:iCs/>
                <w:noProof/>
                <w:sz w:val="24"/>
                <w:szCs w:val="24"/>
              </w:rPr>
              <w:t>Acțiuni-cheie:</w:t>
            </w:r>
          </w:p>
          <w:p>
            <w:pPr>
              <w:pStyle w:val="ListParagraph"/>
              <w:numPr>
                <w:ilvl w:val="0"/>
                <w:numId w:val="2"/>
              </w:numPr>
              <w:jc w:val="both"/>
              <w:rPr>
                <w:rFonts w:ascii="Times New Roman" w:eastAsiaTheme="minorEastAsia" w:hAnsi="Times New Roman" w:cs="Times New Roman"/>
                <w:i/>
                <w:iCs/>
                <w:noProof/>
                <w:sz w:val="24"/>
                <w:szCs w:val="24"/>
              </w:rPr>
            </w:pPr>
            <w:r>
              <w:rPr>
                <w:rFonts w:ascii="Times New Roman" w:hAnsi="Times New Roman"/>
                <w:i/>
                <w:iCs/>
                <w:noProof/>
                <w:sz w:val="24"/>
                <w:szCs w:val="24"/>
              </w:rPr>
              <w:t>Extinderea acordurilor de finanțare multianuale și flexibile cu partenerii din domeniul umanitar</w:t>
            </w:r>
            <w:r>
              <w:rPr>
                <w:noProof/>
              </w:rPr>
              <w:t xml:space="preserve"> </w:t>
            </w:r>
            <w:r>
              <w:rPr>
                <w:rFonts w:ascii="Times New Roman" w:hAnsi="Times New Roman"/>
                <w:i/>
                <w:iCs/>
                <w:noProof/>
                <w:sz w:val="24"/>
                <w:szCs w:val="24"/>
              </w:rPr>
              <w:t>– stabilind legătura cu instrumentele de dezvoltare, ori de câte ori poate fi preconizată o abordare corelată – și simplificarea/armonizarea cerințelor de raportare în conformitate cu „înțelegerea majoră”, asigurând în același timp că evaluările nevoilor se coordonează între agenții și că responsabilizarea, eficiența și vizibilitatea sprijinului oferit de UE sunt consolidate.</w:t>
            </w:r>
          </w:p>
          <w:p>
            <w:pPr>
              <w:pStyle w:val="ListParagraph"/>
              <w:numPr>
                <w:ilvl w:val="0"/>
                <w:numId w:val="2"/>
              </w:numPr>
              <w:jc w:val="both"/>
              <w:rPr>
                <w:rFonts w:ascii="Times New Roman" w:eastAsiaTheme="minorEastAsia" w:hAnsi="Times New Roman" w:cs="Times New Roman"/>
                <w:i/>
                <w:iCs/>
                <w:noProof/>
                <w:sz w:val="24"/>
                <w:szCs w:val="24"/>
              </w:rPr>
            </w:pPr>
            <w:r>
              <w:rPr>
                <w:rFonts w:ascii="Times New Roman" w:hAnsi="Times New Roman"/>
                <w:i/>
                <w:iCs/>
                <w:noProof/>
                <w:sz w:val="24"/>
                <w:szCs w:val="24"/>
              </w:rPr>
              <w:t>Intensificarea sprijinului oferit de UE unităților de intervenție locale, inclusiv prin utilizarea extinsă a fondurilor comune naționale și a altor mecanisme de finanțare care acordă prioritate actorilor locali.</w:t>
            </w:r>
          </w:p>
          <w:p>
            <w:pPr>
              <w:pStyle w:val="ListParagraph"/>
              <w:numPr>
                <w:ilvl w:val="0"/>
                <w:numId w:val="2"/>
              </w:numPr>
              <w:jc w:val="both"/>
              <w:rPr>
                <w:rFonts w:ascii="Times New Roman" w:eastAsiaTheme="minorEastAsia" w:hAnsi="Times New Roman" w:cs="Times New Roman"/>
                <w:i/>
                <w:iCs/>
                <w:noProof/>
                <w:sz w:val="24"/>
                <w:szCs w:val="24"/>
              </w:rPr>
            </w:pPr>
            <w:r>
              <w:rPr>
                <w:rFonts w:ascii="Times New Roman" w:hAnsi="Times New Roman"/>
                <w:i/>
                <w:iCs/>
                <w:noProof/>
                <w:sz w:val="24"/>
                <w:szCs w:val="24"/>
              </w:rPr>
              <w:t>Elaborarea de orientări privind promovarea parteneriatelor egale cu actorii locali.</w:t>
            </w:r>
          </w:p>
          <w:p>
            <w:pPr>
              <w:pStyle w:val="ListParagraph"/>
              <w:numPr>
                <w:ilvl w:val="0"/>
                <w:numId w:val="2"/>
              </w:numPr>
              <w:jc w:val="both"/>
              <w:rPr>
                <w:rFonts w:ascii="Times New Roman" w:eastAsiaTheme="minorEastAsia" w:hAnsi="Times New Roman" w:cs="Times New Roman"/>
                <w:i/>
                <w:iCs/>
                <w:noProof/>
                <w:sz w:val="24"/>
                <w:szCs w:val="24"/>
              </w:rPr>
            </w:pPr>
            <w:r>
              <w:rPr>
                <w:rFonts w:ascii="Times New Roman" w:hAnsi="Times New Roman"/>
                <w:i/>
                <w:iCs/>
                <w:noProof/>
                <w:sz w:val="24"/>
                <w:szCs w:val="24"/>
              </w:rPr>
              <w:t>Încurajarea utilizării în continuare a instrumentelor digitale de către partenerii din domeniul umanitar, inclusiv prin activități comune pentru crearea unui mediu favorabil.</w:t>
            </w:r>
          </w:p>
          <w:p>
            <w:pPr>
              <w:pStyle w:val="ListParagraph"/>
              <w:numPr>
                <w:ilvl w:val="0"/>
                <w:numId w:val="2"/>
              </w:numPr>
              <w:jc w:val="both"/>
              <w:rPr>
                <w:rFonts w:ascii="Times New Roman" w:eastAsiaTheme="minorEastAsia" w:hAnsi="Times New Roman" w:cs="Times New Roman"/>
                <w:i/>
                <w:iCs/>
                <w:noProof/>
                <w:sz w:val="24"/>
                <w:szCs w:val="24"/>
              </w:rPr>
            </w:pPr>
            <w:r>
              <w:rPr>
                <w:rFonts w:ascii="Times New Roman" w:hAnsi="Times New Roman"/>
                <w:i/>
                <w:iCs/>
                <w:noProof/>
                <w:sz w:val="24"/>
                <w:szCs w:val="24"/>
              </w:rPr>
              <w:t>Elaborarea de orientări specifice privind extinderea utilizării banilor electronici și asigurarea accesului beneficiarilor ajutorului umanitar la soluții digitale în contextul revizuirii politicii tematice a UE privind transferurile de numerar.</w:t>
            </w:r>
          </w:p>
          <w:p>
            <w:pPr>
              <w:pStyle w:val="ListParagraph"/>
              <w:numPr>
                <w:ilvl w:val="0"/>
                <w:numId w:val="2"/>
              </w:numPr>
              <w:jc w:val="both"/>
              <w:rPr>
                <w:rFonts w:ascii="Times New Roman" w:eastAsia="Times New Roman" w:hAnsi="Times New Roman" w:cs="Times New Roman"/>
                <w:i/>
                <w:iCs/>
                <w:noProof/>
                <w:color w:val="000000" w:themeColor="text1"/>
                <w:sz w:val="24"/>
                <w:szCs w:val="24"/>
              </w:rPr>
            </w:pPr>
            <w:r>
              <w:rPr>
                <w:rFonts w:ascii="Times New Roman" w:hAnsi="Times New Roman"/>
                <w:i/>
                <w:iCs/>
                <w:noProof/>
                <w:sz w:val="24"/>
                <w:szCs w:val="24"/>
              </w:rPr>
              <w:t xml:space="preserve">Sprijinirea, extinderea și promovarea investițiilor în </w:t>
            </w:r>
            <w:r>
              <w:rPr>
                <w:rFonts w:ascii="Times New Roman" w:hAnsi="Times New Roman"/>
                <w:i/>
                <w:noProof/>
                <w:sz w:val="24"/>
                <w:szCs w:val="24"/>
              </w:rPr>
              <w:t>soluții cu eficiență dovedită, eficiente din punct de vedere al costurilor și bazate pe tehnologie pentru acordarea ajutorului umanitar, inspirate, de asemenea, de exemplul premiilor Consiliului European pentru Inovare din 2020</w:t>
            </w:r>
            <w:r>
              <w:rPr>
                <w:rStyle w:val="FootnoteReference"/>
                <w:rFonts w:ascii="Times New Roman" w:eastAsia="Times New Roman" w:hAnsi="Times New Roman" w:cs="Times New Roman"/>
                <w:i/>
                <w:noProof/>
                <w:sz w:val="24"/>
                <w:szCs w:val="24"/>
              </w:rPr>
              <w:footnoteReference w:id="35"/>
            </w:r>
            <w:r>
              <w:rPr>
                <w:rFonts w:ascii="Times New Roman" w:hAnsi="Times New Roman"/>
                <w:i/>
                <w:noProof/>
                <w:sz w:val="24"/>
                <w:szCs w:val="24"/>
              </w:rPr>
              <w:t>.</w:t>
            </w:r>
          </w:p>
        </w:tc>
      </w:tr>
    </w:tbl>
    <w:p>
      <w:pPr>
        <w:spacing w:after="0" w:line="240" w:lineRule="auto"/>
        <w:jc w:val="both"/>
        <w:rPr>
          <w:rFonts w:ascii="Times New Roman" w:eastAsia="Times New Roman" w:hAnsi="Times New Roman" w:cs="Times New Roman"/>
          <w:b/>
          <w:noProof/>
          <w:color w:val="000000" w:themeColor="text1"/>
          <w:sz w:val="24"/>
          <w:szCs w:val="24"/>
        </w:rPr>
      </w:pPr>
    </w:p>
    <w:p>
      <w:pPr>
        <w:spacing w:after="0" w:line="240" w:lineRule="auto"/>
        <w:jc w:val="both"/>
        <w:rPr>
          <w:rFonts w:ascii="Times New Roman" w:eastAsia="Times New Roman" w:hAnsi="Times New Roman" w:cs="Times New Roman"/>
          <w:b/>
          <w:noProof/>
          <w:color w:val="000000" w:themeColor="text1"/>
          <w:sz w:val="24"/>
          <w:szCs w:val="24"/>
        </w:rPr>
      </w:pPr>
    </w:p>
    <w:p>
      <w:pPr>
        <w:spacing w:after="0" w:line="240" w:lineRule="auto"/>
        <w:jc w:val="both"/>
        <w:rPr>
          <w:b/>
          <w:noProof/>
        </w:rPr>
      </w:pPr>
      <w:r>
        <w:rPr>
          <w:rFonts w:ascii="Times New Roman" w:hAnsi="Times New Roman"/>
          <w:b/>
          <w:noProof/>
          <w:color w:val="000000" w:themeColor="text1"/>
          <w:sz w:val="24"/>
          <w:szCs w:val="24"/>
        </w:rPr>
        <w:t>3.2</w:t>
      </w:r>
      <w:r>
        <w:rPr>
          <w:rFonts w:ascii="Times New Roman" w:hAnsi="Times New Roman"/>
          <w:b/>
          <w:i/>
          <w:iCs/>
          <w:noProof/>
          <w:color w:val="000000" w:themeColor="text1"/>
          <w:sz w:val="24"/>
          <w:szCs w:val="24"/>
        </w:rPr>
        <w:t xml:space="preserve"> </w:t>
      </w:r>
      <w:r>
        <w:rPr>
          <w:rFonts w:ascii="Times New Roman" w:hAnsi="Times New Roman"/>
          <w:b/>
          <w:noProof/>
          <w:color w:val="000000" w:themeColor="text1"/>
          <w:sz w:val="24"/>
          <w:szCs w:val="24"/>
        </w:rPr>
        <w:t>Acoperirea lacunelor: o capacitate de răspuns umanitar european</w:t>
      </w:r>
      <w:r>
        <w:rPr>
          <w:rFonts w:ascii="Times New Roman" w:hAnsi="Times New Roman"/>
          <w:b/>
          <w:noProof/>
          <w:sz w:val="24"/>
          <w:szCs w:val="24"/>
        </w:rPr>
        <w:t xml:space="preserve"> </w:t>
      </w:r>
    </w:p>
    <w:p>
      <w:pPr>
        <w:spacing w:after="0" w:line="240" w:lineRule="auto"/>
        <w:jc w:val="both"/>
        <w:rPr>
          <w:rFonts w:ascii="Times New Roman" w:eastAsia="Times New Roman" w:hAnsi="Times New Roman" w:cs="Times New Roman"/>
          <w:noProof/>
          <w:color w:val="000000" w:themeColor="text1"/>
          <w:sz w:val="24"/>
          <w:szCs w:val="24"/>
        </w:rPr>
      </w:pPr>
    </w:p>
    <w:p>
      <w:pPr>
        <w:spacing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În timp ce ajutorul umanitar al UE va continua să fie furnizat de partenerii acesteia din domeniul umanitar, </w:t>
      </w:r>
      <w:r>
        <w:rPr>
          <w:rFonts w:ascii="Times New Roman" w:hAnsi="Times New Roman"/>
          <w:b/>
          <w:noProof/>
          <w:color w:val="000000" w:themeColor="text1"/>
          <w:sz w:val="24"/>
          <w:szCs w:val="24"/>
        </w:rPr>
        <w:t>pot exista situații în care intervenția directă a UE aduce o valoare adăugată evidentă</w:t>
      </w:r>
      <w:r>
        <w:rPr>
          <w:rFonts w:ascii="Times New Roman" w:hAnsi="Times New Roman"/>
          <w:noProof/>
          <w:color w:val="000000" w:themeColor="text1"/>
          <w:sz w:val="24"/>
          <w:szCs w:val="24"/>
        </w:rPr>
        <w:t>, de exemplu pentru a completa o lacună temporară atunci când capacitățile disponibile ale organizațiilor umanitare sau ale autorităților naționale sunt ineficace sau lipsesc</w:t>
      </w:r>
      <w:r>
        <w:rPr>
          <w:rStyle w:val="FootnoteReference"/>
          <w:rFonts w:ascii="Times New Roman" w:eastAsia="Times New Roman" w:hAnsi="Times New Roman" w:cs="Times New Roman"/>
          <w:noProof/>
          <w:color w:val="000000" w:themeColor="text1"/>
          <w:sz w:val="24"/>
          <w:szCs w:val="24"/>
          <w:lang w:val="en-IE"/>
        </w:rPr>
        <w:footnoteReference w:id="36"/>
      </w:r>
      <w:r>
        <w:rPr>
          <w:rFonts w:ascii="Times New Roman" w:hAnsi="Times New Roman"/>
          <w:noProof/>
          <w:color w:val="000000" w:themeColor="text1"/>
          <w:sz w:val="24"/>
          <w:szCs w:val="24"/>
        </w:rPr>
        <w:t xml:space="preserve">. În astfel de cazuri, o </w:t>
      </w:r>
      <w:r>
        <w:rPr>
          <w:rFonts w:ascii="Times New Roman" w:hAnsi="Times New Roman"/>
          <w:b/>
          <w:bCs/>
          <w:noProof/>
          <w:color w:val="000000" w:themeColor="text1"/>
          <w:sz w:val="24"/>
          <w:szCs w:val="24"/>
        </w:rPr>
        <w:t>capacitate de răspuns umanitar european</w:t>
      </w:r>
      <w:r>
        <w:rPr>
          <w:rFonts w:ascii="Times New Roman" w:hAnsi="Times New Roman"/>
          <w:noProof/>
          <w:color w:val="000000" w:themeColor="text1"/>
          <w:sz w:val="24"/>
          <w:szCs w:val="24"/>
        </w:rPr>
        <w:t xml:space="preserve">, în conformitate cu Regulamentul </w:t>
      </w:r>
      <w:r>
        <w:rPr>
          <w:rFonts w:ascii="Times New Roman" w:hAnsi="Times New Roman"/>
          <w:bCs/>
          <w:noProof/>
          <w:color w:val="000000" w:themeColor="text1"/>
          <w:sz w:val="24"/>
          <w:szCs w:val="24"/>
        </w:rPr>
        <w:t xml:space="preserve">UE </w:t>
      </w:r>
      <w:r>
        <w:rPr>
          <w:rFonts w:ascii="Times New Roman" w:hAnsi="Times New Roman"/>
          <w:noProof/>
          <w:color w:val="000000" w:themeColor="text1"/>
          <w:sz w:val="24"/>
          <w:szCs w:val="24"/>
        </w:rPr>
        <w:t xml:space="preserve">privind ajutorul umanitar și finanțată din bugetul pentru ajutor umanitar al UE, ar permite Uniunii Europene să sprijine statele membre și partenerii acesteia din domeniul umanitar în furnizarea rapidă a asistenței. </w:t>
      </w:r>
    </w:p>
    <w:p>
      <w:pPr>
        <w:spacing w:after="0" w:line="240" w:lineRule="auto"/>
        <w:jc w:val="both"/>
        <w:rPr>
          <w:rFonts w:ascii="Times New Roman" w:eastAsia="Times New Roman" w:hAnsi="Times New Roman" w:cs="Times New Roman"/>
          <w:noProof/>
          <w:color w:val="000000" w:themeColor="text1"/>
          <w:sz w:val="24"/>
          <w:szCs w:val="24"/>
        </w:rPr>
      </w:pPr>
    </w:p>
    <w:p>
      <w:pPr>
        <w:spacing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Această capacitate se va baza pe experiența acumulată în timpul pandemiei de COVID-19, inclusiv utilizarea zborurilor de repatriere pentru transportul ajutoarelor umanitare și crearea podului aerian umanitar al UE</w:t>
      </w:r>
      <w:r>
        <w:rPr>
          <w:rStyle w:val="FootnoteReference"/>
          <w:rFonts w:ascii="Times New Roman" w:eastAsia="Times New Roman" w:hAnsi="Times New Roman" w:cs="Times New Roman"/>
          <w:noProof/>
          <w:color w:val="000000" w:themeColor="text1"/>
          <w:sz w:val="24"/>
          <w:szCs w:val="24"/>
          <w:lang w:val="en-US"/>
        </w:rPr>
        <w:footnoteReference w:id="37"/>
      </w:r>
      <w:r>
        <w:rPr>
          <w:rFonts w:ascii="Times New Roman" w:hAnsi="Times New Roman"/>
          <w:noProof/>
          <w:color w:val="000000" w:themeColor="text1"/>
          <w:sz w:val="24"/>
          <w:szCs w:val="24"/>
        </w:rPr>
        <w:t xml:space="preserve">, în cadrul unei abordări „Echipa Europa”, pentru a sprijini acordarea de ajutor umanitar esențial. </w:t>
      </w:r>
    </w:p>
    <w:p>
      <w:pPr>
        <w:spacing w:after="0" w:line="240" w:lineRule="auto"/>
        <w:jc w:val="both"/>
        <w:rPr>
          <w:rFonts w:ascii="Times New Roman" w:eastAsia="Times New Roman" w:hAnsi="Times New Roman" w:cs="Times New Roman"/>
          <w:noProof/>
          <w:color w:val="000000" w:themeColor="text1"/>
          <w:sz w:val="24"/>
          <w:szCs w:val="24"/>
        </w:rPr>
      </w:pPr>
    </w:p>
    <w:tbl>
      <w:tblPr>
        <w:tblStyle w:val="TableGrid"/>
        <w:tblW w:w="0" w:type="auto"/>
        <w:shd w:val="pct10" w:color="auto" w:fill="auto"/>
        <w:tblLook w:val="04A0" w:firstRow="1" w:lastRow="0" w:firstColumn="1" w:lastColumn="0" w:noHBand="0" w:noVBand="1"/>
      </w:tblPr>
      <w:tblGrid>
        <w:gridCol w:w="9242"/>
      </w:tblGrid>
      <w:tr>
        <w:tc>
          <w:tcPr>
            <w:tcW w:w="9242" w:type="dxa"/>
            <w:shd w:val="pct10" w:color="auto" w:fill="auto"/>
          </w:tcPr>
          <w:p>
            <w:pPr>
              <w:jc w:val="both"/>
              <w:rPr>
                <w:rFonts w:ascii="Times New Roman" w:eastAsia="Times New Roman" w:hAnsi="Times New Roman" w:cs="Times New Roman"/>
                <w:noProof/>
                <w:color w:val="000000" w:themeColor="text1"/>
                <w:sz w:val="24"/>
                <w:szCs w:val="24"/>
              </w:rPr>
            </w:pPr>
            <w:r>
              <w:rPr>
                <w:rFonts w:ascii="Times New Roman" w:hAnsi="Times New Roman"/>
                <w:iCs/>
                <w:noProof/>
                <w:color w:val="000000" w:themeColor="text1"/>
              </w:rPr>
              <w:t xml:space="preserve">În perioada mai-octombrie 2020, UE a efectuat cu succes 67 de operațiuni în cadrul </w:t>
            </w:r>
            <w:r>
              <w:rPr>
                <w:rFonts w:ascii="Times New Roman" w:hAnsi="Times New Roman"/>
                <w:b/>
                <w:bCs/>
                <w:iCs/>
                <w:noProof/>
                <w:color w:val="000000" w:themeColor="text1"/>
              </w:rPr>
              <w:t>podului aerian umanitar</w:t>
            </w:r>
            <w:r>
              <w:rPr>
                <w:rFonts w:ascii="Times New Roman" w:hAnsi="Times New Roman"/>
                <w:iCs/>
                <w:noProof/>
                <w:color w:val="000000" w:themeColor="text1"/>
              </w:rPr>
              <w:t xml:space="preserve"> în 20 de țări de pe patru continente. În cadrul acestei inițiative, finanțate din bugetul pentru ajutor umanitar al UE, au fost transportate 1 150 de tone de ajutoare umanitare și medicale esențiale și 1 700 de membri ai personalului medical și lucrători umanitari, precum și alți pasageri. </w:t>
            </w:r>
          </w:p>
        </w:tc>
      </w:tr>
    </w:tbl>
    <w:p>
      <w:pPr>
        <w:spacing w:after="0" w:line="240" w:lineRule="auto"/>
        <w:rPr>
          <w:rFonts w:ascii="Times New Roman" w:eastAsia="Times New Roman" w:hAnsi="Times New Roman" w:cs="Times New Roman"/>
          <w:noProof/>
          <w:color w:val="000000" w:themeColor="text1"/>
          <w:sz w:val="24"/>
          <w:szCs w:val="24"/>
        </w:rPr>
      </w:pPr>
    </w:p>
    <w:p>
      <w:pPr>
        <w:spacing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Această capacitate va funcționa în complementaritate cu </w:t>
      </w:r>
      <w:r>
        <w:rPr>
          <w:rFonts w:ascii="Times New Roman" w:hAnsi="Times New Roman"/>
          <w:b/>
          <w:bCs/>
          <w:noProof/>
          <w:color w:val="000000" w:themeColor="text1"/>
          <w:sz w:val="24"/>
          <w:szCs w:val="24"/>
        </w:rPr>
        <w:t>mecanismul de protecție civilă al Uniunii</w:t>
      </w:r>
      <w:r>
        <w:rPr>
          <w:rFonts w:ascii="Times New Roman" w:hAnsi="Times New Roman"/>
          <w:noProof/>
          <w:color w:val="000000" w:themeColor="text1"/>
          <w:sz w:val="24"/>
          <w:szCs w:val="24"/>
        </w:rPr>
        <w:t xml:space="preserve"> și</w:t>
      </w:r>
      <w:r>
        <w:rPr>
          <w:rFonts w:ascii="Times New Roman" w:hAnsi="Times New Roman"/>
          <w:noProof/>
          <w:sz w:val="24"/>
          <w:szCs w:val="24"/>
        </w:rPr>
        <w:t xml:space="preserve"> se va baza pe disponibilitatea operațională a </w:t>
      </w:r>
      <w:r>
        <w:rPr>
          <w:rFonts w:ascii="Times New Roman" w:hAnsi="Times New Roman"/>
          <w:b/>
          <w:bCs/>
          <w:noProof/>
          <w:sz w:val="24"/>
          <w:szCs w:val="24"/>
        </w:rPr>
        <w:t>Centrului UE de coordonare a răspunsului la situații de urgență</w:t>
      </w:r>
      <w:r>
        <w:rPr>
          <w:rStyle w:val="FootnoteReference"/>
          <w:rFonts w:ascii="Times New Roman" w:eastAsia="Times New Roman" w:hAnsi="Times New Roman" w:cs="Times New Roman"/>
          <w:noProof/>
          <w:sz w:val="24"/>
          <w:szCs w:val="24"/>
          <w:lang w:val="en-US"/>
        </w:rPr>
        <w:footnoteReference w:id="38"/>
      </w:r>
      <w:r>
        <w:rPr>
          <w:rFonts w:ascii="Times New Roman" w:hAnsi="Times New Roman"/>
          <w:noProof/>
          <w:color w:val="000000" w:themeColor="text1"/>
          <w:sz w:val="24"/>
          <w:szCs w:val="24"/>
        </w:rPr>
        <w:t xml:space="preserve">. Aceasta va viza continuarea acțiunilor umanitare ale partenerilor și ale statelor membre ale UE și va fi pusă în aplicare în strânsă coordonare cu acestea din urmă. Acolo unde este necesar, această capacitate va avea ca scop </w:t>
      </w:r>
      <w:r>
        <w:rPr>
          <w:rFonts w:ascii="Times New Roman" w:hAnsi="Times New Roman"/>
          <w:noProof/>
          <w:sz w:val="24"/>
          <w:szCs w:val="24"/>
        </w:rPr>
        <w:t xml:space="preserve">facilitarea logisticii, inclusiv transportul, </w:t>
      </w:r>
      <w:r>
        <w:rPr>
          <w:rFonts w:ascii="Times New Roman" w:hAnsi="Times New Roman"/>
          <w:noProof/>
          <w:color w:val="000000" w:themeColor="text1"/>
          <w:sz w:val="24"/>
          <w:szCs w:val="24"/>
        </w:rPr>
        <w:t>permițând punerea în comun a resurselor și facilitând mobilizarea acestora și operațiunile inițiale pe teren. Ar putea, de exemplu, să asigure evaluări logistice, sprijin pentru desfășurarea inițială, sprijin pentru achiziția, depozitarea, transportul și/sau distribuția ajutoarelor, inclusiv a vaccinurilor împotriva COVID-19 și livrarea acestora în țări fragile</w:t>
      </w:r>
      <w:r>
        <w:rPr>
          <w:rStyle w:val="FootnoteReference"/>
          <w:rFonts w:ascii="Times New Roman" w:eastAsia="Times New Roman" w:hAnsi="Times New Roman" w:cs="Times New Roman"/>
          <w:noProof/>
          <w:color w:val="000000" w:themeColor="text1"/>
          <w:sz w:val="24"/>
          <w:szCs w:val="24"/>
          <w:lang w:val="en-US"/>
        </w:rPr>
        <w:footnoteReference w:id="39"/>
      </w:r>
      <w:r>
        <w:rPr>
          <w:rFonts w:ascii="Times New Roman" w:hAnsi="Times New Roman"/>
          <w:noProof/>
          <w:color w:val="000000" w:themeColor="text1"/>
          <w:sz w:val="24"/>
          <w:szCs w:val="24"/>
        </w:rPr>
        <w:t>. De asemenea, ar putea spori capacitatea UE de răspuns medical la viitoarele situații de urgență sanitară, bazându-se pe corpul medical european existent, în cooperare, atunci când este relevant, cu viitorul Grup operativ al UE în domeniul sănătății</w:t>
      </w:r>
      <w:r>
        <w:rPr>
          <w:rStyle w:val="FootnoteReference"/>
          <w:rFonts w:ascii="Times New Roman" w:hAnsi="Times New Roman" w:cs="Times New Roman"/>
          <w:bCs/>
          <w:iCs/>
          <w:noProof/>
          <w:color w:val="000000"/>
          <w:sz w:val="24"/>
          <w:szCs w:val="24"/>
          <w:lang w:val="en-US"/>
        </w:rPr>
        <w:footnoteReference w:id="40"/>
      </w:r>
      <w:r>
        <w:rPr>
          <w:rFonts w:ascii="Times New Roman" w:hAnsi="Times New Roman"/>
          <w:noProof/>
          <w:color w:val="000000" w:themeColor="text1"/>
          <w:sz w:val="24"/>
          <w:szCs w:val="24"/>
        </w:rPr>
        <w:t>, care va fi instituit sub coordonarea Centrului European de Prevenire și Control al Bolilor (ECDC) pentru a sprijini răspunsul la nivel local la epidemii de boli transmisibile, în sinergie cu mecanismul de protecție civilă al Uniunii, și pentru a consolida pregătirea în statele membre și în țări terțe.</w:t>
      </w:r>
      <w:r>
        <w:rPr>
          <w:rFonts w:ascii="Times New Roman" w:hAnsi="Times New Roman"/>
          <w:bCs/>
          <w:iCs/>
          <w:noProof/>
          <w:color w:val="000000"/>
          <w:sz w:val="24"/>
          <w:szCs w:val="24"/>
        </w:rPr>
        <w:t xml:space="preserve"> De asemenea, aceste eforturi vor fi complementare cu alte inițiative ale UE care pot contribui la susținerea acțiunii umanitare a UE, cum ar fi contribuția adusă de voluntari prin intermediul Corpului european de solidaritate, care oferă un punct unic de acces pentru activitățile de solidaritate desfășurate pe teritoriul Uniunii și în afara acesteia</w:t>
      </w:r>
      <w:r>
        <w:rPr>
          <w:rStyle w:val="FootnoteReference"/>
          <w:rFonts w:ascii="Times New Roman" w:hAnsi="Times New Roman" w:cs="Times New Roman"/>
          <w:bCs/>
          <w:iCs/>
          <w:noProof/>
          <w:color w:val="000000"/>
          <w:sz w:val="24"/>
          <w:szCs w:val="24"/>
          <w:lang w:val="en-US"/>
        </w:rPr>
        <w:footnoteReference w:id="41"/>
      </w:r>
      <w:r>
        <w:rPr>
          <w:rFonts w:ascii="Times New Roman" w:hAnsi="Times New Roman"/>
          <w:bCs/>
          <w:iCs/>
          <w:noProof/>
          <w:color w:val="000000"/>
          <w:sz w:val="24"/>
          <w:szCs w:val="24"/>
        </w:rPr>
        <w:t>.</w:t>
      </w:r>
    </w:p>
    <w:p>
      <w:pPr>
        <w:spacing w:after="0" w:line="240" w:lineRule="auto"/>
        <w:rPr>
          <w:rFonts w:ascii="Times New Roman" w:eastAsia="Times New Roman" w:hAnsi="Times New Roman" w:cs="Times New Roman"/>
          <w:noProof/>
          <w:color w:val="000000" w:themeColor="text1"/>
          <w:sz w:val="24"/>
          <w:szCs w:val="24"/>
        </w:rPr>
      </w:pPr>
    </w:p>
    <w:p>
      <w:pPr>
        <w:spacing w:after="0" w:line="240" w:lineRule="auto"/>
        <w:rPr>
          <w:rFonts w:ascii="Times New Roman" w:eastAsia="Times New Roman" w:hAnsi="Times New Roman" w:cs="Times New Roman"/>
          <w:noProof/>
          <w:color w:val="000000" w:themeColor="text1"/>
          <w:sz w:val="24"/>
          <w:szCs w:val="24"/>
        </w:rPr>
      </w:pPr>
      <w:r>
        <w:rPr>
          <w:noProof/>
          <w:lang w:val="en-GB" w:eastAsia="en-GB"/>
        </w:rPr>
        <w:drawing>
          <wp:inline distT="0" distB="0" distL="0" distR="0">
            <wp:extent cx="5731510" cy="4058285"/>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731510" cy="4058285"/>
                    </a:xfrm>
                    <a:prstGeom prst="rect">
                      <a:avLst/>
                    </a:prstGeom>
                  </pic:spPr>
                </pic:pic>
              </a:graphicData>
            </a:graphic>
          </wp:inline>
        </w:drawing>
      </w:r>
    </w:p>
    <w:p>
      <w:pPr>
        <w:spacing w:after="0" w:line="240" w:lineRule="auto"/>
        <w:rPr>
          <w:rFonts w:ascii="Times New Roman" w:eastAsia="Times New Roman" w:hAnsi="Times New Roman" w:cs="Times New Roman"/>
          <w:noProof/>
          <w:color w:val="000000" w:themeColor="text1"/>
          <w:sz w:val="24"/>
          <w:szCs w:val="24"/>
          <w:lang w:val="en-US"/>
        </w:rPr>
      </w:pPr>
    </w:p>
    <w:p>
      <w:pPr>
        <w:spacing w:after="0" w:line="240" w:lineRule="auto"/>
        <w:jc w:val="both"/>
        <w:rPr>
          <w:rFonts w:ascii="Times New Roman" w:eastAsia="Times New Roman" w:hAnsi="Times New Roman" w:cs="Times New Roman"/>
          <w:noProof/>
          <w:color w:val="000000" w:themeColor="text1"/>
          <w:sz w:val="24"/>
          <w:szCs w:val="24"/>
          <w:lang w:val="en-US"/>
        </w:rPr>
      </w:pPr>
    </w:p>
    <w:p>
      <w:pPr>
        <w:spacing w:after="0" w:line="240" w:lineRule="auto"/>
        <w:jc w:val="both"/>
        <w:rPr>
          <w:rFonts w:ascii="Times New Roman" w:eastAsia="Times New Roman" w:hAnsi="Times New Roman" w:cs="Times New Roman"/>
          <w:noProof/>
          <w:color w:val="000000" w:themeColor="text1"/>
          <w:sz w:val="24"/>
          <w:szCs w:val="24"/>
          <w:lang w:val="en-US"/>
        </w:rPr>
      </w:pPr>
    </w:p>
    <w:p>
      <w:pPr>
        <w:spacing w:after="0" w:line="240" w:lineRule="auto"/>
        <w:jc w:val="both"/>
        <w:rPr>
          <w:rFonts w:ascii="Times New Roman" w:eastAsia="Times New Roman" w:hAnsi="Times New Roman" w:cs="Times New Roman"/>
          <w:noProof/>
          <w:color w:val="000000" w:themeColor="text1"/>
          <w:sz w:val="24"/>
          <w:szCs w:val="24"/>
          <w:lang w:val="en-US"/>
        </w:rPr>
      </w:pPr>
    </w:p>
    <w:p>
      <w:pPr>
        <w:spacing w:after="0" w:line="240" w:lineRule="auto"/>
        <w:jc w:val="both"/>
        <w:rPr>
          <w:rFonts w:ascii="Times New Roman" w:eastAsia="Times New Roman" w:hAnsi="Times New Roman" w:cs="Times New Roman"/>
          <w:noProof/>
          <w:color w:val="000000" w:themeColor="text1"/>
          <w:sz w:val="24"/>
          <w:szCs w:val="24"/>
          <w:lang w:val="en-US"/>
        </w:rPr>
      </w:pPr>
    </w:p>
    <w:tbl>
      <w:tblPr>
        <w:tblStyle w:val="TableGrid"/>
        <w:tblW w:w="0" w:type="auto"/>
        <w:tblLook w:val="04A0" w:firstRow="1" w:lastRow="0" w:firstColumn="1" w:lastColumn="0" w:noHBand="0" w:noVBand="1"/>
      </w:tblPr>
      <w:tblGrid>
        <w:gridCol w:w="9242"/>
      </w:tblGrid>
      <w:tr>
        <w:tc>
          <w:tcPr>
            <w:tcW w:w="9242" w:type="dxa"/>
          </w:tcPr>
          <w:p>
            <w:pPr>
              <w:jc w:val="both"/>
              <w:rPr>
                <w:rFonts w:ascii="Times New Roman" w:eastAsia="Times New Roman" w:hAnsi="Times New Roman" w:cs="Times New Roman"/>
                <w:i/>
                <w:iCs/>
                <w:noProof/>
                <w:sz w:val="24"/>
                <w:szCs w:val="24"/>
              </w:rPr>
            </w:pPr>
            <w:r>
              <w:rPr>
                <w:rFonts w:ascii="Times New Roman" w:hAnsi="Times New Roman"/>
                <w:b/>
                <w:i/>
                <w:iCs/>
                <w:noProof/>
                <w:sz w:val="24"/>
                <w:szCs w:val="24"/>
              </w:rPr>
              <w:t>Obiectiv:</w:t>
            </w:r>
            <w:r>
              <w:rPr>
                <w:rFonts w:ascii="Times New Roman" w:hAnsi="Times New Roman"/>
                <w:i/>
                <w:iCs/>
                <w:noProof/>
                <w:sz w:val="24"/>
                <w:szCs w:val="24"/>
              </w:rPr>
              <w:t xml:space="preserve"> asigurarea furnizării rapide și eficiente a ajutorului umanitar al UE persoanelor care au nevoie de acesta.</w:t>
            </w:r>
          </w:p>
          <w:p>
            <w:pPr>
              <w:jc w:val="both"/>
              <w:rPr>
                <w:rFonts w:ascii="Times New Roman" w:eastAsia="Times New Roman" w:hAnsi="Times New Roman" w:cs="Times New Roman"/>
                <w:i/>
                <w:iCs/>
                <w:noProof/>
                <w:sz w:val="24"/>
                <w:szCs w:val="24"/>
                <w:lang w:val="fr-BE"/>
              </w:rPr>
            </w:pPr>
          </w:p>
          <w:p>
            <w:pPr>
              <w:jc w:val="both"/>
              <w:rPr>
                <w:rFonts w:ascii="Times New Roman" w:eastAsia="Times New Roman" w:hAnsi="Times New Roman" w:cs="Times New Roman"/>
                <w:b/>
                <w:i/>
                <w:iCs/>
                <w:noProof/>
                <w:sz w:val="24"/>
                <w:szCs w:val="24"/>
              </w:rPr>
            </w:pPr>
            <w:r>
              <w:rPr>
                <w:rFonts w:ascii="Times New Roman" w:hAnsi="Times New Roman"/>
                <w:b/>
                <w:i/>
                <w:iCs/>
                <w:noProof/>
                <w:sz w:val="24"/>
                <w:szCs w:val="24"/>
              </w:rPr>
              <w:t>Acțiune-cheie:</w:t>
            </w:r>
          </w:p>
          <w:p>
            <w:pPr>
              <w:pStyle w:val="ListParagraph"/>
              <w:numPr>
                <w:ilvl w:val="0"/>
                <w:numId w:val="3"/>
              </w:numPr>
              <w:jc w:val="both"/>
              <w:rPr>
                <w:rFonts w:ascii="Times New Roman" w:eastAsia="Times New Roman" w:hAnsi="Times New Roman" w:cs="Times New Roman"/>
                <w:i/>
                <w:noProof/>
                <w:sz w:val="24"/>
                <w:szCs w:val="24"/>
              </w:rPr>
            </w:pPr>
            <w:r>
              <w:rPr>
                <w:rFonts w:ascii="Times New Roman" w:hAnsi="Times New Roman"/>
                <w:i/>
                <w:iCs/>
                <w:noProof/>
                <w:sz w:val="24"/>
                <w:szCs w:val="24"/>
              </w:rPr>
              <w:t xml:space="preserve">Dezvoltarea unei capacități de răspuns umanitar european pentru acoperirea lacunelor, după caz, care să permită statelor membre ale UE și partenerilor săi din domeniul umanitar să furnizeze rapid asistență umanitară, în coordonare și în complementaritate cu mecanismul de protecție civilă al Uniunii. </w:t>
            </w:r>
          </w:p>
        </w:tc>
      </w:tr>
    </w:tbl>
    <w:p>
      <w:pPr>
        <w:spacing w:after="0" w:line="240" w:lineRule="auto"/>
        <w:jc w:val="both"/>
        <w:rPr>
          <w:rFonts w:ascii="Times New Roman" w:hAnsi="Times New Roman" w:cs="Times New Roman"/>
          <w:i/>
          <w:iCs/>
          <w:noProof/>
          <w:sz w:val="24"/>
          <w:szCs w:val="24"/>
        </w:rPr>
      </w:pPr>
    </w:p>
    <w:p>
      <w:pPr>
        <w:spacing w:after="0" w:line="240" w:lineRule="auto"/>
        <w:jc w:val="both"/>
        <w:rPr>
          <w:rFonts w:ascii="Times New Roman" w:hAnsi="Times New Roman" w:cs="Times New Roman"/>
          <w:b/>
          <w:iCs/>
          <w:noProof/>
          <w:sz w:val="24"/>
          <w:szCs w:val="24"/>
        </w:rPr>
      </w:pPr>
      <w:r>
        <w:rPr>
          <w:rFonts w:ascii="Times New Roman" w:hAnsi="Times New Roman"/>
          <w:b/>
          <w:iCs/>
          <w:noProof/>
          <w:sz w:val="24"/>
          <w:szCs w:val="24"/>
        </w:rPr>
        <w:t>3.3. Un accent mai puternic pe impactul schimbărilor climatice și pe factorii de mediu: promovare, pregătire și măsuri anticipative</w:t>
      </w:r>
    </w:p>
    <w:p>
      <w:pPr>
        <w:spacing w:after="0" w:line="240" w:lineRule="auto"/>
        <w:jc w:val="both"/>
        <w:rPr>
          <w:rFonts w:ascii="Times New Roman" w:hAnsi="Times New Roman" w:cs="Times New Roman"/>
          <w:b/>
          <w:iCs/>
          <w:noProof/>
          <w:sz w:val="24"/>
          <w:szCs w:val="24"/>
          <w:lang w:val="fr-BE"/>
        </w:rPr>
      </w:pPr>
    </w:p>
    <w:p>
      <w:pPr>
        <w:spacing w:after="0" w:line="240" w:lineRule="auto"/>
        <w:jc w:val="both"/>
        <w:rPr>
          <w:rFonts w:ascii="Times New Roman" w:hAnsi="Times New Roman" w:cs="Times New Roman"/>
          <w:noProof/>
          <w:spacing w:val="3"/>
          <w:sz w:val="24"/>
          <w:szCs w:val="24"/>
          <w:shd w:val="clear" w:color="auto" w:fill="FFFFFF"/>
        </w:rPr>
      </w:pPr>
      <w:r>
        <w:rPr>
          <w:rFonts w:ascii="Times New Roman" w:hAnsi="Times New Roman"/>
          <w:noProof/>
          <w:sz w:val="24"/>
          <w:szCs w:val="24"/>
          <w:shd w:val="clear" w:color="auto" w:fill="FFFFFF"/>
        </w:rPr>
        <w:t>Pregătirea pentru dezastre este deja o parte integrantă a răspunsului umanitar al UE, cu un buget specific, și constituie un element central al programului pe termen lung al UE pentru reducerea riscului de dezastre.</w:t>
      </w:r>
      <w:r>
        <w:rPr>
          <w:rFonts w:ascii="Times New Roman" w:hAnsi="Times New Roman"/>
          <w:noProof/>
          <w:sz w:val="24"/>
          <w:szCs w:val="24"/>
        </w:rPr>
        <w:t xml:space="preserve"> Totuși, impactul din ce în ce mai mare al schimbărilor climatice și al degradării mediului pune în pericol însuși succesul acțiunilor umanitare</w:t>
      </w:r>
      <w:r>
        <w:rPr>
          <w:rStyle w:val="FootnoteReference"/>
          <w:rFonts w:ascii="Times New Roman" w:hAnsi="Times New Roman" w:cs="Times New Roman"/>
          <w:noProof/>
          <w:sz w:val="24"/>
          <w:szCs w:val="24"/>
        </w:rPr>
        <w:footnoteReference w:id="42"/>
      </w:r>
      <w:r>
        <w:rPr>
          <w:rFonts w:ascii="Times New Roman" w:hAnsi="Times New Roman"/>
          <w:noProof/>
          <w:sz w:val="24"/>
          <w:szCs w:val="24"/>
        </w:rPr>
        <w:t>. Schimbările climatice nu numai că amplifică dezastrele naturale, ci reprezintă și un factor de multiplicare a amenințărilor</w:t>
      </w:r>
      <w:r>
        <w:rPr>
          <w:rStyle w:val="FootnoteReference"/>
          <w:rFonts w:ascii="Times New Roman" w:eastAsia="Times New Roman" w:hAnsi="Times New Roman" w:cs="Times New Roman"/>
          <w:noProof/>
          <w:sz w:val="24"/>
          <w:szCs w:val="24"/>
          <w:lang w:val="en-IE"/>
        </w:rPr>
        <w:footnoteReference w:id="43"/>
      </w:r>
      <w:r>
        <w:rPr>
          <w:rFonts w:ascii="Times New Roman" w:hAnsi="Times New Roman"/>
          <w:noProof/>
          <w:sz w:val="24"/>
          <w:szCs w:val="24"/>
        </w:rPr>
        <w:t xml:space="preserve"> care complică și prelungește situațiile de conflict, accentuând astfel nevoile umanitare. Prin urmare, este important să se asigure că sunt luate în considerare considerentele c</w:t>
      </w:r>
      <w:r>
        <w:rPr>
          <w:rFonts w:ascii="Times New Roman" w:hAnsi="Times New Roman"/>
          <w:noProof/>
          <w:sz w:val="24"/>
          <w:szCs w:val="24"/>
          <w:shd w:val="clear" w:color="auto" w:fill="FFFFFF"/>
        </w:rPr>
        <w:t xml:space="preserve">limatice și de mediu (inclusiv evaluarea riscurilor) în cadrul acțiunilor umanitare oriunde și oricând sunt întreprinse acestea, cu un accent deosebit pe sprijinirea adaptării la schimbările climatice și a rezilienței mediului ca parte a programării umanitare în țările și regiunile cele mai predispuse la dezastre. </w:t>
      </w:r>
    </w:p>
    <w:p>
      <w:pPr>
        <w:spacing w:after="0" w:line="240" w:lineRule="auto"/>
        <w:jc w:val="both"/>
        <w:rPr>
          <w:rFonts w:ascii="Times New Roman" w:hAnsi="Times New Roman" w:cs="Times New Roman"/>
          <w:noProof/>
          <w:spacing w:val="3"/>
          <w:sz w:val="24"/>
          <w:szCs w:val="24"/>
          <w:shd w:val="clear" w:color="auto" w:fill="FFFFFF"/>
        </w:rPr>
      </w:pPr>
    </w:p>
    <w:p>
      <w:pPr>
        <w:jc w:val="both"/>
        <w:rPr>
          <w:rFonts w:ascii="Times New Roman" w:eastAsia="Times New Roman" w:hAnsi="Times New Roman" w:cs="Times New Roman"/>
          <w:noProof/>
          <w:sz w:val="24"/>
          <w:szCs w:val="24"/>
        </w:rPr>
      </w:pPr>
      <w:r>
        <w:rPr>
          <w:rFonts w:ascii="Times New Roman" w:hAnsi="Times New Roman"/>
          <w:noProof/>
          <w:sz w:val="24"/>
          <w:szCs w:val="24"/>
        </w:rPr>
        <w:t xml:space="preserve">În special, </w:t>
      </w:r>
      <w:r>
        <w:rPr>
          <w:rFonts w:ascii="Times New Roman" w:hAnsi="Times New Roman"/>
          <w:b/>
          <w:bCs/>
          <w:noProof/>
          <w:sz w:val="24"/>
          <w:szCs w:val="24"/>
          <w:shd w:val="clear" w:color="auto" w:fill="FFFFFF"/>
        </w:rPr>
        <w:t>abordările anticipative</w:t>
      </w:r>
      <w:r>
        <w:rPr>
          <w:rStyle w:val="FootnoteReference"/>
          <w:rFonts w:ascii="Times New Roman" w:hAnsi="Times New Roman" w:cs="Times New Roman"/>
          <w:noProof/>
          <w:spacing w:val="3"/>
          <w:sz w:val="24"/>
          <w:szCs w:val="24"/>
          <w:shd w:val="clear" w:color="auto" w:fill="FFFFFF"/>
          <w:lang w:val="en-US"/>
        </w:rPr>
        <w:footnoteReference w:id="44"/>
      </w:r>
      <w:r>
        <w:rPr>
          <w:rFonts w:ascii="Times New Roman" w:hAnsi="Times New Roman"/>
          <w:b/>
          <w:bCs/>
          <w:noProof/>
          <w:sz w:val="24"/>
          <w:szCs w:val="24"/>
          <w:shd w:val="clear" w:color="auto" w:fill="FFFFFF"/>
        </w:rPr>
        <w:t xml:space="preserve"> ale acțiunilor umanitare pot contribui la creșterea rezilienței comunităților, inclusiv a grupurilor strămutate forțat, în regiunile vulnerabile la pericole legate de climă și la alte pericole. </w:t>
      </w:r>
      <w:r>
        <w:rPr>
          <w:rFonts w:ascii="Times New Roman" w:hAnsi="Times New Roman"/>
          <w:noProof/>
          <w:sz w:val="24"/>
          <w:szCs w:val="24"/>
          <w:shd w:val="clear" w:color="auto" w:fill="FFFFFF"/>
        </w:rPr>
        <w:t xml:space="preserve">Eficacitatea unor astfel de abordări depinde de disponibilitatea unor informații suficient de fiabile </w:t>
      </w:r>
      <w:r>
        <w:rPr>
          <w:rFonts w:ascii="Times New Roman" w:hAnsi="Times New Roman"/>
          <w:noProof/>
          <w:sz w:val="24"/>
          <w:szCs w:val="24"/>
        </w:rPr>
        <w:t>prin utilizarea unor sisteme de alertă timpurie</w:t>
      </w:r>
      <w:r>
        <w:rPr>
          <w:rStyle w:val="FootnoteReference"/>
          <w:rFonts w:ascii="Times New Roman" w:eastAsia="Times New Roman" w:hAnsi="Times New Roman" w:cs="Times New Roman"/>
          <w:noProof/>
          <w:sz w:val="24"/>
          <w:szCs w:val="24"/>
        </w:rPr>
        <w:footnoteReference w:id="45"/>
      </w:r>
      <w:r>
        <w:rPr>
          <w:rFonts w:ascii="Times New Roman" w:hAnsi="Times New Roman"/>
          <w:noProof/>
          <w:sz w:val="24"/>
          <w:szCs w:val="24"/>
        </w:rPr>
        <w:t xml:space="preserve">, inclusiv a unor indicatori sau a altor criterii care să determine luarea unor măsuri. Bazându-se pe mai multe parteneriate cu comunitățile din domeniul climei și cele științifice, UE va </w:t>
      </w:r>
      <w:r>
        <w:rPr>
          <w:rFonts w:ascii="Times New Roman" w:hAnsi="Times New Roman"/>
          <w:b/>
          <w:noProof/>
          <w:sz w:val="24"/>
          <w:szCs w:val="24"/>
        </w:rPr>
        <w:t>extinde utilizarea acestor abordări</w:t>
      </w:r>
      <w:r>
        <w:rPr>
          <w:rFonts w:ascii="Times New Roman" w:hAnsi="Times New Roman"/>
          <w:noProof/>
          <w:sz w:val="24"/>
          <w:szCs w:val="24"/>
        </w:rPr>
        <w:t>. De asemenea, UE va utiliza președinția Platformei privind strămutarea populației în caz de dezastru în 2022, pentru a promova eforturile mondiale de protejare a persoanelor strămutate din cauza dezastrelor și a schimbărilor climatice.</w:t>
      </w:r>
    </w:p>
    <w:tbl>
      <w:tblPr>
        <w:tblStyle w:val="TableGrid"/>
        <w:tblW w:w="0" w:type="auto"/>
        <w:shd w:val="pct10" w:color="auto" w:fill="auto"/>
        <w:tblLook w:val="04A0" w:firstRow="1" w:lastRow="0" w:firstColumn="1" w:lastColumn="0" w:noHBand="0" w:noVBand="1"/>
      </w:tblPr>
      <w:tblGrid>
        <w:gridCol w:w="9242"/>
      </w:tblGrid>
      <w:tr>
        <w:tc>
          <w:tcPr>
            <w:tcW w:w="9242" w:type="dxa"/>
            <w:shd w:val="pct10" w:color="auto" w:fill="auto"/>
          </w:tcPr>
          <w:p>
            <w:pPr>
              <w:jc w:val="both"/>
              <w:rPr>
                <w:rFonts w:ascii="Times New Roman" w:eastAsia="Times New Roman" w:hAnsi="Times New Roman" w:cs="Times New Roman"/>
                <w:iCs/>
                <w:noProof/>
              </w:rPr>
            </w:pPr>
            <w:r>
              <w:rPr>
                <w:rFonts w:ascii="Times New Roman" w:hAnsi="Times New Roman"/>
                <w:iCs/>
                <w:noProof/>
              </w:rPr>
              <w:t>În iulie 2020, prognozele furnizate de Sistemul global de avertizare în caz de inundații din cadrul Serviciului de gestionare a situațiilor de urgență Copernicus al UE (un instrument disponibil pentru mecanismul de protecție civilă al Uniunii) a permis partenerilor din domeniul umanitar din Bangladesh</w:t>
            </w:r>
            <w:r>
              <w:rPr>
                <w:rStyle w:val="FootnoteReference"/>
                <w:rFonts w:ascii="Times New Roman" w:eastAsia="Times New Roman" w:hAnsi="Times New Roman" w:cs="Times New Roman"/>
                <w:iCs/>
                <w:noProof/>
                <w:lang w:val="en-IE"/>
              </w:rPr>
              <w:footnoteReference w:id="46"/>
            </w:r>
            <w:r>
              <w:rPr>
                <w:rFonts w:ascii="Times New Roman" w:hAnsi="Times New Roman"/>
                <w:iCs/>
                <w:noProof/>
              </w:rPr>
              <w:t xml:space="preserve"> să acționeze rapid în urma unor inundații puternice, oferind asistență în numerar pentru 3 300 de familii din zonele cele mai afectate.</w:t>
            </w:r>
          </w:p>
        </w:tc>
      </w:tr>
    </w:tbl>
    <w:p>
      <w:pPr>
        <w:spacing w:after="0" w:line="240" w:lineRule="auto"/>
        <w:jc w:val="both"/>
        <w:rPr>
          <w:rFonts w:ascii="Times New Roman" w:hAnsi="Times New Roman" w:cs="Times New Roman"/>
          <w:noProof/>
          <w:spacing w:val="3"/>
          <w:sz w:val="24"/>
          <w:szCs w:val="24"/>
          <w:shd w:val="clear" w:color="auto" w:fill="FFFFFF"/>
        </w:rPr>
      </w:pPr>
    </w:p>
    <w:p>
      <w:pPr>
        <w:spacing w:before="120"/>
        <w:jc w:val="both"/>
        <w:rPr>
          <w:rFonts w:ascii="Times New Roman" w:eastAsia="Times New Roman" w:hAnsi="Times New Roman" w:cs="Times New Roman"/>
          <w:noProof/>
          <w:sz w:val="24"/>
          <w:szCs w:val="24"/>
        </w:rPr>
      </w:pPr>
      <w:r>
        <w:rPr>
          <w:noProof/>
          <w:lang w:val="en-GB" w:eastAsia="en-GB"/>
        </w:rPr>
        <w:drawing>
          <wp:inline distT="0" distB="0" distL="0" distR="0">
            <wp:extent cx="5731510" cy="3267710"/>
            <wp:effectExtent l="0" t="0" r="2540" b="88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731510" cy="3267710"/>
                    </a:xfrm>
                    <a:prstGeom prst="rect">
                      <a:avLst/>
                    </a:prstGeom>
                  </pic:spPr>
                </pic:pic>
              </a:graphicData>
            </a:graphic>
          </wp:inline>
        </w:drawing>
      </w:r>
    </w:p>
    <w:p>
      <w:pPr>
        <w:spacing w:before="120"/>
        <w:jc w:val="both"/>
        <w:rPr>
          <w:rFonts w:ascii="Times New Roman" w:eastAsia="Times New Roman" w:hAnsi="Times New Roman" w:cs="Times New Roman"/>
          <w:noProof/>
          <w:sz w:val="24"/>
          <w:szCs w:val="24"/>
        </w:rPr>
      </w:pPr>
      <w:r>
        <w:rPr>
          <w:rFonts w:ascii="Times New Roman" w:hAnsi="Times New Roman"/>
          <w:noProof/>
          <w:sz w:val="24"/>
          <w:szCs w:val="24"/>
        </w:rPr>
        <w:t>În pofida impactului umanitar tot mai semnificativ al schimbărilor climatice, mult prea puține fonduri alocate la nivel global în acest domeniu ajung în țările cele mai vulnerabile</w:t>
      </w:r>
      <w:r>
        <w:rPr>
          <w:rStyle w:val="FootnoteReference"/>
          <w:rFonts w:ascii="Times New Roman" w:eastAsia="Times New Roman" w:hAnsi="Times New Roman" w:cs="Times New Roman"/>
          <w:noProof/>
          <w:sz w:val="24"/>
          <w:szCs w:val="24"/>
          <w:lang w:val="en-US"/>
        </w:rPr>
        <w:footnoteReference w:id="47"/>
      </w:r>
      <w:r>
        <w:rPr>
          <w:rFonts w:ascii="Times New Roman" w:hAnsi="Times New Roman"/>
          <w:noProof/>
          <w:sz w:val="24"/>
          <w:szCs w:val="24"/>
        </w:rPr>
        <w:t xml:space="preserve">. Este urgent necesară finanțare internațională, din surse publice și private, pentru adaptarea la schimbările climatice. Pentru a evita crearea unei presiuni suplimentare asupra sistemului umanitar, UE va continua să </w:t>
      </w:r>
      <w:r>
        <w:rPr>
          <w:rFonts w:ascii="Times New Roman" w:hAnsi="Times New Roman"/>
          <w:b/>
          <w:bCs/>
          <w:noProof/>
          <w:sz w:val="24"/>
          <w:szCs w:val="24"/>
        </w:rPr>
        <w:t>pledeze pentru alocarea mult mai multor fonduri pentru îmbunătățirea rezilienței și a adaptării la schimbările climatice acolo unde este nevoie cel mai mult</w:t>
      </w:r>
      <w:r>
        <w:rPr>
          <w:rFonts w:ascii="Times New Roman" w:hAnsi="Times New Roman"/>
          <w:noProof/>
          <w:sz w:val="24"/>
          <w:szCs w:val="24"/>
        </w:rPr>
        <w:t>.</w:t>
      </w:r>
      <w:r>
        <w:rPr>
          <w:rFonts w:ascii="Times New Roman" w:hAnsi="Times New Roman"/>
          <w:noProof/>
          <w:sz w:val="16"/>
          <w:szCs w:val="16"/>
        </w:rPr>
        <w:t xml:space="preserve"> </w:t>
      </w:r>
      <w:r>
        <w:rPr>
          <w:rFonts w:ascii="Times New Roman" w:hAnsi="Times New Roman"/>
          <w:noProof/>
          <w:sz w:val="24"/>
          <w:szCs w:val="24"/>
        </w:rPr>
        <w:t>Pentru o eficacitate maximă a acestui demers este nevoie de o abordare integrată a rezilienței la schimbările climatice și de mediu, care reunește actorii din domeniul umanitar, al dezvoltării și al consolidării păcii, cu accent pe prevenire și pregătire, pe baza expertizei oferite de politica privind schimbările climatice și mediul și de comunitățile științifice</w:t>
      </w:r>
      <w:r>
        <w:rPr>
          <w:rStyle w:val="FootnoteReference"/>
          <w:rFonts w:ascii="Times New Roman" w:eastAsia="Times New Roman" w:hAnsi="Times New Roman" w:cs="Times New Roman"/>
          <w:noProof/>
          <w:sz w:val="24"/>
          <w:szCs w:val="24"/>
          <w:lang w:val="en-US"/>
        </w:rPr>
        <w:footnoteReference w:id="48"/>
      </w:r>
      <w:r>
        <w:rPr>
          <w:rFonts w:ascii="Times New Roman" w:hAnsi="Times New Roman"/>
          <w:noProof/>
          <w:sz w:val="24"/>
          <w:szCs w:val="24"/>
        </w:rPr>
        <w:t>.</w:t>
      </w:r>
    </w:p>
    <w:p>
      <w:pPr>
        <w:spacing w:before="120"/>
        <w:jc w:val="both"/>
        <w:rPr>
          <w:noProof/>
        </w:rPr>
      </w:pPr>
      <w:r>
        <w:rPr>
          <w:rFonts w:ascii="Times New Roman" w:hAnsi="Times New Roman"/>
          <w:noProof/>
          <w:sz w:val="24"/>
          <w:szCs w:val="24"/>
        </w:rPr>
        <w:t xml:space="preserve">Deși ajutorul umanitar nu este supus obiectivului de 30 % privind integrarea aspectelor legate de schimbările climatice în cadrul financiar multianual al UE pentru perioada 2021-2027, acesta contribuie totuși la acțiunile în domeniul climei. În sprijinul eforturilor generale de monitorizare a cheltuielilor UE în domeniul climei, Comisia va asigura în mod voluntar </w:t>
      </w:r>
      <w:r>
        <w:rPr>
          <w:rFonts w:ascii="Times New Roman" w:hAnsi="Times New Roman"/>
          <w:b/>
          <w:noProof/>
          <w:sz w:val="24"/>
          <w:szCs w:val="24"/>
        </w:rPr>
        <w:t>monitorizarea ajutorului umanitar al UE.</w:t>
      </w:r>
    </w:p>
    <w:p>
      <w:pPr>
        <w:spacing w:after="0" w:line="240" w:lineRule="auto"/>
        <w:jc w:val="both"/>
        <w:rPr>
          <w:rFonts w:ascii="Times New Roman" w:eastAsia="Times New Roman" w:hAnsi="Times New Roman" w:cs="Times New Roman"/>
          <w:iCs/>
          <w:noProof/>
          <w:sz w:val="24"/>
          <w:szCs w:val="24"/>
        </w:rPr>
      </w:pPr>
      <w:r>
        <w:rPr>
          <w:rFonts w:ascii="Times New Roman" w:hAnsi="Times New Roman"/>
          <w:noProof/>
          <w:sz w:val="24"/>
          <w:szCs w:val="24"/>
        </w:rPr>
        <w:t xml:space="preserve">Donatorii și actorii umanitari ar trebui să fie un exemplu demn de urmat. Prin urmare, UE va </w:t>
      </w:r>
      <w:r>
        <w:rPr>
          <w:rFonts w:ascii="Times New Roman" w:hAnsi="Times New Roman"/>
          <w:b/>
          <w:bCs/>
          <w:noProof/>
          <w:sz w:val="24"/>
          <w:szCs w:val="24"/>
        </w:rPr>
        <w:t>sprijini, de asemenea, eforturile partenerilor din domeniul umanitar de a-și reduce amprenta de mediu.</w:t>
      </w:r>
      <w:r>
        <w:rPr>
          <w:rFonts w:ascii="Times New Roman" w:hAnsi="Times New Roman"/>
          <w:noProof/>
          <w:sz w:val="24"/>
          <w:szCs w:val="24"/>
        </w:rPr>
        <w:t xml:space="preserve"> În același timp, Comisia va </w:t>
      </w:r>
      <w:r>
        <w:rPr>
          <w:rFonts w:ascii="Times New Roman" w:hAnsi="Times New Roman"/>
          <w:b/>
          <w:bCs/>
          <w:noProof/>
          <w:sz w:val="24"/>
          <w:szCs w:val="24"/>
        </w:rPr>
        <w:t>continua procesul de „înverzire” a rețelei sale de lucrători umanitari pe teren (ECHOField) și a sediului său central</w:t>
      </w:r>
      <w:r>
        <w:rPr>
          <w:rStyle w:val="FootnoteReference"/>
          <w:rFonts w:ascii="Times New Roman" w:eastAsia="Times New Roman" w:hAnsi="Times New Roman" w:cs="Times New Roman"/>
          <w:noProof/>
          <w:sz w:val="24"/>
          <w:szCs w:val="24"/>
          <w:lang w:val="en-IE"/>
        </w:rPr>
        <w:footnoteReference w:id="49"/>
      </w:r>
      <w:r>
        <w:rPr>
          <w:rFonts w:ascii="Times New Roman" w:hAnsi="Times New Roman"/>
          <w:noProof/>
          <w:sz w:val="24"/>
          <w:szCs w:val="24"/>
        </w:rPr>
        <w:t xml:space="preserve"> </w:t>
      </w:r>
      <w:r>
        <w:rPr>
          <w:rFonts w:ascii="Times New Roman" w:hAnsi="Times New Roman"/>
          <w:iCs/>
          <w:noProof/>
          <w:sz w:val="24"/>
          <w:szCs w:val="24"/>
        </w:rPr>
        <w:t xml:space="preserve">în sprijinul </w:t>
      </w:r>
      <w:r>
        <w:rPr>
          <w:rFonts w:ascii="Times New Roman" w:hAnsi="Times New Roman"/>
          <w:b/>
          <w:bCs/>
          <w:iCs/>
          <w:noProof/>
          <w:sz w:val="24"/>
          <w:szCs w:val="24"/>
        </w:rPr>
        <w:t>Pactului verde european</w:t>
      </w:r>
      <w:r>
        <w:rPr>
          <w:rStyle w:val="FootnoteReference"/>
          <w:rFonts w:ascii="Times New Roman" w:eastAsia="Times New Roman" w:hAnsi="Times New Roman" w:cs="Times New Roman"/>
          <w:b/>
          <w:bCs/>
          <w:iCs/>
          <w:noProof/>
          <w:sz w:val="24"/>
          <w:szCs w:val="24"/>
          <w:lang w:val="en-IE"/>
        </w:rPr>
        <w:footnoteReference w:id="50"/>
      </w:r>
      <w:r>
        <w:rPr>
          <w:rFonts w:ascii="Times New Roman" w:hAnsi="Times New Roman"/>
          <w:iCs/>
          <w:noProof/>
          <w:sz w:val="24"/>
          <w:szCs w:val="24"/>
        </w:rPr>
        <w:t>.</w:t>
      </w:r>
    </w:p>
    <w:p>
      <w:pPr>
        <w:spacing w:after="0" w:line="240" w:lineRule="auto"/>
        <w:jc w:val="both"/>
        <w:rPr>
          <w:rFonts w:ascii="Times New Roman" w:eastAsia="Times New Roman" w:hAnsi="Times New Roman" w:cs="Times New Roman"/>
          <w:iCs/>
          <w:noProof/>
          <w:sz w:val="24"/>
          <w:szCs w:val="24"/>
        </w:rPr>
      </w:pPr>
    </w:p>
    <w:tbl>
      <w:tblPr>
        <w:tblStyle w:val="TableGrid"/>
        <w:tblW w:w="0" w:type="auto"/>
        <w:tblLook w:val="04A0" w:firstRow="1" w:lastRow="0" w:firstColumn="1" w:lastColumn="0" w:noHBand="0" w:noVBand="1"/>
      </w:tblPr>
      <w:tblGrid>
        <w:gridCol w:w="9242"/>
      </w:tblGrid>
      <w:tr>
        <w:tc>
          <w:tcPr>
            <w:tcW w:w="9242" w:type="dxa"/>
          </w:tcPr>
          <w:p>
            <w:pPr>
              <w:jc w:val="both"/>
              <w:rPr>
                <w:rFonts w:ascii="Times New Roman" w:eastAsia="Times New Roman" w:hAnsi="Times New Roman" w:cs="Times New Roman"/>
                <w:i/>
                <w:iCs/>
                <w:noProof/>
                <w:sz w:val="24"/>
                <w:szCs w:val="24"/>
              </w:rPr>
            </w:pPr>
            <w:r>
              <w:rPr>
                <w:rFonts w:ascii="Times New Roman" w:hAnsi="Times New Roman"/>
                <w:b/>
                <w:i/>
                <w:iCs/>
                <w:noProof/>
                <w:sz w:val="24"/>
                <w:szCs w:val="24"/>
              </w:rPr>
              <w:t>Obiectiv:</w:t>
            </w:r>
            <w:r>
              <w:rPr>
                <w:rFonts w:ascii="Times New Roman" w:hAnsi="Times New Roman"/>
                <w:i/>
                <w:iCs/>
                <w:noProof/>
                <w:sz w:val="24"/>
                <w:szCs w:val="24"/>
              </w:rPr>
              <w:t xml:space="preserve"> integrarea în continuare a impactului schimbărilor climatice și a factorilor de mediu în politica și practica în domeniul ajutorului umanitar și o mai bună coordonare cu actorii din domeniul dezvoltării, securității și climei/mediului pentru a spori reziliența comunităților vulnerabile.</w:t>
            </w:r>
          </w:p>
          <w:p>
            <w:pPr>
              <w:jc w:val="both"/>
              <w:rPr>
                <w:rFonts w:ascii="Times New Roman" w:eastAsia="Times New Roman" w:hAnsi="Times New Roman" w:cs="Times New Roman"/>
                <w:b/>
                <w:i/>
                <w:iCs/>
                <w:noProof/>
                <w:sz w:val="24"/>
                <w:szCs w:val="24"/>
              </w:rPr>
            </w:pPr>
          </w:p>
          <w:p>
            <w:pPr>
              <w:jc w:val="both"/>
              <w:rPr>
                <w:rFonts w:ascii="Times New Roman" w:hAnsi="Times New Roman" w:cs="Times New Roman"/>
                <w:b/>
                <w:i/>
                <w:noProof/>
                <w:sz w:val="24"/>
              </w:rPr>
            </w:pPr>
            <w:r>
              <w:rPr>
                <w:rFonts w:ascii="Times New Roman" w:hAnsi="Times New Roman"/>
                <w:b/>
                <w:i/>
                <w:noProof/>
                <w:sz w:val="24"/>
              </w:rPr>
              <w:t>Acțiuni-cheie:</w:t>
            </w:r>
          </w:p>
          <w:p>
            <w:pPr>
              <w:pStyle w:val="ListParagraph"/>
              <w:numPr>
                <w:ilvl w:val="0"/>
                <w:numId w:val="3"/>
              </w:numPr>
              <w:jc w:val="both"/>
              <w:rPr>
                <w:rFonts w:ascii="Times New Roman" w:hAnsi="Times New Roman" w:cs="Times New Roman"/>
                <w:i/>
                <w:noProof/>
                <w:sz w:val="24"/>
                <w:szCs w:val="24"/>
              </w:rPr>
            </w:pPr>
            <w:r>
              <w:rPr>
                <w:rFonts w:ascii="Times New Roman" w:hAnsi="Times New Roman"/>
                <w:i/>
                <w:iCs/>
                <w:noProof/>
                <w:sz w:val="24"/>
                <w:szCs w:val="24"/>
                <w:shd w:val="clear" w:color="auto" w:fill="FFFFFF"/>
              </w:rPr>
              <w:t xml:space="preserve">Creșterea semnificativă a ponderii fondurilor alocate pentru îmbunătățirea rezilienței și a adaptării la schimbările climatice în țările și regiunile cele mai predispuse la dezastre, în conformitate cu noua strategie a UE de adaptare la schimbările climatice și ca parte a abordării bazate pe legătura dintre domeniul umanitar, cel al dezvoltării și pace. </w:t>
            </w:r>
          </w:p>
          <w:p>
            <w:pPr>
              <w:pStyle w:val="ListParagraph"/>
              <w:numPr>
                <w:ilvl w:val="0"/>
                <w:numId w:val="3"/>
              </w:numPr>
              <w:jc w:val="both"/>
              <w:rPr>
                <w:rFonts w:ascii="Times New Roman" w:hAnsi="Times New Roman" w:cs="Times New Roman"/>
                <w:i/>
                <w:iCs/>
                <w:noProof/>
                <w:sz w:val="24"/>
                <w:szCs w:val="24"/>
              </w:rPr>
            </w:pPr>
            <w:r>
              <w:rPr>
                <w:rFonts w:ascii="Times New Roman" w:hAnsi="Times New Roman"/>
                <w:i/>
                <w:iCs/>
                <w:noProof/>
                <w:sz w:val="24"/>
                <w:szCs w:val="24"/>
              </w:rPr>
              <w:t xml:space="preserve">Sporirea rezilienței </w:t>
            </w:r>
            <w:r>
              <w:rPr>
                <w:rFonts w:ascii="Times New Roman" w:hAnsi="Times New Roman"/>
                <w:i/>
                <w:iCs/>
                <w:noProof/>
                <w:sz w:val="24"/>
                <w:szCs w:val="24"/>
                <w:shd w:val="clear" w:color="auto" w:fill="FFFFFF"/>
              </w:rPr>
              <w:t>populațiilor vulnerabile</w:t>
            </w:r>
            <w:r>
              <w:rPr>
                <w:rFonts w:ascii="Times New Roman" w:hAnsi="Times New Roman"/>
                <w:i/>
                <w:iCs/>
                <w:noProof/>
                <w:sz w:val="24"/>
                <w:szCs w:val="24"/>
              </w:rPr>
              <w:t xml:space="preserve"> la schimbările climatice și de mediu printr-o abordare bazată pe </w:t>
            </w:r>
            <w:r>
              <w:rPr>
                <w:rFonts w:ascii="Times New Roman" w:hAnsi="Times New Roman"/>
                <w:i/>
                <w:iCs/>
                <w:noProof/>
                <w:sz w:val="24"/>
                <w:szCs w:val="24"/>
                <w:shd w:val="clear" w:color="auto" w:fill="FFFFFF"/>
              </w:rPr>
              <w:t>legătura dintre domeniul umanitar, cel al dezvoltării și pace</w:t>
            </w:r>
            <w:r>
              <w:rPr>
                <w:rFonts w:ascii="Times New Roman" w:hAnsi="Times New Roman"/>
                <w:i/>
                <w:iCs/>
                <w:noProof/>
                <w:sz w:val="24"/>
                <w:szCs w:val="24"/>
              </w:rPr>
              <w:t xml:space="preserve"> și asigurarea diseminării și a punerii în aplicare a noilor orientări privind pregătirea în caz de dezastre în rândul partenerilor umanitari ai UE, în strânsă coordonare cu actorii din domeniul dezvoltării și al climei. </w:t>
            </w:r>
          </w:p>
          <w:p>
            <w:pPr>
              <w:pStyle w:val="ListParagraph"/>
              <w:numPr>
                <w:ilvl w:val="0"/>
                <w:numId w:val="3"/>
              </w:numPr>
              <w:jc w:val="both"/>
              <w:rPr>
                <w:rFonts w:ascii="Times New Roman" w:hAnsi="Times New Roman" w:cs="Times New Roman"/>
                <w:i/>
                <w:noProof/>
                <w:sz w:val="24"/>
                <w:szCs w:val="24"/>
              </w:rPr>
            </w:pPr>
            <w:r>
              <w:rPr>
                <w:rFonts w:ascii="Times New Roman" w:hAnsi="Times New Roman"/>
                <w:i/>
                <w:iCs/>
                <w:noProof/>
                <w:sz w:val="24"/>
                <w:szCs w:val="24"/>
              </w:rPr>
              <w:t xml:space="preserve">Dezvoltarea și aplicarea în continuare a abordărilor bazate pe cunoașterea riscurilor, inclusiv finanțare de risc, și extinderea măsurilor anticipative în diferite contexte umanitare și regiuni. </w:t>
            </w:r>
          </w:p>
          <w:p>
            <w:pPr>
              <w:pStyle w:val="ListParagraph"/>
              <w:numPr>
                <w:ilvl w:val="0"/>
                <w:numId w:val="3"/>
              </w:numPr>
              <w:jc w:val="both"/>
              <w:rPr>
                <w:noProof/>
                <w:sz w:val="24"/>
                <w:szCs w:val="24"/>
              </w:rPr>
            </w:pPr>
            <w:r>
              <w:rPr>
                <w:rFonts w:ascii="Times New Roman" w:hAnsi="Times New Roman"/>
                <w:i/>
                <w:iCs/>
                <w:noProof/>
                <w:sz w:val="24"/>
                <w:szCs w:val="24"/>
              </w:rPr>
              <w:t>Elaborarea de orientări și formarea</w:t>
            </w:r>
            <w:r>
              <w:rPr>
                <w:i/>
                <w:iCs/>
                <w:noProof/>
                <w:sz w:val="24"/>
                <w:szCs w:val="24"/>
              </w:rPr>
              <w:t xml:space="preserve"> </w:t>
            </w:r>
            <w:r>
              <w:rPr>
                <w:rFonts w:ascii="Times New Roman" w:hAnsi="Times New Roman"/>
                <w:i/>
                <w:iCs/>
                <w:noProof/>
                <w:sz w:val="24"/>
                <w:szCs w:val="24"/>
              </w:rPr>
              <w:t>partenerilor UE în domeniul umanitar</w:t>
            </w:r>
            <w:r>
              <w:rPr>
                <w:i/>
                <w:iCs/>
                <w:noProof/>
                <w:sz w:val="24"/>
                <w:szCs w:val="24"/>
              </w:rPr>
              <w:t xml:space="preserve"> </w:t>
            </w:r>
            <w:r>
              <w:rPr>
                <w:rFonts w:ascii="Times New Roman" w:hAnsi="Times New Roman"/>
                <w:i/>
                <w:iCs/>
                <w:noProof/>
                <w:sz w:val="24"/>
                <w:szCs w:val="24"/>
              </w:rPr>
              <w:t xml:space="preserve">cu privire la înverzirea ajutorului umanitar, în vederea reducerii amprentei climatice și de mediu a acestuia. </w:t>
            </w:r>
          </w:p>
          <w:p>
            <w:pPr>
              <w:pStyle w:val="ListParagraph"/>
              <w:numPr>
                <w:ilvl w:val="0"/>
                <w:numId w:val="3"/>
              </w:numPr>
              <w:jc w:val="both"/>
              <w:rPr>
                <w:rFonts w:ascii="Times New Roman" w:hAnsi="Times New Roman" w:cs="Times New Roman"/>
                <w:i/>
                <w:noProof/>
                <w:sz w:val="24"/>
                <w:szCs w:val="24"/>
              </w:rPr>
            </w:pPr>
            <w:r>
              <w:rPr>
                <w:rFonts w:ascii="Times New Roman" w:hAnsi="Times New Roman"/>
                <w:i/>
                <w:noProof/>
                <w:sz w:val="24"/>
                <w:szCs w:val="24"/>
              </w:rPr>
              <w:t xml:space="preserve">Monitorizarea cheltuielilor în domeniul climei conform Regulamentului UE privind ajutorul umanitar. </w:t>
            </w:r>
          </w:p>
        </w:tc>
      </w:tr>
    </w:tbl>
    <w:p>
      <w:pPr>
        <w:pStyle w:val="paragraph"/>
        <w:spacing w:before="0" w:beforeAutospacing="0" w:after="0" w:afterAutospacing="0"/>
        <w:jc w:val="both"/>
        <w:textAlignment w:val="baseline"/>
        <w:rPr>
          <w:rFonts w:eastAsiaTheme="minorEastAsia"/>
          <w:b/>
          <w:bCs/>
          <w:noProof/>
          <w:lang w:val="en-GB"/>
        </w:rPr>
      </w:pPr>
    </w:p>
    <w:p>
      <w:pPr>
        <w:pStyle w:val="paragraph"/>
        <w:spacing w:before="0" w:beforeAutospacing="0" w:after="0" w:afterAutospacing="0"/>
        <w:jc w:val="both"/>
        <w:textAlignment w:val="baseline"/>
        <w:rPr>
          <w:rFonts w:eastAsiaTheme="minorEastAsia"/>
          <w:b/>
          <w:bCs/>
          <w:noProof/>
          <w:lang w:val="en-GB"/>
        </w:rPr>
      </w:pPr>
    </w:p>
    <w:p>
      <w:pPr>
        <w:pStyle w:val="ListParagraph"/>
        <w:numPr>
          <w:ilvl w:val="1"/>
          <w:numId w:val="39"/>
        </w:numPr>
        <w:jc w:val="both"/>
        <w:rPr>
          <w:rFonts w:ascii="Times New Roman" w:eastAsia="Times New Roman" w:hAnsi="Times New Roman" w:cs="Times New Roman"/>
          <w:b/>
          <w:bCs/>
          <w:noProof/>
          <w:sz w:val="24"/>
          <w:szCs w:val="24"/>
          <w:u w:val="single"/>
        </w:rPr>
      </w:pPr>
      <w:r>
        <w:rPr>
          <w:rFonts w:ascii="Times New Roman" w:hAnsi="Times New Roman"/>
          <w:b/>
          <w:bCs/>
          <w:noProof/>
          <w:sz w:val="24"/>
          <w:szCs w:val="24"/>
        </w:rPr>
        <w:t>Rezultate mai bune împreună: extinderea bazei de resurse, abordarea cauzelor profunde ale crizelor și, în cele din urmă, reducerea nevoilor</w:t>
      </w:r>
    </w:p>
    <w:p>
      <w:pPr>
        <w:rPr>
          <w:rFonts w:ascii="Times New Roman" w:eastAsia="Times New Roman" w:hAnsi="Times New Roman" w:cs="Times New Roman"/>
          <w:bCs/>
          <w:i/>
          <w:noProof/>
          <w:sz w:val="24"/>
          <w:szCs w:val="24"/>
          <w:u w:val="single"/>
        </w:rPr>
      </w:pPr>
      <w:r>
        <w:rPr>
          <w:rFonts w:ascii="Times New Roman" w:hAnsi="Times New Roman"/>
          <w:bCs/>
          <w:i/>
          <w:noProof/>
          <w:sz w:val="24"/>
          <w:szCs w:val="24"/>
        </w:rPr>
        <w:t>Abordarea cauzelor profunde și promovarea unei legături între domeniul umanitar, cel al dezvoltării și pace</w:t>
      </w:r>
    </w:p>
    <w:p>
      <w:pPr>
        <w:jc w:val="both"/>
        <w:rPr>
          <w:rFonts w:ascii="Times New Roman" w:eastAsia="Times New Roman" w:hAnsi="Times New Roman" w:cs="Times New Roman"/>
          <w:bCs/>
          <w:noProof/>
          <w:sz w:val="24"/>
          <w:szCs w:val="24"/>
        </w:rPr>
      </w:pPr>
      <w:r>
        <w:rPr>
          <w:rFonts w:ascii="Times New Roman" w:hAnsi="Times New Roman"/>
          <w:noProof/>
          <w:sz w:val="24"/>
          <w:szCs w:val="24"/>
        </w:rPr>
        <w:t xml:space="preserve">Scopul asistenței umanitare este </w:t>
      </w:r>
      <w:r>
        <w:rPr>
          <w:rFonts w:ascii="Times New Roman" w:hAnsi="Times New Roman"/>
          <w:b/>
          <w:noProof/>
          <w:sz w:val="24"/>
          <w:szCs w:val="24"/>
        </w:rPr>
        <w:t>de a oferi ajutor de urgență persoanelor afectate de crize</w:t>
      </w:r>
      <w:r>
        <w:rPr>
          <w:rFonts w:ascii="Times New Roman" w:hAnsi="Times New Roman"/>
          <w:noProof/>
          <w:sz w:val="24"/>
          <w:szCs w:val="24"/>
        </w:rPr>
        <w:t>. Ajutorul umanitar în sine nu poate combate factorii complecși care stau la baza conflictelor și a altor crize, indiferent că este vorba despre aspecte socioeconomice, legate de guvernanță sau de mediu.</w:t>
      </w:r>
      <w:r>
        <w:rPr>
          <w:rFonts w:ascii="Times New Roman" w:hAnsi="Times New Roman"/>
          <w:bCs/>
          <w:noProof/>
          <w:sz w:val="24"/>
          <w:szCs w:val="24"/>
        </w:rPr>
        <w:t xml:space="preserve"> Este necesar ca toți acești factori să continue să fie abordați în mod holistic – prin </w:t>
      </w:r>
      <w:r>
        <w:rPr>
          <w:rFonts w:ascii="Times New Roman" w:hAnsi="Times New Roman"/>
          <w:b/>
          <w:bCs/>
          <w:noProof/>
          <w:sz w:val="24"/>
          <w:szCs w:val="24"/>
        </w:rPr>
        <w:t>abordarea provocărilor legate de guvernanță, prin respectarea drepturilor fundamentale ale populațiilor, prin luarea în considerare a inegalităților, prin asigurarea accesului la servicii de bază, justiție, oportunități economice și securitate, precum și prin abordarea provocărilor legate de schimbările climatice și de mediu.</w:t>
      </w:r>
      <w:r>
        <w:rPr>
          <w:rFonts w:ascii="Times New Roman" w:hAnsi="Times New Roman"/>
          <w:bCs/>
          <w:noProof/>
          <w:sz w:val="24"/>
          <w:szCs w:val="24"/>
        </w:rPr>
        <w:t xml:space="preserve"> Sprijinul internațional în orice situație de criză va avea un impact de durată numai dacă este corelat cu un angajament puternic al autorităților naționale și locale de a pune oamenii în centrul acestui efort, prin combaterea excluziunii, protejarea drepturilor și asumarea răspunderii. Pe aceste lucruri trebuie să se sprijine abordarea UE cu privire la conflicte și crize. </w:t>
      </w:r>
    </w:p>
    <w:p>
      <w:pPr>
        <w:jc w:val="both"/>
        <w:rPr>
          <w:rFonts w:ascii="Times New Roman" w:eastAsia="Times New Roman" w:hAnsi="Times New Roman" w:cs="Times New Roman"/>
          <w:noProof/>
          <w:sz w:val="24"/>
          <w:szCs w:val="24"/>
        </w:rPr>
      </w:pPr>
      <w:r>
        <w:rPr>
          <w:rFonts w:ascii="Times New Roman" w:hAnsi="Times New Roman"/>
          <w:noProof/>
          <w:sz w:val="24"/>
          <w:szCs w:val="24"/>
        </w:rPr>
        <w:t xml:space="preserve">Ca parte a acestui demers, UE își va </w:t>
      </w:r>
      <w:r>
        <w:rPr>
          <w:rFonts w:ascii="Times New Roman" w:hAnsi="Times New Roman"/>
          <w:b/>
          <w:noProof/>
          <w:sz w:val="24"/>
          <w:szCs w:val="24"/>
        </w:rPr>
        <w:t>intensifica efortul de a corela ajutorul umanitar cu aspectele legate de dezvoltare și consolidarea păcii</w:t>
      </w:r>
      <w:r>
        <w:rPr>
          <w:rFonts w:ascii="Times New Roman" w:hAnsi="Times New Roman"/>
          <w:noProof/>
          <w:sz w:val="24"/>
          <w:szCs w:val="24"/>
        </w:rPr>
        <w:t xml:space="preserve">. Ajutorul umanitar nu este conceput ca o soluție pe termen lung la nevoile persoanelor afectate de crize. Prin legătura dintre domeniul umanitar, cel al dezvoltării și pace, UE va utiliza toate instrumentele necesare nu doar pentru a răspunde nevoilor pe termen scurt, ci și pentru a oferi soluții pe termen lung și, în situații de conflict, pentru a contribui la instalarea unei păci durabile. Aceasta implică </w:t>
      </w:r>
      <w:r>
        <w:rPr>
          <w:rFonts w:ascii="Times New Roman" w:hAnsi="Times New Roman"/>
          <w:b/>
          <w:noProof/>
          <w:sz w:val="24"/>
          <w:szCs w:val="24"/>
        </w:rPr>
        <w:t xml:space="preserve">un cadru comun pentru analiză și răspuns operațional, </w:t>
      </w:r>
      <w:r>
        <w:rPr>
          <w:rFonts w:ascii="Times New Roman" w:hAnsi="Times New Roman"/>
          <w:noProof/>
          <w:sz w:val="24"/>
          <w:szCs w:val="24"/>
        </w:rPr>
        <w:t xml:space="preserve">precum și o </w:t>
      </w:r>
      <w:r>
        <w:rPr>
          <w:rFonts w:ascii="Times New Roman" w:hAnsi="Times New Roman"/>
          <w:b/>
          <w:noProof/>
          <w:sz w:val="24"/>
          <w:szCs w:val="24"/>
        </w:rPr>
        <w:t>abordare adaptată la situațiile de conflict</w:t>
      </w:r>
      <w:r>
        <w:rPr>
          <w:rFonts w:ascii="Times New Roman" w:hAnsi="Times New Roman"/>
          <w:noProof/>
          <w:sz w:val="24"/>
          <w:szCs w:val="24"/>
        </w:rPr>
        <w:t>, astfel încât asistența externă să nu amplifice accidental conflictul.</w:t>
      </w:r>
    </w:p>
    <w:p>
      <w:pPr>
        <w:jc w:val="both"/>
        <w:rPr>
          <w:rFonts w:ascii="Times New Roman" w:hAnsi="Times New Roman" w:cs="Times New Roman"/>
          <w:noProof/>
          <w:sz w:val="24"/>
          <w:szCs w:val="24"/>
          <w:shd w:val="clear" w:color="auto" w:fill="FFFFFF"/>
        </w:rPr>
      </w:pPr>
      <w:r>
        <w:rPr>
          <w:rFonts w:ascii="Times New Roman" w:hAnsi="Times New Roman"/>
          <w:noProof/>
          <w:sz w:val="24"/>
          <w:szCs w:val="24"/>
        </w:rPr>
        <w:t>Abordarea corelată este în prezent utilizată în asistența externă furnizată de UE în multe țări fragile și predispuse la conflicte. Se includ aici atât cele șase țări-pilot desemnate în 2017 (</w:t>
      </w:r>
      <w:r>
        <w:rPr>
          <w:rFonts w:ascii="Times New Roman" w:hAnsi="Times New Roman"/>
          <w:noProof/>
          <w:sz w:val="24"/>
          <w:szCs w:val="24"/>
          <w:shd w:val="clear" w:color="auto" w:fill="FFFFFF"/>
        </w:rPr>
        <w:t xml:space="preserve">Ciad, Irak, Myanmar, Nigeria, Sudan și Uganda), cât și alte contexte (de exemplu, cadrul comun umanitar/de dezvoltare/de pace ca răspuns la criza din Siria în Liban și Iordania). Exemplele includ: </w:t>
      </w:r>
    </w:p>
    <w:p>
      <w:pPr>
        <w:pStyle w:val="ListParagraph"/>
        <w:numPr>
          <w:ilvl w:val="0"/>
          <w:numId w:val="40"/>
        </w:numPr>
        <w:spacing w:line="256" w:lineRule="auto"/>
        <w:jc w:val="both"/>
        <w:rPr>
          <w:rFonts w:ascii="Times New Roman" w:hAnsi="Times New Roman" w:cs="Times New Roman"/>
          <w:noProof/>
          <w:sz w:val="24"/>
          <w:szCs w:val="24"/>
          <w:shd w:val="clear" w:color="auto" w:fill="FFFFFF"/>
        </w:rPr>
      </w:pPr>
      <w:r>
        <w:rPr>
          <w:rFonts w:ascii="Times New Roman" w:hAnsi="Times New Roman"/>
          <w:noProof/>
          <w:sz w:val="24"/>
          <w:szCs w:val="24"/>
          <w:shd w:val="clear" w:color="auto" w:fill="FFFFFF"/>
        </w:rPr>
        <w:t xml:space="preserve">sprijinirea plaselor de siguranță socială concepute în strânsă coordonare între actorii din domeniul umanitar și al dezvoltării; </w:t>
      </w:r>
    </w:p>
    <w:p>
      <w:pPr>
        <w:pStyle w:val="ListParagraph"/>
        <w:numPr>
          <w:ilvl w:val="0"/>
          <w:numId w:val="40"/>
        </w:numPr>
        <w:spacing w:line="256" w:lineRule="auto"/>
        <w:jc w:val="both"/>
        <w:rPr>
          <w:rFonts w:ascii="Times New Roman" w:hAnsi="Times New Roman" w:cs="Times New Roman"/>
          <w:noProof/>
          <w:sz w:val="24"/>
          <w:szCs w:val="24"/>
          <w:shd w:val="clear" w:color="auto" w:fill="FFFFFF"/>
        </w:rPr>
      </w:pPr>
      <w:r>
        <w:rPr>
          <w:rFonts w:ascii="Times New Roman" w:hAnsi="Times New Roman"/>
          <w:noProof/>
          <w:sz w:val="24"/>
          <w:szCs w:val="24"/>
          <w:shd w:val="clear" w:color="auto" w:fill="FFFFFF"/>
        </w:rPr>
        <w:t xml:space="preserve">sprijin coordonat pentru pregătirea și reziliența la dezastre în cadrul finanțării pentru dezvoltare și ajutor umanitar (în special în regiunile grav afectate de degradarea terenurilor, deficitul de apă și schimbările climatice, cum ar fi Sahel); </w:t>
      </w:r>
    </w:p>
    <w:p>
      <w:pPr>
        <w:pStyle w:val="ListParagraph"/>
        <w:numPr>
          <w:ilvl w:val="0"/>
          <w:numId w:val="40"/>
        </w:numPr>
        <w:spacing w:line="256" w:lineRule="auto"/>
        <w:jc w:val="both"/>
        <w:rPr>
          <w:rFonts w:ascii="Times New Roman" w:hAnsi="Times New Roman" w:cs="Times New Roman"/>
          <w:noProof/>
          <w:sz w:val="24"/>
          <w:szCs w:val="24"/>
          <w:shd w:val="clear" w:color="auto" w:fill="FFFFFF"/>
        </w:rPr>
      </w:pPr>
      <w:r>
        <w:rPr>
          <w:rFonts w:ascii="Times New Roman" w:hAnsi="Times New Roman"/>
          <w:noProof/>
          <w:sz w:val="24"/>
          <w:szCs w:val="24"/>
          <w:shd w:val="clear" w:color="auto" w:fill="FFFFFF"/>
        </w:rPr>
        <w:t xml:space="preserve">atenție sporită acordată protecției civililor; </w:t>
      </w:r>
    </w:p>
    <w:p>
      <w:pPr>
        <w:pStyle w:val="ListParagraph"/>
        <w:numPr>
          <w:ilvl w:val="0"/>
          <w:numId w:val="40"/>
        </w:numPr>
        <w:spacing w:line="256" w:lineRule="auto"/>
        <w:jc w:val="both"/>
        <w:rPr>
          <w:rFonts w:ascii="Times New Roman" w:hAnsi="Times New Roman" w:cs="Times New Roman"/>
          <w:noProof/>
          <w:sz w:val="24"/>
          <w:szCs w:val="24"/>
          <w:shd w:val="clear" w:color="auto" w:fill="FFFFFF"/>
        </w:rPr>
      </w:pPr>
      <w:r>
        <w:rPr>
          <w:rFonts w:ascii="Times New Roman" w:hAnsi="Times New Roman"/>
          <w:noProof/>
          <w:sz w:val="24"/>
          <w:szCs w:val="24"/>
          <w:shd w:val="clear" w:color="auto" w:fill="FFFFFF"/>
        </w:rPr>
        <w:t xml:space="preserve">promovarea reformelor structurale pentru abordarea cauzelor profunde ale violenței; </w:t>
      </w:r>
    </w:p>
    <w:p>
      <w:pPr>
        <w:pStyle w:val="ListParagraph"/>
        <w:numPr>
          <w:ilvl w:val="0"/>
          <w:numId w:val="40"/>
        </w:numPr>
        <w:spacing w:line="256" w:lineRule="auto"/>
        <w:jc w:val="both"/>
        <w:rPr>
          <w:rFonts w:ascii="Times New Roman" w:hAnsi="Times New Roman" w:cs="Times New Roman"/>
          <w:noProof/>
          <w:sz w:val="24"/>
          <w:szCs w:val="24"/>
          <w:shd w:val="clear" w:color="auto" w:fill="FFFFFF"/>
        </w:rPr>
      </w:pPr>
      <w:r>
        <w:rPr>
          <w:rFonts w:ascii="Times New Roman" w:hAnsi="Times New Roman"/>
          <w:noProof/>
          <w:sz w:val="24"/>
          <w:szCs w:val="24"/>
          <w:shd w:val="clear" w:color="auto" w:fill="FFFFFF"/>
        </w:rPr>
        <w:t>promovarea soluțiilor pe termen lung în contextul strămutărilor forțate, în conformitate cu comunicarea UE din 2016 „Vieți demne”</w:t>
      </w:r>
      <w:r>
        <w:rPr>
          <w:rStyle w:val="FootnoteReference"/>
          <w:rFonts w:ascii="Times New Roman" w:hAnsi="Times New Roman" w:cs="Times New Roman"/>
          <w:noProof/>
          <w:sz w:val="24"/>
          <w:szCs w:val="24"/>
          <w:shd w:val="clear" w:color="auto" w:fill="FFFFFF"/>
        </w:rPr>
        <w:footnoteReference w:id="51"/>
      </w:r>
      <w:r>
        <w:rPr>
          <w:rFonts w:ascii="Times New Roman" w:hAnsi="Times New Roman"/>
          <w:noProof/>
          <w:sz w:val="24"/>
          <w:szCs w:val="24"/>
          <w:shd w:val="clear" w:color="auto" w:fill="FFFFFF"/>
        </w:rPr>
        <w:t xml:space="preserve"> și Pactul global privind refugiații</w:t>
      </w:r>
      <w:r>
        <w:rPr>
          <w:rStyle w:val="FootnoteReference"/>
          <w:rFonts w:ascii="Times New Roman" w:hAnsi="Times New Roman" w:cs="Times New Roman"/>
          <w:noProof/>
          <w:sz w:val="24"/>
          <w:szCs w:val="24"/>
          <w:shd w:val="clear" w:color="auto" w:fill="FFFFFF"/>
        </w:rPr>
        <w:footnoteReference w:id="52"/>
      </w:r>
      <w:r>
        <w:rPr>
          <w:rFonts w:ascii="Times New Roman" w:hAnsi="Times New Roman"/>
          <w:noProof/>
          <w:sz w:val="24"/>
          <w:szCs w:val="24"/>
          <w:shd w:val="clear" w:color="auto" w:fill="FFFFFF"/>
        </w:rPr>
        <w:t xml:space="preserve">. </w:t>
      </w:r>
    </w:p>
    <w:p>
      <w:pPr>
        <w:jc w:val="both"/>
        <w:rPr>
          <w:rFonts w:ascii="Times New Roman" w:eastAsiaTheme="minorEastAsia" w:hAnsi="Times New Roman" w:cs="Times New Roman"/>
          <w:i/>
          <w:iCs/>
          <w:noProof/>
          <w:sz w:val="24"/>
          <w:szCs w:val="24"/>
        </w:rPr>
      </w:pPr>
      <w:r>
        <w:rPr>
          <w:rFonts w:ascii="Times New Roman" w:hAnsi="Times New Roman"/>
          <w:noProof/>
          <w:sz w:val="24"/>
          <w:szCs w:val="24"/>
          <w:shd w:val="clear" w:color="auto" w:fill="FFFFFF"/>
        </w:rPr>
        <w:t>Prezența continuă a conflictelor și impactul socioeconomic al pandemiei de COVID-19 nu fac decât să sporească necesitatea extinderii acestor eforturi – în principal printr-o cooperare și mai strânsă între</w:t>
      </w:r>
      <w:r>
        <w:rPr>
          <w:rFonts w:ascii="Times New Roman" w:hAnsi="Times New Roman"/>
          <w:b/>
          <w:bCs/>
          <w:noProof/>
          <w:sz w:val="24"/>
          <w:szCs w:val="24"/>
          <w:shd w:val="clear" w:color="auto" w:fill="FFFFFF"/>
        </w:rPr>
        <w:t xml:space="preserve"> </w:t>
      </w:r>
      <w:r>
        <w:rPr>
          <w:rFonts w:ascii="Times New Roman" w:hAnsi="Times New Roman"/>
          <w:bCs/>
          <w:noProof/>
          <w:sz w:val="24"/>
          <w:szCs w:val="24"/>
          <w:shd w:val="clear" w:color="auto" w:fill="FFFFFF"/>
        </w:rPr>
        <w:t xml:space="preserve">UE, </w:t>
      </w:r>
      <w:r>
        <w:rPr>
          <w:rFonts w:ascii="Times New Roman" w:hAnsi="Times New Roman"/>
          <w:noProof/>
          <w:sz w:val="24"/>
          <w:szCs w:val="24"/>
        </w:rPr>
        <w:t xml:space="preserve">statele membre ale UE, rețeaua lor diplomatică și instituțiile financiare (inclusiv băncile naționale de dezvoltare și agențiile de implementare, precum și Banca Europeană de Investiții și Banca Europeană pentru Reconstrucție și Dezvoltare) </w:t>
      </w:r>
      <w:r>
        <w:rPr>
          <w:rFonts w:ascii="Times New Roman" w:hAnsi="Times New Roman"/>
          <w:b/>
          <w:noProof/>
          <w:sz w:val="24"/>
          <w:szCs w:val="24"/>
        </w:rPr>
        <w:t>bazată pe abordarea „Echipa Europa”</w:t>
      </w:r>
      <w:r>
        <w:rPr>
          <w:rStyle w:val="FootnoteReference"/>
          <w:rFonts w:ascii="Times New Roman" w:eastAsia="Times New Roman" w:hAnsi="Times New Roman" w:cs="Times New Roman"/>
          <w:noProof/>
          <w:sz w:val="24"/>
          <w:szCs w:val="24"/>
        </w:rPr>
        <w:footnoteReference w:id="53"/>
      </w:r>
      <w:r>
        <w:rPr>
          <w:rFonts w:ascii="Times New Roman" w:hAnsi="Times New Roman"/>
          <w:noProof/>
          <w:sz w:val="24"/>
          <w:szCs w:val="24"/>
        </w:rPr>
        <w:t xml:space="preserve">. Un efort deosebit va fi îndreptat către securitatea alimentară, sănătate și educație, având în vedere impactul dramatic al pandemiei în aceste zone. </w:t>
      </w:r>
      <w:r>
        <w:rPr>
          <w:rFonts w:ascii="Times New Roman" w:hAnsi="Times New Roman"/>
          <w:iCs/>
          <w:noProof/>
          <w:sz w:val="24"/>
          <w:szCs w:val="24"/>
        </w:rPr>
        <w:t xml:space="preserve">Bazându-se pe lecțiile pozitive din perioada de programare 2014-2020, </w:t>
      </w:r>
      <w:r>
        <w:rPr>
          <w:rFonts w:ascii="Times New Roman" w:hAnsi="Times New Roman"/>
          <w:b/>
          <w:iCs/>
          <w:noProof/>
          <w:sz w:val="24"/>
          <w:szCs w:val="24"/>
        </w:rPr>
        <w:t>UE va continua</w:t>
      </w:r>
      <w:r>
        <w:rPr>
          <w:rFonts w:ascii="Times New Roman" w:hAnsi="Times New Roman"/>
          <w:iCs/>
          <w:noProof/>
          <w:sz w:val="24"/>
          <w:szCs w:val="24"/>
        </w:rPr>
        <w:t xml:space="preserve"> </w:t>
      </w:r>
      <w:r>
        <w:rPr>
          <w:rFonts w:ascii="Times New Roman" w:hAnsi="Times New Roman"/>
          <w:b/>
          <w:iCs/>
          <w:noProof/>
          <w:sz w:val="24"/>
          <w:szCs w:val="24"/>
        </w:rPr>
        <w:t>să consolideze sinergiile și complementaritățile între diferiți actori și serviciile UE</w:t>
      </w:r>
      <w:r>
        <w:rPr>
          <w:rFonts w:ascii="Times New Roman" w:hAnsi="Times New Roman"/>
          <w:iCs/>
          <w:noProof/>
          <w:sz w:val="24"/>
          <w:szCs w:val="24"/>
        </w:rPr>
        <w:t>, respectând în același timp principiile umanitare.</w:t>
      </w:r>
      <w:r>
        <w:rPr>
          <w:rFonts w:ascii="Times New Roman" w:hAnsi="Times New Roman"/>
          <w:i/>
          <w:iCs/>
          <w:noProof/>
          <w:sz w:val="24"/>
          <w:szCs w:val="24"/>
        </w:rPr>
        <w:t xml:space="preserve"> </w:t>
      </w:r>
    </w:p>
    <w:p>
      <w:pPr>
        <w:jc w:val="both"/>
        <w:rPr>
          <w:rFonts w:ascii="Times New Roman" w:eastAsia="Times New Roman" w:hAnsi="Times New Roman" w:cs="Times New Roman"/>
          <w:noProof/>
          <w:sz w:val="24"/>
          <w:szCs w:val="24"/>
        </w:rPr>
      </w:pPr>
    </w:p>
    <w:tbl>
      <w:tblPr>
        <w:tblStyle w:val="TableGrid"/>
        <w:tblW w:w="0" w:type="auto"/>
        <w:tblLook w:val="04A0" w:firstRow="1" w:lastRow="0" w:firstColumn="1" w:lastColumn="0" w:noHBand="0" w:noVBand="1"/>
      </w:tblPr>
      <w:tblGrid>
        <w:gridCol w:w="9242"/>
      </w:tblGrid>
      <w:tr>
        <w:tc>
          <w:tcPr>
            <w:tcW w:w="92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pPr>
              <w:pageBreakBefore/>
              <w:jc w:val="both"/>
              <w:rPr>
                <w:rFonts w:ascii="Times New Roman" w:hAnsi="Times New Roman" w:cs="Times New Roman"/>
                <w:i/>
                <w:noProof/>
                <w:sz w:val="24"/>
                <w:szCs w:val="24"/>
                <w:shd w:val="clear" w:color="auto" w:fill="FFFFFF"/>
              </w:rPr>
            </w:pPr>
            <w:r>
              <w:rPr>
                <w:rFonts w:ascii="Times New Roman" w:hAnsi="Times New Roman"/>
                <w:b/>
                <w:i/>
                <w:noProof/>
                <w:sz w:val="24"/>
                <w:szCs w:val="24"/>
                <w:shd w:val="clear" w:color="auto" w:fill="FFFFFF"/>
              </w:rPr>
              <w:t>Obiectiv:</w:t>
            </w:r>
            <w:r>
              <w:rPr>
                <w:rFonts w:ascii="Times New Roman" w:hAnsi="Times New Roman"/>
                <w:i/>
                <w:noProof/>
                <w:sz w:val="24"/>
                <w:szCs w:val="24"/>
                <w:shd w:val="clear" w:color="auto" w:fill="FFFFFF"/>
              </w:rPr>
              <w:t xml:space="preserve"> elaborarea unor politici în domeniul ajutorului umanitar, al dezvoltării, al consolidării păcii și în alte domenii care să asigure o mai bună corelare între ajutorul urgent și soluțiile pe termen lung, cu scopul de a reduce nevoile și de a aborda cauzele profunde ale conflictelor și crizelor.</w:t>
            </w:r>
          </w:p>
          <w:p>
            <w:pPr>
              <w:jc w:val="both"/>
              <w:rPr>
                <w:rFonts w:ascii="Times New Roman" w:eastAsia="Times New Roman" w:hAnsi="Times New Roman" w:cs="Times New Roman"/>
                <w:i/>
                <w:iCs/>
                <w:noProof/>
                <w:sz w:val="24"/>
                <w:szCs w:val="24"/>
              </w:rPr>
            </w:pPr>
          </w:p>
          <w:p>
            <w:pPr>
              <w:jc w:val="both"/>
              <w:rPr>
                <w:rFonts w:ascii="Times New Roman" w:eastAsia="Times New Roman" w:hAnsi="Times New Roman" w:cs="Times New Roman"/>
                <w:i/>
                <w:iCs/>
                <w:noProof/>
                <w:sz w:val="24"/>
                <w:szCs w:val="24"/>
              </w:rPr>
            </w:pPr>
            <w:r>
              <w:rPr>
                <w:rFonts w:ascii="Times New Roman" w:hAnsi="Times New Roman"/>
                <w:b/>
                <w:i/>
                <w:iCs/>
                <w:noProof/>
                <w:sz w:val="24"/>
                <w:szCs w:val="24"/>
              </w:rPr>
              <w:t>Acțiuni-cheie</w:t>
            </w:r>
            <w:r>
              <w:rPr>
                <w:rFonts w:ascii="Times New Roman" w:hAnsi="Times New Roman"/>
                <w:i/>
                <w:iCs/>
                <w:noProof/>
                <w:sz w:val="24"/>
                <w:szCs w:val="24"/>
              </w:rPr>
              <w:t>:</w:t>
            </w:r>
          </w:p>
          <w:p>
            <w:pPr>
              <w:pStyle w:val="ListParagraph"/>
              <w:numPr>
                <w:ilvl w:val="0"/>
                <w:numId w:val="47"/>
              </w:numPr>
              <w:jc w:val="both"/>
              <w:rPr>
                <w:rFonts w:ascii="Times New Roman" w:eastAsiaTheme="minorEastAsia" w:hAnsi="Times New Roman" w:cs="Times New Roman"/>
                <w:i/>
                <w:iCs/>
                <w:noProof/>
                <w:sz w:val="24"/>
                <w:szCs w:val="24"/>
              </w:rPr>
            </w:pPr>
            <w:r>
              <w:rPr>
                <w:rFonts w:ascii="Times New Roman" w:hAnsi="Times New Roman"/>
                <w:i/>
                <w:iCs/>
                <w:noProof/>
                <w:sz w:val="24"/>
                <w:szCs w:val="24"/>
              </w:rPr>
              <w:t xml:space="preserve">Efectuarea sistematică de analize comune ale riscurilor, nevoilor, vulnerabilităților și ale factorilor structurali ai crizelor, precum și, dacă este cazul, programarea și planificarea în comun a politicilor UE, în conformitate cu legătura dintre domeniul umanitar, cel al dezvoltării și pace. </w:t>
            </w:r>
          </w:p>
          <w:p>
            <w:pPr>
              <w:pStyle w:val="ListParagraph"/>
              <w:numPr>
                <w:ilvl w:val="0"/>
                <w:numId w:val="47"/>
              </w:numPr>
              <w:jc w:val="both"/>
              <w:rPr>
                <w:rFonts w:ascii="Times New Roman" w:eastAsiaTheme="minorEastAsia" w:hAnsi="Times New Roman" w:cs="Times New Roman"/>
                <w:i/>
                <w:iCs/>
                <w:noProof/>
                <w:sz w:val="24"/>
                <w:szCs w:val="24"/>
              </w:rPr>
            </w:pPr>
            <w:r>
              <w:rPr>
                <w:rFonts w:ascii="Times New Roman" w:hAnsi="Times New Roman"/>
                <w:i/>
                <w:iCs/>
                <w:noProof/>
                <w:sz w:val="24"/>
                <w:szCs w:val="24"/>
              </w:rPr>
              <w:t>Consolidarea mecanismelor de coordonare pe teren în cadrul acțiunilor umanitare, de dezvoltare și de consolidare a păcii desfășurate de UE pentru a asigura rezultate comune și coerente, cu sprijinul delegațiilor UE și al birourilor locale ECHO. Colaborarea strânsă cu statele membre ale UE în acest cadru într-o abordare „Echipa Europa”.</w:t>
            </w:r>
          </w:p>
          <w:p>
            <w:pPr>
              <w:pStyle w:val="ListParagraph"/>
              <w:numPr>
                <w:ilvl w:val="0"/>
                <w:numId w:val="47"/>
              </w:numPr>
              <w:jc w:val="both"/>
              <w:rPr>
                <w:rFonts w:ascii="Times New Roman" w:eastAsiaTheme="minorEastAsia" w:hAnsi="Times New Roman" w:cs="Times New Roman"/>
                <w:i/>
                <w:iCs/>
                <w:noProof/>
                <w:sz w:val="24"/>
                <w:szCs w:val="24"/>
              </w:rPr>
            </w:pPr>
            <w:r>
              <w:rPr>
                <w:rFonts w:ascii="Times New Roman" w:hAnsi="Times New Roman"/>
                <w:i/>
                <w:iCs/>
                <w:noProof/>
                <w:sz w:val="24"/>
                <w:szCs w:val="24"/>
              </w:rPr>
              <w:t>Crearea unor legături eficace între diferitele acțiuni umanitare, de dezvoltare și de consolidare a păcii și utilizarea instrumentelor existente, precum dialogul în materie de politici, pentru consolidarea capacităților naționale și locale – inclusiv capacitatea autorităților nestatale – de a furniza servicii de bază și de a sprijini consolidarea rezilienței.</w:t>
            </w:r>
          </w:p>
          <w:p>
            <w:pPr>
              <w:pStyle w:val="ListParagraph"/>
              <w:numPr>
                <w:ilvl w:val="0"/>
                <w:numId w:val="47"/>
              </w:numPr>
              <w:jc w:val="both"/>
              <w:rPr>
                <w:rFonts w:ascii="Times New Roman" w:eastAsiaTheme="minorEastAsia" w:hAnsi="Times New Roman" w:cs="Times New Roman"/>
                <w:i/>
                <w:iCs/>
                <w:noProof/>
                <w:sz w:val="24"/>
                <w:szCs w:val="24"/>
              </w:rPr>
            </w:pPr>
            <w:r>
              <w:rPr>
                <w:rFonts w:ascii="Times New Roman" w:hAnsi="Times New Roman"/>
                <w:i/>
                <w:iCs/>
                <w:noProof/>
                <w:sz w:val="24"/>
                <w:szCs w:val="24"/>
              </w:rPr>
              <w:t>Extinderea sprijinului pentru plasele de siguranță socială pe bază de numerar, receptive la șocuri.</w:t>
            </w:r>
          </w:p>
          <w:p>
            <w:pPr>
              <w:pStyle w:val="ListParagraph"/>
              <w:numPr>
                <w:ilvl w:val="0"/>
                <w:numId w:val="47"/>
              </w:numPr>
              <w:jc w:val="both"/>
              <w:rPr>
                <w:rFonts w:ascii="Times New Roman" w:eastAsiaTheme="minorEastAsia" w:hAnsi="Times New Roman" w:cs="Times New Roman"/>
                <w:i/>
                <w:iCs/>
                <w:noProof/>
                <w:sz w:val="24"/>
                <w:szCs w:val="24"/>
              </w:rPr>
            </w:pPr>
            <w:r>
              <w:rPr>
                <w:rFonts w:ascii="Times New Roman" w:hAnsi="Times New Roman"/>
                <w:i/>
                <w:iCs/>
                <w:noProof/>
                <w:sz w:val="24"/>
                <w:szCs w:val="24"/>
              </w:rPr>
              <w:t>Utilizarea angajamentului politic și diplomatic al UE și a tuturor instrumentelor disponibile pentru prevenirea crizelor, soluționarea conflictelor și consolidarea păcii, intensificând în același timp activitățile de promovare a operațiunilor umanitare, pentru facilitarea accesului și respectarea principiilor umanitare, protecția civililor și respectarea dreptului internațional umanitar.</w:t>
            </w:r>
          </w:p>
          <w:p>
            <w:pPr>
              <w:pStyle w:val="ListParagraph"/>
              <w:numPr>
                <w:ilvl w:val="0"/>
                <w:numId w:val="47"/>
              </w:numPr>
              <w:jc w:val="both"/>
              <w:rPr>
                <w:rFonts w:ascii="Times New Roman" w:hAnsi="Times New Roman" w:cs="Times New Roman"/>
                <w:i/>
                <w:iCs/>
                <w:noProof/>
                <w:sz w:val="24"/>
                <w:szCs w:val="24"/>
              </w:rPr>
            </w:pPr>
            <w:r>
              <w:rPr>
                <w:rFonts w:ascii="Times New Roman" w:hAnsi="Times New Roman"/>
                <w:i/>
                <w:iCs/>
                <w:noProof/>
                <w:sz w:val="24"/>
                <w:szCs w:val="24"/>
              </w:rPr>
              <w:t>Promovarea coordonării civil-militare umanitare eficace în toate contextele relevante, drept cadru pentru protejarea spațiului umanitar, evitarea redundanțelor, minimizarea inconsecvențelor și maximizarea sinergiilor potențiale cu actorii din domeniul securității și al apărării.</w:t>
            </w:r>
          </w:p>
          <w:p>
            <w:pPr>
              <w:pStyle w:val="ListParagraph"/>
              <w:numPr>
                <w:ilvl w:val="0"/>
                <w:numId w:val="47"/>
              </w:numPr>
              <w:jc w:val="both"/>
              <w:rPr>
                <w:rFonts w:ascii="Times New Roman" w:eastAsiaTheme="minorEastAsia" w:hAnsi="Times New Roman" w:cs="Times New Roman"/>
                <w:i/>
                <w:iCs/>
                <w:noProof/>
                <w:sz w:val="24"/>
                <w:szCs w:val="24"/>
              </w:rPr>
            </w:pPr>
            <w:r>
              <w:rPr>
                <w:rFonts w:ascii="Times New Roman" w:hAnsi="Times New Roman"/>
                <w:i/>
                <w:iCs/>
                <w:noProof/>
                <w:sz w:val="24"/>
                <w:szCs w:val="24"/>
              </w:rPr>
              <w:t xml:space="preserve">Dezvoltarea de sinergii cu eforturile UE de mediere a păcii și de prevenire a conflictelor, cu respectarea deplină a principiilor umanitare, în vederea sporirii eforturilor de atenuare a suferințelor. </w:t>
            </w:r>
          </w:p>
          <w:p>
            <w:pPr>
              <w:pStyle w:val="ListParagraph"/>
              <w:numPr>
                <w:ilvl w:val="0"/>
                <w:numId w:val="47"/>
              </w:numPr>
              <w:jc w:val="both"/>
              <w:rPr>
                <w:rFonts w:ascii="Times New Roman" w:eastAsiaTheme="minorEastAsia" w:hAnsi="Times New Roman" w:cs="Times New Roman"/>
                <w:i/>
                <w:iCs/>
                <w:noProof/>
                <w:sz w:val="24"/>
                <w:szCs w:val="24"/>
              </w:rPr>
            </w:pPr>
            <w:r>
              <w:rPr>
                <w:rFonts w:ascii="Times New Roman" w:hAnsi="Times New Roman"/>
                <w:i/>
                <w:iCs/>
                <w:noProof/>
                <w:sz w:val="24"/>
                <w:szCs w:val="24"/>
              </w:rPr>
              <w:t xml:space="preserve">Integrarea educației în domeniile prioritare pentru legătura dintre domeniul umanitar, cel al dezvoltării și pace pentru a contribui la reducerea deficitului global în materie de educație, alături de sectoare precum sănătatea, securitatea alimentară, pregătirea pentru dezastre și reziliența la schimbările climatice. </w:t>
            </w:r>
          </w:p>
        </w:tc>
      </w:tr>
    </w:tbl>
    <w:p>
      <w:pPr>
        <w:spacing w:after="0" w:line="240" w:lineRule="auto"/>
        <w:jc w:val="both"/>
        <w:rPr>
          <w:rFonts w:ascii="Times New Roman" w:eastAsia="Times New Roman" w:hAnsi="Times New Roman" w:cs="Times New Roman"/>
          <w:i/>
          <w:noProof/>
          <w:color w:val="000000" w:themeColor="text1"/>
          <w:sz w:val="24"/>
          <w:szCs w:val="24"/>
        </w:rPr>
      </w:pPr>
    </w:p>
    <w:p>
      <w:pPr>
        <w:spacing w:after="0" w:line="240" w:lineRule="auto"/>
        <w:jc w:val="both"/>
        <w:rPr>
          <w:rFonts w:ascii="Times New Roman" w:eastAsia="Times New Roman" w:hAnsi="Times New Roman" w:cs="Times New Roman"/>
          <w:i/>
          <w:noProof/>
          <w:color w:val="000000" w:themeColor="text1"/>
          <w:sz w:val="24"/>
          <w:szCs w:val="24"/>
        </w:rPr>
      </w:pPr>
    </w:p>
    <w:p>
      <w:pPr>
        <w:spacing w:after="0" w:line="240" w:lineRule="auto"/>
        <w:jc w:val="both"/>
        <w:rPr>
          <w:rFonts w:ascii="Times New Roman" w:hAnsi="Times New Roman" w:cs="Times New Roman"/>
          <w:i/>
          <w:iCs/>
          <w:noProof/>
          <w:sz w:val="24"/>
          <w:szCs w:val="24"/>
        </w:rPr>
      </w:pPr>
      <w:r>
        <w:rPr>
          <w:rFonts w:ascii="Times New Roman" w:hAnsi="Times New Roman"/>
          <w:i/>
          <w:noProof/>
          <w:color w:val="000000" w:themeColor="text1"/>
          <w:sz w:val="24"/>
          <w:szCs w:val="24"/>
        </w:rPr>
        <w:t>E</w:t>
      </w:r>
      <w:r>
        <w:rPr>
          <w:rFonts w:ascii="Times New Roman" w:hAnsi="Times New Roman"/>
          <w:i/>
          <w:iCs/>
          <w:noProof/>
          <w:sz w:val="24"/>
          <w:szCs w:val="24"/>
        </w:rPr>
        <w:t xml:space="preserve">xtinderea bazei de resurse – atât în interiorul, cât și în afara Europei </w:t>
      </w:r>
    </w:p>
    <w:p>
      <w:pPr>
        <w:spacing w:after="0" w:line="240" w:lineRule="auto"/>
        <w:jc w:val="both"/>
        <w:rPr>
          <w:rFonts w:ascii="Times New Roman" w:hAnsi="Times New Roman" w:cs="Times New Roman"/>
          <w:i/>
          <w:iCs/>
          <w:noProof/>
          <w:sz w:val="24"/>
          <w:szCs w:val="24"/>
        </w:rPr>
      </w:pPr>
    </w:p>
    <w:p>
      <w:pPr>
        <w:spacing w:after="0" w:line="240" w:lineRule="auto"/>
        <w:jc w:val="both"/>
        <w:rPr>
          <w:rFonts w:ascii="Times New Roman" w:eastAsia="Times New Roman" w:hAnsi="Times New Roman" w:cs="Times New Roman"/>
          <w:b/>
          <w:bCs/>
          <w:noProof/>
          <w:sz w:val="24"/>
          <w:szCs w:val="24"/>
        </w:rPr>
      </w:pPr>
      <w:r>
        <w:rPr>
          <w:rFonts w:ascii="Times New Roman" w:hAnsi="Times New Roman"/>
          <w:noProof/>
          <w:sz w:val="24"/>
          <w:szCs w:val="24"/>
        </w:rPr>
        <w:t>Creșterea dramatică din ultimii ani a sferei și a severității crizelor umanitare reprezintă o provocare pentru întreaga omenire. Pandemia de COVID-19 a subliniat imperativul ca „nimeni să nu fie lăsat în urmă”. Principalele recomandări formulate de Grupul la nivel înalt privind finanțarea umanitară convocat de Secretarul General al Organizației Națiunilor Unite în 2015 sunt chiar mai relevante în 2021</w:t>
      </w:r>
      <w:r>
        <w:rPr>
          <w:rStyle w:val="FootnoteReference"/>
          <w:rFonts w:ascii="Times New Roman" w:eastAsia="Times New Roman" w:hAnsi="Times New Roman" w:cs="Times New Roman"/>
          <w:noProof/>
          <w:sz w:val="24"/>
          <w:szCs w:val="24"/>
        </w:rPr>
        <w:footnoteReference w:id="54"/>
      </w:r>
      <w:r>
        <w:rPr>
          <w:rFonts w:ascii="Times New Roman" w:hAnsi="Times New Roman"/>
          <w:noProof/>
          <w:sz w:val="24"/>
          <w:szCs w:val="24"/>
        </w:rPr>
        <w:t xml:space="preserve">: mai multe resurse sunt </w:t>
      </w:r>
      <w:r>
        <w:rPr>
          <w:rFonts w:ascii="Times New Roman" w:hAnsi="Times New Roman"/>
          <w:b/>
          <w:bCs/>
          <w:noProof/>
          <w:sz w:val="24"/>
          <w:szCs w:val="24"/>
        </w:rPr>
        <w:t xml:space="preserve">necesare de urgență pentru a răspunde nevoilor umanitare în creștere semnificativă. </w:t>
      </w:r>
    </w:p>
    <w:p>
      <w:pPr>
        <w:spacing w:after="0" w:line="240" w:lineRule="auto"/>
        <w:jc w:val="both"/>
        <w:rPr>
          <w:rFonts w:ascii="Times New Roman" w:eastAsia="Times New Roman" w:hAnsi="Times New Roman" w:cs="Times New Roman"/>
          <w:noProof/>
          <w:sz w:val="24"/>
          <w:szCs w:val="24"/>
        </w:rPr>
      </w:pPr>
    </w:p>
    <w:p>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 xml:space="preserve">Cu toate acestea, </w:t>
      </w:r>
      <w:r>
        <w:rPr>
          <w:rFonts w:ascii="Times New Roman" w:hAnsi="Times New Roman"/>
          <w:b/>
          <w:bCs/>
          <w:noProof/>
          <w:sz w:val="24"/>
          <w:szCs w:val="24"/>
        </w:rPr>
        <w:t>baza de resurse destinate ajutorului umanitar rămâne îngrijorător de limitată</w:t>
      </w:r>
      <w:r>
        <w:rPr>
          <w:rFonts w:ascii="Times New Roman" w:hAnsi="Times New Roman"/>
          <w:noProof/>
          <w:sz w:val="24"/>
          <w:szCs w:val="24"/>
        </w:rPr>
        <w:t>. În 2020, cei mai mari trei donatori (SUA, Germania și Comisia Europeană) au furnizat 62 % din totalul fondurilor umanitare la nivel mondial. În cadrul UE, doar patru state membre și Comisia Europeană acoperă aproximativ 90 % din finanțarea necesară acțiunilor umanitare</w:t>
      </w:r>
      <w:r>
        <w:rPr>
          <w:rStyle w:val="FootnoteReference"/>
          <w:rFonts w:ascii="Times New Roman" w:eastAsia="Times New Roman" w:hAnsi="Times New Roman" w:cs="Times New Roman"/>
          <w:noProof/>
          <w:sz w:val="24"/>
          <w:szCs w:val="24"/>
        </w:rPr>
        <w:footnoteReference w:id="55"/>
      </w:r>
      <w:r>
        <w:rPr>
          <w:rFonts w:ascii="Times New Roman" w:hAnsi="Times New Roman"/>
          <w:noProof/>
          <w:sz w:val="24"/>
          <w:szCs w:val="24"/>
        </w:rPr>
        <w:t xml:space="preserve">. Deși mai multe țări au crescut fondurile alocate în scopuri umanitare în ultimii ani, inclusiv unele state membre ale UE, există încă multe posibilități de extindere a listei de donatori și de sporire a contribuțiilor donatorilor actuali pentru a răspunde efortului comun global, care este imperativ necesar. </w:t>
      </w:r>
    </w:p>
    <w:p>
      <w:pPr>
        <w:spacing w:after="0" w:line="240" w:lineRule="auto"/>
        <w:jc w:val="both"/>
        <w:rPr>
          <w:rFonts w:ascii="Times New Roman" w:eastAsia="Times New Roman" w:hAnsi="Times New Roman" w:cs="Times New Roman"/>
          <w:noProof/>
          <w:sz w:val="24"/>
          <w:szCs w:val="24"/>
        </w:rPr>
      </w:pPr>
    </w:p>
    <w:p>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 xml:space="preserve">În acest context, UE ar trebui </w:t>
      </w:r>
      <w:r>
        <w:rPr>
          <w:rFonts w:ascii="Times New Roman" w:hAnsi="Times New Roman"/>
          <w:b/>
          <w:bCs/>
          <w:noProof/>
          <w:sz w:val="24"/>
          <w:szCs w:val="24"/>
        </w:rPr>
        <w:t xml:space="preserve">să își intensifice susținerea pentru creșterea substanțială a fondurilor alocate în scopuri umanitare </w:t>
      </w:r>
      <w:r>
        <w:rPr>
          <w:rFonts w:ascii="Times New Roman" w:hAnsi="Times New Roman"/>
          <w:bCs/>
          <w:noProof/>
          <w:sz w:val="24"/>
          <w:szCs w:val="24"/>
        </w:rPr>
        <w:t xml:space="preserve">și </w:t>
      </w:r>
      <w:r>
        <w:rPr>
          <w:rFonts w:ascii="Times New Roman" w:hAnsi="Times New Roman"/>
          <w:noProof/>
          <w:sz w:val="24"/>
          <w:szCs w:val="24"/>
        </w:rPr>
        <w:t>pentru o mai bună distribuire a responsabilității între donatori, inclusiv statele membre ale UE. În colaborare cu statele membre ale UE, precum și cu alți donatori umanitari implicați, cum ar fi Statele Unite ale Americii, UE ar trebui să utilizeze angajamentul bilateral, regional și multilateral atât cu donatorii tradiționali, cât și cu donatorii emergenți (în special cu cei a căror pondere în economia globală a crescut substanțial în ultimii ani, precum China și statele din Golf) pentru a încuraja creșterea fondurilor alocate și un sprijin mai sistematic pentru sistemul umanitar global. Acest angajament ar trebui să se bazeze pe, și să reamintească, obiectivul existent de a furniza 0,7 % din venitul național brut</w:t>
      </w:r>
      <w:r>
        <w:rPr>
          <w:rStyle w:val="FootnoteReference"/>
          <w:rFonts w:ascii="Times New Roman" w:eastAsiaTheme="minorEastAsia" w:hAnsi="Times New Roman" w:cs="Times New Roman"/>
          <w:iCs/>
          <w:noProof/>
          <w:sz w:val="24"/>
          <w:szCs w:val="24"/>
        </w:rPr>
        <w:footnoteReference w:id="56"/>
      </w:r>
      <w:r>
        <w:rPr>
          <w:rFonts w:ascii="Times New Roman" w:hAnsi="Times New Roman"/>
          <w:noProof/>
          <w:sz w:val="24"/>
          <w:szCs w:val="24"/>
        </w:rPr>
        <w:t xml:space="preserve"> pentru asistența oficială pentru dezvoltare și ar trebui să încurajeze creșterea angajamentelor financiare dedicate acțiunilor umanitare proporțional cu creșterea semnificativă a nevoilor și cerințelor umanitare din ultimii ani. Aceste eforturi ar trebui fie însoțite de obținerea sprijinului pentru respectarea principiilor umanitare, a bunelor practici privind acțiunile umanitare și a dreptului internațional umanitar.</w:t>
      </w:r>
    </w:p>
    <w:p>
      <w:pPr>
        <w:spacing w:after="0" w:line="240" w:lineRule="auto"/>
        <w:jc w:val="both"/>
        <w:rPr>
          <w:rFonts w:ascii="Times New Roman" w:eastAsia="Times New Roman" w:hAnsi="Times New Roman" w:cs="Times New Roman"/>
          <w:noProof/>
          <w:sz w:val="24"/>
          <w:szCs w:val="24"/>
        </w:rPr>
      </w:pPr>
    </w:p>
    <w:tbl>
      <w:tblPr>
        <w:tblStyle w:val="TableGrid"/>
        <w:tblW w:w="0" w:type="auto"/>
        <w:shd w:val="pct10" w:color="auto" w:fill="auto"/>
        <w:tblLook w:val="04A0" w:firstRow="1" w:lastRow="0" w:firstColumn="1" w:lastColumn="0" w:noHBand="0" w:noVBand="1"/>
      </w:tblPr>
      <w:tblGrid>
        <w:gridCol w:w="9242"/>
      </w:tblGrid>
      <w:tr>
        <w:tc>
          <w:tcPr>
            <w:tcW w:w="9242" w:type="dxa"/>
            <w:shd w:val="pct10" w:color="auto" w:fill="auto"/>
          </w:tcPr>
          <w:p>
            <w:pPr>
              <w:jc w:val="both"/>
              <w:rPr>
                <w:rFonts w:ascii="Times New Roman" w:hAnsi="Times New Roman" w:cs="Times New Roman"/>
                <w:noProof/>
              </w:rPr>
            </w:pPr>
            <w:r>
              <w:rPr>
                <w:rFonts w:ascii="Times New Roman" w:hAnsi="Times New Roman"/>
                <w:iCs/>
                <w:noProof/>
              </w:rPr>
              <w:t>UE și SUA au un parteneriat solid în domeniul ajutorului umanitar, bazat pe dialog și cooperare cu privire la crize specifice și aspecte tematice. Bazându-se pe această relație puternică, UE și SUA pot colabora, de asemenea, pentru o mai bună distribuire a responsabilității între donatori în ceea ce privește sprijinirea sistemului umanitar global, în conformitate cu noua agendă transatlantică pentru o schimbare mondială</w:t>
            </w:r>
            <w:r>
              <w:rPr>
                <w:rStyle w:val="FootnoteReference"/>
                <w:rFonts w:ascii="Times New Roman" w:hAnsi="Times New Roman" w:cs="Times New Roman"/>
                <w:iCs/>
                <w:noProof/>
              </w:rPr>
              <w:footnoteReference w:id="57"/>
            </w:r>
            <w:r>
              <w:rPr>
                <w:rFonts w:ascii="Times New Roman" w:hAnsi="Times New Roman"/>
                <w:iCs/>
                <w:noProof/>
              </w:rPr>
              <w:t xml:space="preserve">. </w:t>
            </w:r>
          </w:p>
        </w:tc>
      </w:tr>
    </w:tbl>
    <w:p>
      <w:pPr>
        <w:spacing w:before="12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 xml:space="preserve">De asemenea, UE ar trebui să exploreze modalități de a asigura o mai bună promovare și implicare a </w:t>
      </w:r>
      <w:r>
        <w:rPr>
          <w:rFonts w:ascii="Times New Roman" w:hAnsi="Times New Roman"/>
          <w:b/>
          <w:noProof/>
          <w:sz w:val="24"/>
          <w:szCs w:val="24"/>
        </w:rPr>
        <w:t>sectorului privat</w:t>
      </w:r>
      <w:r>
        <w:rPr>
          <w:rFonts w:ascii="Times New Roman" w:hAnsi="Times New Roman"/>
          <w:noProof/>
          <w:sz w:val="24"/>
          <w:szCs w:val="24"/>
        </w:rPr>
        <w:t xml:space="preserve"> în furnizarea de servicii pentru persoanele afectate de crize umanitare, atunci când este cazul. O serie de inițiative inovatoare au fost lansate în ultimii ani de actorii din domeniul umanitar pentru a promova instrumente noi, cum ar fi obligațiunile cu impact umanitar. S-au făcut progrese semnificative în ceea ce privește utilizarea asigurărilor și reasigurărilor pentru riscurile de dezastre. Totuși, UE poate face mai mult pentru a obține finanțare suplimentară prin consolidarea angajamentului cu sectorul privat în sprijinul răspunsului umanitar. </w:t>
      </w:r>
    </w:p>
    <w:p>
      <w:pPr>
        <w:spacing w:before="12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Bazându-se pe activitățile de analiză extinse la care a contribuit într-un context multilateral</w:t>
      </w:r>
      <w:r>
        <w:rPr>
          <w:rStyle w:val="FootnoteReference"/>
          <w:rFonts w:ascii="Times New Roman" w:eastAsia="Times New Roman" w:hAnsi="Times New Roman" w:cs="Times New Roman"/>
          <w:noProof/>
          <w:sz w:val="24"/>
          <w:szCs w:val="24"/>
        </w:rPr>
        <w:footnoteReference w:id="58"/>
      </w:r>
      <w:r>
        <w:rPr>
          <w:rFonts w:ascii="Times New Roman" w:hAnsi="Times New Roman"/>
          <w:noProof/>
          <w:sz w:val="24"/>
          <w:szCs w:val="24"/>
        </w:rPr>
        <w:t>, Comisia va depune eforturi pentru introducerea unor metode inovatoare de finanțare în instrumentarul său specific ajutorului umanitar și va promova activ implicarea sectorului privat în finanțarea operațiunilor umanitare.</w:t>
      </w:r>
    </w:p>
    <w:p>
      <w:pPr>
        <w:spacing w:before="120" w:line="240" w:lineRule="auto"/>
        <w:jc w:val="both"/>
        <w:rPr>
          <w:rFonts w:ascii="Times New Roman" w:eastAsia="Times New Roman" w:hAnsi="Times New Roman" w:cs="Times New Roman"/>
          <w:noProof/>
          <w:sz w:val="24"/>
          <w:szCs w:val="24"/>
        </w:rPr>
      </w:pPr>
    </w:p>
    <w:tbl>
      <w:tblPr>
        <w:tblStyle w:val="TableGrid"/>
        <w:tblW w:w="0" w:type="auto"/>
        <w:tblLook w:val="04A0" w:firstRow="1" w:lastRow="0" w:firstColumn="1" w:lastColumn="0" w:noHBand="0" w:noVBand="1"/>
      </w:tblPr>
      <w:tblGrid>
        <w:gridCol w:w="9242"/>
      </w:tblGrid>
      <w:tr>
        <w:tc>
          <w:tcPr>
            <w:tcW w:w="9242" w:type="dxa"/>
          </w:tcPr>
          <w:p>
            <w:pPr>
              <w:jc w:val="both"/>
              <w:rPr>
                <w:rFonts w:ascii="Times New Roman" w:eastAsia="Times New Roman" w:hAnsi="Times New Roman" w:cs="Times New Roman"/>
                <w:i/>
                <w:iCs/>
                <w:noProof/>
                <w:sz w:val="24"/>
                <w:szCs w:val="24"/>
              </w:rPr>
            </w:pPr>
            <w:r>
              <w:rPr>
                <w:rFonts w:ascii="Times New Roman" w:hAnsi="Times New Roman"/>
                <w:b/>
                <w:i/>
                <w:iCs/>
                <w:noProof/>
                <w:sz w:val="24"/>
                <w:szCs w:val="24"/>
              </w:rPr>
              <w:t>Obiectiv</w:t>
            </w:r>
            <w:r>
              <w:rPr>
                <w:rFonts w:ascii="Times New Roman" w:hAnsi="Times New Roman"/>
                <w:i/>
                <w:iCs/>
                <w:noProof/>
                <w:sz w:val="24"/>
                <w:szCs w:val="24"/>
              </w:rPr>
              <w:t>: creșterea semnificativă a bazei de resurse destinate acțiunilor umanitare.</w:t>
            </w:r>
          </w:p>
          <w:p>
            <w:pPr>
              <w:jc w:val="both"/>
              <w:rPr>
                <w:rFonts w:ascii="Times New Roman" w:eastAsia="Times New Roman" w:hAnsi="Times New Roman" w:cs="Times New Roman"/>
                <w:i/>
                <w:iCs/>
                <w:noProof/>
                <w:sz w:val="24"/>
                <w:szCs w:val="24"/>
              </w:rPr>
            </w:pPr>
          </w:p>
          <w:p>
            <w:pPr>
              <w:jc w:val="both"/>
              <w:rPr>
                <w:rFonts w:ascii="Times New Roman" w:eastAsia="Times New Roman" w:hAnsi="Times New Roman" w:cs="Times New Roman"/>
                <w:i/>
                <w:iCs/>
                <w:noProof/>
                <w:sz w:val="24"/>
                <w:szCs w:val="24"/>
              </w:rPr>
            </w:pPr>
            <w:r>
              <w:rPr>
                <w:rFonts w:ascii="Times New Roman" w:hAnsi="Times New Roman"/>
                <w:b/>
                <w:i/>
                <w:iCs/>
                <w:noProof/>
                <w:sz w:val="24"/>
                <w:szCs w:val="24"/>
              </w:rPr>
              <w:t>Acțiuni-cheie</w:t>
            </w:r>
            <w:r>
              <w:rPr>
                <w:rFonts w:ascii="Times New Roman" w:hAnsi="Times New Roman"/>
                <w:i/>
                <w:iCs/>
                <w:noProof/>
                <w:sz w:val="24"/>
                <w:szCs w:val="24"/>
              </w:rPr>
              <w:t>:</w:t>
            </w:r>
          </w:p>
          <w:p>
            <w:pPr>
              <w:pStyle w:val="ListParagraph"/>
              <w:numPr>
                <w:ilvl w:val="0"/>
                <w:numId w:val="1"/>
              </w:numPr>
              <w:jc w:val="both"/>
              <w:rPr>
                <w:rFonts w:ascii="Times New Roman" w:eastAsiaTheme="minorEastAsia" w:hAnsi="Times New Roman" w:cs="Times New Roman"/>
                <w:i/>
                <w:iCs/>
                <w:noProof/>
                <w:sz w:val="24"/>
                <w:szCs w:val="24"/>
              </w:rPr>
            </w:pPr>
            <w:r>
              <w:rPr>
                <w:rFonts w:ascii="Times New Roman" w:hAnsi="Times New Roman"/>
                <w:i/>
                <w:iCs/>
                <w:noProof/>
                <w:sz w:val="24"/>
                <w:szCs w:val="24"/>
              </w:rPr>
              <w:t xml:space="preserve">Reamintirea angajamentului UE de a furniza 0,7 % din venitul național brut ca asistență oficială pentru dezvoltare, colaborarea cu statele membre pentru creșterea angajamentelor financiare dedicate acțiunilor umanitare proporțional cu creșterea semnificativă a nevoilor și cerințelor umanitare din ultimii ani. </w:t>
            </w:r>
          </w:p>
          <w:p>
            <w:pPr>
              <w:pStyle w:val="ListParagraph"/>
              <w:numPr>
                <w:ilvl w:val="0"/>
                <w:numId w:val="1"/>
              </w:numPr>
              <w:jc w:val="both"/>
              <w:rPr>
                <w:rFonts w:ascii="Times New Roman" w:eastAsiaTheme="minorEastAsia" w:hAnsi="Times New Roman" w:cs="Times New Roman"/>
                <w:i/>
                <w:noProof/>
                <w:sz w:val="24"/>
                <w:szCs w:val="24"/>
              </w:rPr>
            </w:pPr>
            <w:r>
              <w:rPr>
                <w:rFonts w:ascii="Times New Roman" w:hAnsi="Times New Roman"/>
                <w:i/>
                <w:iCs/>
                <w:noProof/>
                <w:sz w:val="24"/>
                <w:szCs w:val="24"/>
              </w:rPr>
              <w:t>Consolidarea angajamentului UE cu țările donatoare tradiționale și emergente pentru a reaminti responsabilitatea comună de a sprijini răspunsul umanitar și integrarea mai sistematică a acestei teme în dialogul politic al UE cu țările relevante din afara UE. Consolidarea sau încheierea de alianțe la nivel global cu țări care împărtășesc aceleași opinii, pentru a promova agenda umanitară globală.</w:t>
            </w:r>
          </w:p>
          <w:p>
            <w:pPr>
              <w:pStyle w:val="ListParagraph"/>
              <w:numPr>
                <w:ilvl w:val="0"/>
                <w:numId w:val="1"/>
              </w:numPr>
              <w:jc w:val="both"/>
              <w:rPr>
                <w:rFonts w:ascii="Times New Roman" w:eastAsiaTheme="minorEastAsia" w:hAnsi="Times New Roman" w:cs="Times New Roman"/>
                <w:i/>
                <w:noProof/>
                <w:sz w:val="24"/>
                <w:szCs w:val="24"/>
              </w:rPr>
            </w:pPr>
            <w:r>
              <w:rPr>
                <w:rFonts w:ascii="Times New Roman" w:hAnsi="Times New Roman"/>
                <w:i/>
                <w:iCs/>
                <w:noProof/>
                <w:sz w:val="24"/>
                <w:szCs w:val="24"/>
              </w:rPr>
              <w:t>Lansarea unei inițiative-pilot cu finanțare mixtă din bugetul pentru ajutor umanitar al UE pentru a obține finanțare suplimentară din partea sectorului privat</w:t>
            </w:r>
            <w:r>
              <w:rPr>
                <w:rFonts w:ascii="Times New Roman" w:hAnsi="Times New Roman"/>
                <w:noProof/>
                <w:sz w:val="24"/>
                <w:szCs w:val="24"/>
              </w:rPr>
              <w:t xml:space="preserve"> </w:t>
            </w:r>
            <w:r>
              <w:rPr>
                <w:rFonts w:ascii="Times New Roman" w:hAnsi="Times New Roman"/>
                <w:i/>
                <w:iCs/>
                <w:noProof/>
                <w:sz w:val="24"/>
                <w:szCs w:val="24"/>
              </w:rPr>
              <w:t xml:space="preserve">într-un context umanitar în 2021. </w:t>
            </w:r>
          </w:p>
        </w:tc>
      </w:tr>
    </w:tbl>
    <w:p>
      <w:pPr>
        <w:pStyle w:val="paragraph"/>
        <w:spacing w:before="0" w:beforeAutospacing="0" w:after="0" w:afterAutospacing="0"/>
        <w:jc w:val="both"/>
        <w:textAlignment w:val="baseline"/>
        <w:rPr>
          <w:rFonts w:eastAsiaTheme="minorEastAsia"/>
          <w:b/>
          <w:bCs/>
          <w:noProof/>
        </w:rPr>
      </w:pPr>
    </w:p>
    <w:p>
      <w:pPr>
        <w:pStyle w:val="paragraph"/>
        <w:spacing w:before="0" w:beforeAutospacing="0" w:after="0" w:afterAutospacing="0"/>
        <w:jc w:val="both"/>
        <w:textAlignment w:val="baseline"/>
        <w:rPr>
          <w:rFonts w:eastAsiaTheme="minorEastAsia"/>
          <w:b/>
          <w:bCs/>
          <w:noProof/>
        </w:rPr>
      </w:pPr>
    </w:p>
    <w:p>
      <w:pPr>
        <w:pStyle w:val="paragraph"/>
        <w:spacing w:before="0" w:beforeAutospacing="0" w:after="0" w:afterAutospacing="0"/>
        <w:jc w:val="both"/>
        <w:textAlignment w:val="baseline"/>
        <w:rPr>
          <w:rFonts w:eastAsiaTheme="minorEastAsia"/>
          <w:b/>
          <w:bCs/>
          <w:noProof/>
        </w:rPr>
      </w:pPr>
      <w:r>
        <w:rPr>
          <w:b/>
          <w:bCs/>
          <w:noProof/>
        </w:rPr>
        <w:t xml:space="preserve">4. Sprijinirea unui mediu mai favorabil furnizării de ajutor umanitar </w:t>
      </w:r>
    </w:p>
    <w:p>
      <w:pPr>
        <w:pStyle w:val="paragraph"/>
        <w:spacing w:before="0" w:beforeAutospacing="0" w:after="0" w:afterAutospacing="0"/>
        <w:textAlignment w:val="baseline"/>
        <w:rPr>
          <w:rFonts w:eastAsiaTheme="minorEastAsia"/>
          <w:b/>
          <w:bCs/>
          <w:noProof/>
          <w:lang w:val="fr-BE"/>
        </w:rPr>
      </w:pPr>
    </w:p>
    <w:p>
      <w:pPr>
        <w:pStyle w:val="paragraph"/>
        <w:spacing w:before="0" w:beforeAutospacing="0" w:after="0" w:afterAutospacing="0"/>
        <w:jc w:val="both"/>
        <w:textAlignment w:val="baseline"/>
        <w:rPr>
          <w:rStyle w:val="eop"/>
          <w:b/>
          <w:bCs/>
          <w:noProof/>
        </w:rPr>
      </w:pPr>
      <w:r>
        <w:rPr>
          <w:rStyle w:val="eop"/>
          <w:b/>
          <w:bCs/>
          <w:noProof/>
        </w:rPr>
        <w:t>4.1</w:t>
      </w:r>
      <w:r>
        <w:rPr>
          <w:rStyle w:val="eop"/>
          <w:b/>
          <w:noProof/>
        </w:rPr>
        <w:t xml:space="preserve"> </w:t>
      </w:r>
      <w:r>
        <w:rPr>
          <w:rStyle w:val="eop"/>
          <w:b/>
          <w:bCs/>
          <w:noProof/>
        </w:rPr>
        <w:t xml:space="preserve">Promovarea respectării dreptului internațional umanitar </w:t>
      </w:r>
    </w:p>
    <w:p>
      <w:pPr>
        <w:pStyle w:val="paragraph"/>
        <w:spacing w:before="0" w:beforeAutospacing="0" w:after="0" w:afterAutospacing="0"/>
        <w:jc w:val="both"/>
        <w:textAlignment w:val="baseline"/>
        <w:rPr>
          <w:rStyle w:val="eop"/>
          <w:b/>
          <w:bCs/>
          <w:noProof/>
          <w:lang w:val="fr-BE"/>
        </w:rPr>
      </w:pPr>
    </w:p>
    <w:p>
      <w:pPr>
        <w:pStyle w:val="paragraph"/>
        <w:spacing w:before="0" w:beforeAutospacing="0" w:after="0" w:afterAutospacing="0"/>
        <w:jc w:val="both"/>
        <w:textAlignment w:val="baseline"/>
        <w:rPr>
          <w:noProof/>
        </w:rPr>
      </w:pPr>
      <w:r>
        <w:rPr>
          <w:b/>
          <w:bCs/>
          <w:noProof/>
        </w:rPr>
        <w:t xml:space="preserve">Dreptul internațional umanitar (DIU) </w:t>
      </w:r>
      <w:r>
        <w:rPr>
          <w:noProof/>
        </w:rPr>
        <w:t xml:space="preserve">este un set de norme convenite la nivel internațional și universal recunoscute, prin care se urmărește limitarea efectelor conflictelor armate, precum și protejarea civililor și a altor persoane care nu participă la ostilități. </w:t>
      </w:r>
      <w:r>
        <w:rPr>
          <w:b/>
          <w:bCs/>
          <w:noProof/>
        </w:rPr>
        <w:t>Respectarea DIU</w:t>
      </w:r>
      <w:r>
        <w:rPr>
          <w:noProof/>
        </w:rPr>
        <w:t xml:space="preserve"> este un obiectiv important în sine; este și o condiție preliminară pentru un ajutor umanitar eficace și poate evita necesitatea unui astfel de ajutor în cazul respectării acestor norme. Încălcarea acestor norme este în prezent un fenomen des întâlnit. Civilii, inclusiv lucrătorii umanitari sau în domeniul sănătății, sunt de prea multe ori țintele atacurilor deliberate ale beligeranților. </w:t>
      </w:r>
    </w:p>
    <w:p>
      <w:pPr>
        <w:pStyle w:val="paragraph"/>
        <w:spacing w:before="0" w:beforeAutospacing="0" w:after="0" w:afterAutospacing="0"/>
        <w:jc w:val="both"/>
        <w:textAlignment w:val="baseline"/>
        <w:rPr>
          <w:noProof/>
          <w:lang w:eastAsia="en-GB"/>
        </w:rPr>
      </w:pPr>
    </w:p>
    <w:p>
      <w:pPr>
        <w:pStyle w:val="paragraph"/>
        <w:spacing w:before="0" w:beforeAutospacing="0" w:after="0" w:afterAutospacing="0"/>
        <w:jc w:val="both"/>
        <w:textAlignment w:val="baseline"/>
        <w:rPr>
          <w:noProof/>
        </w:rPr>
      </w:pPr>
      <w:r>
        <w:rPr>
          <w:rStyle w:val="normaltextrun"/>
          <w:noProof/>
        </w:rPr>
        <w:t>UE a elaborat orientări privind promovarea respectării dreptului internațional umanitar</w:t>
      </w:r>
      <w:r>
        <w:rPr>
          <w:rStyle w:val="FootnoteReference"/>
          <w:noProof/>
          <w:lang w:val="en-GB"/>
        </w:rPr>
        <w:footnoteReference w:id="59"/>
      </w:r>
      <w:r>
        <w:rPr>
          <w:rStyle w:val="normaltextrun"/>
          <w:noProof/>
        </w:rPr>
        <w:t xml:space="preserve"> și oferă sprijin pentru </w:t>
      </w:r>
      <w:r>
        <w:rPr>
          <w:noProof/>
        </w:rPr>
        <w:t xml:space="preserve">formarea militarilor, a forțelor de securitate și a personalului diplomatic. Aceste acțiuni vor continua în cadrul noilor instrumente externe ale UE (pentru perioada 2021-2027). </w:t>
      </w:r>
      <w:r>
        <w:rPr>
          <w:b/>
          <w:noProof/>
        </w:rPr>
        <w:t>UE ar trebui să continue să pună promovarea și aplicarea DIU ar trebui să fie în permanență consecvent în centrul acțiunilor sale externe</w:t>
      </w:r>
      <w:r>
        <w:rPr>
          <w:noProof/>
        </w:rPr>
        <w:t>. În acest context, UE va continua să sprijine cu fermitate rolul Comitetului Internațional al Crucii Roșii în mandatul acestuia de aplicare eficace a DIU.</w:t>
      </w:r>
    </w:p>
    <w:p>
      <w:pPr>
        <w:pStyle w:val="paragraph"/>
        <w:spacing w:before="0" w:beforeAutospacing="0" w:after="0" w:afterAutospacing="0"/>
        <w:jc w:val="both"/>
        <w:textAlignment w:val="baseline"/>
        <w:rPr>
          <w:rFonts w:eastAsia="Calibri"/>
          <w:noProof/>
          <w:lang w:val="fr-BE" w:eastAsia="en-GB"/>
        </w:rPr>
      </w:pPr>
    </w:p>
    <w:p>
      <w:pPr>
        <w:pStyle w:val="paragraph"/>
        <w:spacing w:before="0" w:beforeAutospacing="0" w:after="0" w:afterAutospacing="0"/>
        <w:jc w:val="both"/>
        <w:textAlignment w:val="baseline"/>
        <w:rPr>
          <w:rFonts w:eastAsia="Calibri"/>
          <w:noProof/>
        </w:rPr>
      </w:pPr>
      <w:r>
        <w:rPr>
          <w:rStyle w:val="normaltextrun"/>
          <w:noProof/>
        </w:rPr>
        <w:t xml:space="preserve">Încălcările grave ale DIU ar trebui denunțate în mod consecvent ca parte a unei abordări coordonate a UE. </w:t>
      </w:r>
      <w:r>
        <w:rPr>
          <w:noProof/>
        </w:rPr>
        <w:t>Ar trebui consolidată asigurarea respectării DIU ca parte a instrumentelor externe ale UE, inclusiv pe baza diligenței necesare. UE ar trebui, de asemenea, să își utilizeze puterea politică și economică pentru a promova respectarea DIU de către țările partenere, de exemplu prin dialogurile sale politice și privind drepturile omului, precum și în relațiile comerciale și de ajutor cu țările partenere, dacă este relevant.</w:t>
      </w:r>
    </w:p>
    <w:p>
      <w:pPr>
        <w:pStyle w:val="paragraph"/>
        <w:spacing w:before="0" w:beforeAutospacing="0" w:after="0" w:afterAutospacing="0"/>
        <w:jc w:val="both"/>
        <w:textAlignment w:val="baseline"/>
        <w:rPr>
          <w:rFonts w:eastAsia="Calibri"/>
          <w:noProof/>
          <w:lang w:eastAsia="en-GB"/>
        </w:rPr>
      </w:pPr>
    </w:p>
    <w:p>
      <w:pPr>
        <w:pStyle w:val="paragraph"/>
        <w:spacing w:before="0" w:beforeAutospacing="0" w:after="0" w:afterAutospacing="0"/>
        <w:jc w:val="both"/>
        <w:textAlignment w:val="baseline"/>
        <w:rPr>
          <w:rFonts w:eastAsia="Calibri"/>
          <w:noProof/>
        </w:rPr>
      </w:pPr>
      <w:r>
        <w:rPr>
          <w:b/>
          <w:noProof/>
        </w:rPr>
        <w:t>Utilizarea tot mai frecventă a sancțiunilor</w:t>
      </w:r>
      <w:r>
        <w:rPr>
          <w:noProof/>
        </w:rPr>
        <w:t xml:space="preserve"> – în special cele unilaterale impuse țărilor din afara UE, unele dintre acestea cu impact extrateritorial – complică, de asemenea, furnizarea de ajutor umanitar și împiedică acțiunile umanitare principiale. Pe măsură ce băncile și alte instituții financiare încearcă să își reducă expunerea prin reducerea sau încetarea activităților în jurisdicțiile care fac obiectul unor sancțiuni, tranzacțiile umanitare devin mai dificile, dacă nu imposibile. Deși sancțiunile UE au o țintă precisă și nu sunt menite să împiedice furnizarea de ajutor umanitar, acestea implică o serie de </w:t>
      </w:r>
      <w:r>
        <w:rPr>
          <w:b/>
          <w:noProof/>
        </w:rPr>
        <w:t>obligații,</w:t>
      </w:r>
      <w:r>
        <w:rPr>
          <w:noProof/>
        </w:rPr>
        <w:t xml:space="preserve"> a căror încălcare poate duce la acțiuni în justiție, inclusiv sancțiuni penale la nivel național. </w:t>
      </w:r>
    </w:p>
    <w:p>
      <w:pPr>
        <w:pStyle w:val="paragraph"/>
        <w:spacing w:before="0" w:beforeAutospacing="0" w:after="0" w:afterAutospacing="0"/>
        <w:jc w:val="both"/>
        <w:textAlignment w:val="baseline"/>
        <w:rPr>
          <w:rFonts w:eastAsia="Calibri"/>
          <w:noProof/>
          <w:lang w:eastAsia="en-GB"/>
        </w:rPr>
      </w:pPr>
    </w:p>
    <w:p>
      <w:pPr>
        <w:pStyle w:val="paragraph"/>
        <w:spacing w:before="0" w:beforeAutospacing="0" w:after="0" w:afterAutospacing="0"/>
        <w:jc w:val="both"/>
        <w:textAlignment w:val="baseline"/>
        <w:rPr>
          <w:rFonts w:eastAsia="Calibri"/>
          <w:noProof/>
        </w:rPr>
      </w:pPr>
      <w:r>
        <w:rPr>
          <w:noProof/>
        </w:rPr>
        <w:t>UE a întreprins activități de sensibilizare pentru a facilita furnizarea de asistență umanitară în medii care fac obiectul unor sancțiuni, inclusiv orientările Comisiei în contextul pandemiei de COVID-19</w:t>
      </w:r>
      <w:r>
        <w:rPr>
          <w:rStyle w:val="FootnoteReference"/>
          <w:rFonts w:eastAsia="Calibri"/>
          <w:noProof/>
          <w:lang w:val="en-GB" w:eastAsia="en-GB"/>
        </w:rPr>
        <w:footnoteReference w:id="60"/>
      </w:r>
      <w:r>
        <w:rPr>
          <w:noProof/>
        </w:rPr>
        <w:t xml:space="preserve">. </w:t>
      </w:r>
      <w:r>
        <w:rPr>
          <w:b/>
          <w:noProof/>
        </w:rPr>
        <w:t>UE ar trebui să își intensifice în continuare sprijinul acordat partenerilor săi din domeniul umanitar în ceea ce privește drepturile și responsabilitățile acestora în cadrul diferitelor regimuri de sancțiuni ale UE</w:t>
      </w:r>
      <w:r>
        <w:rPr>
          <w:rStyle w:val="FootnoteReference"/>
          <w:rFonts w:eastAsia="Calibri"/>
          <w:b/>
          <w:noProof/>
          <w:lang w:val="en-GB" w:eastAsia="en-GB"/>
        </w:rPr>
        <w:footnoteReference w:id="61"/>
      </w:r>
      <w:r>
        <w:rPr>
          <w:b/>
          <w:noProof/>
        </w:rPr>
        <w:t>.</w:t>
      </w:r>
      <w:r>
        <w:rPr>
          <w:noProof/>
        </w:rPr>
        <w:t xml:space="preserve"> În același timp, UE ar trebui să urmărească includerea consecventă a </w:t>
      </w:r>
      <w:r>
        <w:rPr>
          <w:b/>
          <w:noProof/>
        </w:rPr>
        <w:t>excepțiilor umanitare</w:t>
      </w:r>
      <w:r>
        <w:rPr>
          <w:noProof/>
        </w:rPr>
        <w:t xml:space="preserve"> în regimurile de sancțiuni</w:t>
      </w:r>
      <w:r>
        <w:rPr>
          <w:rStyle w:val="FootnoteReference"/>
          <w:rFonts w:eastAsia="Calibri"/>
          <w:noProof/>
          <w:lang w:val="en-GB" w:eastAsia="en-GB"/>
        </w:rPr>
        <w:footnoteReference w:id="62"/>
      </w:r>
      <w:r>
        <w:rPr>
          <w:noProof/>
        </w:rPr>
        <w:t>. Conform „Apelului la acțiune pentru consolidarea respectării dreptului internațional umanitar și a acțiunilor umanitare principiale”, la care UE s-a alăturat recent</w:t>
      </w:r>
      <w:r>
        <w:rPr>
          <w:rStyle w:val="FootnoteReference"/>
          <w:noProof/>
          <w:sz w:val="22"/>
          <w:szCs w:val="22"/>
          <w:lang w:val="en-GB"/>
        </w:rPr>
        <w:footnoteReference w:id="63"/>
      </w:r>
      <w:r>
        <w:rPr>
          <w:noProof/>
        </w:rPr>
        <w:t xml:space="preserve">, lucrătorii umanitari și din domeniul sănătății care desfășoară activități în conformitate cu DIU și cu principiile umanitare nu ar trebui să fie vizați de urmăriri penale. De asemenea, UE ar trebui să ia în considerare includerea </w:t>
      </w:r>
      <w:r>
        <w:rPr>
          <w:b/>
          <w:noProof/>
        </w:rPr>
        <w:t>încălcării DIU drept criteriu pentru impunerea unor sancțiuni relevante persoanelor fizice sau juridice.</w:t>
      </w:r>
    </w:p>
    <w:p>
      <w:pPr>
        <w:pStyle w:val="paragraph"/>
        <w:spacing w:before="0" w:beforeAutospacing="0" w:after="0" w:afterAutospacing="0"/>
        <w:jc w:val="both"/>
        <w:textAlignment w:val="baseline"/>
        <w:rPr>
          <w:rFonts w:eastAsia="Calibri"/>
          <w:noProof/>
          <w:lang w:eastAsia="en-GB"/>
        </w:rPr>
      </w:pPr>
    </w:p>
    <w:p>
      <w:pPr>
        <w:pStyle w:val="paragraph"/>
        <w:spacing w:before="0" w:beforeAutospacing="0" w:after="0" w:afterAutospacing="0"/>
        <w:jc w:val="both"/>
        <w:textAlignment w:val="baseline"/>
        <w:rPr>
          <w:rFonts w:eastAsia="Calibri"/>
          <w:noProof/>
          <w:lang w:eastAsia="en-GB"/>
        </w:rPr>
      </w:pPr>
    </w:p>
    <w:p>
      <w:pPr>
        <w:pStyle w:val="paragraph"/>
        <w:spacing w:before="0" w:beforeAutospacing="0" w:after="0" w:afterAutospacing="0"/>
        <w:jc w:val="both"/>
        <w:textAlignment w:val="baseline"/>
        <w:rPr>
          <w:rFonts w:eastAsia="Calibri"/>
          <w:noProof/>
          <w:lang w:eastAsia="en-GB"/>
        </w:rPr>
      </w:pPr>
    </w:p>
    <w:p>
      <w:pPr>
        <w:pStyle w:val="paragraph"/>
        <w:spacing w:before="0" w:beforeAutospacing="0" w:after="0" w:afterAutospacing="0"/>
        <w:jc w:val="both"/>
        <w:textAlignment w:val="baseline"/>
        <w:rPr>
          <w:rFonts w:eastAsia="Calibri"/>
          <w:noProof/>
          <w:lang w:eastAsia="en-GB"/>
        </w:rPr>
      </w:pPr>
    </w:p>
    <w:p>
      <w:pPr>
        <w:pStyle w:val="paragraph"/>
        <w:spacing w:before="0" w:beforeAutospacing="0" w:after="0" w:afterAutospacing="0"/>
        <w:jc w:val="both"/>
        <w:textAlignment w:val="baseline"/>
        <w:rPr>
          <w:rFonts w:eastAsia="Calibri"/>
          <w:noProof/>
          <w:lang w:eastAsia="en-GB"/>
        </w:rPr>
      </w:pPr>
    </w:p>
    <w:tbl>
      <w:tblPr>
        <w:tblStyle w:val="TableGrid"/>
        <w:tblW w:w="0" w:type="auto"/>
        <w:tblLook w:val="04A0" w:firstRow="1" w:lastRow="0" w:firstColumn="1" w:lastColumn="0" w:noHBand="0" w:noVBand="1"/>
      </w:tblPr>
      <w:tblGrid>
        <w:gridCol w:w="9242"/>
      </w:tblGrid>
      <w:tr>
        <w:tc>
          <w:tcPr>
            <w:tcW w:w="9242" w:type="dxa"/>
          </w:tcPr>
          <w:p>
            <w:pPr>
              <w:pStyle w:val="paragraph"/>
              <w:spacing w:before="0" w:beforeAutospacing="0" w:after="0" w:afterAutospacing="0"/>
              <w:jc w:val="both"/>
              <w:textAlignment w:val="baseline"/>
              <w:rPr>
                <w:rFonts w:eastAsia="Calibri"/>
                <w:i/>
                <w:iCs/>
                <w:noProof/>
              </w:rPr>
            </w:pPr>
            <w:r>
              <w:rPr>
                <w:b/>
                <w:i/>
                <w:iCs/>
                <w:noProof/>
              </w:rPr>
              <w:t>Obiectiv:</w:t>
            </w:r>
            <w:r>
              <w:rPr>
                <w:i/>
                <w:iCs/>
                <w:noProof/>
              </w:rPr>
              <w:t xml:space="preserve"> plasarea respectării dreptului internațional umanitar (DIU) în centrul acțiunilor externe ale UE pentru a asigura protecția civililor, pentru a sprijini acțiunile umanitare principiale și pentru a proteja lucrătorii umanitari și din domeniul sănătății. </w:t>
            </w:r>
          </w:p>
          <w:p>
            <w:pPr>
              <w:pStyle w:val="paragraph"/>
              <w:spacing w:before="0" w:beforeAutospacing="0" w:after="0" w:afterAutospacing="0"/>
              <w:jc w:val="both"/>
              <w:textAlignment w:val="baseline"/>
              <w:rPr>
                <w:rFonts w:eastAsia="Calibri"/>
                <w:i/>
                <w:iCs/>
                <w:noProof/>
                <w:lang w:eastAsia="en-GB"/>
              </w:rPr>
            </w:pPr>
          </w:p>
          <w:p>
            <w:pPr>
              <w:pStyle w:val="paragraph"/>
              <w:spacing w:before="0" w:beforeAutospacing="0" w:after="0" w:afterAutospacing="0"/>
              <w:jc w:val="both"/>
              <w:textAlignment w:val="baseline"/>
              <w:rPr>
                <w:rFonts w:eastAsia="Calibri"/>
                <w:b/>
                <w:i/>
                <w:iCs/>
                <w:noProof/>
              </w:rPr>
            </w:pPr>
            <w:r>
              <w:rPr>
                <w:b/>
                <w:i/>
                <w:iCs/>
                <w:noProof/>
              </w:rPr>
              <w:t>Acțiuni-cheie:</w:t>
            </w:r>
          </w:p>
          <w:p>
            <w:pPr>
              <w:pStyle w:val="paragraph"/>
              <w:numPr>
                <w:ilvl w:val="0"/>
                <w:numId w:val="15"/>
              </w:numPr>
              <w:spacing w:before="0" w:beforeAutospacing="0" w:after="0" w:afterAutospacing="0"/>
              <w:jc w:val="both"/>
              <w:textAlignment w:val="baseline"/>
              <w:rPr>
                <w:rFonts w:eastAsia="Calibri"/>
                <w:i/>
                <w:noProof/>
              </w:rPr>
            </w:pPr>
            <w:r>
              <w:rPr>
                <w:i/>
                <w:iCs/>
                <w:noProof/>
              </w:rPr>
              <w:t xml:space="preserve">Instituirea unui mecanism de coordonare la nivelul UE privind dreptul internațional umanitar pentru a asigura o mai bună monitorizare a încălcărilor DIU la nivel mondial, pentru a facilita coordonarea actorilor relevanți din UE și pentru a sprijini o acțiune diplomatică a UE mai puternică în domeniul umanitar. </w:t>
            </w:r>
          </w:p>
          <w:p>
            <w:pPr>
              <w:pStyle w:val="paragraph"/>
              <w:numPr>
                <w:ilvl w:val="0"/>
                <w:numId w:val="35"/>
              </w:numPr>
              <w:spacing w:before="0" w:beforeAutospacing="0" w:after="0" w:afterAutospacing="0"/>
              <w:jc w:val="both"/>
              <w:textAlignment w:val="baseline"/>
              <w:rPr>
                <w:rFonts w:eastAsia="Calibri"/>
                <w:i/>
                <w:iCs/>
                <w:noProof/>
              </w:rPr>
            </w:pPr>
            <w:r>
              <w:rPr>
                <w:i/>
                <w:iCs/>
                <w:noProof/>
              </w:rPr>
              <w:t>Consolidarea în continuare a cadrului de respectare a DIU, inclusiv ca parte a instrumentelor externe ale UE, printre altele pe baza diligenței necesare și prin dialogurile sale în materie de politici, securitate și drepturile omului și acordurile comerciale cu țările partenere, dacă este relevant.</w:t>
            </w:r>
          </w:p>
          <w:p>
            <w:pPr>
              <w:pStyle w:val="paragraph"/>
              <w:numPr>
                <w:ilvl w:val="0"/>
                <w:numId w:val="35"/>
              </w:numPr>
              <w:spacing w:before="0" w:beforeAutospacing="0" w:after="0" w:afterAutospacing="0"/>
              <w:jc w:val="both"/>
              <w:textAlignment w:val="baseline"/>
              <w:rPr>
                <w:rStyle w:val="normaltextrun"/>
                <w:i/>
                <w:iCs/>
                <w:noProof/>
              </w:rPr>
            </w:pPr>
            <w:r>
              <w:rPr>
                <w:rStyle w:val="normaltextrun"/>
                <w:i/>
                <w:noProof/>
              </w:rPr>
              <w:t xml:space="preserve">Luarea în considerare a includerii încălcărilor grave ale DIU drept motiv pentru impunerea de sancțiuni de către UE dacă este cazul, asigurând în același timp faptul că se evită orice impact negativ potențial asupra activităților umanitare. </w:t>
            </w:r>
          </w:p>
          <w:p>
            <w:pPr>
              <w:pStyle w:val="paragraph"/>
              <w:numPr>
                <w:ilvl w:val="0"/>
                <w:numId w:val="35"/>
              </w:numPr>
              <w:spacing w:before="0" w:beforeAutospacing="0" w:after="0" w:afterAutospacing="0"/>
              <w:jc w:val="both"/>
              <w:textAlignment w:val="baseline"/>
              <w:rPr>
                <w:rStyle w:val="normaltextrun"/>
                <w:i/>
                <w:noProof/>
              </w:rPr>
            </w:pPr>
            <w:r>
              <w:rPr>
                <w:rStyle w:val="normaltextrun"/>
                <w:i/>
                <w:iCs/>
                <w:noProof/>
              </w:rPr>
              <w:t xml:space="preserve">Asigurarea în continuare a reflectării depline a DIU în cadrul politicii de sancțiuni a UE, </w:t>
            </w:r>
            <w:r>
              <w:rPr>
                <w:rStyle w:val="normaltextrun"/>
                <w:i/>
                <w:noProof/>
              </w:rPr>
              <w:t>inclusiv prin includerea consecventă a excepțiilor umanitare în regimurile de sancțiuni ale UE</w:t>
            </w:r>
            <w:r>
              <w:rPr>
                <w:rStyle w:val="normaltextrun"/>
                <w:i/>
                <w:iCs/>
                <w:noProof/>
              </w:rPr>
              <w:t xml:space="preserve">. Instituirea </w:t>
            </w:r>
            <w:r>
              <w:rPr>
                <w:i/>
                <w:iCs/>
                <w:noProof/>
              </w:rPr>
              <w:t xml:space="preserve">unui </w:t>
            </w:r>
            <w:r>
              <w:rPr>
                <w:rStyle w:val="normaltextrun"/>
                <w:i/>
                <w:iCs/>
                <w:noProof/>
              </w:rPr>
              <w:t xml:space="preserve">cadru eficace pentru utilizarea unor astfel de excepții de către organizațiile umanitare care primesc finanțare din partea UE. Intensificarea în continuare a sprijinului practic acordat organizațiilor umanitare în ceea ce privește drepturile și responsabilitățile acestora în cadrul diferitelor regimuri de sancțiuni ale UE. </w:t>
            </w:r>
          </w:p>
          <w:p>
            <w:pPr>
              <w:pStyle w:val="paragraph"/>
              <w:numPr>
                <w:ilvl w:val="0"/>
                <w:numId w:val="35"/>
              </w:numPr>
              <w:spacing w:before="0" w:beforeAutospacing="0" w:after="0" w:afterAutospacing="0"/>
              <w:jc w:val="both"/>
              <w:textAlignment w:val="baseline"/>
              <w:rPr>
                <w:i/>
                <w:noProof/>
              </w:rPr>
            </w:pPr>
            <w:r>
              <w:rPr>
                <w:rStyle w:val="normaltextrun"/>
                <w:i/>
                <w:iCs/>
                <w:noProof/>
              </w:rPr>
              <w:t>Continuarea promovării dialogului între toate părțile implicate în asistența umanitară (donatori, autorități de reglementare, ONG-uri și bănci) pentru a facilita furnizarea de asistență umanitară tuturor celor care au nevoie.</w:t>
            </w:r>
          </w:p>
        </w:tc>
      </w:tr>
    </w:tbl>
    <w:p>
      <w:pPr>
        <w:jc w:val="both"/>
        <w:rPr>
          <w:rFonts w:ascii="Times New Roman" w:hAnsi="Times New Roman" w:cs="Times New Roman"/>
          <w:b/>
          <w:bCs/>
          <w:noProof/>
          <w:sz w:val="24"/>
          <w:szCs w:val="24"/>
        </w:rPr>
      </w:pPr>
    </w:p>
    <w:p>
      <w:pPr>
        <w:jc w:val="both"/>
        <w:rPr>
          <w:rFonts w:ascii="Times New Roman" w:hAnsi="Times New Roman" w:cs="Times New Roman"/>
          <w:noProof/>
          <w:sz w:val="24"/>
          <w:szCs w:val="24"/>
        </w:rPr>
      </w:pPr>
      <w:r>
        <w:rPr>
          <w:rFonts w:ascii="Times New Roman" w:hAnsi="Times New Roman"/>
          <w:b/>
          <w:bCs/>
          <w:noProof/>
          <w:sz w:val="24"/>
          <w:szCs w:val="24"/>
        </w:rPr>
        <w:t>4.2 Consolidarea angajamentului și a poziției de lider a UE</w:t>
      </w:r>
    </w:p>
    <w:p>
      <w:pPr>
        <w:rPr>
          <w:rFonts w:ascii="Times New Roman" w:hAnsi="Times New Roman" w:cs="Times New Roman"/>
          <w:i/>
          <w:iCs/>
          <w:noProof/>
          <w:sz w:val="24"/>
          <w:szCs w:val="24"/>
        </w:rPr>
      </w:pPr>
      <w:r>
        <w:rPr>
          <w:rFonts w:ascii="Times New Roman" w:hAnsi="Times New Roman"/>
          <w:i/>
          <w:iCs/>
          <w:noProof/>
          <w:sz w:val="24"/>
          <w:szCs w:val="24"/>
        </w:rPr>
        <w:t>Colaborarea în „Echipa Europa”</w:t>
      </w:r>
    </w:p>
    <w:p>
      <w:pPr>
        <w:jc w:val="both"/>
        <w:rPr>
          <w:rFonts w:ascii="Times New Roman" w:hAnsi="Times New Roman" w:cs="Times New Roman"/>
          <w:noProof/>
          <w:sz w:val="24"/>
          <w:szCs w:val="24"/>
        </w:rPr>
      </w:pPr>
      <w:r>
        <w:rPr>
          <w:rFonts w:ascii="Times New Roman" w:hAnsi="Times New Roman"/>
          <w:noProof/>
          <w:sz w:val="24"/>
          <w:szCs w:val="24"/>
        </w:rPr>
        <w:t>Ajutorul umanitar al UE se bucură de o susținere publică puternică</w:t>
      </w:r>
      <w:r>
        <w:rPr>
          <w:rStyle w:val="FootnoteReference"/>
          <w:rFonts w:ascii="Times New Roman" w:hAnsi="Times New Roman" w:cs="Times New Roman"/>
          <w:noProof/>
          <w:sz w:val="24"/>
          <w:szCs w:val="24"/>
          <w:lang w:val="en-IE"/>
        </w:rPr>
        <w:footnoteReference w:id="64"/>
      </w:r>
      <w:r>
        <w:rPr>
          <w:rFonts w:ascii="Times New Roman" w:hAnsi="Times New Roman"/>
          <w:noProof/>
          <w:sz w:val="24"/>
          <w:szCs w:val="24"/>
        </w:rPr>
        <w:t xml:space="preserve">, fiind una dintre cele mai vizibile componente ale acțiunilor externe ale UE. În temeiul tratatelor UE, atât Uniunea Europeană, cât și statele sale membre joacă un rol important și distinct în ceea ce privește ajutorul umanitar. Există posibilitatea de a valorifica acest impact colectiv prin coordonarea eforturilor, prin asigurarea complementarității și prin promovarea unei abordări bazate pe legătura dintre domeniul umanitar, cel al dezvoltării și pace. </w:t>
      </w:r>
    </w:p>
    <w:p>
      <w:pPr>
        <w:jc w:val="both"/>
        <w:rPr>
          <w:rFonts w:ascii="Times New Roman" w:hAnsi="Times New Roman" w:cs="Times New Roman"/>
          <w:noProof/>
          <w:sz w:val="24"/>
          <w:szCs w:val="24"/>
        </w:rPr>
      </w:pPr>
      <w:r>
        <w:rPr>
          <w:rFonts w:ascii="Times New Roman" w:hAnsi="Times New Roman"/>
          <w:noProof/>
          <w:sz w:val="24"/>
          <w:szCs w:val="24"/>
        </w:rPr>
        <w:t xml:space="preserve">Mai exact, </w:t>
      </w:r>
      <w:r>
        <w:rPr>
          <w:rFonts w:ascii="Times New Roman" w:hAnsi="Times New Roman"/>
          <w:b/>
          <w:bCs/>
          <w:noProof/>
          <w:sz w:val="24"/>
          <w:szCs w:val="24"/>
        </w:rPr>
        <w:t>mesajele comune ale UE cu privire la crizele umanitare majore</w:t>
      </w:r>
      <w:r>
        <w:rPr>
          <w:rFonts w:ascii="Times New Roman" w:hAnsi="Times New Roman"/>
          <w:noProof/>
          <w:sz w:val="24"/>
          <w:szCs w:val="24"/>
        </w:rPr>
        <w:t xml:space="preserve"> pot susține inițiativele de diplomație umanitară la nivel bilateral, regional și internațional. </w:t>
      </w:r>
      <w:r>
        <w:rPr>
          <w:rFonts w:ascii="Times New Roman" w:hAnsi="Times New Roman"/>
          <w:b/>
          <w:bCs/>
          <w:noProof/>
          <w:sz w:val="24"/>
          <w:szCs w:val="24"/>
        </w:rPr>
        <w:t xml:space="preserve">Angajamentele consolidate ale UE </w:t>
      </w:r>
      <w:r>
        <w:rPr>
          <w:rFonts w:ascii="Times New Roman" w:hAnsi="Times New Roman"/>
          <w:noProof/>
          <w:sz w:val="24"/>
          <w:szCs w:val="24"/>
        </w:rPr>
        <w:t>(alături de cele asumate de fiecare stat membru în parte) pot spori vizibilitatea implicării UE în cadrul evenimentelor internaționale de strângere de donații.</w:t>
      </w:r>
    </w:p>
    <w:p>
      <w:pPr>
        <w:jc w:val="both"/>
        <w:rPr>
          <w:rFonts w:ascii="Times New Roman" w:hAnsi="Times New Roman" w:cs="Times New Roman"/>
          <w:noProof/>
          <w:sz w:val="24"/>
          <w:szCs w:val="24"/>
        </w:rPr>
      </w:pPr>
      <w:r>
        <w:rPr>
          <w:rFonts w:ascii="Times New Roman" w:hAnsi="Times New Roman"/>
          <w:noProof/>
          <w:sz w:val="24"/>
          <w:szCs w:val="24"/>
        </w:rPr>
        <w:t xml:space="preserve">Printr-o abordare „Echipa Europa”, statele membre ale UE și Comisia pot colabora mai strâns pentru a asigura </w:t>
      </w:r>
      <w:r>
        <w:rPr>
          <w:rFonts w:ascii="Times New Roman" w:hAnsi="Times New Roman"/>
          <w:b/>
          <w:bCs/>
          <w:noProof/>
          <w:sz w:val="24"/>
          <w:szCs w:val="24"/>
        </w:rPr>
        <w:t>schimbul și punerea în comun de analize</w:t>
      </w:r>
      <w:r>
        <w:rPr>
          <w:rFonts w:ascii="Times New Roman" w:hAnsi="Times New Roman"/>
          <w:noProof/>
          <w:sz w:val="24"/>
          <w:szCs w:val="24"/>
        </w:rPr>
        <w:t xml:space="preserve"> în situații de criză. Astfel, Comisia va continua să pună la dispoziție expertiza rețelei sale de lucrători umanitari pe teren</w:t>
      </w:r>
      <w:r>
        <w:rPr>
          <w:rStyle w:val="FootnoteReference"/>
          <w:rFonts w:ascii="Times New Roman" w:hAnsi="Times New Roman" w:cs="Times New Roman"/>
          <w:noProof/>
          <w:sz w:val="24"/>
          <w:szCs w:val="24"/>
          <w:lang w:val="en-IE"/>
        </w:rPr>
        <w:footnoteReference w:id="65"/>
      </w:r>
      <w:r>
        <w:rPr>
          <w:rFonts w:ascii="Times New Roman" w:hAnsi="Times New Roman"/>
          <w:noProof/>
          <w:sz w:val="24"/>
          <w:szCs w:val="24"/>
        </w:rPr>
        <w:t xml:space="preserve"> și a delegațiilor UE, în beneficiul statelor membre. Aceasta va include oferirea mai sistematică a opțiunii de a aloca o parte din finanțarea pentru situații de criză specifice prin contribuții directe la instrumentele bugetare ale UE ca </w:t>
      </w:r>
      <w:r>
        <w:rPr>
          <w:rFonts w:ascii="Times New Roman" w:hAnsi="Times New Roman"/>
          <w:b/>
          <w:bCs/>
          <w:noProof/>
          <w:sz w:val="24"/>
          <w:szCs w:val="24"/>
        </w:rPr>
        <w:t>venit alocat extern</w:t>
      </w:r>
      <w:r>
        <w:rPr>
          <w:rFonts w:ascii="Times New Roman" w:hAnsi="Times New Roman"/>
          <w:noProof/>
          <w:sz w:val="24"/>
          <w:szCs w:val="24"/>
        </w:rPr>
        <w:t xml:space="preserve">. </w:t>
      </w:r>
    </w:p>
    <w:p>
      <w:pPr>
        <w:jc w:val="both"/>
        <w:rPr>
          <w:rFonts w:ascii="Times New Roman" w:hAnsi="Times New Roman" w:cs="Times New Roman"/>
          <w:noProof/>
          <w:sz w:val="24"/>
          <w:szCs w:val="24"/>
        </w:rPr>
      </w:pPr>
      <w:r>
        <w:rPr>
          <w:rFonts w:ascii="Times New Roman" w:hAnsi="Times New Roman"/>
          <w:b/>
          <w:noProof/>
          <w:sz w:val="24"/>
          <w:szCs w:val="24"/>
        </w:rPr>
        <w:t>Punerea în comun a resurselor</w:t>
      </w:r>
      <w:r>
        <w:rPr>
          <w:rFonts w:ascii="Times New Roman" w:hAnsi="Times New Roman"/>
          <w:noProof/>
          <w:sz w:val="24"/>
          <w:szCs w:val="24"/>
        </w:rPr>
        <w:t xml:space="preserve"> poate contribui, de asemenea, la maximizarea impactului intervențiilor UE și ale statelor sale membre, oferind în același timp acestora din urmă posibilitatea de a extinde acoperirea asistenței umanitare pe care o oferă. Bineînțeles că aceste eforturi vor completa – și nu ar trebui să concureze cu – mecanismele de finanțare cu donatori multipli instituite.</w:t>
      </w:r>
      <w:r>
        <w:rPr>
          <w:rFonts w:ascii="Times New Roman" w:hAnsi="Times New Roman"/>
          <w:noProof/>
          <w:sz w:val="24"/>
          <w:szCs w:val="24"/>
          <w:highlight w:val="yellow"/>
        </w:rPr>
        <w:t xml:space="preserve"> </w:t>
      </w:r>
    </w:p>
    <w:p>
      <w:pPr>
        <w:jc w:val="both"/>
        <w:rPr>
          <w:rFonts w:ascii="Times New Roman" w:hAnsi="Times New Roman" w:cs="Times New Roman"/>
          <w:noProof/>
          <w:sz w:val="24"/>
          <w:szCs w:val="24"/>
        </w:rPr>
      </w:pPr>
      <w:r>
        <w:rPr>
          <w:rFonts w:ascii="Times New Roman" w:hAnsi="Times New Roman"/>
          <w:noProof/>
          <w:sz w:val="24"/>
          <w:szCs w:val="24"/>
        </w:rPr>
        <w:t>La nivel operațional, Comisia își va pune la dispoziție expertiza și resursele proprii, atât în ​​domeniul asistenței umanitare, cât și al protecției civile, inclusiv rețeaua sa de experți umanitari pe teren și Rețeaua europeană de cunoștințe în materie de protecție civilă</w:t>
      </w:r>
      <w:r>
        <w:rPr>
          <w:rStyle w:val="FootnoteReference"/>
          <w:rFonts w:ascii="Times New Roman" w:hAnsi="Times New Roman" w:cs="Times New Roman"/>
          <w:noProof/>
          <w:sz w:val="24"/>
          <w:szCs w:val="24"/>
          <w:lang w:val="en-IE"/>
        </w:rPr>
        <w:footnoteReference w:id="66"/>
      </w:r>
      <w:r>
        <w:rPr>
          <w:rFonts w:ascii="Times New Roman" w:hAnsi="Times New Roman"/>
          <w:noProof/>
          <w:sz w:val="24"/>
          <w:szCs w:val="24"/>
        </w:rPr>
        <w:t>. În paralel, UE va continua să elaboreze politici și orientări în domenii relevante ale ajutorului umanitar, bazându-se pe impactul pe care politicile sale tematice l-au avut în domenii precum protecție, gen, handicap, alimentație, nutriție, sănătate – inclusiv sănătate mintală și asistență psihosocială – adăpost, apă, salubritate și igienă, educație în situații de urgență, mediu și modalități de acordare a ajutoarelor (de exemplu, asistență în numerar).</w:t>
      </w:r>
    </w:p>
    <w:p>
      <w:pPr>
        <w:jc w:val="both"/>
        <w:rPr>
          <w:rFonts w:ascii="Times New Roman" w:hAnsi="Times New Roman" w:cs="Times New Roman"/>
          <w:noProof/>
          <w:sz w:val="24"/>
          <w:szCs w:val="24"/>
        </w:rPr>
      </w:pPr>
      <w:r>
        <w:rPr>
          <w:rFonts w:ascii="Times New Roman" w:hAnsi="Times New Roman"/>
          <w:noProof/>
          <w:sz w:val="24"/>
          <w:szCs w:val="24"/>
        </w:rPr>
        <w:t xml:space="preserve">Contribuind în mod activ la dialogul privind aspectele umanitare la nivel multilateral, Comisia va organiza în 2021 un </w:t>
      </w:r>
      <w:r>
        <w:rPr>
          <w:rFonts w:ascii="Times New Roman" w:hAnsi="Times New Roman"/>
          <w:b/>
          <w:bCs/>
          <w:noProof/>
          <w:sz w:val="24"/>
          <w:szCs w:val="24"/>
        </w:rPr>
        <w:t>forum umanitar european</w:t>
      </w:r>
      <w:r>
        <w:rPr>
          <w:rFonts w:ascii="Times New Roman" w:hAnsi="Times New Roman"/>
          <w:noProof/>
          <w:sz w:val="24"/>
          <w:szCs w:val="24"/>
        </w:rPr>
        <w:t xml:space="preserve"> pentru a promova </w:t>
      </w:r>
      <w:r>
        <w:rPr>
          <w:rFonts w:ascii="Times New Roman" w:hAnsi="Times New Roman"/>
          <w:b/>
          <w:bCs/>
          <w:noProof/>
          <w:sz w:val="24"/>
          <w:szCs w:val="24"/>
        </w:rPr>
        <w:t>o discuție și un dialog mai susținute, inclusiv cu privire la aspectele de politică umanitară abordate în prezenta comunicare</w:t>
      </w:r>
      <w:r>
        <w:rPr>
          <w:rFonts w:ascii="Times New Roman" w:hAnsi="Times New Roman"/>
          <w:bCs/>
          <w:noProof/>
          <w:sz w:val="24"/>
          <w:szCs w:val="24"/>
        </w:rPr>
        <w:t>, în spiritul „Echipa Europa”.</w:t>
      </w:r>
      <w:r>
        <w:rPr>
          <w:rFonts w:ascii="Times New Roman" w:hAnsi="Times New Roman"/>
          <w:noProof/>
          <w:sz w:val="24"/>
          <w:szCs w:val="24"/>
        </w:rPr>
        <w:t xml:space="preserve"> La forum vor participa părțile interesate cheie din statele membre ale UE, instituțiile UE, inclusiv Parlamentul European, și actorii operaționali din domeniul umanitar. </w:t>
      </w:r>
    </w:p>
    <w:p>
      <w:pPr>
        <w:jc w:val="both"/>
        <w:rPr>
          <w:rFonts w:ascii="Times New Roman" w:hAnsi="Times New Roman" w:cs="Times New Roman"/>
          <w:noProof/>
          <w:sz w:val="24"/>
          <w:szCs w:val="24"/>
        </w:rPr>
      </w:pPr>
      <w:r>
        <w:rPr>
          <w:rFonts w:ascii="Times New Roman" w:hAnsi="Times New Roman"/>
          <w:noProof/>
          <w:sz w:val="24"/>
          <w:szCs w:val="24"/>
        </w:rPr>
        <w:t xml:space="preserve">În plus, Comisia va continua să depună eforturi pentru a promova </w:t>
      </w:r>
      <w:r>
        <w:rPr>
          <w:rFonts w:ascii="Times New Roman" w:hAnsi="Times New Roman"/>
          <w:b/>
          <w:noProof/>
          <w:sz w:val="24"/>
          <w:szCs w:val="24"/>
        </w:rPr>
        <w:t>vizibilitatea ajutorului umanitar al UE</w:t>
      </w:r>
      <w:r>
        <w:rPr>
          <w:rFonts w:ascii="Times New Roman" w:hAnsi="Times New Roman"/>
          <w:noProof/>
          <w:sz w:val="24"/>
          <w:szCs w:val="24"/>
        </w:rPr>
        <w:t>. Comisia va actualiza orientările și monitorizarea obligațiilor de vizibilitate, capacitând partenerii săi umanitari să investească mai mult în activitățile de sensibilizare cu privire la ajutorul umanitar al UE. Acțiunile de comunicare ale Comisiei vor sprijini principiile generale de transparență, responsabilizare și dialog cu cetățenii.</w:t>
      </w:r>
    </w:p>
    <w:p>
      <w:pPr>
        <w:rPr>
          <w:rFonts w:ascii="Times New Roman" w:hAnsi="Times New Roman" w:cs="Times New Roman"/>
          <w:i/>
          <w:iCs/>
          <w:noProof/>
          <w:sz w:val="24"/>
          <w:szCs w:val="24"/>
        </w:rPr>
      </w:pPr>
    </w:p>
    <w:p>
      <w:pPr>
        <w:rPr>
          <w:rFonts w:ascii="Times New Roman" w:hAnsi="Times New Roman" w:cs="Times New Roman"/>
          <w:i/>
          <w:iCs/>
          <w:noProof/>
          <w:sz w:val="24"/>
          <w:szCs w:val="24"/>
        </w:rPr>
      </w:pPr>
      <w:r>
        <w:rPr>
          <w:rFonts w:ascii="Times New Roman" w:hAnsi="Times New Roman"/>
          <w:i/>
          <w:iCs/>
          <w:noProof/>
          <w:sz w:val="24"/>
          <w:szCs w:val="24"/>
        </w:rPr>
        <w:t xml:space="preserve">Consolidarea angajamentului umanitar al UE la nivel multilateral </w:t>
      </w:r>
    </w:p>
    <w:p>
      <w:pPr>
        <w:spacing w:line="276" w:lineRule="auto"/>
        <w:jc w:val="both"/>
        <w:rPr>
          <w:rFonts w:ascii="Times New Roman" w:hAnsi="Times New Roman" w:cs="Times New Roman"/>
          <w:noProof/>
          <w:sz w:val="24"/>
          <w:szCs w:val="24"/>
        </w:rPr>
      </w:pPr>
      <w:r>
        <w:rPr>
          <w:rFonts w:ascii="Times New Roman" w:hAnsi="Times New Roman"/>
          <w:noProof/>
          <w:sz w:val="24"/>
          <w:szCs w:val="24"/>
        </w:rPr>
        <w:t xml:space="preserve">Într-un mediu geopolitic plin de provocări, UE se angajează să sprijine rolul central de coordonare al ONU în răspunsul la crizele umanitare și în instituirea și susținerea cadrelor normative și juridice internaționale. Pentru a veni în sprijinul ONU în mod eficace, este esențial ca UE și statele membre ale UE să depună eforturi </w:t>
      </w:r>
      <w:r>
        <w:rPr>
          <w:rFonts w:ascii="Times New Roman" w:hAnsi="Times New Roman"/>
          <w:b/>
          <w:bCs/>
          <w:noProof/>
          <w:sz w:val="24"/>
          <w:szCs w:val="24"/>
        </w:rPr>
        <w:t>sistematice pentru a-și consolida pozițiile</w:t>
      </w:r>
      <w:r>
        <w:rPr>
          <w:rFonts w:ascii="Times New Roman" w:hAnsi="Times New Roman"/>
          <w:noProof/>
          <w:sz w:val="24"/>
          <w:szCs w:val="24"/>
        </w:rPr>
        <w:t xml:space="preserve"> în cadrul forumurilor internaționale și multilaterale, inclusiv în centrele ONU din New York, Geneva și Roma. UE va continua să joace un rol activ în dialogurile internaționale pe teme umanitare, inclusiv în Adunarea Generală a ONU și în Consiliul Economic și Social al ONU. UE </w:t>
      </w:r>
      <w:r>
        <w:rPr>
          <w:rFonts w:ascii="Times New Roman" w:hAnsi="Times New Roman"/>
          <w:b/>
          <w:bCs/>
          <w:noProof/>
          <w:sz w:val="24"/>
          <w:szCs w:val="24"/>
        </w:rPr>
        <w:t>va continua să își consolideze angajamentul în cadrul organismelor de conducere ale agențiilor, fondurilor și programelor ONU</w:t>
      </w:r>
      <w:r>
        <w:rPr>
          <w:rStyle w:val="FootnoteReference"/>
          <w:rFonts w:ascii="Times New Roman" w:hAnsi="Times New Roman" w:cs="Times New Roman"/>
          <w:b/>
          <w:bCs/>
          <w:noProof/>
          <w:sz w:val="24"/>
          <w:szCs w:val="24"/>
        </w:rPr>
        <w:footnoteReference w:id="67"/>
      </w:r>
      <w:r>
        <w:rPr>
          <w:rFonts w:ascii="Times New Roman" w:hAnsi="Times New Roman"/>
          <w:noProof/>
          <w:sz w:val="24"/>
          <w:szCs w:val="24"/>
        </w:rPr>
        <w:t xml:space="preserve">. </w:t>
      </w:r>
    </w:p>
    <w:tbl>
      <w:tblPr>
        <w:tblW w:w="0" w:type="auto"/>
        <w:tblCellMar>
          <w:left w:w="0" w:type="dxa"/>
          <w:right w:w="0" w:type="dxa"/>
        </w:tblCellMar>
        <w:tblLook w:val="04A0" w:firstRow="1" w:lastRow="0" w:firstColumn="1" w:lastColumn="0" w:noHBand="0" w:noVBand="1"/>
      </w:tblPr>
      <w:tblGrid>
        <w:gridCol w:w="9242"/>
      </w:tblGrid>
      <w:tr>
        <w:tc>
          <w:tcPr>
            <w:tcW w:w="924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hideMark/>
          </w:tcPr>
          <w:p>
            <w:pPr>
              <w:pageBreakBefore/>
              <w:spacing w:after="0"/>
              <w:jc w:val="both"/>
              <w:rPr>
                <w:rFonts w:ascii="Times New Roman" w:hAnsi="Times New Roman" w:cs="Times New Roman"/>
                <w:i/>
                <w:iCs/>
                <w:noProof/>
                <w:sz w:val="24"/>
                <w:szCs w:val="24"/>
              </w:rPr>
            </w:pPr>
            <w:r>
              <w:rPr>
                <w:rFonts w:ascii="Times New Roman" w:hAnsi="Times New Roman"/>
                <w:b/>
                <w:i/>
                <w:iCs/>
                <w:noProof/>
                <w:sz w:val="24"/>
                <w:szCs w:val="24"/>
              </w:rPr>
              <w:t>Obiectiv:</w:t>
            </w:r>
            <w:r>
              <w:rPr>
                <w:rFonts w:ascii="Times New Roman" w:hAnsi="Times New Roman"/>
                <w:i/>
                <w:iCs/>
                <w:noProof/>
                <w:sz w:val="24"/>
                <w:szCs w:val="24"/>
              </w:rPr>
              <w:t xml:space="preserve"> consolidarea angajamentului și a poziției de lider a UE în domeniul ajutorului umanitar pentru un impact maxim al acestuia.</w:t>
            </w:r>
          </w:p>
          <w:p>
            <w:pPr>
              <w:spacing w:after="0"/>
              <w:jc w:val="both"/>
              <w:rPr>
                <w:rFonts w:ascii="Times New Roman" w:hAnsi="Times New Roman" w:cs="Times New Roman"/>
                <w:i/>
                <w:iCs/>
                <w:noProof/>
                <w:sz w:val="24"/>
                <w:szCs w:val="24"/>
                <w:lang w:val="fr-BE"/>
              </w:rPr>
            </w:pPr>
          </w:p>
          <w:p>
            <w:pPr>
              <w:spacing w:after="0"/>
              <w:jc w:val="both"/>
              <w:rPr>
                <w:rFonts w:ascii="Times New Roman" w:hAnsi="Times New Roman" w:cs="Times New Roman"/>
                <w:i/>
                <w:iCs/>
                <w:noProof/>
                <w:sz w:val="24"/>
                <w:szCs w:val="24"/>
              </w:rPr>
            </w:pPr>
            <w:r>
              <w:rPr>
                <w:rFonts w:ascii="Times New Roman" w:hAnsi="Times New Roman"/>
                <w:b/>
                <w:i/>
                <w:iCs/>
                <w:noProof/>
                <w:sz w:val="24"/>
                <w:szCs w:val="24"/>
              </w:rPr>
              <w:t>Acțiuni-cheie</w:t>
            </w:r>
            <w:r>
              <w:rPr>
                <w:rFonts w:ascii="Times New Roman" w:hAnsi="Times New Roman"/>
                <w:i/>
                <w:iCs/>
                <w:noProof/>
                <w:sz w:val="24"/>
                <w:szCs w:val="24"/>
              </w:rPr>
              <w:t>:</w:t>
            </w:r>
          </w:p>
          <w:p>
            <w:pPr>
              <w:pStyle w:val="ListParagraph"/>
              <w:numPr>
                <w:ilvl w:val="0"/>
                <w:numId w:val="33"/>
              </w:numPr>
              <w:spacing w:after="0"/>
              <w:jc w:val="both"/>
              <w:rPr>
                <w:i/>
                <w:noProof/>
                <w:sz w:val="24"/>
                <w:szCs w:val="24"/>
              </w:rPr>
            </w:pPr>
            <w:r>
              <w:rPr>
                <w:rFonts w:ascii="Times New Roman" w:hAnsi="Times New Roman"/>
                <w:i/>
                <w:iCs/>
                <w:noProof/>
                <w:sz w:val="24"/>
                <w:szCs w:val="24"/>
              </w:rPr>
              <w:t>Transmiterea unor mesaje comune ale UE și ale statelor membre ale UE cu privire la crizele umanitare cheie și consolidarea angajamentelor UE și ale statelor membre ale UE în cadrul evenimentelor internaționale de strângere de donații umanitare (alături de cele naționale) într-o abordare „Echipa Europa”. Eforturi de consolidare a poziției UE și a statelor membre ale UE în cadrul forumurilor internaționale și multilaterale relevante</w:t>
            </w:r>
            <w:r>
              <w:rPr>
                <w:rFonts w:ascii="Times New Roman" w:hAnsi="Times New Roman"/>
                <w:i/>
                <w:noProof/>
                <w:sz w:val="24"/>
                <w:szCs w:val="24"/>
              </w:rPr>
              <w:t xml:space="preserve">. </w:t>
            </w:r>
          </w:p>
          <w:p>
            <w:pPr>
              <w:pStyle w:val="ListParagraph"/>
              <w:numPr>
                <w:ilvl w:val="0"/>
                <w:numId w:val="33"/>
              </w:numPr>
              <w:spacing w:after="0"/>
              <w:jc w:val="both"/>
              <w:rPr>
                <w:rFonts w:ascii="Times New Roman" w:hAnsi="Times New Roman" w:cs="Times New Roman"/>
                <w:i/>
                <w:noProof/>
                <w:sz w:val="24"/>
                <w:szCs w:val="24"/>
              </w:rPr>
            </w:pPr>
            <w:r>
              <w:rPr>
                <w:rFonts w:ascii="Times New Roman" w:hAnsi="Times New Roman"/>
                <w:i/>
                <w:iCs/>
                <w:noProof/>
                <w:sz w:val="24"/>
                <w:szCs w:val="24"/>
              </w:rPr>
              <w:t>Oferirea opțiunii de utilizare a venitului alocat extern pentru ca statele membre ale UE să beneficieze de prezența și expertiza lucrătorilor umanitari pe teren ai UE.</w:t>
            </w:r>
          </w:p>
          <w:p>
            <w:pPr>
              <w:pStyle w:val="ListParagraph"/>
              <w:numPr>
                <w:ilvl w:val="0"/>
                <w:numId w:val="33"/>
              </w:numPr>
              <w:spacing w:after="0"/>
              <w:jc w:val="both"/>
              <w:rPr>
                <w:rFonts w:ascii="Times New Roman" w:hAnsi="Times New Roman" w:cs="Times New Roman"/>
                <w:i/>
                <w:iCs/>
                <w:noProof/>
                <w:sz w:val="24"/>
                <w:szCs w:val="24"/>
              </w:rPr>
            </w:pPr>
            <w:r>
              <w:rPr>
                <w:rFonts w:ascii="Times New Roman" w:hAnsi="Times New Roman"/>
                <w:i/>
                <w:iCs/>
                <w:noProof/>
                <w:sz w:val="24"/>
                <w:szCs w:val="24"/>
              </w:rPr>
              <w:t>Organizarea unui forum umanitar european în 2021 pentru a promova dialogul cu privire la aspectele de politică umanitară.</w:t>
            </w:r>
          </w:p>
          <w:p>
            <w:pPr>
              <w:pStyle w:val="ListParagraph"/>
              <w:numPr>
                <w:ilvl w:val="0"/>
                <w:numId w:val="33"/>
              </w:numPr>
              <w:spacing w:after="0"/>
              <w:jc w:val="both"/>
              <w:rPr>
                <w:i/>
                <w:iCs/>
                <w:noProof/>
                <w:sz w:val="24"/>
                <w:szCs w:val="24"/>
              </w:rPr>
            </w:pPr>
            <w:r>
              <w:rPr>
                <w:rFonts w:ascii="Times New Roman" w:hAnsi="Times New Roman"/>
                <w:i/>
                <w:iCs/>
                <w:noProof/>
                <w:sz w:val="24"/>
                <w:szCs w:val="24"/>
              </w:rPr>
              <w:t>Promovarea și implicarea într-un dialog suplimentar cu principalele părți interesate privind punerea în practică a principalelor acțiuni propuse în prezenta comunicare.</w:t>
            </w:r>
            <w:r>
              <w:rPr>
                <w:i/>
                <w:iCs/>
                <w:noProof/>
                <w:sz w:val="24"/>
                <w:szCs w:val="24"/>
              </w:rPr>
              <w:t xml:space="preserve"> </w:t>
            </w:r>
          </w:p>
        </w:tc>
      </w:tr>
    </w:tbl>
    <w:p>
      <w:pPr>
        <w:rPr>
          <w:rFonts w:ascii="Calibri" w:hAnsi="Calibri" w:cs="Calibri"/>
          <w:noProof/>
        </w:rPr>
      </w:pPr>
    </w:p>
    <w:p>
      <w:pPr>
        <w:pStyle w:val="ListParagraph"/>
        <w:numPr>
          <w:ilvl w:val="0"/>
          <w:numId w:val="8"/>
        </w:numPr>
        <w:jc w:val="both"/>
        <w:rPr>
          <w:rFonts w:ascii="Times New Roman" w:hAnsi="Times New Roman" w:cs="Times New Roman"/>
          <w:b/>
          <w:bCs/>
          <w:noProof/>
          <w:sz w:val="24"/>
          <w:szCs w:val="24"/>
        </w:rPr>
      </w:pPr>
      <w:r>
        <w:rPr>
          <w:rFonts w:ascii="Times New Roman" w:hAnsi="Times New Roman"/>
          <w:b/>
          <w:bCs/>
          <w:noProof/>
          <w:sz w:val="24"/>
          <w:szCs w:val="24"/>
        </w:rPr>
        <w:t xml:space="preserve">Concluzii </w:t>
      </w:r>
    </w:p>
    <w:p>
      <w:pPr>
        <w:jc w:val="both"/>
        <w:rPr>
          <w:rFonts w:ascii="Times New Roman" w:hAnsi="Times New Roman" w:cs="Times New Roman"/>
          <w:noProof/>
          <w:sz w:val="24"/>
          <w:szCs w:val="24"/>
        </w:rPr>
      </w:pPr>
      <w:r>
        <w:rPr>
          <w:rFonts w:ascii="Times New Roman" w:hAnsi="Times New Roman"/>
          <w:noProof/>
          <w:sz w:val="24"/>
          <w:szCs w:val="24"/>
        </w:rPr>
        <w:t>Ajutorul umanitar este o expresie concretă a solidarității UE, o valoare fundamentală și atât de necesară în aceste vremuri dificile. Pe fondul nevoilor umanitare tot mai mari și al resurselor limitate și în conformitate cu principiile și valorile sale fundamentale, UE trebuie să continue să fie un exemplu demn de urmat în acest domeniu. Agenda ambițioasă stabilită în prezenta comunicare nu poate fi realizată decât în ​​strânsă coordonare cu statele membre ale UE și cu partenerii umanitari ai UE. Comisia invită Parlamentul European și Consiliul să sprijine și să materializeze acțiunile propuse în prezenta comunicare.</w:t>
      </w:r>
    </w:p>
    <w:p>
      <w:pPr>
        <w:jc w:val="center"/>
        <w:rPr>
          <w:rFonts w:ascii="Times New Roman" w:hAnsi="Times New Roman" w:cs="Times New Roman"/>
          <w:b/>
          <w:noProof/>
          <w:sz w:val="24"/>
          <w:szCs w:val="24"/>
        </w:rPr>
      </w:pPr>
    </w:p>
    <w:p>
      <w:pPr>
        <w:jc w:val="center"/>
        <w:rPr>
          <w:rFonts w:ascii="Times New Roman" w:hAnsi="Times New Roman" w:cs="Times New Roman"/>
          <w:b/>
          <w:noProof/>
          <w:sz w:val="24"/>
          <w:szCs w:val="24"/>
        </w:rPr>
      </w:pPr>
    </w:p>
    <w:p>
      <w:pPr>
        <w:jc w:val="center"/>
        <w:rPr>
          <w:rFonts w:ascii="Times New Roman" w:hAnsi="Times New Roman" w:cs="Times New Roman"/>
          <w:b/>
          <w:noProof/>
          <w:sz w:val="24"/>
          <w:szCs w:val="24"/>
        </w:rPr>
      </w:pPr>
    </w:p>
    <w:p>
      <w:pPr>
        <w:jc w:val="center"/>
        <w:rPr>
          <w:rFonts w:ascii="Times New Roman" w:hAnsi="Times New Roman" w:cs="Times New Roman"/>
          <w:b/>
          <w:noProof/>
          <w:sz w:val="24"/>
          <w:szCs w:val="24"/>
        </w:rPr>
      </w:pPr>
    </w:p>
    <w:p>
      <w:pPr>
        <w:jc w:val="center"/>
        <w:rPr>
          <w:rFonts w:ascii="Times New Roman" w:hAnsi="Times New Roman" w:cs="Times New Roman"/>
          <w:b/>
          <w:noProof/>
          <w:sz w:val="24"/>
          <w:szCs w:val="24"/>
        </w:rPr>
      </w:pPr>
    </w:p>
    <w:p>
      <w:pPr>
        <w:jc w:val="center"/>
        <w:rPr>
          <w:rFonts w:ascii="Times New Roman" w:hAnsi="Times New Roman" w:cs="Times New Roman"/>
          <w:b/>
          <w:noProof/>
          <w:sz w:val="24"/>
          <w:szCs w:val="24"/>
        </w:rPr>
      </w:pPr>
    </w:p>
    <w:p>
      <w:pPr>
        <w:jc w:val="center"/>
        <w:rPr>
          <w:rFonts w:ascii="Times New Roman" w:hAnsi="Times New Roman" w:cs="Times New Roman"/>
          <w:b/>
          <w:noProof/>
          <w:sz w:val="24"/>
          <w:szCs w:val="24"/>
        </w:rPr>
      </w:pPr>
    </w:p>
    <w:p>
      <w:pPr>
        <w:rPr>
          <w:rFonts w:ascii="Times New Roman" w:hAnsi="Times New Roman" w:cs="Times New Roman"/>
          <w:b/>
          <w:noProof/>
          <w:sz w:val="24"/>
          <w:szCs w:val="24"/>
        </w:rPr>
      </w:pPr>
    </w:p>
    <w:p>
      <w:pPr>
        <w:rPr>
          <w:rFonts w:ascii="Times New Roman" w:hAnsi="Times New Roman" w:cs="Times New Roman"/>
          <w:b/>
          <w:noProof/>
          <w:sz w:val="24"/>
          <w:szCs w:val="24"/>
        </w:rPr>
      </w:pPr>
    </w:p>
    <w:p>
      <w:pPr>
        <w:rPr>
          <w:rFonts w:ascii="Times New Roman" w:hAnsi="Times New Roman" w:cs="Times New Roman"/>
          <w:b/>
          <w:noProof/>
          <w:sz w:val="24"/>
          <w:szCs w:val="24"/>
        </w:rPr>
      </w:pPr>
    </w:p>
    <w:p>
      <w:pPr>
        <w:rPr>
          <w:rFonts w:ascii="Times New Roman" w:hAnsi="Times New Roman" w:cs="Times New Roman"/>
          <w:b/>
          <w:noProof/>
          <w:sz w:val="24"/>
          <w:szCs w:val="24"/>
        </w:rPr>
      </w:pPr>
    </w:p>
    <w:p>
      <w:pPr>
        <w:rPr>
          <w:rFonts w:ascii="Times New Roman" w:hAnsi="Times New Roman" w:cs="Times New Roman"/>
          <w:b/>
          <w:noProof/>
          <w:sz w:val="24"/>
          <w:szCs w:val="24"/>
        </w:rPr>
      </w:pPr>
    </w:p>
    <w:p>
      <w:pPr>
        <w:rPr>
          <w:rFonts w:ascii="Times New Roman" w:hAnsi="Times New Roman" w:cs="Times New Roman"/>
          <w:b/>
          <w:noProof/>
          <w:sz w:val="24"/>
          <w:szCs w:val="24"/>
        </w:rPr>
      </w:pPr>
    </w:p>
    <w:p>
      <w:pPr>
        <w:rPr>
          <w:rFonts w:ascii="Times New Roman" w:hAnsi="Times New Roman" w:cs="Times New Roman"/>
          <w:b/>
          <w:noProof/>
          <w:sz w:val="24"/>
          <w:szCs w:val="24"/>
        </w:rPr>
      </w:pPr>
    </w:p>
    <w:p>
      <w:pPr>
        <w:jc w:val="center"/>
        <w:rPr>
          <w:rFonts w:ascii="Times New Roman" w:hAnsi="Times New Roman" w:cs="Times New Roman"/>
          <w:b/>
          <w:noProof/>
          <w:sz w:val="24"/>
          <w:szCs w:val="24"/>
        </w:rPr>
      </w:pPr>
      <w:r>
        <w:rPr>
          <w:rFonts w:ascii="Times New Roman" w:hAnsi="Times New Roman"/>
          <w:b/>
          <w:noProof/>
          <w:sz w:val="24"/>
          <w:szCs w:val="24"/>
        </w:rPr>
        <w:t>Apendice: prezentare generală a acțiunilor-cheie</w:t>
      </w:r>
    </w:p>
    <w:p>
      <w:pPr>
        <w:rPr>
          <w:rFonts w:ascii="Times New Roman" w:hAnsi="Times New Roman" w:cs="Times New Roman"/>
          <w:b/>
          <w:noProof/>
          <w:sz w:val="24"/>
          <w:szCs w:val="24"/>
          <w:u w:val="single"/>
        </w:rPr>
      </w:pPr>
      <w:r>
        <w:rPr>
          <w:rFonts w:ascii="Times New Roman" w:hAnsi="Times New Roman"/>
          <w:b/>
          <w:noProof/>
          <w:sz w:val="24"/>
          <w:szCs w:val="24"/>
          <w:u w:val="single"/>
        </w:rPr>
        <w:t>Acțiuni-cheie pentru UE</w:t>
      </w:r>
    </w:p>
    <w:p>
      <w:pPr>
        <w:rPr>
          <w:rFonts w:ascii="Times New Roman" w:eastAsia="Times New Roman" w:hAnsi="Times New Roman" w:cs="Times New Roman"/>
          <w:i/>
          <w:iCs/>
          <w:noProof/>
          <w:sz w:val="24"/>
          <w:szCs w:val="24"/>
        </w:rPr>
      </w:pPr>
      <w:r>
        <w:rPr>
          <w:rFonts w:ascii="Times New Roman" w:hAnsi="Times New Roman"/>
          <w:b/>
          <w:i/>
          <w:iCs/>
          <w:noProof/>
          <w:sz w:val="24"/>
          <w:szCs w:val="24"/>
        </w:rPr>
        <w:t>Obiectiv:</w:t>
      </w:r>
      <w:r>
        <w:rPr>
          <w:rFonts w:ascii="Times New Roman" w:hAnsi="Times New Roman"/>
          <w:i/>
          <w:iCs/>
          <w:noProof/>
          <w:sz w:val="24"/>
          <w:szCs w:val="24"/>
        </w:rPr>
        <w:t xml:space="preserve"> promovarea unor acțiuni umanitare și mecanisme de finanțare flexibile și eficiente.</w:t>
      </w:r>
    </w:p>
    <w:p>
      <w:pPr>
        <w:pStyle w:val="ListParagraph"/>
        <w:numPr>
          <w:ilvl w:val="0"/>
          <w:numId w:val="2"/>
        </w:numPr>
        <w:jc w:val="both"/>
        <w:rPr>
          <w:rFonts w:ascii="Times New Roman" w:eastAsiaTheme="minorEastAsia" w:hAnsi="Times New Roman" w:cs="Times New Roman"/>
          <w:iCs/>
          <w:noProof/>
          <w:sz w:val="24"/>
          <w:szCs w:val="24"/>
        </w:rPr>
      </w:pPr>
      <w:r>
        <w:rPr>
          <w:rFonts w:ascii="Times New Roman" w:hAnsi="Times New Roman"/>
          <w:iCs/>
          <w:noProof/>
          <w:sz w:val="24"/>
          <w:szCs w:val="24"/>
        </w:rPr>
        <w:t>Extinderea acordurilor de finanțare multianuale și flexibile cu partenerii din domeniul umanitar</w:t>
      </w:r>
      <w:r>
        <w:rPr>
          <w:noProof/>
        </w:rPr>
        <w:t xml:space="preserve"> </w:t>
      </w:r>
      <w:r>
        <w:rPr>
          <w:rFonts w:ascii="Times New Roman" w:hAnsi="Times New Roman"/>
          <w:iCs/>
          <w:noProof/>
          <w:sz w:val="24"/>
          <w:szCs w:val="24"/>
        </w:rPr>
        <w:t>– stabilind legătura cu instrumentele de dezvoltare, ori de câte ori poate fi preconizată o abordare corelată – și simplificarea/armonizarea cerințelor de raportare în conformitate cu „înțelegerea majoră”, asigurând în același timp că evaluările nevoilor se coordonează între agenții și că responsabilizarea, eficiența și vizibilitatea sprijinului oferit de UE sunt consolidate.</w:t>
      </w:r>
    </w:p>
    <w:p>
      <w:pPr>
        <w:pStyle w:val="ListParagraph"/>
        <w:numPr>
          <w:ilvl w:val="0"/>
          <w:numId w:val="2"/>
        </w:numPr>
        <w:jc w:val="both"/>
        <w:rPr>
          <w:rFonts w:ascii="Times New Roman" w:eastAsiaTheme="minorEastAsia" w:hAnsi="Times New Roman" w:cs="Times New Roman"/>
          <w:iCs/>
          <w:noProof/>
          <w:sz w:val="24"/>
          <w:szCs w:val="24"/>
        </w:rPr>
      </w:pPr>
      <w:r>
        <w:rPr>
          <w:rFonts w:ascii="Times New Roman" w:hAnsi="Times New Roman"/>
          <w:iCs/>
          <w:noProof/>
          <w:sz w:val="24"/>
          <w:szCs w:val="24"/>
        </w:rPr>
        <w:t>Intensificarea sprijinului oferit de UE unităților de intervenție locale, inclusiv prin utilizarea extinsă a fondurilor comune naționale și a altor mecanisme de finanțare care acordă prioritate actorilor locali.</w:t>
      </w:r>
    </w:p>
    <w:p>
      <w:pPr>
        <w:pStyle w:val="ListParagraph"/>
        <w:numPr>
          <w:ilvl w:val="0"/>
          <w:numId w:val="2"/>
        </w:numPr>
        <w:jc w:val="both"/>
        <w:rPr>
          <w:rFonts w:ascii="Times New Roman" w:eastAsiaTheme="minorEastAsia" w:hAnsi="Times New Roman" w:cs="Times New Roman"/>
          <w:iCs/>
          <w:noProof/>
          <w:sz w:val="24"/>
          <w:szCs w:val="24"/>
        </w:rPr>
      </w:pPr>
      <w:r>
        <w:rPr>
          <w:rFonts w:ascii="Times New Roman" w:hAnsi="Times New Roman"/>
          <w:iCs/>
          <w:noProof/>
          <w:sz w:val="24"/>
          <w:szCs w:val="24"/>
        </w:rPr>
        <w:t>Elaborarea de orientări privind promovarea parteneriatelor egale cu actorii locali.</w:t>
      </w:r>
    </w:p>
    <w:p>
      <w:pPr>
        <w:pStyle w:val="ListParagraph"/>
        <w:numPr>
          <w:ilvl w:val="0"/>
          <w:numId w:val="2"/>
        </w:numPr>
        <w:jc w:val="both"/>
        <w:rPr>
          <w:rFonts w:ascii="Times New Roman" w:eastAsiaTheme="minorEastAsia" w:hAnsi="Times New Roman" w:cs="Times New Roman"/>
          <w:iCs/>
          <w:noProof/>
          <w:sz w:val="24"/>
          <w:szCs w:val="24"/>
        </w:rPr>
      </w:pPr>
      <w:r>
        <w:rPr>
          <w:rFonts w:ascii="Times New Roman" w:hAnsi="Times New Roman"/>
          <w:iCs/>
          <w:noProof/>
          <w:sz w:val="24"/>
          <w:szCs w:val="24"/>
        </w:rPr>
        <w:t>Încurajarea utilizării în continuare a instrumentelor digitale de către partenerii din domeniul umanitar, inclusiv prin activități comune pentru crearea unui mediu favorabil.</w:t>
      </w:r>
    </w:p>
    <w:p>
      <w:pPr>
        <w:pStyle w:val="ListParagraph"/>
        <w:numPr>
          <w:ilvl w:val="0"/>
          <w:numId w:val="2"/>
        </w:numPr>
        <w:jc w:val="both"/>
        <w:rPr>
          <w:rFonts w:ascii="Times New Roman" w:eastAsiaTheme="minorEastAsia" w:hAnsi="Times New Roman" w:cs="Times New Roman"/>
          <w:iCs/>
          <w:noProof/>
          <w:sz w:val="24"/>
          <w:szCs w:val="24"/>
        </w:rPr>
      </w:pPr>
      <w:r>
        <w:rPr>
          <w:rFonts w:ascii="Times New Roman" w:hAnsi="Times New Roman"/>
          <w:iCs/>
          <w:noProof/>
          <w:sz w:val="24"/>
          <w:szCs w:val="24"/>
        </w:rPr>
        <w:t>Elaborarea de orientări specifice privind extinderea utilizării banilor electronici și asigurarea accesului beneficiarilor ajutorului umanitar la soluții digitale în contextul revizuirii politicii tematice a UE privind transferurile de numerar.</w:t>
      </w:r>
    </w:p>
    <w:p>
      <w:pPr>
        <w:pStyle w:val="ListParagraph"/>
        <w:numPr>
          <w:ilvl w:val="0"/>
          <w:numId w:val="2"/>
        </w:numPr>
        <w:jc w:val="both"/>
        <w:rPr>
          <w:rFonts w:ascii="Times New Roman" w:eastAsiaTheme="minorEastAsia" w:hAnsi="Times New Roman" w:cs="Times New Roman"/>
          <w:iCs/>
          <w:noProof/>
          <w:sz w:val="24"/>
          <w:szCs w:val="24"/>
        </w:rPr>
      </w:pPr>
      <w:r>
        <w:rPr>
          <w:rFonts w:ascii="Times New Roman" w:hAnsi="Times New Roman"/>
          <w:iCs/>
          <w:noProof/>
          <w:sz w:val="24"/>
          <w:szCs w:val="24"/>
        </w:rPr>
        <w:t xml:space="preserve">Sprijinirea, extinderea și promovarea investițiilor în </w:t>
      </w:r>
      <w:r>
        <w:rPr>
          <w:rFonts w:ascii="Times New Roman" w:hAnsi="Times New Roman"/>
          <w:noProof/>
          <w:sz w:val="24"/>
          <w:szCs w:val="24"/>
        </w:rPr>
        <w:t>soluții cu eficiență dovedită, eficiente din punct de vedere al costurilor și bazate pe tehnologie pentru acordarea ajutorului umanitar, inspirate, de asemenea, de exemplul premiilor Consiliului European pentru Inovare din 2020.</w:t>
      </w:r>
    </w:p>
    <w:p>
      <w:pPr>
        <w:pStyle w:val="ListParagraph"/>
        <w:jc w:val="both"/>
        <w:rPr>
          <w:rFonts w:ascii="Times New Roman" w:eastAsiaTheme="minorEastAsia" w:hAnsi="Times New Roman" w:cs="Times New Roman"/>
          <w:iCs/>
          <w:noProof/>
          <w:sz w:val="24"/>
          <w:szCs w:val="24"/>
        </w:rPr>
      </w:pPr>
    </w:p>
    <w:p>
      <w:pPr>
        <w:jc w:val="both"/>
        <w:rPr>
          <w:rFonts w:ascii="Times New Roman" w:eastAsia="Times New Roman" w:hAnsi="Times New Roman" w:cs="Times New Roman"/>
          <w:i/>
          <w:iCs/>
          <w:noProof/>
          <w:sz w:val="24"/>
          <w:szCs w:val="24"/>
        </w:rPr>
      </w:pPr>
      <w:r>
        <w:rPr>
          <w:rFonts w:ascii="Times New Roman" w:hAnsi="Times New Roman"/>
          <w:b/>
          <w:i/>
          <w:iCs/>
          <w:noProof/>
          <w:sz w:val="24"/>
          <w:szCs w:val="24"/>
        </w:rPr>
        <w:t>Obiectiv:</w:t>
      </w:r>
      <w:r>
        <w:rPr>
          <w:rFonts w:ascii="Times New Roman" w:hAnsi="Times New Roman"/>
          <w:i/>
          <w:iCs/>
          <w:noProof/>
          <w:sz w:val="24"/>
          <w:szCs w:val="24"/>
        </w:rPr>
        <w:t xml:space="preserve"> asigurarea furnizării rapide și eficiente a ajutorului umanitar al UE persoanelor care au nevoie de acesta.</w:t>
      </w:r>
    </w:p>
    <w:p>
      <w:pPr>
        <w:pStyle w:val="ListParagraph"/>
        <w:numPr>
          <w:ilvl w:val="0"/>
          <w:numId w:val="50"/>
        </w:numPr>
        <w:jc w:val="both"/>
        <w:rPr>
          <w:rFonts w:ascii="Times New Roman" w:eastAsia="Times New Roman" w:hAnsi="Times New Roman" w:cs="Times New Roman"/>
          <w:iCs/>
          <w:noProof/>
          <w:sz w:val="24"/>
          <w:szCs w:val="24"/>
        </w:rPr>
      </w:pPr>
      <w:r>
        <w:rPr>
          <w:rFonts w:ascii="Times New Roman" w:hAnsi="Times New Roman"/>
          <w:iCs/>
          <w:noProof/>
          <w:sz w:val="24"/>
          <w:szCs w:val="24"/>
        </w:rPr>
        <w:t>Dezvoltarea unei capacități de răspuns umanitar european pentru acoperirea lacunelor, după caz, care să permită statelor membre ale UE și partenerilor săi din domeniul umanitar să furnizeze rapid asistență umanitară, în coordonare și în complementaritate cu mecanismul de protecție civilă al Uniunii.</w:t>
      </w:r>
    </w:p>
    <w:p>
      <w:pPr>
        <w:pStyle w:val="ListParagraph"/>
        <w:spacing w:line="256" w:lineRule="auto"/>
        <w:rPr>
          <w:rFonts w:ascii="Times New Roman" w:hAnsi="Times New Roman" w:cs="Times New Roman"/>
          <w:noProof/>
          <w:sz w:val="24"/>
          <w:szCs w:val="24"/>
        </w:rPr>
      </w:pPr>
    </w:p>
    <w:p>
      <w:pPr>
        <w:jc w:val="both"/>
        <w:rPr>
          <w:rFonts w:ascii="Times New Roman" w:eastAsia="Times New Roman" w:hAnsi="Times New Roman" w:cs="Times New Roman"/>
          <w:i/>
          <w:iCs/>
          <w:noProof/>
          <w:sz w:val="24"/>
          <w:szCs w:val="24"/>
        </w:rPr>
      </w:pPr>
      <w:r>
        <w:rPr>
          <w:rFonts w:ascii="Times New Roman" w:hAnsi="Times New Roman"/>
          <w:b/>
          <w:i/>
          <w:iCs/>
          <w:noProof/>
          <w:sz w:val="24"/>
          <w:szCs w:val="24"/>
        </w:rPr>
        <w:t>Obiectiv:</w:t>
      </w:r>
      <w:r>
        <w:rPr>
          <w:rFonts w:ascii="Times New Roman" w:hAnsi="Times New Roman"/>
          <w:i/>
          <w:iCs/>
          <w:noProof/>
          <w:sz w:val="24"/>
          <w:szCs w:val="24"/>
        </w:rPr>
        <w:t xml:space="preserve"> integrarea în continuare a impactului schimbărilor climatice și a factorilor de mediu în politica și practica în domeniul ajutorului umanitar și o mai bună coordonare cu actorii din domeniul dezvoltării, securității și climei/mediului pentru a spori reziliența comunităților vulnerabile.</w:t>
      </w:r>
    </w:p>
    <w:p>
      <w:pPr>
        <w:pStyle w:val="ListParagraph"/>
        <w:numPr>
          <w:ilvl w:val="0"/>
          <w:numId w:val="44"/>
        </w:numPr>
        <w:spacing w:line="256" w:lineRule="auto"/>
        <w:jc w:val="both"/>
        <w:rPr>
          <w:rFonts w:ascii="Times New Roman" w:hAnsi="Times New Roman" w:cs="Times New Roman"/>
          <w:noProof/>
          <w:sz w:val="24"/>
          <w:szCs w:val="24"/>
        </w:rPr>
      </w:pPr>
      <w:r>
        <w:rPr>
          <w:rFonts w:ascii="Times New Roman" w:hAnsi="Times New Roman"/>
          <w:noProof/>
          <w:sz w:val="24"/>
          <w:szCs w:val="24"/>
        </w:rPr>
        <w:t xml:space="preserve">Elaborarea de orientări și formarea partenerilor UE în domeniul umanitar cu privire la înverzirea ajutorului umanitar, în vederea reducerii amprentei climatice și de mediu a acestuia. </w:t>
      </w:r>
    </w:p>
    <w:p>
      <w:pPr>
        <w:pStyle w:val="ListParagraph"/>
        <w:numPr>
          <w:ilvl w:val="0"/>
          <w:numId w:val="44"/>
        </w:numPr>
        <w:spacing w:line="256" w:lineRule="auto"/>
        <w:jc w:val="both"/>
        <w:rPr>
          <w:rFonts w:ascii="Times New Roman" w:hAnsi="Times New Roman" w:cs="Times New Roman"/>
          <w:noProof/>
          <w:sz w:val="24"/>
          <w:szCs w:val="24"/>
        </w:rPr>
      </w:pPr>
      <w:r>
        <w:rPr>
          <w:rFonts w:ascii="Times New Roman" w:hAnsi="Times New Roman"/>
          <w:noProof/>
          <w:sz w:val="24"/>
          <w:szCs w:val="24"/>
        </w:rPr>
        <w:t>Monitorizarea cheltuielilor în domeniul climei conform Regulamentului UE privind ajutorul umanitar</w:t>
      </w:r>
    </w:p>
    <w:p>
      <w:pPr>
        <w:spacing w:after="0" w:line="240" w:lineRule="auto"/>
        <w:jc w:val="both"/>
        <w:rPr>
          <w:rFonts w:ascii="Times New Roman" w:hAnsi="Times New Roman" w:cs="Times New Roman"/>
          <w:i/>
          <w:iCs/>
          <w:noProof/>
          <w:sz w:val="24"/>
          <w:szCs w:val="24"/>
        </w:rPr>
      </w:pPr>
    </w:p>
    <w:p>
      <w:pPr>
        <w:spacing w:after="0" w:line="240" w:lineRule="auto"/>
        <w:jc w:val="both"/>
        <w:rPr>
          <w:rFonts w:ascii="Times New Roman" w:hAnsi="Times New Roman" w:cs="Times New Roman"/>
          <w:i/>
          <w:noProof/>
          <w:sz w:val="24"/>
          <w:szCs w:val="24"/>
          <w:shd w:val="clear" w:color="auto" w:fill="FFFFFF"/>
        </w:rPr>
      </w:pPr>
      <w:r>
        <w:rPr>
          <w:rFonts w:ascii="Times New Roman" w:hAnsi="Times New Roman"/>
          <w:b/>
          <w:i/>
          <w:noProof/>
          <w:sz w:val="24"/>
          <w:szCs w:val="24"/>
          <w:shd w:val="clear" w:color="auto" w:fill="FFFFFF"/>
        </w:rPr>
        <w:t>Obiectiv:</w:t>
      </w:r>
      <w:r>
        <w:rPr>
          <w:rFonts w:ascii="Times New Roman" w:hAnsi="Times New Roman"/>
          <w:i/>
          <w:noProof/>
          <w:sz w:val="24"/>
          <w:szCs w:val="24"/>
          <w:shd w:val="clear" w:color="auto" w:fill="FFFFFF"/>
        </w:rPr>
        <w:t xml:space="preserve"> elaborarea unor politici în domeniul ajutorului umanitar, al dezvoltării, al consolidării păcii și în alte domenii care să asigure o mai bună corelare între ajutorul urgent și soluțiile pe termen lung, cu scopul de a reduce nevoile și de a aborda cauzele profunde ale conflictelor și crizelor.</w:t>
      </w:r>
    </w:p>
    <w:p>
      <w:pPr>
        <w:spacing w:after="0" w:line="240" w:lineRule="auto"/>
        <w:jc w:val="both"/>
        <w:rPr>
          <w:rFonts w:ascii="Times New Roman" w:hAnsi="Times New Roman" w:cs="Times New Roman"/>
          <w:i/>
          <w:noProof/>
          <w:sz w:val="24"/>
          <w:szCs w:val="24"/>
          <w:shd w:val="clear" w:color="auto" w:fill="FFFFFF"/>
        </w:rPr>
      </w:pPr>
    </w:p>
    <w:p>
      <w:pPr>
        <w:pStyle w:val="ListParagraph"/>
        <w:numPr>
          <w:ilvl w:val="0"/>
          <w:numId w:val="42"/>
        </w:numPr>
        <w:jc w:val="both"/>
        <w:rPr>
          <w:rFonts w:ascii="Times New Roman" w:eastAsiaTheme="minorEastAsia" w:hAnsi="Times New Roman" w:cs="Times New Roman"/>
          <w:iCs/>
          <w:noProof/>
          <w:sz w:val="24"/>
          <w:szCs w:val="24"/>
        </w:rPr>
      </w:pPr>
      <w:r>
        <w:rPr>
          <w:rFonts w:ascii="Times New Roman" w:hAnsi="Times New Roman"/>
          <w:iCs/>
          <w:noProof/>
          <w:sz w:val="24"/>
          <w:szCs w:val="24"/>
        </w:rPr>
        <w:t xml:space="preserve">Efectuarea sistematică de analize comune ale riscurilor, nevoilor, vulnerabilităților și ale factorilor structurali ai crizelor, precum și, dacă este cazul, programarea și planificarea în comun a politicilor UE, în conformitate cu legătura dintre domeniul umanitar, cel al dezvoltării și pace. </w:t>
      </w:r>
    </w:p>
    <w:p>
      <w:pPr>
        <w:pStyle w:val="ListParagraph"/>
        <w:numPr>
          <w:ilvl w:val="0"/>
          <w:numId w:val="42"/>
        </w:numPr>
        <w:jc w:val="both"/>
        <w:rPr>
          <w:rFonts w:ascii="Times New Roman" w:eastAsiaTheme="minorEastAsia" w:hAnsi="Times New Roman" w:cs="Times New Roman"/>
          <w:iCs/>
          <w:noProof/>
          <w:sz w:val="24"/>
          <w:szCs w:val="24"/>
        </w:rPr>
      </w:pPr>
      <w:r>
        <w:rPr>
          <w:rFonts w:ascii="Times New Roman" w:hAnsi="Times New Roman"/>
          <w:iCs/>
          <w:noProof/>
          <w:sz w:val="24"/>
          <w:szCs w:val="24"/>
        </w:rPr>
        <w:t>Crearea unor legături eficace între diferitele acțiuni umanitare, de dezvoltare și de consolidare a păcii și utilizarea instrumentelor existente, precum dialogul în materie de politici, pentru consolidarea capacităților naționale și locale – inclusiv capacitatea autorităților nestatale – de a furniza servicii de bază și de a sprijini consolidarea rezilienței.</w:t>
      </w:r>
    </w:p>
    <w:p>
      <w:pPr>
        <w:pStyle w:val="ListParagraph"/>
        <w:numPr>
          <w:ilvl w:val="0"/>
          <w:numId w:val="42"/>
        </w:numPr>
        <w:spacing w:line="256" w:lineRule="auto"/>
        <w:jc w:val="both"/>
        <w:rPr>
          <w:rFonts w:ascii="Times New Roman" w:eastAsiaTheme="minorEastAsia" w:hAnsi="Times New Roman" w:cs="Times New Roman"/>
          <w:iCs/>
          <w:noProof/>
          <w:sz w:val="24"/>
          <w:szCs w:val="24"/>
        </w:rPr>
      </w:pPr>
      <w:r>
        <w:rPr>
          <w:rFonts w:ascii="Times New Roman" w:hAnsi="Times New Roman"/>
          <w:iCs/>
          <w:noProof/>
          <w:sz w:val="24"/>
          <w:szCs w:val="24"/>
        </w:rPr>
        <w:t>Extinderea sprijinului pentru plasele de siguranță socială pe bază de numerar, receptive la șocuri.</w:t>
      </w:r>
    </w:p>
    <w:p>
      <w:pPr>
        <w:pStyle w:val="ListParagraph"/>
        <w:numPr>
          <w:ilvl w:val="0"/>
          <w:numId w:val="42"/>
        </w:numPr>
        <w:jc w:val="both"/>
        <w:rPr>
          <w:rFonts w:ascii="Times New Roman" w:eastAsiaTheme="minorEastAsia" w:hAnsi="Times New Roman" w:cs="Times New Roman"/>
          <w:iCs/>
          <w:noProof/>
          <w:sz w:val="24"/>
          <w:szCs w:val="24"/>
        </w:rPr>
      </w:pPr>
      <w:r>
        <w:rPr>
          <w:rFonts w:ascii="Times New Roman" w:hAnsi="Times New Roman"/>
          <w:iCs/>
          <w:noProof/>
          <w:sz w:val="24"/>
          <w:szCs w:val="24"/>
        </w:rPr>
        <w:t>Promovarea coordonării civil-militare umanitare eficace în toate contextele relevante, drept cadru pentru protejarea spațiului umanitar, evitarea redundanțelor, minimizarea inconsecvențelor și maximizarea sinergiilor potențiale cu actorii din domeniul securității și al apărării.</w:t>
      </w:r>
    </w:p>
    <w:p>
      <w:pPr>
        <w:pStyle w:val="ListParagraph"/>
        <w:numPr>
          <w:ilvl w:val="0"/>
          <w:numId w:val="42"/>
        </w:numPr>
        <w:jc w:val="both"/>
        <w:rPr>
          <w:rFonts w:ascii="Times New Roman" w:eastAsiaTheme="minorEastAsia" w:hAnsi="Times New Roman" w:cs="Times New Roman"/>
          <w:iCs/>
          <w:noProof/>
          <w:sz w:val="24"/>
          <w:szCs w:val="24"/>
        </w:rPr>
      </w:pPr>
      <w:r>
        <w:rPr>
          <w:rFonts w:ascii="Times New Roman" w:hAnsi="Times New Roman"/>
          <w:iCs/>
          <w:noProof/>
          <w:sz w:val="24"/>
          <w:szCs w:val="24"/>
        </w:rPr>
        <w:t xml:space="preserve">Dezvoltarea de sinergii cu eforturile UE de mediere a păcii și de prevenire a conflictelor, cu respectarea deplină a principiilor umanitare, în vederea sporirii eforturilor de atenuare a suferințelor. </w:t>
      </w:r>
    </w:p>
    <w:p>
      <w:pPr>
        <w:pStyle w:val="ListParagraph"/>
        <w:numPr>
          <w:ilvl w:val="0"/>
          <w:numId w:val="42"/>
        </w:numPr>
        <w:spacing w:line="256" w:lineRule="auto"/>
        <w:jc w:val="both"/>
        <w:rPr>
          <w:rFonts w:ascii="Times New Roman" w:eastAsiaTheme="minorEastAsia" w:hAnsi="Times New Roman" w:cs="Times New Roman"/>
          <w:b/>
          <w:iCs/>
          <w:noProof/>
          <w:sz w:val="24"/>
          <w:szCs w:val="24"/>
        </w:rPr>
      </w:pPr>
      <w:r>
        <w:rPr>
          <w:rFonts w:ascii="Times New Roman" w:hAnsi="Times New Roman"/>
          <w:iCs/>
          <w:noProof/>
          <w:sz w:val="24"/>
          <w:szCs w:val="24"/>
        </w:rPr>
        <w:t>Integrarea educației în domeniile prioritare pentru legătura dintre domeniul umanitar, cel al dezvoltării și pace pentru a contribui la reducerea deficitului global în materie de educație, alături de sectoare precum sănătatea, securitatea alimentară, pregătirea pentru dezastre și reziliența la schimbările climatice.</w:t>
      </w:r>
    </w:p>
    <w:p>
      <w:pPr>
        <w:pStyle w:val="ListParagraph"/>
        <w:spacing w:line="256" w:lineRule="auto"/>
        <w:jc w:val="both"/>
        <w:rPr>
          <w:rFonts w:ascii="Times New Roman" w:eastAsiaTheme="minorEastAsia" w:hAnsi="Times New Roman" w:cs="Times New Roman"/>
          <w:b/>
          <w:iCs/>
          <w:noProof/>
          <w:sz w:val="24"/>
          <w:szCs w:val="24"/>
        </w:rPr>
      </w:pPr>
    </w:p>
    <w:p>
      <w:pPr>
        <w:jc w:val="both"/>
        <w:rPr>
          <w:rFonts w:ascii="Times New Roman" w:eastAsia="Times New Roman" w:hAnsi="Times New Roman" w:cs="Times New Roman"/>
          <w:i/>
          <w:iCs/>
          <w:noProof/>
          <w:sz w:val="24"/>
          <w:szCs w:val="24"/>
        </w:rPr>
      </w:pPr>
      <w:r>
        <w:rPr>
          <w:rFonts w:ascii="Times New Roman" w:hAnsi="Times New Roman"/>
          <w:b/>
          <w:i/>
          <w:iCs/>
          <w:noProof/>
          <w:sz w:val="24"/>
          <w:szCs w:val="24"/>
        </w:rPr>
        <w:t>Obiectiv</w:t>
      </w:r>
      <w:r>
        <w:rPr>
          <w:rFonts w:ascii="Times New Roman" w:hAnsi="Times New Roman"/>
          <w:i/>
          <w:iCs/>
          <w:noProof/>
          <w:sz w:val="24"/>
          <w:szCs w:val="24"/>
        </w:rPr>
        <w:t>: creșterea semnificativă a bazei de resurse destinate acțiunilor umanitare.</w:t>
      </w:r>
    </w:p>
    <w:p>
      <w:pPr>
        <w:pStyle w:val="ListParagraph"/>
        <w:numPr>
          <w:ilvl w:val="0"/>
          <w:numId w:val="1"/>
        </w:numPr>
        <w:jc w:val="both"/>
        <w:rPr>
          <w:rFonts w:ascii="Times New Roman" w:eastAsiaTheme="minorEastAsia" w:hAnsi="Times New Roman" w:cs="Times New Roman"/>
          <w:noProof/>
          <w:sz w:val="24"/>
          <w:szCs w:val="24"/>
        </w:rPr>
      </w:pPr>
      <w:r>
        <w:rPr>
          <w:rFonts w:ascii="Times New Roman" w:hAnsi="Times New Roman"/>
          <w:iCs/>
          <w:noProof/>
          <w:sz w:val="24"/>
          <w:szCs w:val="24"/>
        </w:rPr>
        <w:t>Lansarea unei inițiative-pilot cu finanțare mixtă din bugetul pentru ajutor umanitar al UE pentru a obține finanțare suplimentară din partea sectorului privat</w:t>
      </w:r>
      <w:r>
        <w:rPr>
          <w:rFonts w:ascii="Times New Roman" w:hAnsi="Times New Roman"/>
          <w:noProof/>
          <w:sz w:val="24"/>
          <w:szCs w:val="24"/>
        </w:rPr>
        <w:t xml:space="preserve"> </w:t>
      </w:r>
      <w:r>
        <w:rPr>
          <w:rFonts w:ascii="Times New Roman" w:hAnsi="Times New Roman"/>
          <w:iCs/>
          <w:noProof/>
          <w:sz w:val="24"/>
          <w:szCs w:val="24"/>
        </w:rPr>
        <w:t>într-un context umanitar în 2021.</w:t>
      </w:r>
    </w:p>
    <w:p>
      <w:pPr>
        <w:pStyle w:val="ListParagraph"/>
        <w:jc w:val="both"/>
        <w:rPr>
          <w:rFonts w:ascii="Times New Roman" w:eastAsiaTheme="minorEastAsia" w:hAnsi="Times New Roman" w:cs="Times New Roman"/>
          <w:noProof/>
          <w:sz w:val="24"/>
          <w:szCs w:val="24"/>
        </w:rPr>
      </w:pPr>
    </w:p>
    <w:p>
      <w:pPr>
        <w:pStyle w:val="paragraph"/>
        <w:spacing w:before="0" w:beforeAutospacing="0" w:after="0" w:afterAutospacing="0"/>
        <w:jc w:val="both"/>
        <w:textAlignment w:val="baseline"/>
        <w:rPr>
          <w:rFonts w:eastAsia="Calibri"/>
          <w:i/>
          <w:iCs/>
          <w:noProof/>
        </w:rPr>
      </w:pPr>
      <w:r>
        <w:rPr>
          <w:b/>
          <w:i/>
          <w:iCs/>
          <w:noProof/>
        </w:rPr>
        <w:t>Obiectiv:</w:t>
      </w:r>
      <w:r>
        <w:rPr>
          <w:i/>
          <w:iCs/>
          <w:noProof/>
        </w:rPr>
        <w:t xml:space="preserve"> plasarea respectării dreptului internațional umanitar (DIU) în centrul acțiunilor externe ale UE pentru a asigura protecția civililor, pentru a sprijini acțiunile umanitare principiale și pentru a proteja lucrătorii umanitari și din domeniul sănătății. </w:t>
      </w:r>
    </w:p>
    <w:p>
      <w:pPr>
        <w:pStyle w:val="paragraph"/>
        <w:spacing w:before="0" w:beforeAutospacing="0" w:after="0" w:afterAutospacing="0"/>
        <w:ind w:left="720"/>
        <w:jc w:val="both"/>
        <w:textAlignment w:val="baseline"/>
        <w:rPr>
          <w:rFonts w:eastAsia="Calibri"/>
          <w:i/>
          <w:noProof/>
          <w:lang w:eastAsia="en-GB"/>
        </w:rPr>
      </w:pPr>
    </w:p>
    <w:p>
      <w:pPr>
        <w:pStyle w:val="paragraph"/>
        <w:numPr>
          <w:ilvl w:val="0"/>
          <w:numId w:val="45"/>
        </w:numPr>
        <w:spacing w:before="0" w:beforeAutospacing="0" w:after="0" w:afterAutospacing="0"/>
        <w:jc w:val="both"/>
        <w:textAlignment w:val="baseline"/>
        <w:rPr>
          <w:rFonts w:eastAsia="Calibri"/>
          <w:noProof/>
        </w:rPr>
      </w:pPr>
      <w:r>
        <w:rPr>
          <w:noProof/>
        </w:rPr>
        <w:t xml:space="preserve">Instituirea unui mecanism de coordonare la nivelul UE privind dreptul internațional umanitar pentru a asigura o mai bună monitorizare a încălcărilor DIU la nivel mondial, pentru a facilita coordonarea actorilor relevanți din UE și pentru a sprijini o acțiune diplomatică a UE mai puternică în domeniul umanitar. </w:t>
      </w:r>
    </w:p>
    <w:p>
      <w:pPr>
        <w:pStyle w:val="paragraph"/>
        <w:numPr>
          <w:ilvl w:val="0"/>
          <w:numId w:val="45"/>
        </w:numPr>
        <w:spacing w:before="0" w:beforeAutospacing="0" w:after="0" w:afterAutospacing="0"/>
        <w:jc w:val="both"/>
        <w:textAlignment w:val="baseline"/>
        <w:rPr>
          <w:rFonts w:eastAsia="Calibri"/>
          <w:iCs/>
          <w:noProof/>
        </w:rPr>
      </w:pPr>
      <w:r>
        <w:rPr>
          <w:noProof/>
        </w:rPr>
        <w:t>Consolidarea în continuare a cadrului de respectare a DIU, inclusiv ca parte a instrumentelor externe ale UE, printre altele pe baza diligenței necesare și prin dialogurile sale în materie de politici, securitate și drepturile omului și acordurile comerciale cu țările partenere, dacă este relevant.</w:t>
      </w:r>
    </w:p>
    <w:p>
      <w:pPr>
        <w:pStyle w:val="ListParagraph"/>
        <w:numPr>
          <w:ilvl w:val="0"/>
          <w:numId w:val="45"/>
        </w:numPr>
        <w:jc w:val="both"/>
        <w:rPr>
          <w:rFonts w:ascii="Times New Roman" w:eastAsia="Calibri" w:hAnsi="Times New Roman" w:cs="Times New Roman"/>
          <w:iCs/>
          <w:noProof/>
          <w:sz w:val="24"/>
          <w:szCs w:val="24"/>
        </w:rPr>
      </w:pPr>
      <w:r>
        <w:rPr>
          <w:rFonts w:ascii="Times New Roman" w:hAnsi="Times New Roman"/>
          <w:iCs/>
          <w:noProof/>
          <w:sz w:val="24"/>
          <w:szCs w:val="24"/>
        </w:rPr>
        <w:t>Continuarea promovării dialogului între toate părțile implicate în asistența umanitară (donatori, autorități de reglementare, ONG-uri și bănci) pentru a facilita furnizarea de asistență umanitară tuturor celor care au nevoie.</w:t>
      </w:r>
    </w:p>
    <w:p>
      <w:pPr>
        <w:pStyle w:val="ListParagraph"/>
        <w:rPr>
          <w:rFonts w:ascii="Times New Roman" w:eastAsia="Calibri" w:hAnsi="Times New Roman" w:cs="Times New Roman"/>
          <w:iCs/>
          <w:noProof/>
          <w:sz w:val="24"/>
          <w:szCs w:val="24"/>
          <w:lang w:eastAsia="en-GB"/>
        </w:rPr>
      </w:pPr>
    </w:p>
    <w:p>
      <w:pPr>
        <w:spacing w:after="0"/>
        <w:jc w:val="both"/>
        <w:rPr>
          <w:rFonts w:ascii="Times New Roman" w:hAnsi="Times New Roman" w:cs="Times New Roman"/>
          <w:i/>
          <w:iCs/>
          <w:noProof/>
          <w:sz w:val="24"/>
          <w:szCs w:val="24"/>
        </w:rPr>
      </w:pPr>
      <w:r>
        <w:rPr>
          <w:rFonts w:ascii="Times New Roman" w:hAnsi="Times New Roman"/>
          <w:b/>
          <w:i/>
          <w:iCs/>
          <w:noProof/>
          <w:sz w:val="24"/>
          <w:szCs w:val="24"/>
        </w:rPr>
        <w:t>Obiectiv:</w:t>
      </w:r>
      <w:r>
        <w:rPr>
          <w:rFonts w:ascii="Times New Roman" w:hAnsi="Times New Roman"/>
          <w:i/>
          <w:iCs/>
          <w:noProof/>
          <w:sz w:val="24"/>
          <w:szCs w:val="24"/>
        </w:rPr>
        <w:t xml:space="preserve"> consolidarea angajamentului și a poziției de lider a UE în domeniul ajutorului umanitar pentru un impact maxim al acestuia.</w:t>
      </w:r>
    </w:p>
    <w:p>
      <w:pPr>
        <w:spacing w:after="0"/>
        <w:jc w:val="both"/>
        <w:rPr>
          <w:rFonts w:ascii="Times New Roman" w:hAnsi="Times New Roman" w:cs="Times New Roman"/>
          <w:i/>
          <w:iCs/>
          <w:noProof/>
          <w:sz w:val="24"/>
          <w:szCs w:val="24"/>
          <w:lang w:val="fr-BE"/>
        </w:rPr>
      </w:pPr>
    </w:p>
    <w:p>
      <w:pPr>
        <w:pStyle w:val="ListParagraph"/>
        <w:numPr>
          <w:ilvl w:val="0"/>
          <w:numId w:val="33"/>
        </w:numPr>
        <w:spacing w:after="0"/>
        <w:jc w:val="both"/>
        <w:rPr>
          <w:rFonts w:ascii="Times New Roman" w:hAnsi="Times New Roman" w:cs="Times New Roman"/>
          <w:iCs/>
          <w:noProof/>
          <w:sz w:val="24"/>
          <w:szCs w:val="24"/>
        </w:rPr>
      </w:pPr>
      <w:r>
        <w:rPr>
          <w:rFonts w:ascii="Times New Roman" w:hAnsi="Times New Roman"/>
          <w:iCs/>
          <w:noProof/>
          <w:sz w:val="24"/>
          <w:szCs w:val="24"/>
        </w:rPr>
        <w:t>Organizarea unui forum umanitar european în 2021 pentru a promova dialogul cu privire la aspectele de politică umanitară.</w:t>
      </w:r>
    </w:p>
    <w:p>
      <w:pPr>
        <w:pStyle w:val="ListParagraph"/>
        <w:numPr>
          <w:ilvl w:val="0"/>
          <w:numId w:val="33"/>
        </w:numPr>
        <w:spacing w:after="0"/>
        <w:jc w:val="both"/>
        <w:rPr>
          <w:rFonts w:ascii="Times New Roman" w:hAnsi="Times New Roman" w:cs="Times New Roman"/>
          <w:iCs/>
          <w:noProof/>
          <w:sz w:val="24"/>
          <w:szCs w:val="24"/>
        </w:rPr>
      </w:pPr>
      <w:r>
        <w:rPr>
          <w:rFonts w:ascii="Times New Roman" w:hAnsi="Times New Roman"/>
          <w:iCs/>
          <w:noProof/>
          <w:sz w:val="24"/>
          <w:szCs w:val="24"/>
        </w:rPr>
        <w:t>Promovarea și implicarea într-un dialog suplimentar cu principalele părți interesate privind punerea în practică a principalelor acțiuni propuse în prezenta comunicare.</w:t>
      </w:r>
    </w:p>
    <w:p>
      <w:pPr>
        <w:pStyle w:val="ListParagraph"/>
        <w:spacing w:after="0"/>
        <w:jc w:val="both"/>
        <w:rPr>
          <w:rFonts w:ascii="Times New Roman" w:hAnsi="Times New Roman" w:cs="Times New Roman"/>
          <w:iCs/>
          <w:noProof/>
          <w:sz w:val="24"/>
          <w:szCs w:val="24"/>
        </w:rPr>
      </w:pPr>
    </w:p>
    <w:p>
      <w:pPr>
        <w:spacing w:after="0" w:line="240" w:lineRule="auto"/>
        <w:jc w:val="both"/>
        <w:rPr>
          <w:rFonts w:ascii="Times New Roman" w:hAnsi="Times New Roman" w:cs="Times New Roman"/>
          <w:b/>
          <w:iCs/>
          <w:noProof/>
          <w:sz w:val="24"/>
          <w:szCs w:val="24"/>
          <w:u w:val="single"/>
        </w:rPr>
      </w:pPr>
    </w:p>
    <w:p>
      <w:pPr>
        <w:spacing w:after="0" w:line="240" w:lineRule="auto"/>
        <w:jc w:val="both"/>
        <w:rPr>
          <w:rFonts w:ascii="Times New Roman" w:hAnsi="Times New Roman" w:cs="Times New Roman"/>
          <w:b/>
          <w:iCs/>
          <w:noProof/>
          <w:sz w:val="24"/>
          <w:szCs w:val="24"/>
          <w:u w:val="single"/>
        </w:rPr>
      </w:pPr>
    </w:p>
    <w:p>
      <w:pPr>
        <w:spacing w:after="0" w:line="240" w:lineRule="auto"/>
        <w:jc w:val="both"/>
        <w:rPr>
          <w:rFonts w:ascii="Times New Roman" w:hAnsi="Times New Roman" w:cs="Times New Roman"/>
          <w:b/>
          <w:iCs/>
          <w:noProof/>
          <w:sz w:val="24"/>
          <w:szCs w:val="24"/>
          <w:u w:val="single"/>
        </w:rPr>
      </w:pPr>
    </w:p>
    <w:p>
      <w:pPr>
        <w:spacing w:after="0" w:line="240" w:lineRule="auto"/>
        <w:jc w:val="both"/>
        <w:rPr>
          <w:rFonts w:ascii="Times New Roman" w:hAnsi="Times New Roman" w:cs="Times New Roman"/>
          <w:b/>
          <w:iCs/>
          <w:noProof/>
          <w:sz w:val="24"/>
          <w:szCs w:val="24"/>
          <w:u w:val="single"/>
        </w:rPr>
      </w:pPr>
      <w:r>
        <w:rPr>
          <w:rFonts w:ascii="Times New Roman" w:hAnsi="Times New Roman"/>
          <w:b/>
          <w:iCs/>
          <w:noProof/>
          <w:sz w:val="24"/>
          <w:szCs w:val="24"/>
          <w:u w:val="single"/>
        </w:rPr>
        <w:t>Acțiuni-cheie pentru UE și statele membre ale UE</w:t>
      </w:r>
    </w:p>
    <w:p>
      <w:pPr>
        <w:jc w:val="both"/>
        <w:rPr>
          <w:rFonts w:ascii="Times New Roman" w:eastAsia="Times New Roman" w:hAnsi="Times New Roman" w:cs="Times New Roman"/>
          <w:i/>
          <w:iCs/>
          <w:noProof/>
          <w:sz w:val="24"/>
          <w:szCs w:val="24"/>
        </w:rPr>
      </w:pPr>
      <w:r>
        <w:rPr>
          <w:noProof/>
        </w:rPr>
        <w:t xml:space="preserve"> </w:t>
      </w:r>
      <w:r>
        <w:rPr>
          <w:noProof/>
        </w:rPr>
        <w:br/>
      </w:r>
      <w:r>
        <w:rPr>
          <w:rFonts w:ascii="Times New Roman" w:hAnsi="Times New Roman"/>
          <w:b/>
          <w:i/>
          <w:iCs/>
          <w:noProof/>
          <w:sz w:val="24"/>
          <w:szCs w:val="24"/>
        </w:rPr>
        <w:t>Obiectiv:</w:t>
      </w:r>
      <w:r>
        <w:rPr>
          <w:rFonts w:ascii="Times New Roman" w:hAnsi="Times New Roman"/>
          <w:i/>
          <w:iCs/>
          <w:noProof/>
          <w:sz w:val="24"/>
          <w:szCs w:val="24"/>
        </w:rPr>
        <w:t xml:space="preserve"> integrarea în continuare a impactului schimbărilor climatice și a factorilor de mediu în politica și practica în domeniul ajutorului umanitar și o mai bună coordonare cu actorii din domeniul dezvoltării, securității și climei/mediului pentru a spori reziliența comunităților vulnerabile.</w:t>
      </w:r>
    </w:p>
    <w:p>
      <w:pPr>
        <w:pStyle w:val="ListParagraph"/>
        <w:numPr>
          <w:ilvl w:val="0"/>
          <w:numId w:val="3"/>
        </w:numPr>
        <w:jc w:val="both"/>
        <w:rPr>
          <w:rFonts w:ascii="Times New Roman" w:hAnsi="Times New Roman" w:cs="Times New Roman"/>
          <w:noProof/>
          <w:sz w:val="24"/>
          <w:szCs w:val="24"/>
        </w:rPr>
      </w:pPr>
      <w:r>
        <w:rPr>
          <w:rFonts w:ascii="Times New Roman" w:hAnsi="Times New Roman"/>
          <w:iCs/>
          <w:noProof/>
          <w:sz w:val="24"/>
          <w:szCs w:val="24"/>
          <w:shd w:val="clear" w:color="auto" w:fill="FFFFFF"/>
        </w:rPr>
        <w:t xml:space="preserve">Creșterea semnificativă a ponderii fondurilor alocate pentru îmbunătățirea rezilienței și a adaptării la schimbările climatice în țările și regiunile cele mai predispuse la dezastre, în conformitate cu noua strategie a UE de adaptare la schimbările climatice și ca parte a abordării bazate pe legătura dintre domeniul umanitar, cel al dezvoltării și pace. </w:t>
      </w:r>
    </w:p>
    <w:p>
      <w:pPr>
        <w:pStyle w:val="ListParagraph"/>
        <w:numPr>
          <w:ilvl w:val="0"/>
          <w:numId w:val="3"/>
        </w:numPr>
        <w:jc w:val="both"/>
        <w:rPr>
          <w:rFonts w:ascii="Times New Roman" w:hAnsi="Times New Roman" w:cs="Times New Roman"/>
          <w:iCs/>
          <w:noProof/>
          <w:sz w:val="24"/>
          <w:szCs w:val="24"/>
        </w:rPr>
      </w:pPr>
      <w:r>
        <w:rPr>
          <w:rFonts w:ascii="Times New Roman" w:hAnsi="Times New Roman"/>
          <w:iCs/>
          <w:noProof/>
          <w:sz w:val="24"/>
          <w:szCs w:val="24"/>
        </w:rPr>
        <w:t xml:space="preserve">Sporirea rezilienței </w:t>
      </w:r>
      <w:r>
        <w:rPr>
          <w:rFonts w:ascii="Times New Roman" w:hAnsi="Times New Roman"/>
          <w:iCs/>
          <w:noProof/>
          <w:sz w:val="24"/>
          <w:szCs w:val="24"/>
          <w:shd w:val="clear" w:color="auto" w:fill="FFFFFF"/>
        </w:rPr>
        <w:t>populațiilor vulnerabile</w:t>
      </w:r>
      <w:r>
        <w:rPr>
          <w:rFonts w:ascii="Times New Roman" w:hAnsi="Times New Roman"/>
          <w:iCs/>
          <w:noProof/>
          <w:sz w:val="24"/>
          <w:szCs w:val="24"/>
        </w:rPr>
        <w:t xml:space="preserve"> la schimbările climatice și de mediu printr-o abordare bazată pe </w:t>
      </w:r>
      <w:r>
        <w:rPr>
          <w:rFonts w:ascii="Times New Roman" w:hAnsi="Times New Roman"/>
          <w:iCs/>
          <w:noProof/>
          <w:sz w:val="24"/>
          <w:szCs w:val="24"/>
          <w:shd w:val="clear" w:color="auto" w:fill="FFFFFF"/>
        </w:rPr>
        <w:t>legătura dintre domeniul umanitar, cel al dezvoltării și pace</w:t>
      </w:r>
      <w:r>
        <w:rPr>
          <w:rFonts w:ascii="Times New Roman" w:hAnsi="Times New Roman"/>
          <w:iCs/>
          <w:noProof/>
          <w:sz w:val="24"/>
          <w:szCs w:val="24"/>
        </w:rPr>
        <w:t xml:space="preserve"> și asigurarea diseminării și a punerii în aplicare a noilor orientări privind pregătirea în caz de dezastre în rândul partenerilor umanitari ai UE, în strânsă coordonare cu actorii din domeniul dezvoltării și al climei. </w:t>
      </w:r>
    </w:p>
    <w:p>
      <w:pPr>
        <w:pStyle w:val="ListParagraph"/>
        <w:numPr>
          <w:ilvl w:val="0"/>
          <w:numId w:val="3"/>
        </w:numPr>
        <w:jc w:val="both"/>
        <w:rPr>
          <w:rFonts w:ascii="Times New Roman" w:hAnsi="Times New Roman" w:cs="Times New Roman"/>
          <w:noProof/>
          <w:sz w:val="24"/>
          <w:szCs w:val="24"/>
        </w:rPr>
      </w:pPr>
      <w:r>
        <w:rPr>
          <w:rFonts w:ascii="Times New Roman" w:hAnsi="Times New Roman"/>
          <w:iCs/>
          <w:noProof/>
          <w:sz w:val="24"/>
          <w:szCs w:val="24"/>
        </w:rPr>
        <w:t xml:space="preserve">Dezvoltarea și aplicarea în continuare a abordărilor bazate pe cunoașterea riscurilor, inclusiv finanțare de risc, și extinderea măsurilor anticipative în diferite contexte umanitare și regiuni. </w:t>
      </w:r>
    </w:p>
    <w:p>
      <w:pPr>
        <w:spacing w:line="256" w:lineRule="auto"/>
        <w:jc w:val="both"/>
        <w:rPr>
          <w:rFonts w:ascii="Times New Roman" w:hAnsi="Times New Roman" w:cs="Times New Roman"/>
          <w:i/>
          <w:noProof/>
          <w:sz w:val="24"/>
          <w:szCs w:val="24"/>
        </w:rPr>
      </w:pPr>
    </w:p>
    <w:p>
      <w:pPr>
        <w:jc w:val="both"/>
        <w:rPr>
          <w:rFonts w:ascii="Times New Roman" w:eastAsia="Times New Roman" w:hAnsi="Times New Roman" w:cs="Times New Roman"/>
          <w:i/>
          <w:iCs/>
          <w:noProof/>
          <w:sz w:val="24"/>
          <w:szCs w:val="24"/>
        </w:rPr>
      </w:pPr>
      <w:r>
        <w:rPr>
          <w:rFonts w:ascii="Times New Roman" w:hAnsi="Times New Roman"/>
          <w:b/>
          <w:i/>
          <w:noProof/>
          <w:sz w:val="24"/>
          <w:szCs w:val="24"/>
          <w:shd w:val="clear" w:color="auto" w:fill="FFFFFF"/>
        </w:rPr>
        <w:t>Obiectiv:</w:t>
      </w:r>
      <w:r>
        <w:rPr>
          <w:rFonts w:ascii="Times New Roman" w:hAnsi="Times New Roman"/>
          <w:i/>
          <w:noProof/>
          <w:sz w:val="24"/>
          <w:szCs w:val="24"/>
          <w:shd w:val="clear" w:color="auto" w:fill="FFFFFF"/>
        </w:rPr>
        <w:t xml:space="preserve"> elaborarea unor politici în domeniul ajutorului umanitar, al dezvoltării, al consolidării păcii și în alte domenii care să asigure o mai bună corelare între ajutorul urgent și soluțiile pe termen lung, cu scopul de a reduce nevoile și de a aborda cauzele profunde ale conflictelor și crizelor. </w:t>
      </w:r>
    </w:p>
    <w:p>
      <w:pPr>
        <w:pStyle w:val="ListParagraph"/>
        <w:numPr>
          <w:ilvl w:val="0"/>
          <w:numId w:val="47"/>
        </w:numPr>
        <w:jc w:val="both"/>
        <w:rPr>
          <w:rFonts w:ascii="Times New Roman" w:eastAsiaTheme="minorEastAsia" w:hAnsi="Times New Roman" w:cs="Times New Roman"/>
          <w:iCs/>
          <w:noProof/>
          <w:sz w:val="24"/>
          <w:szCs w:val="24"/>
        </w:rPr>
      </w:pPr>
      <w:r>
        <w:rPr>
          <w:rFonts w:ascii="Times New Roman" w:hAnsi="Times New Roman"/>
          <w:iCs/>
          <w:noProof/>
          <w:sz w:val="24"/>
          <w:szCs w:val="24"/>
        </w:rPr>
        <w:t>Consolidarea mecanismelor de coordonare pe teren în cadrul acțiunilor umanitare, de dezvoltare și de consolidare a păcii desfășurate de UE pentru a asigura rezultate comune și coerente, cu sprijinul delegațiilor UE și al birourilor locale ECHO. Colaborarea strânsă cu statele membre ale UE în acest cadru într-o abordare „Echipa Europa”.</w:t>
      </w:r>
    </w:p>
    <w:p>
      <w:pPr>
        <w:pStyle w:val="ListParagraph"/>
        <w:numPr>
          <w:ilvl w:val="0"/>
          <w:numId w:val="47"/>
        </w:numPr>
        <w:spacing w:after="0" w:line="240" w:lineRule="auto"/>
        <w:jc w:val="both"/>
        <w:rPr>
          <w:rFonts w:ascii="Times New Roman" w:eastAsiaTheme="minorEastAsia" w:hAnsi="Times New Roman" w:cs="Times New Roman"/>
          <w:iCs/>
          <w:noProof/>
          <w:sz w:val="24"/>
          <w:szCs w:val="24"/>
        </w:rPr>
      </w:pPr>
      <w:r>
        <w:rPr>
          <w:rFonts w:ascii="Times New Roman" w:hAnsi="Times New Roman"/>
          <w:iCs/>
          <w:noProof/>
          <w:sz w:val="24"/>
          <w:szCs w:val="24"/>
        </w:rPr>
        <w:t>Utilizarea angajamentului politic și diplomatic al UE și a tuturor instrumentelor disponibile pentru prevenirea crizelor, soluționarea conflictelor și consolidarea păcii, intensificând în același timp activitățile de promovare a operațiunilor umanitare, pentru facilitarea accesului și respectarea principiilor umanitare, protecția civililor și respectarea dreptului internațional umanitar.</w:t>
      </w:r>
    </w:p>
    <w:p>
      <w:pPr>
        <w:pStyle w:val="ListParagraph"/>
        <w:jc w:val="both"/>
        <w:rPr>
          <w:rFonts w:ascii="Times New Roman" w:eastAsiaTheme="minorEastAsia" w:hAnsi="Times New Roman" w:cs="Times New Roman"/>
          <w:iCs/>
          <w:noProof/>
          <w:sz w:val="24"/>
          <w:szCs w:val="24"/>
        </w:rPr>
      </w:pPr>
    </w:p>
    <w:p>
      <w:pPr>
        <w:pStyle w:val="ListParagraph"/>
        <w:jc w:val="both"/>
        <w:rPr>
          <w:rFonts w:ascii="Times New Roman" w:eastAsiaTheme="minorEastAsia" w:hAnsi="Times New Roman" w:cs="Times New Roman"/>
          <w:iCs/>
          <w:noProof/>
          <w:sz w:val="24"/>
          <w:szCs w:val="24"/>
        </w:rPr>
      </w:pPr>
    </w:p>
    <w:p>
      <w:pPr>
        <w:jc w:val="both"/>
        <w:rPr>
          <w:rFonts w:ascii="Times New Roman" w:eastAsia="Times New Roman" w:hAnsi="Times New Roman" w:cs="Times New Roman"/>
          <w:i/>
          <w:iCs/>
          <w:noProof/>
          <w:sz w:val="24"/>
          <w:szCs w:val="24"/>
        </w:rPr>
      </w:pPr>
      <w:r>
        <w:rPr>
          <w:rFonts w:ascii="Times New Roman" w:hAnsi="Times New Roman"/>
          <w:b/>
          <w:i/>
          <w:iCs/>
          <w:noProof/>
          <w:sz w:val="24"/>
          <w:szCs w:val="24"/>
        </w:rPr>
        <w:t>Obiectiv</w:t>
      </w:r>
      <w:r>
        <w:rPr>
          <w:rFonts w:ascii="Times New Roman" w:hAnsi="Times New Roman"/>
          <w:i/>
          <w:iCs/>
          <w:noProof/>
          <w:sz w:val="24"/>
          <w:szCs w:val="24"/>
        </w:rPr>
        <w:t>: creșterea semnificativă a bazei de resurse destinate acțiunilor umanitare.</w:t>
      </w:r>
    </w:p>
    <w:p>
      <w:pPr>
        <w:pStyle w:val="ListParagraph"/>
        <w:numPr>
          <w:ilvl w:val="0"/>
          <w:numId w:val="1"/>
        </w:numPr>
        <w:jc w:val="both"/>
        <w:rPr>
          <w:rFonts w:ascii="Times New Roman" w:eastAsiaTheme="minorEastAsia" w:hAnsi="Times New Roman" w:cs="Times New Roman"/>
          <w:iCs/>
          <w:noProof/>
          <w:sz w:val="24"/>
          <w:szCs w:val="24"/>
        </w:rPr>
      </w:pPr>
      <w:r>
        <w:rPr>
          <w:rFonts w:ascii="Times New Roman" w:hAnsi="Times New Roman"/>
          <w:iCs/>
          <w:noProof/>
          <w:sz w:val="24"/>
          <w:szCs w:val="24"/>
        </w:rPr>
        <w:t xml:space="preserve">Reamintirea angajamentului UE de a furniza 0,7 % din venitul național brut ca asistență oficială pentru dezvoltare, colaborarea cu statele membre pentru creșterea angajamentelor financiare dedicate acțiunilor umanitare proporțional cu creșterea semnificativă a nevoilor și cerințelor umanitare din ultimii ani. </w:t>
      </w:r>
    </w:p>
    <w:p>
      <w:pPr>
        <w:pStyle w:val="ListParagraph"/>
        <w:numPr>
          <w:ilvl w:val="0"/>
          <w:numId w:val="1"/>
        </w:numPr>
        <w:jc w:val="both"/>
        <w:rPr>
          <w:rFonts w:ascii="Times New Roman" w:eastAsiaTheme="minorEastAsia" w:hAnsi="Times New Roman" w:cs="Times New Roman"/>
          <w:noProof/>
          <w:sz w:val="24"/>
          <w:szCs w:val="24"/>
        </w:rPr>
      </w:pPr>
      <w:r>
        <w:rPr>
          <w:rFonts w:ascii="Times New Roman" w:hAnsi="Times New Roman"/>
          <w:iCs/>
          <w:noProof/>
          <w:sz w:val="24"/>
          <w:szCs w:val="24"/>
        </w:rPr>
        <w:t>Consolidarea angajamentului UE cu țările donatoare tradiționale și emergente pentru a reaminti responsabilitatea comună de a sprijini răspunsul umanitar și integrarea mai sistematică a acestei teme în dialogul politic al UE cu țările relevante din afara UE. Consolidarea sau încheierea de alianțe la nivel global cu țări care împărtășesc aceleași opinii, pentru a promova agenda umanitară globală.</w:t>
      </w:r>
    </w:p>
    <w:p>
      <w:pPr>
        <w:pStyle w:val="ListParagraph"/>
        <w:jc w:val="both"/>
        <w:rPr>
          <w:rFonts w:ascii="Times New Roman" w:eastAsiaTheme="minorEastAsia" w:hAnsi="Times New Roman" w:cs="Times New Roman"/>
          <w:iCs/>
          <w:noProof/>
          <w:sz w:val="24"/>
          <w:szCs w:val="24"/>
        </w:rPr>
      </w:pPr>
    </w:p>
    <w:p>
      <w:pPr>
        <w:pStyle w:val="ListParagraph"/>
        <w:jc w:val="both"/>
        <w:rPr>
          <w:rFonts w:ascii="Times New Roman" w:eastAsiaTheme="minorEastAsia" w:hAnsi="Times New Roman" w:cs="Times New Roman"/>
          <w:noProof/>
          <w:sz w:val="24"/>
          <w:szCs w:val="24"/>
        </w:rPr>
      </w:pPr>
    </w:p>
    <w:p>
      <w:pPr>
        <w:pStyle w:val="paragraph"/>
        <w:spacing w:before="0" w:beforeAutospacing="0" w:after="0" w:afterAutospacing="0"/>
        <w:jc w:val="both"/>
        <w:textAlignment w:val="baseline"/>
        <w:rPr>
          <w:rFonts w:eastAsia="Calibri"/>
          <w:i/>
          <w:iCs/>
          <w:noProof/>
        </w:rPr>
      </w:pPr>
      <w:r>
        <w:rPr>
          <w:b/>
          <w:i/>
          <w:iCs/>
          <w:noProof/>
        </w:rPr>
        <w:t>Obiectiv:</w:t>
      </w:r>
      <w:r>
        <w:rPr>
          <w:i/>
          <w:iCs/>
          <w:noProof/>
        </w:rPr>
        <w:t xml:space="preserve"> plasarea respectării dreptului internațional umanitar (DIU) în centrul acțiunilor externe ale UE pentru a asigura protecția civililor, pentru a sprijini acțiunile umanitare principiale și pentru a proteja lucrătorii umanitari și din domeniul sănătății.</w:t>
      </w:r>
    </w:p>
    <w:p>
      <w:pPr>
        <w:jc w:val="both"/>
        <w:rPr>
          <w:rFonts w:ascii="Times New Roman" w:eastAsia="Times New Roman" w:hAnsi="Times New Roman" w:cs="Times New Roman"/>
          <w:noProof/>
          <w:sz w:val="24"/>
          <w:szCs w:val="24"/>
        </w:rPr>
      </w:pPr>
    </w:p>
    <w:p>
      <w:pPr>
        <w:pStyle w:val="paragraph"/>
        <w:numPr>
          <w:ilvl w:val="0"/>
          <w:numId w:val="15"/>
        </w:numPr>
        <w:spacing w:before="0" w:beforeAutospacing="0" w:after="0" w:afterAutospacing="0"/>
        <w:jc w:val="both"/>
        <w:textAlignment w:val="baseline"/>
        <w:rPr>
          <w:rStyle w:val="normaltextrun"/>
          <w:iCs/>
          <w:noProof/>
        </w:rPr>
      </w:pPr>
      <w:r>
        <w:rPr>
          <w:rStyle w:val="normaltextrun"/>
          <w:noProof/>
        </w:rPr>
        <w:t xml:space="preserve">Luarea în considerare a includerii încălcărilor grave ale DIU drept motiv pentru impunerea de sancțiuni de către UE dacă este cazul, asigurând în același timp faptul că se evită orice impact negativ potențial asupra activităților umanitare. </w:t>
      </w:r>
    </w:p>
    <w:p>
      <w:pPr>
        <w:pStyle w:val="paragraph"/>
        <w:numPr>
          <w:ilvl w:val="0"/>
          <w:numId w:val="15"/>
        </w:numPr>
        <w:spacing w:before="0" w:beforeAutospacing="0" w:after="0" w:afterAutospacing="0"/>
        <w:jc w:val="both"/>
        <w:textAlignment w:val="baseline"/>
        <w:rPr>
          <w:rStyle w:val="normaltextrun"/>
          <w:noProof/>
        </w:rPr>
      </w:pPr>
      <w:r>
        <w:rPr>
          <w:rStyle w:val="normaltextrun"/>
          <w:iCs/>
          <w:noProof/>
        </w:rPr>
        <w:t xml:space="preserve">Asigurarea în continuare a reflectării depline a DIU în cadrul politicii de sancțiuni a UE, </w:t>
      </w:r>
      <w:r>
        <w:rPr>
          <w:rStyle w:val="normaltextrun"/>
          <w:noProof/>
        </w:rPr>
        <w:t>inclusiv prin includerea consecventă a excepțiilor umanitare în regimurile de sancțiuni ale UE</w:t>
      </w:r>
      <w:r>
        <w:rPr>
          <w:rStyle w:val="normaltextrun"/>
          <w:iCs/>
          <w:noProof/>
        </w:rPr>
        <w:t xml:space="preserve">. Instituirea </w:t>
      </w:r>
      <w:r>
        <w:rPr>
          <w:noProof/>
        </w:rPr>
        <w:t xml:space="preserve">unui </w:t>
      </w:r>
      <w:r>
        <w:rPr>
          <w:rStyle w:val="normaltextrun"/>
          <w:noProof/>
        </w:rPr>
        <w:t>cadru eficace pentru utilizarea unor astfel de excepții de către organizațiile umanitare care primesc finanțare din partea UE.</w:t>
      </w:r>
      <w:r>
        <w:rPr>
          <w:rStyle w:val="normaltextrun"/>
          <w:iCs/>
          <w:noProof/>
        </w:rPr>
        <w:t xml:space="preserve"> Intensificarea în continuare a sprijinului practic acordat organizațiilor umanitare în ceea ce privește drepturile și responsabilitățile acestora în cadrul diferitelor regimuri de sancțiuni ale UE. </w:t>
      </w:r>
    </w:p>
    <w:p>
      <w:pPr>
        <w:jc w:val="both"/>
        <w:rPr>
          <w:rFonts w:ascii="Times New Roman" w:eastAsia="Times New Roman" w:hAnsi="Times New Roman" w:cs="Times New Roman"/>
          <w:noProof/>
          <w:sz w:val="24"/>
          <w:szCs w:val="24"/>
        </w:rPr>
      </w:pPr>
    </w:p>
    <w:p>
      <w:pPr>
        <w:spacing w:after="0"/>
        <w:jc w:val="both"/>
        <w:rPr>
          <w:rFonts w:ascii="Times New Roman" w:hAnsi="Times New Roman" w:cs="Times New Roman"/>
          <w:i/>
          <w:iCs/>
          <w:noProof/>
          <w:sz w:val="24"/>
          <w:szCs w:val="24"/>
        </w:rPr>
      </w:pPr>
      <w:r>
        <w:rPr>
          <w:rFonts w:ascii="Times New Roman" w:hAnsi="Times New Roman"/>
          <w:b/>
          <w:i/>
          <w:iCs/>
          <w:noProof/>
          <w:sz w:val="24"/>
          <w:szCs w:val="24"/>
        </w:rPr>
        <w:t>Obiectiv:</w:t>
      </w:r>
      <w:r>
        <w:rPr>
          <w:rFonts w:ascii="Times New Roman" w:hAnsi="Times New Roman"/>
          <w:i/>
          <w:iCs/>
          <w:noProof/>
          <w:sz w:val="24"/>
          <w:szCs w:val="24"/>
        </w:rPr>
        <w:t xml:space="preserve"> consolidarea angajamentului și a poziției de lider a UE în domeniul ajutorului umanitar pentru un impact maxim al acestuia.</w:t>
      </w:r>
    </w:p>
    <w:p>
      <w:pPr>
        <w:pStyle w:val="ListParagraph"/>
        <w:spacing w:after="0"/>
        <w:jc w:val="both"/>
        <w:rPr>
          <w:rFonts w:ascii="Times New Roman" w:hAnsi="Times New Roman" w:cs="Times New Roman"/>
          <w:noProof/>
          <w:sz w:val="24"/>
          <w:szCs w:val="24"/>
          <w:lang w:val="fr-BE"/>
        </w:rPr>
      </w:pPr>
    </w:p>
    <w:p>
      <w:pPr>
        <w:pStyle w:val="ListParagraph"/>
        <w:numPr>
          <w:ilvl w:val="0"/>
          <w:numId w:val="46"/>
        </w:numPr>
        <w:spacing w:after="0"/>
        <w:jc w:val="both"/>
        <w:rPr>
          <w:noProof/>
          <w:sz w:val="24"/>
          <w:szCs w:val="24"/>
        </w:rPr>
      </w:pPr>
      <w:r>
        <w:rPr>
          <w:rFonts w:ascii="Times New Roman" w:hAnsi="Times New Roman"/>
          <w:iCs/>
          <w:noProof/>
          <w:sz w:val="24"/>
          <w:szCs w:val="24"/>
        </w:rPr>
        <w:t>Transmiterea unor mesaje comune ale UE și ale statelor membre ale UE cu privire la crizele umanitare cheie și consolidarea angajamentelor UE și ale statelor membre ale UE în cadrul evenimentelor internaționale de strângere de donații umanitare (alături de cele naționale) într-o abordare „Echipa Europa”. Eforturi de consolidare a poziției UE și a statelor membre ale UE în cadrul forumurilor internaționale și multilaterale relevante</w:t>
      </w:r>
      <w:r>
        <w:rPr>
          <w:rFonts w:ascii="Times New Roman" w:hAnsi="Times New Roman"/>
          <w:noProof/>
          <w:sz w:val="24"/>
          <w:szCs w:val="24"/>
        </w:rPr>
        <w:t xml:space="preserve">. </w:t>
      </w:r>
    </w:p>
    <w:p>
      <w:pPr>
        <w:pStyle w:val="ListParagraph"/>
        <w:numPr>
          <w:ilvl w:val="0"/>
          <w:numId w:val="46"/>
        </w:numPr>
        <w:spacing w:after="0"/>
        <w:jc w:val="both"/>
        <w:rPr>
          <w:rFonts w:ascii="Times New Roman" w:hAnsi="Times New Roman" w:cs="Times New Roman"/>
          <w:noProof/>
          <w:sz w:val="24"/>
          <w:szCs w:val="24"/>
        </w:rPr>
      </w:pPr>
      <w:r>
        <w:rPr>
          <w:rFonts w:ascii="Times New Roman" w:hAnsi="Times New Roman"/>
          <w:iCs/>
          <w:noProof/>
          <w:sz w:val="24"/>
          <w:szCs w:val="24"/>
        </w:rPr>
        <w:t>Oferirea opțiunii de utilizare a venitului alocat extern pentru ca statele membre ale UE să beneficieze de prezența și expertiza lucrătorilor umanitari pe teren ai UE.</w:t>
      </w:r>
    </w:p>
    <w:sectPr>
      <w:headerReference w:type="even" r:id="rId23"/>
      <w:headerReference w:type="default" r:id="rId24"/>
      <w:footerReference w:type="even" r:id="rId25"/>
      <w:footerReference w:type="default" r:id="rId26"/>
      <w:headerReference w:type="first" r:id="rId27"/>
      <w:footerReference w:type="first" r:id="rId28"/>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Fixed">
    <w:altName w:val="Times New Roman"/>
    <w:panose1 w:val="02070309020205020404"/>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5577115"/>
      <w:docPartObj>
        <w:docPartGallery w:val="Page Numbers (Bottom of Page)"/>
        <w:docPartUnique/>
      </w:docPartObj>
    </w:sdtPr>
    <w:sdtEndPr>
      <w:rPr>
        <w:noProof/>
      </w:rPr>
    </w:sdtEndPr>
    <w:sdtContent>
      <w:p>
        <w:pPr>
          <w:pStyle w:val="Footer"/>
          <w:jc w:val="right"/>
        </w:pPr>
        <w:r>
          <w:fldChar w:fldCharType="begin"/>
        </w:r>
        <w:r>
          <w:instrText xml:space="preserve"> PAGE   \* MERGEFORMAT </w:instrText>
        </w:r>
        <w:r>
          <w:fldChar w:fldCharType="separate"/>
        </w:r>
        <w:r>
          <w:rPr>
            <w:noProof/>
          </w:rPr>
          <w:t>2</w:t>
        </w:r>
        <w: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În 2020, UE și statele sale membre au alocat în total suma de 7 577 de miliarde EUR în acest scop (</w:t>
      </w:r>
      <w:hyperlink r:id="rId1">
        <w:r>
          <w:rPr>
            <w:rStyle w:val="Hyperlink"/>
            <w:rFonts w:ascii="Times New Roman" w:hAnsi="Times New Roman"/>
            <w:sz w:val="18"/>
            <w:szCs w:val="18"/>
          </w:rPr>
          <w:t>https://fts.unocha.org/</w:t>
        </w:r>
      </w:hyperlink>
      <w:r>
        <w:rPr>
          <w:rStyle w:val="Hyperlink"/>
          <w:rFonts w:ascii="Times New Roman" w:hAnsi="Times New Roman"/>
          <w:sz w:val="18"/>
          <w:szCs w:val="18"/>
        </w:rPr>
        <w:t>)</w:t>
      </w:r>
      <w:r>
        <w:t>.</w:t>
      </w:r>
      <w:r>
        <w:rPr>
          <w:rStyle w:val="Hyperlink"/>
          <w:rFonts w:ascii="Times New Roman" w:hAnsi="Times New Roman"/>
          <w:sz w:val="18"/>
          <w:szCs w:val="18"/>
        </w:rPr>
        <w:t xml:space="preserve"> </w:t>
      </w:r>
    </w:p>
  </w:footnote>
  <w:footnote w:id="3">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Institutul de Cercetare a Păcii din Oslo, </w:t>
      </w:r>
      <w:r>
        <w:rPr>
          <w:rFonts w:ascii="Times New Roman" w:hAnsi="Times New Roman"/>
          <w:i/>
          <w:sz w:val="18"/>
          <w:szCs w:val="18"/>
        </w:rPr>
        <w:t>Conflict Trends: A Global Overview, 1946–2019 (Tendințe privind conflictele: o prezentare generală globală, 1946-2019).</w:t>
      </w:r>
    </w:p>
  </w:footnote>
  <w:footnote w:id="4">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Banca Mondială, </w:t>
      </w:r>
      <w:r>
        <w:rPr>
          <w:rFonts w:ascii="Times New Roman" w:hAnsi="Times New Roman"/>
          <w:i/>
          <w:sz w:val="18"/>
          <w:szCs w:val="18"/>
        </w:rPr>
        <w:t>Global Economic Prospects (Perspective economice globale)</w:t>
      </w:r>
      <w:r>
        <w:rPr>
          <w:rFonts w:ascii="Times New Roman" w:hAnsi="Times New Roman"/>
          <w:sz w:val="18"/>
          <w:szCs w:val="18"/>
        </w:rPr>
        <w:t>, ianuarie 2021.</w:t>
      </w:r>
    </w:p>
  </w:footnote>
  <w:footnote w:id="5">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UNHCR, </w:t>
      </w:r>
      <w:r>
        <w:rPr>
          <w:rFonts w:ascii="Times New Roman" w:hAnsi="Times New Roman"/>
          <w:i/>
          <w:sz w:val="18"/>
          <w:szCs w:val="18"/>
        </w:rPr>
        <w:t>Global Trends, Forced Displacement in 2019</w:t>
      </w:r>
      <w:r>
        <w:rPr>
          <w:rFonts w:ascii="Times New Roman" w:hAnsi="Times New Roman"/>
          <w:sz w:val="18"/>
          <w:szCs w:val="18"/>
        </w:rPr>
        <w:t xml:space="preserve"> (Tendințe globale, Strămutarea forțată în 2019), </w:t>
      </w:r>
      <w:hyperlink r:id="rId2">
        <w:r>
          <w:rPr>
            <w:rStyle w:val="Hyperlink"/>
            <w:rFonts w:ascii="Times New Roman" w:hAnsi="Times New Roman"/>
            <w:color w:val="auto"/>
            <w:sz w:val="18"/>
            <w:szCs w:val="18"/>
            <w:u w:val="none"/>
          </w:rPr>
          <w:t>https://www.unhcr.org/globaltrends2019</w:t>
        </w:r>
      </w:hyperlink>
      <w:r>
        <w:t>.</w:t>
      </w:r>
    </w:p>
  </w:footnote>
  <w:footnote w:id="6">
    <w:p>
      <w:pPr>
        <w:pStyle w:val="FootnoteText"/>
        <w:jc w:val="both"/>
      </w:pPr>
      <w:r>
        <w:rPr>
          <w:rStyle w:val="FootnoteReference"/>
        </w:rPr>
        <w:footnoteRef/>
      </w:r>
      <w:r>
        <w:t xml:space="preserve"> </w:t>
      </w:r>
      <w:r>
        <w:rPr>
          <w:rFonts w:ascii="Times New Roman" w:hAnsi="Times New Roman"/>
          <w:sz w:val="18"/>
          <w:szCs w:val="18"/>
          <w:shd w:val="clear" w:color="auto" w:fill="FFFFFF"/>
        </w:rPr>
        <w:t>Crize umanitare marcate de un răspuns limitat din partea donatorilor, carențe generale de finanțare și un grad scăzut de atenție din partea mijloacelor de informare în masă.</w:t>
      </w:r>
    </w:p>
  </w:footnote>
  <w:footnote w:id="7">
    <w:p>
      <w:pPr>
        <w:pStyle w:val="FootnoteText"/>
        <w:jc w:val="both"/>
        <w:rPr>
          <w:rFonts w:ascii="Times New Roman" w:hAnsi="Times New Roman" w:cs="Times New Roman"/>
        </w:rPr>
      </w:pPr>
      <w:r>
        <w:rPr>
          <w:rStyle w:val="FootnoteReference"/>
          <w:rFonts w:ascii="Times New Roman" w:hAnsi="Times New Roman" w:cs="Times New Roman"/>
          <w:sz w:val="18"/>
        </w:rPr>
        <w:footnoteRef/>
      </w:r>
      <w:r>
        <w:rPr>
          <w:rFonts w:ascii="Times New Roman" w:hAnsi="Times New Roman"/>
          <w:sz w:val="18"/>
        </w:rPr>
        <w:t xml:space="preserve"> Echipa Europa este alcătuită din UE, statele membre ale UE, rețeaua lor diplomatică, instituțiile financiare inclusiv băncile naționale de dezvoltare și agențiile de implementare, precum și Banca Europeană de Investiții (BEI) și Banca Europeană pentru Reconstrucție și Dezvoltare (BERD). Pentru mai multe informații: </w:t>
      </w:r>
      <w:hyperlink r:id="rId3" w:anchor="header-2844" w:history="1">
        <w:r>
          <w:rPr>
            <w:rStyle w:val="Hyperlink"/>
            <w:rFonts w:ascii="Times New Roman" w:hAnsi="Times New Roman"/>
            <w:sz w:val="18"/>
          </w:rPr>
          <w:t>https://ec.europa.eu/international-partnerships/topics/eu-global-response-covid-19_en#header-2844</w:t>
        </w:r>
      </w:hyperlink>
    </w:p>
  </w:footnote>
  <w:footnote w:id="8">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Organizaţia Meteorologică Mondială,</w:t>
      </w:r>
      <w:r>
        <w:rPr>
          <w:rFonts w:ascii="Times New Roman" w:hAnsi="Times New Roman"/>
          <w:i/>
          <w:sz w:val="18"/>
          <w:szCs w:val="18"/>
        </w:rPr>
        <w:t xml:space="preserve"> State of Climate Services 2020 Report</w:t>
      </w:r>
      <w:r>
        <w:rPr>
          <w:rFonts w:ascii="Times New Roman" w:hAnsi="Times New Roman"/>
          <w:sz w:val="18"/>
          <w:szCs w:val="18"/>
        </w:rPr>
        <w:t xml:space="preserve"> (Raport privind starea climei 2020).</w:t>
      </w:r>
      <w:r>
        <w:rPr>
          <w:rFonts w:ascii="Times New Roman" w:hAnsi="Times New Roman"/>
          <w:i/>
          <w:sz w:val="18"/>
          <w:szCs w:val="18"/>
        </w:rPr>
        <w:t xml:space="preserve"> </w:t>
      </w:r>
    </w:p>
  </w:footnote>
  <w:footnote w:id="9">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Federația Internațională a Societăților de Cruce Roșie și Semilună Roșie, </w:t>
      </w:r>
      <w:r>
        <w:rPr>
          <w:rFonts w:ascii="Times New Roman" w:hAnsi="Times New Roman"/>
          <w:i/>
          <w:sz w:val="18"/>
          <w:szCs w:val="18"/>
        </w:rPr>
        <w:t xml:space="preserve">The Cost of Doing Nothing </w:t>
      </w:r>
      <w:r>
        <w:rPr>
          <w:rFonts w:ascii="Times New Roman" w:hAnsi="Times New Roman"/>
          <w:sz w:val="18"/>
          <w:szCs w:val="18"/>
        </w:rPr>
        <w:t>(Cât costă dacă nu faci nimic), septembrie 2019.</w:t>
      </w:r>
    </w:p>
  </w:footnote>
  <w:footnote w:id="10">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Organizația Națiunilor Unite, </w:t>
      </w:r>
      <w:r>
        <w:rPr>
          <w:rFonts w:ascii="Times New Roman" w:hAnsi="Times New Roman"/>
          <w:i/>
          <w:sz w:val="18"/>
          <w:szCs w:val="18"/>
        </w:rPr>
        <w:t>Global Humanitarian Overview 2021</w:t>
      </w:r>
      <w:r>
        <w:rPr>
          <w:rFonts w:ascii="Times New Roman" w:hAnsi="Times New Roman"/>
          <w:sz w:val="18"/>
          <w:szCs w:val="18"/>
        </w:rPr>
        <w:t xml:space="preserve"> (Prezentare generală a situației umanitare la nivel mondial)</w:t>
      </w:r>
      <w:r>
        <w:t>.</w:t>
      </w:r>
    </w:p>
  </w:footnote>
  <w:footnote w:id="11">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ONU OCHA, Financial Tracking Service (Serviciul de monitorizare financiară), </w:t>
      </w:r>
      <w:hyperlink r:id="rId4">
        <w:r>
          <w:rPr>
            <w:rStyle w:val="Hyperlink"/>
            <w:rFonts w:ascii="Times New Roman" w:hAnsi="Times New Roman"/>
            <w:sz w:val="18"/>
            <w:szCs w:val="18"/>
          </w:rPr>
          <w:t>https://fts.unocha.org/</w:t>
        </w:r>
      </w:hyperlink>
      <w:r>
        <w:t>.</w:t>
      </w:r>
    </w:p>
  </w:footnote>
  <w:footnote w:id="12">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5">
        <w:r>
          <w:rPr>
            <w:rStyle w:val="Hyperlink"/>
            <w:rFonts w:ascii="Times New Roman" w:hAnsi="Times New Roman"/>
            <w:sz w:val="18"/>
            <w:szCs w:val="18"/>
          </w:rPr>
          <w:t>https://fts.unocha.org/</w:t>
        </w:r>
      </w:hyperlink>
      <w:r>
        <w:t>.</w:t>
      </w:r>
    </w:p>
  </w:footnote>
  <w:footnote w:id="13">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Humanitarian Outcomes, </w:t>
      </w:r>
      <w:r>
        <w:rPr>
          <w:rFonts w:ascii="Times New Roman" w:hAnsi="Times New Roman"/>
          <w:i/>
          <w:sz w:val="18"/>
          <w:szCs w:val="18"/>
        </w:rPr>
        <w:t xml:space="preserve">Aid Workers Security Database </w:t>
      </w:r>
      <w:r>
        <w:rPr>
          <w:rFonts w:ascii="Times New Roman" w:hAnsi="Times New Roman"/>
          <w:sz w:val="18"/>
          <w:szCs w:val="18"/>
        </w:rPr>
        <w:t>(Baza de date privind securitatea lucrătorilor umanitari)</w:t>
      </w:r>
      <w:r>
        <w:t xml:space="preserve">, </w:t>
      </w:r>
      <w:hyperlink r:id="rId6" w:history="1">
        <w:r>
          <w:rPr>
            <w:rStyle w:val="Hyperlink"/>
            <w:rFonts w:ascii="Times New Roman" w:hAnsi="Times New Roman"/>
            <w:sz w:val="18"/>
            <w:szCs w:val="18"/>
          </w:rPr>
          <w:t>https://aidworkersecurity.org/incidents/report</w:t>
        </w:r>
      </w:hyperlink>
      <w:r>
        <w:t>.</w:t>
      </w:r>
    </w:p>
  </w:footnote>
  <w:footnote w:id="14">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7">
        <w:r>
          <w:rPr>
            <w:rStyle w:val="Hyperlink"/>
            <w:rFonts w:ascii="Times New Roman" w:hAnsi="Times New Roman"/>
            <w:sz w:val="18"/>
            <w:szCs w:val="18"/>
          </w:rPr>
          <w:t>https://eur-lex.europa.eu/legal-content/RO/TXT/?qid=1431445468547&amp;uri=CELEX:42008X0130(01)</w:t>
        </w:r>
      </w:hyperlink>
      <w:r>
        <w:rPr>
          <w:rFonts w:ascii="Times New Roman" w:hAnsi="Times New Roman"/>
          <w:sz w:val="18"/>
          <w:szCs w:val="18"/>
        </w:rPr>
        <w:t>.</w:t>
      </w:r>
    </w:p>
  </w:footnote>
  <w:footnote w:id="15">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Regulamentul nr. 1257/96 al Consiliului definește modul în care UE oferă asistență umanitară; acesta stabilește faptul că asistența umanitară a UE ar trebui să fie acordată persoanelor afectate de dezastre sau conflicte pe bază de nediscriminare a victimelor pe motive rasiale, etnice, religioase, de sex, de vârstă, de naționalitate sau de apartenență politică și nu trebuie să fie subordonată sau să depindă de considerente de natură politică.</w:t>
      </w:r>
    </w:p>
  </w:footnote>
  <w:footnote w:id="16">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8" w:history="1">
        <w:r>
          <w:rPr>
            <w:rStyle w:val="Hyperlink"/>
            <w:rFonts w:ascii="Times New Roman" w:hAnsi="Times New Roman"/>
            <w:sz w:val="18"/>
            <w:szCs w:val="18"/>
          </w:rPr>
          <w:t>https://www.ghdinitiative.org/ghd/gns/principles-good-practice-of-ghd/principles-good-practice-ghd.html</w:t>
        </w:r>
      </w:hyperlink>
    </w:p>
  </w:footnote>
  <w:footnote w:id="17">
    <w:p>
      <w:pPr>
        <w:pStyle w:val="FootnoteText"/>
      </w:pPr>
      <w:r>
        <w:rPr>
          <w:rStyle w:val="FootnoteReference"/>
        </w:rPr>
        <w:footnoteRef/>
      </w:r>
      <w:r>
        <w:t xml:space="preserve"> </w:t>
      </w:r>
      <w:hyperlink r:id="rId9">
        <w:r>
          <w:rPr>
            <w:rStyle w:val="Hyperlink"/>
            <w:rFonts w:ascii="Times New Roman" w:hAnsi="Times New Roman"/>
            <w:sz w:val="18"/>
            <w:szCs w:val="18"/>
          </w:rPr>
          <w:t>https://data.consilium.europa.eu/doc/document/ST-5413-2018-INIT/ro/pdf</w:t>
        </w:r>
      </w:hyperlink>
      <w:r>
        <w:t>.</w:t>
      </w:r>
    </w:p>
  </w:footnote>
  <w:footnote w:id="18">
    <w:p>
      <w:pPr>
        <w:pStyle w:val="FootnoteText"/>
        <w:jc w:val="both"/>
      </w:pPr>
      <w:r>
        <w:rPr>
          <w:rStyle w:val="FootnoteReference"/>
        </w:rPr>
        <w:footnoteRef/>
      </w:r>
      <w:r>
        <w:t xml:space="preserve"> </w:t>
      </w:r>
      <w:r>
        <w:rPr>
          <w:rFonts w:ascii="Times New Roman" w:hAnsi="Times New Roman"/>
          <w:sz w:val="18"/>
          <w:szCs w:val="18"/>
        </w:rPr>
        <w:t>Consensul european privind ajutorul umanitar prevede integrarea considerentelor de mediu în politicile sectoriale și intervențiile în domeniul ajutorului umanitar.</w:t>
      </w:r>
      <w:r>
        <w:rPr>
          <w:rStyle w:val="Hyperlink"/>
          <w:rFonts w:ascii="Times New Roman" w:hAnsi="Times New Roman"/>
          <w:sz w:val="18"/>
          <w:szCs w:val="18"/>
        </w:rPr>
        <w:t xml:space="preserve"> </w:t>
      </w:r>
    </w:p>
  </w:footnote>
  <w:footnote w:id="19">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0" w:history="1">
        <w:r>
          <w:rPr>
            <w:rStyle w:val="Hyperlink"/>
            <w:rFonts w:ascii="Times New Roman" w:hAnsi="Times New Roman"/>
            <w:sz w:val="18"/>
            <w:szCs w:val="18"/>
          </w:rPr>
          <w:t>https://ec.europa.eu/international-partnerships/news/gender-action-plan-putting-women-and-girls-rights-heart-global-recovery-gender-equal-world_en</w:t>
        </w:r>
      </w:hyperlink>
    </w:p>
  </w:footnote>
  <w:footnote w:id="20">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UE a coordonat Apelul la acțiune (</w:t>
      </w:r>
      <w:hyperlink r:id="rId11">
        <w:r>
          <w:rPr>
            <w:rStyle w:val="Hyperlink"/>
            <w:rFonts w:ascii="Times New Roman" w:hAnsi="Times New Roman"/>
            <w:sz w:val="18"/>
            <w:szCs w:val="18"/>
          </w:rPr>
          <w:t>https://www.calltoactiongbv.com/</w:t>
        </w:r>
      </w:hyperlink>
      <w:r>
        <w:rPr>
          <w:rFonts w:ascii="Times New Roman" w:hAnsi="Times New Roman"/>
          <w:sz w:val="18"/>
          <w:szCs w:val="18"/>
        </w:rPr>
        <w:t xml:space="preserve">) în perioada iunie 2017 - decembrie 2018 și a formulat orientări operaționale cu privire la includerea persoanelor cu handicap în acțiunile umanitare finanțate de UE: </w:t>
      </w:r>
      <w:hyperlink r:id="rId12" w:history="1">
        <w:r>
          <w:rPr>
            <w:rStyle w:val="Hyperlink"/>
            <w:rFonts w:ascii="Times New Roman" w:hAnsi="Times New Roman"/>
            <w:sz w:val="18"/>
            <w:szCs w:val="18"/>
          </w:rPr>
          <w:t>https://ec.europa.eu/echo/sites/echo-site/files/2019-01_disability_inclusion_guidance_note.pdf</w:t>
        </w:r>
      </w:hyperlink>
    </w:p>
  </w:footnote>
  <w:footnote w:id="21">
    <w:p>
      <w:pPr>
        <w:autoSpaceDE w:val="0"/>
        <w:autoSpaceDN w:val="0"/>
        <w:spacing w:after="0" w:line="240" w:lineRule="auto"/>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UE a aprobat „Angajamentele asumate de donatori de a combate exploatarea, abuzul și hărțuirea sexuală în sectorul umanitar internațional” și „Recomandarea Comitetului de asistență pentru dezvoltare din 2019 privind eliminarea exploatării, abuzului și hărțuirii sexuale în cooperarea pentru dezvoltare și în asistența umanitară”.</w:t>
      </w:r>
    </w:p>
  </w:footnote>
  <w:footnote w:id="22">
    <w:p>
      <w:pPr>
        <w:spacing w:line="240" w:lineRule="auto"/>
        <w:jc w:val="both"/>
        <w:rPr>
          <w:rFonts w:ascii="Times New Roman" w:hAnsi="Times New Roman" w:cs="Times New Roman"/>
          <w:sz w:val="18"/>
          <w:szCs w:val="18"/>
        </w:rPr>
      </w:pPr>
      <w:r>
        <w:rPr>
          <w:rStyle w:val="FootnoteReference"/>
        </w:rPr>
        <w:footnoteRef/>
      </w:r>
      <w:r>
        <w:t xml:space="preserve"> </w:t>
      </w:r>
      <w:r>
        <w:rPr>
          <w:rFonts w:ascii="Times New Roman" w:hAnsi="Times New Roman"/>
          <w:sz w:val="18"/>
          <w:szCs w:val="18"/>
        </w:rPr>
        <w:t>„Egalitatea pentru toți și în toate sensurile sale” este o prioritate de politică cheie a Comisiei Europene. Pentru atingerea acestui obiectiv, începând din martie 2020, Comisia a propus o serie de inițiative și strategii specifice în domeniul egalității, legate în special de egalitatea de gen, handicap și combaterea diferitelor forme de discriminare. Acestea includ în special Planul de acțiune al UE pentru egalitatea de gen (GAP III) in relațiile externe; Strategia UE privind egalitatea de gen 2020­2025; Strategia UE privind drepturile persoanelor cu handicap; Strategia UE privind egalitatea pentru persoanele LGBTIQ 2020-2025; Planul de acțiune al UE de combatere a rasismului pentru perioada 2020-2025; Cadrul strategic al UE pentru egalitatea, incluziunea și participarea romilor 2020-2030. (</w:t>
      </w:r>
      <w:hyperlink r:id="rId13" w:history="1">
        <w:r>
          <w:rPr>
            <w:rStyle w:val="Hyperlink"/>
            <w:rFonts w:ascii="Times New Roman" w:hAnsi="Times New Roman"/>
            <w:sz w:val="18"/>
            <w:szCs w:val="18"/>
          </w:rPr>
          <w:t>https://ec.europa.eu/commission/commissioners/2019-2024/dalli/announcements/union-equality-first-year-actions-and-achievements_en</w:t>
        </w:r>
      </w:hyperlink>
      <w:r>
        <w:rPr>
          <w:rFonts w:ascii="Times New Roman" w:hAnsi="Times New Roman"/>
          <w:sz w:val="18"/>
          <w:szCs w:val="18"/>
        </w:rPr>
        <w:t>). A se vedea și Planul de acțiune al UE privind drepturile omului și democrația 2020-2024 (</w:t>
      </w:r>
      <w:hyperlink r:id="rId14" w:history="1">
        <w:r>
          <w:rPr>
            <w:rStyle w:val="Hyperlink"/>
            <w:rFonts w:ascii="Times New Roman" w:hAnsi="Times New Roman"/>
            <w:sz w:val="18"/>
            <w:szCs w:val="18"/>
          </w:rPr>
          <w:t>https://eur-lex.europa.eu/resource.html?uri=cellar:e9112a36-6e95-11ea-b735-01aa75ed71a1.0017.02/DOC_2&amp;format=PDF</w:t>
        </w:r>
      </w:hyperlink>
      <w:r>
        <w:rPr>
          <w:rFonts w:ascii="Times New Roman" w:hAnsi="Times New Roman"/>
          <w:sz w:val="18"/>
          <w:szCs w:val="18"/>
        </w:rPr>
        <w:t>).</w:t>
      </w:r>
    </w:p>
  </w:footnote>
  <w:footnote w:id="23">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Organizația Națiunilor Unite, </w:t>
      </w:r>
      <w:r>
        <w:rPr>
          <w:rFonts w:ascii="Times New Roman" w:hAnsi="Times New Roman"/>
          <w:i/>
          <w:sz w:val="18"/>
          <w:szCs w:val="18"/>
        </w:rPr>
        <w:t>Global Humanitarian Overview 2021</w:t>
      </w:r>
      <w:r>
        <w:rPr>
          <w:rFonts w:ascii="Times New Roman" w:hAnsi="Times New Roman"/>
          <w:sz w:val="18"/>
          <w:szCs w:val="18"/>
        </w:rPr>
        <w:t xml:space="preserve"> (Prezentare generală a situației umanitare la nivel mondial).</w:t>
      </w:r>
    </w:p>
  </w:footnote>
  <w:footnote w:id="24">
    <w:p>
      <w:pPr>
        <w:pStyle w:val="FootnoteText"/>
        <w:jc w:val="both"/>
      </w:pPr>
      <w:r>
        <w:rPr>
          <w:rStyle w:val="FootnoteReference"/>
        </w:rPr>
        <w:footnoteRef/>
      </w:r>
      <w:r>
        <w:t xml:space="preserve"> </w:t>
      </w:r>
      <w:r>
        <w:rPr>
          <w:rFonts w:ascii="Times New Roman" w:hAnsi="Times New Roman"/>
          <w:sz w:val="18"/>
          <w:szCs w:val="18"/>
        </w:rPr>
        <w:t xml:space="preserve">A se vedea sinteza politică a Secretarului General al ONU „The impact of COVID-19 on women” (Impactul pandemiei de COVID-19 asupra femeilor): </w:t>
      </w:r>
      <w:hyperlink r:id="rId15" w:history="1">
        <w:r>
          <w:rPr>
            <w:rStyle w:val="Hyperlink"/>
            <w:rFonts w:ascii="Times New Roman" w:hAnsi="Times New Roman"/>
            <w:sz w:val="18"/>
            <w:szCs w:val="18"/>
          </w:rPr>
          <w:t>https://www.unwomen.org/en/digital-library/publications/2020/04/policy-brief-the-impact-of-covid-19-on-women</w:t>
        </w:r>
      </w:hyperlink>
      <w:r>
        <w:rPr>
          <w:rFonts w:ascii="Times New Roman" w:hAnsi="Times New Roman"/>
          <w:sz w:val="18"/>
          <w:szCs w:val="18"/>
        </w:rPr>
        <w:t xml:space="preserve">; A se vedea, de asemenea, site-ul Institutului European pentru Egalitatea de Șanse între Femei și Bărbați pentru informații cu privire la impactul pandemiei de COVID-19 asupra femeilor și bărbaților: </w:t>
      </w:r>
      <w:hyperlink r:id="rId16" w:history="1">
        <w:r>
          <w:rPr>
            <w:rStyle w:val="Hyperlink"/>
            <w:rFonts w:ascii="Times New Roman" w:hAnsi="Times New Roman"/>
            <w:sz w:val="18"/>
            <w:szCs w:val="18"/>
          </w:rPr>
          <w:t>https://eige.europa.eu/topics/health/covid-19-and-gender-equality</w:t>
        </w:r>
      </w:hyperlink>
    </w:p>
  </w:footnote>
  <w:footnote w:id="25">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Declarația privind școlile sigure (2015) este o inițiativă interguvernamentală condusă de Norvegia și Argentina care urmărește să asigure o protecție îmbunătățită a instituțiilor de învățământ împotriva atacurilor și continuitatea educației sigure pe durata conflictelor armate. </w:t>
      </w:r>
    </w:p>
  </w:footnote>
  <w:footnote w:id="26">
    <w:p>
      <w:pPr>
        <w:pStyle w:val="FootnoteText"/>
        <w:rPr>
          <w:rFonts w:ascii="Times New Roman" w:hAnsi="Times New Roman" w:cs="Times New Roman"/>
          <w:sz w:val="18"/>
          <w:szCs w:val="18"/>
        </w:rPr>
      </w:pPr>
      <w:r>
        <w:rPr>
          <w:rStyle w:val="FootnoteReference"/>
        </w:rPr>
        <w:footnoteRef/>
      </w:r>
      <w:r>
        <w:t xml:space="preserve"> </w:t>
      </w:r>
      <w:r>
        <w:rPr>
          <w:rFonts w:ascii="Times New Roman" w:hAnsi="Times New Roman"/>
          <w:sz w:val="18"/>
          <w:szCs w:val="18"/>
        </w:rPr>
        <w:t xml:space="preserve">Comunicare comună privind consolidarea contribuției UE la un multilateralism bazat pe norme </w:t>
      </w:r>
      <w:hyperlink r:id="rId17" w:history="1">
        <w:r>
          <w:rPr>
            <w:rStyle w:val="Hyperlink"/>
            <w:rFonts w:ascii="Times New Roman" w:hAnsi="Times New Roman"/>
            <w:sz w:val="18"/>
            <w:szCs w:val="18"/>
          </w:rPr>
          <w:t>https://eeas.europa.eu/sites/default/files/en_strategy_on_strengthening_the_eus_contribution_to_rules-based_multilateralism.pdf</w:t>
        </w:r>
      </w:hyperlink>
      <w:r>
        <w:t>.</w:t>
      </w:r>
    </w:p>
    <w:p>
      <w:pPr>
        <w:pStyle w:val="FootnoteText"/>
      </w:pPr>
    </w:p>
  </w:footnote>
  <w:footnote w:id="27">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A se vedea raportul Grupului la nivel înalt al ONU privind finanțarea umanitară: </w:t>
      </w:r>
      <w:r>
        <w:rPr>
          <w:rFonts w:ascii="Times New Roman" w:hAnsi="Times New Roman"/>
          <w:i/>
          <w:sz w:val="18"/>
          <w:szCs w:val="18"/>
        </w:rPr>
        <w:t>Too important to fail - addressing the humanitarian financing gap</w:t>
      </w:r>
      <w:r>
        <w:rPr>
          <w:rFonts w:ascii="Times New Roman" w:hAnsi="Times New Roman"/>
          <w:sz w:val="18"/>
          <w:szCs w:val="18"/>
        </w:rPr>
        <w:t xml:space="preserve"> (Mult prea important pentru a eșua - abordarea deficitului de finanțare umanitară), și </w:t>
      </w:r>
      <w:hyperlink r:id="rId18" w:history="1">
        <w:r>
          <w:rPr>
            <w:rStyle w:val="Hyperlink"/>
            <w:rFonts w:ascii="Times New Roman" w:hAnsi="Times New Roman"/>
            <w:sz w:val="18"/>
            <w:szCs w:val="18"/>
          </w:rPr>
          <w:t>https://agendaforhumanity.org/initiatives/3861</w:t>
        </w:r>
      </w:hyperlink>
      <w:r>
        <w:t>.</w:t>
      </w:r>
    </w:p>
  </w:footnote>
  <w:footnote w:id="28">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Celelalte parteneriate au fost încheiate cu ACTED - Franța, Salvați copiii - Danemarca, Concern - Irlanda și International Rescue Committee - Germania. </w:t>
      </w:r>
    </w:p>
  </w:footnote>
  <w:footnote w:id="29">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De exemplu, prin intermediul premiului pentru înaltă tehnologie accesibilă pentru ajutor umanitar acordat de Consiliul European pentru Inovare, în sprijinul proiectelor care oferă, printre altele, soluții inteligente destinate comunităților și refugiaților în ceea ce privește energia, sănătatea și îngrijirea medicală. Mai multe detalii:</w:t>
      </w:r>
      <w:r>
        <w:t xml:space="preserve"> </w:t>
      </w:r>
      <w:hyperlink r:id="rId19" w:history="1">
        <w:r>
          <w:rPr>
            <w:rStyle w:val="Hyperlink"/>
            <w:rFonts w:ascii="Times New Roman" w:hAnsi="Times New Roman"/>
            <w:sz w:val="18"/>
            <w:szCs w:val="18"/>
          </w:rPr>
          <w:t>https://ec.europa.eu/research/eic/index.cfm?pg=prizes_aid</w:t>
        </w:r>
      </w:hyperlink>
    </w:p>
  </w:footnote>
  <w:footnote w:id="30">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Concluziile Consiliului privind transferurile de numerar: </w:t>
      </w:r>
      <w:hyperlink r:id="rId20">
        <w:r>
          <w:rPr>
            <w:rStyle w:val="Hyperlink"/>
            <w:rFonts w:ascii="Times New Roman" w:hAnsi="Times New Roman"/>
            <w:sz w:val="18"/>
            <w:szCs w:val="18"/>
          </w:rPr>
          <w:t>https://data.consilium.europa.eu/doc/document/ST-10184-2015-INIT/ro/pdf</w:t>
        </w:r>
      </w:hyperlink>
      <w:r>
        <w:rPr>
          <w:rStyle w:val="Hyperlink"/>
          <w:rFonts w:ascii="Times New Roman" w:hAnsi="Times New Roman"/>
          <w:sz w:val="18"/>
          <w:szCs w:val="18"/>
        </w:rPr>
        <w:t>.</w:t>
      </w:r>
    </w:p>
  </w:footnote>
  <w:footnote w:id="31">
    <w:p>
      <w:pPr>
        <w:pStyle w:val="FootnoteText"/>
        <w:rPr>
          <w:rFonts w:ascii="Times New Roman" w:hAnsi="Times New Roman" w:cs="Times New Roman"/>
        </w:rPr>
      </w:pPr>
      <w:r>
        <w:rPr>
          <w:rStyle w:val="FootnoteReference"/>
          <w:rFonts w:ascii="Times New Roman" w:hAnsi="Times New Roman" w:cs="Times New Roman"/>
          <w:sz w:val="18"/>
        </w:rPr>
        <w:footnoteRef/>
      </w:r>
      <w:r>
        <w:rPr>
          <w:rFonts w:ascii="Times New Roman" w:hAnsi="Times New Roman"/>
          <w:sz w:val="18"/>
        </w:rPr>
        <w:t xml:space="preserve"> </w:t>
      </w:r>
      <w:hyperlink r:id="rId21" w:history="1">
        <w:r>
          <w:rPr>
            <w:rStyle w:val="Hyperlink"/>
            <w:rFonts w:ascii="Times New Roman" w:hAnsi="Times New Roman"/>
            <w:sz w:val="18"/>
          </w:rPr>
          <w:t>https://ec.europa.eu/education/sites/default/files/document-library-docs/deap-communication-sept2020_en.pdf</w:t>
        </w:r>
      </w:hyperlink>
    </w:p>
  </w:footnote>
  <w:footnote w:id="32">
    <w:p>
      <w:pPr>
        <w:pStyle w:val="FootnoteText"/>
        <w:tabs>
          <w:tab w:val="left" w:pos="6781"/>
        </w:tabs>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22" w:history="1">
        <w:r>
          <w:rPr>
            <w:rStyle w:val="Hyperlink"/>
            <w:rFonts w:ascii="Times New Roman" w:hAnsi="Times New Roman"/>
            <w:sz w:val="18"/>
            <w:szCs w:val="18"/>
          </w:rPr>
          <w:t>https://ec.europa.eu/echo/essn_en</w:t>
        </w:r>
      </w:hyperlink>
      <w:r>
        <w:tab/>
      </w:r>
    </w:p>
  </w:footnote>
  <w:footnote w:id="33">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23" w:history="1">
        <w:r>
          <w:rPr>
            <w:rStyle w:val="Hyperlink"/>
            <w:rFonts w:ascii="Times New Roman" w:hAnsi="Times New Roman"/>
            <w:sz w:val="18"/>
            <w:szCs w:val="18"/>
          </w:rPr>
          <w:t>https://eur-lex.europa.eu/legal-content/RO/TXT/?uri=CELEX%3A32016R0679</w:t>
        </w:r>
      </w:hyperlink>
      <w:r>
        <w:rPr>
          <w:rFonts w:ascii="Times New Roman" w:hAnsi="Times New Roman"/>
          <w:sz w:val="18"/>
          <w:szCs w:val="18"/>
        </w:rPr>
        <w:t xml:space="preserve">. </w:t>
      </w:r>
    </w:p>
  </w:footnote>
  <w:footnote w:id="34">
    <w:p>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24" w:history="1">
        <w:r>
          <w:rPr>
            <w:rStyle w:val="Hyperlink"/>
            <w:rFonts w:ascii="Times New Roman" w:hAnsi="Times New Roman"/>
            <w:sz w:val="18"/>
            <w:szCs w:val="18"/>
          </w:rPr>
          <w:t>https://www.unocha.org/our-work/humanitarian-financing/country-based-pooled-funds-cbpf</w:t>
        </w:r>
      </w:hyperlink>
      <w:r>
        <w:t>.</w:t>
      </w:r>
    </w:p>
  </w:footnote>
  <w:footnote w:id="35">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25" w:history="1">
        <w:r>
          <w:rPr>
            <w:rStyle w:val="Hyperlink"/>
            <w:rFonts w:ascii="Times New Roman" w:hAnsi="Times New Roman"/>
            <w:sz w:val="18"/>
            <w:szCs w:val="18"/>
          </w:rPr>
          <w:t>https://ec.europa.eu/research/eic/index.cfm?pg=prizes_aid</w:t>
        </w:r>
      </w:hyperlink>
    </w:p>
  </w:footnote>
  <w:footnote w:id="36">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Răspunsul umanitar a fost afectat în mod semnificativ de perturbări ale transporturilor și ale lanțurilor de aprovizionare, la care se adaugă restricțiile de călătorie și măsurile de limitare a mișcării persoanelor impuse în întreaga lume în perioada de început a pandemiei de COVID-19. </w:t>
      </w:r>
    </w:p>
  </w:footnote>
  <w:footnote w:id="37">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26" w:history="1">
        <w:r>
          <w:rPr>
            <w:rStyle w:val="Hyperlink"/>
            <w:rFonts w:ascii="Times New Roman" w:hAnsi="Times New Roman"/>
            <w:sz w:val="18"/>
            <w:szCs w:val="18"/>
          </w:rPr>
          <w:t>https://ec.europa.eu/echo/what/humanitarian-aid/humanitarian-air-bridge_en</w:t>
        </w:r>
      </w:hyperlink>
    </w:p>
  </w:footnote>
  <w:footnote w:id="38">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27" w:history="1">
        <w:r>
          <w:rPr>
            <w:rStyle w:val="Hyperlink"/>
            <w:rFonts w:ascii="Times New Roman" w:hAnsi="Times New Roman"/>
            <w:sz w:val="18"/>
            <w:szCs w:val="18"/>
          </w:rPr>
          <w:t>https://ec.europa.eu/echo/what/civil-protection/emergency-response-coordination-centre-ercc_en</w:t>
        </w:r>
      </w:hyperlink>
    </w:p>
  </w:footnote>
  <w:footnote w:id="39">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28" w:history="1">
        <w:r>
          <w:rPr>
            <w:rStyle w:val="Hyperlink"/>
            <w:rFonts w:ascii="Times New Roman" w:hAnsi="Times New Roman"/>
            <w:sz w:val="18"/>
            <w:szCs w:val="18"/>
          </w:rPr>
          <w:t>https://eur-lex.europa.eu/legal-content/RO/TXT/PDF/?uri=CELEX:52021DC0035&amp;from=ro</w:t>
        </w:r>
      </w:hyperlink>
    </w:p>
  </w:footnote>
  <w:footnote w:id="40">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29" w:history="1">
        <w:r>
          <w:rPr>
            <w:rStyle w:val="Hyperlink"/>
            <w:rFonts w:ascii="Times New Roman" w:hAnsi="Times New Roman"/>
            <w:sz w:val="18"/>
            <w:szCs w:val="18"/>
          </w:rPr>
          <w:t>https://eur-lex.europa.eu/legal-content/RO/TXT/PDF/?uri=CELEX:52020PC0726&amp;from=RO</w:t>
        </w:r>
      </w:hyperlink>
      <w:r>
        <w:t>.</w:t>
      </w:r>
    </w:p>
  </w:footnote>
  <w:footnote w:id="41">
    <w:p>
      <w:pPr>
        <w:pStyle w:val="FootnoteText"/>
      </w:pPr>
      <w:r>
        <w:rPr>
          <w:rStyle w:val="FootnoteReference"/>
        </w:rPr>
        <w:footnoteRef/>
      </w:r>
      <w:r>
        <w:t xml:space="preserve"> </w:t>
      </w:r>
      <w:hyperlink r:id="rId30" w:history="1">
        <w:r>
          <w:rPr>
            <w:rStyle w:val="Hyperlink"/>
            <w:rFonts w:ascii="Times New Roman" w:hAnsi="Times New Roman"/>
            <w:sz w:val="18"/>
            <w:szCs w:val="18"/>
          </w:rPr>
          <w:t>https://europa.eu/youth/solidarity_en</w:t>
        </w:r>
      </w:hyperlink>
    </w:p>
  </w:footnote>
  <w:footnote w:id="42">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În prima jumătate a anului 2020, aproximativ 10 milioane de persoane au fost strămutate în mare parte din cauza pericolelor și a dezastrelor meteorologice, în principal în Asia de Sud și Sud-Est și Cornul Africii - Organizația Meteorologică Mondială, 2020. </w:t>
      </w:r>
    </w:p>
  </w:footnote>
  <w:footnote w:id="43">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Concluziile Consiliului privind diplomația în domeniile climei și energiei - </w:t>
      </w:r>
      <w:hyperlink r:id="rId31" w:history="1">
        <w:r>
          <w:rPr>
            <w:rStyle w:val="Hyperlink"/>
            <w:rFonts w:ascii="Times New Roman" w:hAnsi="Times New Roman"/>
            <w:sz w:val="18"/>
            <w:szCs w:val="18"/>
          </w:rPr>
          <w:t>https://www.consilium.europa.eu/media/48057/st05263-en21.pdf</w:t>
        </w:r>
      </w:hyperlink>
      <w:r>
        <w:rPr>
          <w:rFonts w:ascii="Times New Roman" w:hAnsi="Times New Roman"/>
          <w:sz w:val="18"/>
          <w:szCs w:val="18"/>
        </w:rPr>
        <w:t xml:space="preserve">, Foaie de parcurs privind schimbările climatice și apărarea - </w:t>
      </w:r>
      <w:hyperlink r:id="rId32" w:history="1">
        <w:r>
          <w:rPr>
            <w:rStyle w:val="Hyperlink"/>
            <w:rFonts w:ascii="Times New Roman" w:hAnsi="Times New Roman"/>
            <w:sz w:val="18"/>
            <w:szCs w:val="18"/>
          </w:rPr>
          <w:t>https://data.consilium.europa.eu/doc/document/ST-12741-2020-INIT/en/pdf</w:t>
        </w:r>
      </w:hyperlink>
      <w:r>
        <w:t>.</w:t>
      </w:r>
      <w:r>
        <w:rPr>
          <w:rFonts w:ascii="Times New Roman" w:hAnsi="Times New Roman"/>
          <w:sz w:val="18"/>
          <w:szCs w:val="18"/>
        </w:rPr>
        <w:t xml:space="preserve"> </w:t>
      </w:r>
    </w:p>
  </w:footnote>
  <w:footnote w:id="44">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Măsurile anticipative implică planificarea prealabilă a acțiunilor timpurii pe baza cărora se poate asigura rapid finanțarea înainte de a avea loc un dezastru natural sau provocat de om sau orice alt factor de impulsionare pentru luarea de măsuri.</w:t>
      </w:r>
      <w:r>
        <w:rPr>
          <w:rFonts w:ascii="Times New Roman" w:hAnsi="Times New Roman"/>
          <w:color w:val="2E3436"/>
          <w:sz w:val="18"/>
          <w:szCs w:val="18"/>
          <w:shd w:val="clear" w:color="auto" w:fill="FFFFFF"/>
        </w:rPr>
        <w:t xml:space="preserve"> </w:t>
      </w:r>
      <w:r>
        <w:rPr>
          <w:rFonts w:ascii="Times New Roman" w:hAnsi="Times New Roman"/>
          <w:sz w:val="18"/>
          <w:szCs w:val="18"/>
          <w:shd w:val="clear" w:color="auto" w:fill="FFFFFF"/>
        </w:rPr>
        <w:t>Abordarea este relevantă și pentru alte tipuri de urgențe anticipate, nu doar pentru cele legate de schimbările climatice.</w:t>
      </w:r>
    </w:p>
  </w:footnote>
  <w:footnote w:id="45">
    <w:p>
      <w:pPr>
        <w:pStyle w:val="FootnoteText"/>
        <w:jc w:val="both"/>
        <w:rPr>
          <w:rFonts w:ascii="Times New Roman" w:eastAsia="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33" w:history="1">
        <w:r>
          <w:rPr>
            <w:rStyle w:val="Hyperlink"/>
            <w:rFonts w:ascii="Times New Roman" w:hAnsi="Times New Roman"/>
            <w:sz w:val="18"/>
            <w:szCs w:val="18"/>
          </w:rPr>
          <w:t>https://www.undrr.org/terminology/early-warning-system</w:t>
        </w:r>
      </w:hyperlink>
      <w:r>
        <w:t>.</w:t>
      </w:r>
      <w:r>
        <w:rPr>
          <w:rFonts w:ascii="Times New Roman" w:hAnsi="Times New Roman"/>
          <w:sz w:val="18"/>
          <w:szCs w:val="18"/>
        </w:rPr>
        <w:t xml:space="preserve"> </w:t>
      </w:r>
    </w:p>
  </w:footnote>
  <w:footnote w:id="46">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Acțiuni desfășurate de Federația Internațională a Societăților de Cruce Roșie și Semilună Roșie, Societatea de Semilună Roșie Bangladesh, Programul Alimentar Mondial.</w:t>
      </w:r>
    </w:p>
  </w:footnote>
  <w:footnote w:id="47">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Niciuna dintre cele mai vulnerabile 20 de țări la schimbările climatice și la dezastrele cauzate de acestea nu s-a numărat printre primii 20 de beneficiari pe cap de locuitor ai fondurilor alocate pentru adaptarea la schimbările climatice, conform raportului FISCR din 2020 privind dezastrele la nivel mondial.</w:t>
      </w:r>
    </w:p>
  </w:footnote>
  <w:footnote w:id="48">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De exemplu, în contextul cooperării sale cu Organizația Meteorologică Mondială.</w:t>
      </w:r>
    </w:p>
  </w:footnote>
  <w:footnote w:id="49">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Parte a angajamentelor asumate de Comisie privind neutralitatea climatică.</w:t>
      </w:r>
    </w:p>
  </w:footnote>
  <w:footnote w:id="50">
    <w:p>
      <w:pPr>
        <w:pStyle w:val="FootnoteText"/>
        <w:jc w:val="both"/>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34" w:history="1">
        <w:r>
          <w:rPr>
            <w:rStyle w:val="Hyperlink"/>
            <w:rFonts w:ascii="Times New Roman" w:hAnsi="Times New Roman"/>
            <w:sz w:val="18"/>
            <w:szCs w:val="18"/>
          </w:rPr>
          <w:t>https://ec.europa.eu/info/strategy/priorities-2019-2024/european-green-deal_ro</w:t>
        </w:r>
      </w:hyperlink>
    </w:p>
  </w:footnote>
  <w:footnote w:id="51">
    <w:p>
      <w:pPr>
        <w:pStyle w:val="FootnoteText"/>
        <w:rPr>
          <w:rFonts w:ascii="Times New Roman" w:hAnsi="Times New Roman" w:cs="Times New Roman"/>
          <w:sz w:val="18"/>
          <w:szCs w:val="18"/>
        </w:rPr>
      </w:pPr>
      <w:r>
        <w:rPr>
          <w:rStyle w:val="FootnoteReference"/>
        </w:rPr>
        <w:footnoteRef/>
      </w:r>
      <w:r>
        <w:t xml:space="preserve"> </w:t>
      </w:r>
      <w:r>
        <w:rPr>
          <w:rFonts w:ascii="Times New Roman" w:hAnsi="Times New Roman"/>
          <w:sz w:val="18"/>
          <w:szCs w:val="18"/>
        </w:rPr>
        <w:t xml:space="preserve">„Vieți demne” </w:t>
      </w:r>
      <w:hyperlink r:id="rId35" w:history="1">
        <w:r>
          <w:rPr>
            <w:rStyle w:val="Hyperlink"/>
            <w:rFonts w:ascii="Times New Roman" w:hAnsi="Times New Roman"/>
            <w:sz w:val="18"/>
            <w:szCs w:val="18"/>
          </w:rPr>
          <w:t>https://www.eesc.europa.eu/ro/our-work/opinions-information-reports/opinions/lives-dignity-aid-dependence-self-reliance</w:t>
        </w:r>
      </w:hyperlink>
    </w:p>
  </w:footnote>
  <w:footnote w:id="52">
    <w:p>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36" w:history="1">
        <w:r>
          <w:rPr>
            <w:rStyle w:val="Hyperlink"/>
            <w:rFonts w:ascii="Times New Roman" w:hAnsi="Times New Roman"/>
            <w:sz w:val="18"/>
            <w:szCs w:val="18"/>
          </w:rPr>
          <w:t>https://www.unhcr.org/the-global-compact-on-refugees.html</w:t>
        </w:r>
      </w:hyperlink>
      <w:r>
        <w:t>.</w:t>
      </w:r>
    </w:p>
  </w:footnote>
  <w:footnote w:id="53">
    <w:p>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37" w:history="1">
        <w:r>
          <w:rPr>
            <w:rStyle w:val="Hyperlink"/>
            <w:rFonts w:ascii="Times New Roman" w:hAnsi="Times New Roman"/>
            <w:sz w:val="18"/>
            <w:szCs w:val="18"/>
          </w:rPr>
          <w:t>https://eur-lex.europa.eu/legal-content/RO/TXT/PDF/?uri=CELEX:52020JC0011&amp;from=EN</w:t>
        </w:r>
      </w:hyperlink>
    </w:p>
  </w:footnote>
  <w:footnote w:id="54">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38" w:history="1">
        <w:r>
          <w:rPr>
            <w:rStyle w:val="Hyperlink"/>
            <w:rFonts w:ascii="Times New Roman" w:hAnsi="Times New Roman"/>
            <w:sz w:val="18"/>
            <w:szCs w:val="18"/>
          </w:rPr>
          <w:t>https://reliefweb.int/report/world/high-level-panel-humanitarian-financing-report-secretary-general-too-important-fail</w:t>
        </w:r>
      </w:hyperlink>
    </w:p>
  </w:footnote>
  <w:footnote w:id="55">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39">
        <w:r>
          <w:rPr>
            <w:rStyle w:val="Hyperlink"/>
            <w:rFonts w:ascii="Times New Roman" w:hAnsi="Times New Roman"/>
            <w:sz w:val="18"/>
            <w:szCs w:val="18"/>
          </w:rPr>
          <w:t>https://fts.unocha.org/global-funding/overview/2020</w:t>
        </w:r>
      </w:hyperlink>
      <w:r>
        <w:t>.</w:t>
      </w:r>
    </w:p>
  </w:footnote>
  <w:footnote w:id="56">
    <w:p>
      <w:pPr>
        <w:pStyle w:val="FootnoteText"/>
        <w:rPr>
          <w:sz w:val="18"/>
          <w:szCs w:val="18"/>
        </w:rPr>
      </w:pPr>
      <w:r>
        <w:rPr>
          <w:rStyle w:val="FootnoteReference"/>
        </w:rPr>
        <w:footnoteRef/>
      </w:r>
      <w:r>
        <w:t xml:space="preserve"> </w:t>
      </w:r>
      <w:hyperlink r:id="rId40" w:history="1">
        <w:r>
          <w:rPr>
            <w:rStyle w:val="Hyperlink"/>
            <w:rFonts w:ascii="Times New Roman" w:hAnsi="Times New Roman"/>
            <w:sz w:val="18"/>
            <w:szCs w:val="18"/>
          </w:rPr>
          <w:t>https://eur-lex.europa.eu/legal-content/RO/TXT/PDF/?uri=CELEX:42017Y0630(01)&amp;from=RO</w:t>
        </w:r>
      </w:hyperlink>
      <w:r>
        <w:t>.</w:t>
      </w:r>
    </w:p>
  </w:footnote>
  <w:footnote w:id="57">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41" w:history="1">
        <w:r>
          <w:rPr>
            <w:rStyle w:val="Hyperlink"/>
            <w:rFonts w:ascii="Times New Roman" w:hAnsi="Times New Roman"/>
            <w:sz w:val="18"/>
            <w:szCs w:val="18"/>
          </w:rPr>
          <w:t>https://eur-lex.europa.eu/legal-content/RO/TXT/PDF/?uri=CELEX:52020JC0022&amp;qid=1615308963407&amp;from=RO</w:t>
        </w:r>
      </w:hyperlink>
    </w:p>
  </w:footnote>
  <w:footnote w:id="58">
    <w:p>
      <w:pPr>
        <w:pStyle w:val="FootnoteText"/>
        <w:jc w:val="both"/>
      </w:pPr>
      <w:r>
        <w:rPr>
          <w:rStyle w:val="FootnoteReference"/>
        </w:rPr>
        <w:footnoteRef/>
      </w:r>
      <w:r>
        <w:t xml:space="preserve"> </w:t>
      </w:r>
      <w:r>
        <w:rPr>
          <w:rFonts w:ascii="Times New Roman" w:hAnsi="Times New Roman"/>
          <w:sz w:val="18"/>
          <w:szCs w:val="18"/>
        </w:rPr>
        <w:t xml:space="preserve">De exemplu, în contextul copreședinției inițiativei referitoare la bunele practici privind acțiunile umanitare (2018-2021) sau ca membră a inițiativei referitoare la investițiile pentru sprijinirea răspunsului umanitar și creșterea rezilienței </w:t>
      </w:r>
      <w:hyperlink r:id="rId42" w:history="1">
        <w:r>
          <w:rPr>
            <w:rFonts w:ascii="Times New Roman" w:hAnsi="Times New Roman"/>
            <w:sz w:val="18"/>
            <w:szCs w:val="18"/>
          </w:rPr>
          <w:t>https://www.weforum.org/projects/humanitarian-investing-initiative?emailType=Newsletter</w:t>
        </w:r>
      </w:hyperlink>
    </w:p>
  </w:footnote>
  <w:footnote w:id="59">
    <w:p>
      <w:pPr>
        <w:pStyle w:val="FootnoteText"/>
        <w:jc w:val="both"/>
      </w:pPr>
      <w:r>
        <w:rPr>
          <w:rStyle w:val="FootnoteReference"/>
        </w:rPr>
        <w:footnoteRef/>
      </w:r>
      <w:r>
        <w:t xml:space="preserve"> </w:t>
      </w:r>
      <w:hyperlink r:id="rId43" w:history="1">
        <w:r>
          <w:rPr>
            <w:rStyle w:val="Hyperlink"/>
            <w:rFonts w:ascii="Times New Roman" w:hAnsi="Times New Roman"/>
            <w:sz w:val="18"/>
            <w:szCs w:val="18"/>
          </w:rPr>
          <w:t>https://eur-lex.europa.eu/legal-content/RO/TXT/?uri=LEGISSUM%3Aah0004</w:t>
        </w:r>
      </w:hyperlink>
    </w:p>
  </w:footnote>
  <w:footnote w:id="60">
    <w:p>
      <w:pPr>
        <w:pStyle w:val="FootnoteText"/>
        <w:jc w:val="both"/>
        <w:rPr>
          <w:rFonts w:ascii="Times New Roman" w:hAnsi="Times New Roman" w:cs="Times New Roman"/>
          <w:sz w:val="18"/>
          <w:szCs w:val="18"/>
        </w:rPr>
      </w:pPr>
      <w:r>
        <w:rPr>
          <w:rStyle w:val="FootnoteReference"/>
        </w:rPr>
        <w:footnoteRef/>
      </w:r>
      <w:r>
        <w:t xml:space="preserve"> </w:t>
      </w:r>
      <w:r>
        <w:rPr>
          <w:rFonts w:ascii="Times New Roman" w:hAnsi="Times New Roman"/>
          <w:sz w:val="18"/>
          <w:szCs w:val="18"/>
        </w:rPr>
        <w:t xml:space="preserve">Notă de orientare a Comisiei privind furnizarea de ajutoare umanitare pentru combaterea pandemiei de COVID-19 în anumite medii care fac obiectul unor măsuri restrictive ale UE: </w:t>
      </w:r>
    </w:p>
    <w:p>
      <w:pPr>
        <w:pStyle w:val="FootnoteText"/>
        <w:jc w:val="both"/>
      </w:pPr>
      <w:hyperlink r:id="rId44" w:history="1">
        <w:r>
          <w:rPr>
            <w:rStyle w:val="Hyperlink"/>
            <w:rFonts w:ascii="Times New Roman" w:hAnsi="Times New Roman"/>
            <w:sz w:val="18"/>
            <w:szCs w:val="18"/>
          </w:rPr>
          <w:t>https://ec.europa.eu/info/sites/info/files/business_economy_euro/banking_and_finance/documents/201116-humanitarian-aid-guidance-note_ro.pdf</w:t>
        </w:r>
      </w:hyperlink>
    </w:p>
  </w:footnote>
  <w:footnote w:id="61">
    <w:p>
      <w:pPr>
        <w:pStyle w:val="FootnoteText"/>
        <w:jc w:val="both"/>
      </w:pPr>
      <w:r>
        <w:rPr>
          <w:rStyle w:val="FootnoteReference"/>
        </w:rPr>
        <w:footnoteRef/>
      </w:r>
      <w:r>
        <w:t xml:space="preserve"> </w:t>
      </w:r>
      <w:r>
        <w:rPr>
          <w:rFonts w:ascii="Times New Roman" w:hAnsi="Times New Roman"/>
          <w:sz w:val="18"/>
          <w:szCs w:val="18"/>
        </w:rPr>
        <w:t>De exemplu, Comunicarea „</w:t>
      </w:r>
      <w:r>
        <w:rPr>
          <w:rFonts w:ascii="Times New Roman" w:hAnsi="Times New Roman"/>
          <w:sz w:val="18"/>
          <w:szCs w:val="18"/>
          <w:shd w:val="clear" w:color="auto" w:fill="FFFFFF"/>
        </w:rPr>
        <w:t>Sistemul economic și financiar european: promovarea deschiderii, a solidității și a rezilienței” prevede o evaluare a regimurilor de sancțiuni existente pentru a examina, printre altele, impactul acestora asupra furnizării de ajutor umanitar</w:t>
      </w:r>
      <w:r>
        <w:t xml:space="preserve"> </w:t>
      </w:r>
      <w:hyperlink r:id="rId45" w:history="1">
        <w:r>
          <w:rPr>
            <w:rStyle w:val="Hyperlink"/>
            <w:rFonts w:ascii="Times New Roman" w:hAnsi="Times New Roman"/>
            <w:sz w:val="18"/>
            <w:szCs w:val="18"/>
          </w:rPr>
          <w:t>https://eur-lex.europa.eu/legal-content/RO/TXT/?uri=CELEX%3A52021DC0032&amp;qid=1611728656387</w:t>
        </w:r>
      </w:hyperlink>
      <w:r>
        <w:t>.</w:t>
      </w:r>
    </w:p>
  </w:footnote>
  <w:footnote w:id="62">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Din 42 de regimuri de sancțiuni ale UE în vigoare, 7 includ diverse tipuri de excepții umanitare. </w:t>
      </w:r>
    </w:p>
  </w:footnote>
  <w:footnote w:id="63">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Lansat de miniștrii afacerilor externe din Franța și Germania la New York, pe 26 septembrie 2019. Aprobat de către UE în decembrie 2020. (</w:t>
      </w:r>
      <w:hyperlink r:id="rId46" w:history="1">
        <w:r>
          <w:rPr>
            <w:rStyle w:val="Hyperlink"/>
            <w:rFonts w:ascii="Times New Roman" w:hAnsi="Times New Roman"/>
            <w:sz w:val="18"/>
            <w:szCs w:val="18"/>
          </w:rPr>
          <w:t>https://onu.delegfrance.org/Strengthening-respect-for-international-humanitarian-law</w:t>
        </w:r>
      </w:hyperlink>
      <w:r>
        <w:rPr>
          <w:rFonts w:ascii="Times New Roman" w:hAnsi="Times New Roman"/>
          <w:sz w:val="18"/>
          <w:szCs w:val="18"/>
        </w:rPr>
        <w:t>)</w:t>
      </w:r>
      <w:r>
        <w:t>.</w:t>
      </w:r>
    </w:p>
  </w:footnote>
  <w:footnote w:id="64">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Conform datelor din sondajul Eurobarometru realizat în decembrie 2020, 91 % dintre cetățenii UE intervievați consideră că este important sau foarte important ca UE să finanțeze activitățile de ajutor umanitar. </w:t>
      </w:r>
    </w:p>
    <w:p>
      <w:pPr>
        <w:pStyle w:val="FootnoteText"/>
        <w:jc w:val="both"/>
        <w:rPr>
          <w:rFonts w:ascii="Times New Roman" w:hAnsi="Times New Roman" w:cs="Times New Roman"/>
          <w:sz w:val="18"/>
          <w:szCs w:val="18"/>
          <w:highlight w:val="yellow"/>
        </w:rPr>
      </w:pPr>
      <w:hyperlink r:id="rId47" w:history="1">
        <w:r>
          <w:rPr>
            <w:rStyle w:val="Hyperlink"/>
            <w:rFonts w:ascii="Times New Roman" w:hAnsi="Times New Roman"/>
            <w:sz w:val="18"/>
            <w:szCs w:val="18"/>
          </w:rPr>
          <w:t>https://ec.europa.eu/commfrontoffice/publicopinion/index.cfm/survey/getsurveydetail/instruments/special/surveyky/2265</w:t>
        </w:r>
      </w:hyperlink>
    </w:p>
  </w:footnote>
  <w:footnote w:id="65">
    <w:p>
      <w:pPr>
        <w:pStyle w:val="FootnoteText"/>
        <w:jc w:val="both"/>
      </w:pPr>
      <w:r>
        <w:rPr>
          <w:rStyle w:val="FootnoteReference"/>
        </w:rPr>
        <w:footnoteRef/>
      </w:r>
      <w:r>
        <w:t xml:space="preserve"> </w:t>
      </w:r>
      <w:r>
        <w:rPr>
          <w:rFonts w:ascii="Times New Roman" w:hAnsi="Times New Roman"/>
          <w:sz w:val="18"/>
          <w:szCs w:val="18"/>
        </w:rPr>
        <w:t>Rețeaua de lucrători umanitari pe teren a Comisiei (ECHOField) este alcătuită din 49 de birouri în 41 de țări și aproximativ 450 de experți care oferă servicii de asistență tehnică și monitorizare a ajutorului umanitar al UE.</w:t>
      </w:r>
    </w:p>
  </w:footnote>
  <w:footnote w:id="66">
    <w:p>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48" w:history="1">
        <w:r>
          <w:rPr>
            <w:rStyle w:val="Hyperlink"/>
            <w:rFonts w:ascii="Times New Roman" w:hAnsi="Times New Roman"/>
            <w:sz w:val="18"/>
            <w:szCs w:val="18"/>
          </w:rPr>
          <w:t>https://ec.europa.eu/echo/what/civil-protection/knowledge-network_en</w:t>
        </w:r>
      </w:hyperlink>
    </w:p>
  </w:footnote>
  <w:footnote w:id="67">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Comunicare comună privind consolidarea contribuției UE la un multilateralism bazat pe norme </w:t>
      </w:r>
      <w:hyperlink r:id="rId49" w:history="1">
        <w:r>
          <w:rPr>
            <w:rStyle w:val="Hyperlink"/>
            <w:rFonts w:ascii="Times New Roman" w:hAnsi="Times New Roman"/>
            <w:sz w:val="18"/>
            <w:szCs w:val="18"/>
          </w:rPr>
          <w:t>https://eur-lex.europa.eu/legal-content/RO/TXT/PDF/?uri=CELEX:52021JC0003(01)&amp;qid=1615310183461&amp;from=RO</w:t>
        </w:r>
      </w:hyperlink>
      <w:r>
        <w:t>.</w:t>
      </w:r>
    </w:p>
    <w:p>
      <w:pPr>
        <w:pStyle w:val="FootnoteText"/>
        <w:jc w:val="both"/>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873F1"/>
    <w:multiLevelType w:val="hybridMultilevel"/>
    <w:tmpl w:val="498E3B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3580672"/>
    <w:multiLevelType w:val="hybridMultilevel"/>
    <w:tmpl w:val="EEB2C3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591461B"/>
    <w:multiLevelType w:val="hybridMultilevel"/>
    <w:tmpl w:val="61184146"/>
    <w:lvl w:ilvl="0" w:tplc="BC860584">
      <w:start w:val="1"/>
      <w:numFmt w:val="bullet"/>
      <w:lvlText w:val="-"/>
      <w:lvlJc w:val="left"/>
      <w:pPr>
        <w:ind w:left="720" w:hanging="360"/>
      </w:pPr>
      <w:rPr>
        <w:rFonts w:ascii="Simplified Arabic Fixed" w:hAnsi="Simplified Arabic Fixed"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9D0345D"/>
    <w:multiLevelType w:val="hybridMultilevel"/>
    <w:tmpl w:val="05F4B464"/>
    <w:lvl w:ilvl="0" w:tplc="080C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nsid w:val="0D7A3BDE"/>
    <w:multiLevelType w:val="hybridMultilevel"/>
    <w:tmpl w:val="EBF230E6"/>
    <w:lvl w:ilvl="0" w:tplc="BC860584">
      <w:start w:val="1"/>
      <w:numFmt w:val="bullet"/>
      <w:lvlText w:val="-"/>
      <w:lvlJc w:val="left"/>
      <w:pPr>
        <w:ind w:left="720" w:hanging="360"/>
      </w:pPr>
      <w:rPr>
        <w:rFonts w:ascii="Simplified Arabic Fixed" w:hAnsi="Simplified Arabic Fixed"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65561AC"/>
    <w:multiLevelType w:val="hybridMultilevel"/>
    <w:tmpl w:val="ECC60ADC"/>
    <w:lvl w:ilvl="0" w:tplc="FAF662E8">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6">
    <w:nsid w:val="1F565889"/>
    <w:multiLevelType w:val="hybridMultilevel"/>
    <w:tmpl w:val="AB741A3C"/>
    <w:lvl w:ilvl="0" w:tplc="BC860584">
      <w:start w:val="1"/>
      <w:numFmt w:val="bullet"/>
      <w:lvlText w:val="-"/>
      <w:lvlJc w:val="left"/>
      <w:pPr>
        <w:ind w:left="720" w:hanging="360"/>
      </w:pPr>
      <w:rPr>
        <w:rFonts w:ascii="Simplified Arabic Fixed" w:hAnsi="Simplified Arabic Fixed"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FA12658"/>
    <w:multiLevelType w:val="hybridMultilevel"/>
    <w:tmpl w:val="2A30DC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2857ED3"/>
    <w:multiLevelType w:val="multilevel"/>
    <w:tmpl w:val="5E02D1B8"/>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nsid w:val="2580613C"/>
    <w:multiLevelType w:val="multilevel"/>
    <w:tmpl w:val="F1280FC8"/>
    <w:lvl w:ilvl="0">
      <w:start w:val="3"/>
      <w:numFmt w:val="decimal"/>
      <w:lvlText w:val="%1"/>
      <w:lvlJc w:val="left"/>
      <w:pPr>
        <w:ind w:left="360" w:hanging="360"/>
      </w:pPr>
      <w:rPr>
        <w:rFonts w:ascii="Times New Roman" w:eastAsia="Times New Roman" w:hAnsi="Times New Roman" w:cs="Times New Roman" w:hint="default"/>
      </w:rPr>
    </w:lvl>
    <w:lvl w:ilvl="1">
      <w:start w:val="2"/>
      <w:numFmt w:val="decimal"/>
      <w:lvlText w:val="%1.%2"/>
      <w:lvlJc w:val="left"/>
      <w:pPr>
        <w:ind w:left="360" w:hanging="360"/>
      </w:pPr>
      <w:rPr>
        <w:rFonts w:ascii="Times New Roman" w:eastAsia="Times New Roman" w:hAnsi="Times New Roman" w:cs="Times New Roman" w:hint="default"/>
      </w:rPr>
    </w:lvl>
    <w:lvl w:ilvl="2">
      <w:start w:val="1"/>
      <w:numFmt w:val="decimal"/>
      <w:lvlText w:val="%1.%2.%3"/>
      <w:lvlJc w:val="left"/>
      <w:pPr>
        <w:ind w:left="720" w:hanging="720"/>
      </w:pPr>
      <w:rPr>
        <w:rFonts w:ascii="Times New Roman" w:eastAsia="Times New Roman" w:hAnsi="Times New Roman" w:cs="Times New Roman" w:hint="default"/>
      </w:rPr>
    </w:lvl>
    <w:lvl w:ilvl="3">
      <w:start w:val="1"/>
      <w:numFmt w:val="decimal"/>
      <w:lvlText w:val="%1.%2.%3.%4"/>
      <w:lvlJc w:val="left"/>
      <w:pPr>
        <w:ind w:left="720" w:hanging="720"/>
      </w:pPr>
      <w:rPr>
        <w:rFonts w:ascii="Times New Roman" w:eastAsia="Times New Roman" w:hAnsi="Times New Roman" w:cs="Times New Roman" w:hint="default"/>
      </w:rPr>
    </w:lvl>
    <w:lvl w:ilvl="4">
      <w:start w:val="1"/>
      <w:numFmt w:val="decimal"/>
      <w:lvlText w:val="%1.%2.%3.%4.%5"/>
      <w:lvlJc w:val="left"/>
      <w:pPr>
        <w:ind w:left="1080" w:hanging="1080"/>
      </w:pPr>
      <w:rPr>
        <w:rFonts w:ascii="Times New Roman" w:eastAsia="Times New Roman" w:hAnsi="Times New Roman" w:cs="Times New Roman" w:hint="default"/>
      </w:rPr>
    </w:lvl>
    <w:lvl w:ilvl="5">
      <w:start w:val="1"/>
      <w:numFmt w:val="decimal"/>
      <w:lvlText w:val="%1.%2.%3.%4.%5.%6"/>
      <w:lvlJc w:val="left"/>
      <w:pPr>
        <w:ind w:left="1080" w:hanging="1080"/>
      </w:pPr>
      <w:rPr>
        <w:rFonts w:ascii="Times New Roman" w:eastAsia="Times New Roman" w:hAnsi="Times New Roman" w:cs="Times New Roman" w:hint="default"/>
      </w:rPr>
    </w:lvl>
    <w:lvl w:ilvl="6">
      <w:start w:val="1"/>
      <w:numFmt w:val="decimal"/>
      <w:lvlText w:val="%1.%2.%3.%4.%5.%6.%7"/>
      <w:lvlJc w:val="left"/>
      <w:pPr>
        <w:ind w:left="1440" w:hanging="1440"/>
      </w:pPr>
      <w:rPr>
        <w:rFonts w:ascii="Times New Roman" w:eastAsia="Times New Roman" w:hAnsi="Times New Roman" w:cs="Times New Roman" w:hint="default"/>
      </w:rPr>
    </w:lvl>
    <w:lvl w:ilvl="7">
      <w:start w:val="1"/>
      <w:numFmt w:val="decimal"/>
      <w:lvlText w:val="%1.%2.%3.%4.%5.%6.%7.%8"/>
      <w:lvlJc w:val="left"/>
      <w:pPr>
        <w:ind w:left="1440" w:hanging="1440"/>
      </w:pPr>
      <w:rPr>
        <w:rFonts w:ascii="Times New Roman" w:eastAsia="Times New Roman" w:hAnsi="Times New Roman" w:cs="Times New Roman" w:hint="default"/>
      </w:rPr>
    </w:lvl>
    <w:lvl w:ilvl="8">
      <w:start w:val="1"/>
      <w:numFmt w:val="decimal"/>
      <w:lvlText w:val="%1.%2.%3.%4.%5.%6.%7.%8.%9"/>
      <w:lvlJc w:val="left"/>
      <w:pPr>
        <w:ind w:left="1800" w:hanging="1800"/>
      </w:pPr>
      <w:rPr>
        <w:rFonts w:ascii="Times New Roman" w:eastAsia="Times New Roman" w:hAnsi="Times New Roman" w:cs="Times New Roman" w:hint="default"/>
      </w:rPr>
    </w:lvl>
  </w:abstractNum>
  <w:abstractNum w:abstractNumId="10">
    <w:nsid w:val="275A7233"/>
    <w:multiLevelType w:val="hybridMultilevel"/>
    <w:tmpl w:val="97E21ED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nsid w:val="2EE677BC"/>
    <w:multiLevelType w:val="hybridMultilevel"/>
    <w:tmpl w:val="6BD2DC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0765535"/>
    <w:multiLevelType w:val="hybridMultilevel"/>
    <w:tmpl w:val="29D2EBD0"/>
    <w:lvl w:ilvl="0" w:tplc="080C0001">
      <w:start w:val="1"/>
      <w:numFmt w:val="bullet"/>
      <w:lvlText w:val=""/>
      <w:lvlJc w:val="left"/>
      <w:pPr>
        <w:ind w:left="720" w:hanging="360"/>
      </w:pPr>
      <w:rPr>
        <w:rFonts w:ascii="Symbol" w:hAnsi="Symbol" w:hint="default"/>
      </w:rPr>
    </w:lvl>
    <w:lvl w:ilvl="1" w:tplc="080C0019">
      <w:start w:val="1"/>
      <w:numFmt w:val="lowerLetter"/>
      <w:lvlText w:val="%2."/>
      <w:lvlJc w:val="left"/>
      <w:pPr>
        <w:ind w:left="1440" w:hanging="360"/>
      </w:pPr>
    </w:lvl>
    <w:lvl w:ilvl="2" w:tplc="080C001B">
      <w:start w:val="1"/>
      <w:numFmt w:val="lowerRoman"/>
      <w:lvlText w:val="%3."/>
      <w:lvlJc w:val="right"/>
      <w:pPr>
        <w:ind w:left="2160" w:hanging="180"/>
      </w:pPr>
    </w:lvl>
    <w:lvl w:ilvl="3" w:tplc="080C000F">
      <w:start w:val="1"/>
      <w:numFmt w:val="decimal"/>
      <w:lvlText w:val="%4."/>
      <w:lvlJc w:val="left"/>
      <w:pPr>
        <w:ind w:left="2880" w:hanging="360"/>
      </w:pPr>
    </w:lvl>
    <w:lvl w:ilvl="4" w:tplc="080C0019">
      <w:start w:val="1"/>
      <w:numFmt w:val="lowerLetter"/>
      <w:lvlText w:val="%5."/>
      <w:lvlJc w:val="left"/>
      <w:pPr>
        <w:ind w:left="3600" w:hanging="360"/>
      </w:pPr>
    </w:lvl>
    <w:lvl w:ilvl="5" w:tplc="080C001B">
      <w:start w:val="1"/>
      <w:numFmt w:val="lowerRoman"/>
      <w:lvlText w:val="%6."/>
      <w:lvlJc w:val="right"/>
      <w:pPr>
        <w:ind w:left="4320" w:hanging="180"/>
      </w:pPr>
    </w:lvl>
    <w:lvl w:ilvl="6" w:tplc="080C000F">
      <w:start w:val="1"/>
      <w:numFmt w:val="decimal"/>
      <w:lvlText w:val="%7."/>
      <w:lvlJc w:val="left"/>
      <w:pPr>
        <w:ind w:left="5040" w:hanging="360"/>
      </w:pPr>
    </w:lvl>
    <w:lvl w:ilvl="7" w:tplc="080C0019">
      <w:start w:val="1"/>
      <w:numFmt w:val="lowerLetter"/>
      <w:lvlText w:val="%8."/>
      <w:lvlJc w:val="left"/>
      <w:pPr>
        <w:ind w:left="5760" w:hanging="360"/>
      </w:pPr>
    </w:lvl>
    <w:lvl w:ilvl="8" w:tplc="080C001B">
      <w:start w:val="1"/>
      <w:numFmt w:val="lowerRoman"/>
      <w:lvlText w:val="%9."/>
      <w:lvlJc w:val="right"/>
      <w:pPr>
        <w:ind w:left="6480" w:hanging="180"/>
      </w:pPr>
    </w:lvl>
  </w:abstractNum>
  <w:abstractNum w:abstractNumId="13">
    <w:nsid w:val="32250547"/>
    <w:multiLevelType w:val="hybridMultilevel"/>
    <w:tmpl w:val="279E1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33A04E26"/>
    <w:multiLevelType w:val="hybridMultilevel"/>
    <w:tmpl w:val="7B748A0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nsid w:val="391D5322"/>
    <w:multiLevelType w:val="hybridMultilevel"/>
    <w:tmpl w:val="006ECE7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nsid w:val="39286C60"/>
    <w:multiLevelType w:val="multilevel"/>
    <w:tmpl w:val="BC382ED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7">
    <w:nsid w:val="42015F04"/>
    <w:multiLevelType w:val="hybridMultilevel"/>
    <w:tmpl w:val="D80E1FAC"/>
    <w:lvl w:ilvl="0" w:tplc="70A04104">
      <w:start w:val="1"/>
      <w:numFmt w:val="bullet"/>
      <w:lvlText w:val="o"/>
      <w:lvlJc w:val="left"/>
      <w:pPr>
        <w:ind w:left="786"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AEC07656">
      <w:start w:val="1"/>
      <w:numFmt w:val="bullet"/>
      <w:lvlText w:val="o"/>
      <w:lvlJc w:val="left"/>
      <w:pPr>
        <w:ind w:left="1506"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414A237A">
      <w:start w:val="1"/>
      <w:numFmt w:val="bullet"/>
      <w:lvlText w:val="▪"/>
      <w:lvlJc w:val="left"/>
      <w:pPr>
        <w:ind w:left="2226"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70C842B6">
      <w:start w:val="1"/>
      <w:numFmt w:val="bullet"/>
      <w:lvlText w:val="•"/>
      <w:lvlJc w:val="left"/>
      <w:pPr>
        <w:ind w:left="2946"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C3144F78">
      <w:start w:val="1"/>
      <w:numFmt w:val="bullet"/>
      <w:lvlText w:val="o"/>
      <w:lvlJc w:val="left"/>
      <w:pPr>
        <w:ind w:left="3666"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457641B4">
      <w:start w:val="1"/>
      <w:numFmt w:val="bullet"/>
      <w:lvlText w:val="▪"/>
      <w:lvlJc w:val="left"/>
      <w:pPr>
        <w:ind w:left="4386"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17C2EFFC">
      <w:start w:val="1"/>
      <w:numFmt w:val="bullet"/>
      <w:lvlText w:val="•"/>
      <w:lvlJc w:val="left"/>
      <w:pPr>
        <w:ind w:left="5106"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4B9E7A86">
      <w:start w:val="1"/>
      <w:numFmt w:val="bullet"/>
      <w:lvlText w:val="o"/>
      <w:lvlJc w:val="left"/>
      <w:pPr>
        <w:ind w:left="5826"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C3AE7C42">
      <w:start w:val="1"/>
      <w:numFmt w:val="bullet"/>
      <w:lvlText w:val="▪"/>
      <w:lvlJc w:val="left"/>
      <w:pPr>
        <w:ind w:left="6546"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8">
    <w:nsid w:val="424E7366"/>
    <w:multiLevelType w:val="hybridMultilevel"/>
    <w:tmpl w:val="B528371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nsid w:val="4396098D"/>
    <w:multiLevelType w:val="multilevel"/>
    <w:tmpl w:val="3606F10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0">
    <w:nsid w:val="46B66782"/>
    <w:multiLevelType w:val="hybridMultilevel"/>
    <w:tmpl w:val="4E2666B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48C31E64"/>
    <w:multiLevelType w:val="hybridMultilevel"/>
    <w:tmpl w:val="53321E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4B7623A2"/>
    <w:multiLevelType w:val="hybridMultilevel"/>
    <w:tmpl w:val="50A683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4D89482D"/>
    <w:multiLevelType w:val="hybridMultilevel"/>
    <w:tmpl w:val="67023EE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nsid w:val="4FAA67CD"/>
    <w:multiLevelType w:val="hybridMultilevel"/>
    <w:tmpl w:val="64A483BA"/>
    <w:lvl w:ilvl="0" w:tplc="FFFFFFFF">
      <w:start w:val="1"/>
      <w:numFmt w:val="bullet"/>
      <w:lvlText w:val="·"/>
      <w:lvlJc w:val="left"/>
      <w:pPr>
        <w:ind w:left="720" w:hanging="360"/>
      </w:pPr>
      <w:rPr>
        <w:rFonts w:ascii="Symbol" w:hAnsi="Symbol" w:hint="default"/>
      </w:rPr>
    </w:lvl>
    <w:lvl w:ilvl="1" w:tplc="A86A73CE">
      <w:start w:val="1"/>
      <w:numFmt w:val="bullet"/>
      <w:lvlText w:val="o"/>
      <w:lvlJc w:val="left"/>
      <w:pPr>
        <w:ind w:left="1440" w:hanging="360"/>
      </w:pPr>
      <w:rPr>
        <w:rFonts w:ascii="Courier New" w:hAnsi="Courier New" w:hint="default"/>
      </w:rPr>
    </w:lvl>
    <w:lvl w:ilvl="2" w:tplc="079A057E">
      <w:start w:val="1"/>
      <w:numFmt w:val="bullet"/>
      <w:lvlText w:val=""/>
      <w:lvlJc w:val="left"/>
      <w:pPr>
        <w:ind w:left="2160" w:hanging="360"/>
      </w:pPr>
      <w:rPr>
        <w:rFonts w:ascii="Wingdings" w:hAnsi="Wingdings" w:hint="default"/>
      </w:rPr>
    </w:lvl>
    <w:lvl w:ilvl="3" w:tplc="F71451E6">
      <w:start w:val="1"/>
      <w:numFmt w:val="bullet"/>
      <w:lvlText w:val=""/>
      <w:lvlJc w:val="left"/>
      <w:pPr>
        <w:ind w:left="2880" w:hanging="360"/>
      </w:pPr>
      <w:rPr>
        <w:rFonts w:ascii="Symbol" w:hAnsi="Symbol" w:hint="default"/>
      </w:rPr>
    </w:lvl>
    <w:lvl w:ilvl="4" w:tplc="45902AFC">
      <w:start w:val="1"/>
      <w:numFmt w:val="bullet"/>
      <w:lvlText w:val="o"/>
      <w:lvlJc w:val="left"/>
      <w:pPr>
        <w:ind w:left="3600" w:hanging="360"/>
      </w:pPr>
      <w:rPr>
        <w:rFonts w:ascii="Courier New" w:hAnsi="Courier New" w:hint="default"/>
      </w:rPr>
    </w:lvl>
    <w:lvl w:ilvl="5" w:tplc="8132C3F8">
      <w:start w:val="1"/>
      <w:numFmt w:val="bullet"/>
      <w:lvlText w:val=""/>
      <w:lvlJc w:val="left"/>
      <w:pPr>
        <w:ind w:left="4320" w:hanging="360"/>
      </w:pPr>
      <w:rPr>
        <w:rFonts w:ascii="Wingdings" w:hAnsi="Wingdings" w:hint="default"/>
      </w:rPr>
    </w:lvl>
    <w:lvl w:ilvl="6" w:tplc="B6AEE6AE">
      <w:start w:val="1"/>
      <w:numFmt w:val="bullet"/>
      <w:lvlText w:val=""/>
      <w:lvlJc w:val="left"/>
      <w:pPr>
        <w:ind w:left="5040" w:hanging="360"/>
      </w:pPr>
      <w:rPr>
        <w:rFonts w:ascii="Symbol" w:hAnsi="Symbol" w:hint="default"/>
      </w:rPr>
    </w:lvl>
    <w:lvl w:ilvl="7" w:tplc="5A307126">
      <w:start w:val="1"/>
      <w:numFmt w:val="bullet"/>
      <w:lvlText w:val="o"/>
      <w:lvlJc w:val="left"/>
      <w:pPr>
        <w:ind w:left="5760" w:hanging="360"/>
      </w:pPr>
      <w:rPr>
        <w:rFonts w:ascii="Courier New" w:hAnsi="Courier New" w:hint="default"/>
      </w:rPr>
    </w:lvl>
    <w:lvl w:ilvl="8" w:tplc="563CC732">
      <w:start w:val="1"/>
      <w:numFmt w:val="bullet"/>
      <w:lvlText w:val=""/>
      <w:lvlJc w:val="left"/>
      <w:pPr>
        <w:ind w:left="6480" w:hanging="360"/>
      </w:pPr>
      <w:rPr>
        <w:rFonts w:ascii="Wingdings" w:hAnsi="Wingdings" w:hint="default"/>
      </w:rPr>
    </w:lvl>
  </w:abstractNum>
  <w:abstractNum w:abstractNumId="25">
    <w:nsid w:val="515F6016"/>
    <w:multiLevelType w:val="hybridMultilevel"/>
    <w:tmpl w:val="DE98EF62"/>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525B4449"/>
    <w:multiLevelType w:val="hybridMultilevel"/>
    <w:tmpl w:val="B72C841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7">
    <w:nsid w:val="536B051D"/>
    <w:multiLevelType w:val="hybridMultilevel"/>
    <w:tmpl w:val="9AEE4A52"/>
    <w:lvl w:ilvl="0" w:tplc="FFFFFFFF">
      <w:start w:val="1"/>
      <w:numFmt w:val="bullet"/>
      <w:lvlText w:val="-"/>
      <w:lvlJc w:val="left"/>
      <w:pPr>
        <w:ind w:left="720" w:hanging="360"/>
      </w:pPr>
      <w:rPr>
        <w:rFonts w:ascii="Simplified Arabic Fixed" w:hAnsi="Simplified Arabic Fixed"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577E37BE"/>
    <w:multiLevelType w:val="hybridMultilevel"/>
    <w:tmpl w:val="88BAC90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581F6574"/>
    <w:multiLevelType w:val="hybridMultilevel"/>
    <w:tmpl w:val="5B067B00"/>
    <w:lvl w:ilvl="0" w:tplc="78E6A25E">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nsid w:val="5AD2658F"/>
    <w:multiLevelType w:val="hybridMultilevel"/>
    <w:tmpl w:val="D62CED82"/>
    <w:lvl w:ilvl="0" w:tplc="425296DA">
      <w:start w:val="1"/>
      <w:numFmt w:val="bullet"/>
      <w:lvlText w:val="·"/>
      <w:lvlJc w:val="left"/>
      <w:pPr>
        <w:ind w:left="720" w:hanging="360"/>
      </w:pPr>
      <w:rPr>
        <w:rFonts w:ascii="Symbol" w:hAnsi="Symbol" w:hint="default"/>
      </w:rPr>
    </w:lvl>
    <w:lvl w:ilvl="1" w:tplc="A44EB77C">
      <w:start w:val="1"/>
      <w:numFmt w:val="bullet"/>
      <w:lvlText w:val="o"/>
      <w:lvlJc w:val="left"/>
      <w:pPr>
        <w:ind w:left="1440" w:hanging="360"/>
      </w:pPr>
      <w:rPr>
        <w:rFonts w:ascii="Courier New" w:hAnsi="Courier New" w:hint="default"/>
      </w:rPr>
    </w:lvl>
    <w:lvl w:ilvl="2" w:tplc="9E34D692">
      <w:start w:val="1"/>
      <w:numFmt w:val="bullet"/>
      <w:lvlText w:val=""/>
      <w:lvlJc w:val="left"/>
      <w:pPr>
        <w:ind w:left="2160" w:hanging="360"/>
      </w:pPr>
      <w:rPr>
        <w:rFonts w:ascii="Wingdings" w:hAnsi="Wingdings" w:hint="default"/>
      </w:rPr>
    </w:lvl>
    <w:lvl w:ilvl="3" w:tplc="5E0C44B0">
      <w:start w:val="1"/>
      <w:numFmt w:val="bullet"/>
      <w:lvlText w:val=""/>
      <w:lvlJc w:val="left"/>
      <w:pPr>
        <w:ind w:left="2880" w:hanging="360"/>
      </w:pPr>
      <w:rPr>
        <w:rFonts w:ascii="Symbol" w:hAnsi="Symbol" w:hint="default"/>
      </w:rPr>
    </w:lvl>
    <w:lvl w:ilvl="4" w:tplc="8474EE40">
      <w:start w:val="1"/>
      <w:numFmt w:val="bullet"/>
      <w:lvlText w:val="o"/>
      <w:lvlJc w:val="left"/>
      <w:pPr>
        <w:ind w:left="3600" w:hanging="360"/>
      </w:pPr>
      <w:rPr>
        <w:rFonts w:ascii="Courier New" w:hAnsi="Courier New" w:hint="default"/>
      </w:rPr>
    </w:lvl>
    <w:lvl w:ilvl="5" w:tplc="CAD4DFD4">
      <w:start w:val="1"/>
      <w:numFmt w:val="bullet"/>
      <w:lvlText w:val=""/>
      <w:lvlJc w:val="left"/>
      <w:pPr>
        <w:ind w:left="4320" w:hanging="360"/>
      </w:pPr>
      <w:rPr>
        <w:rFonts w:ascii="Wingdings" w:hAnsi="Wingdings" w:hint="default"/>
      </w:rPr>
    </w:lvl>
    <w:lvl w:ilvl="6" w:tplc="75FE03DE">
      <w:start w:val="1"/>
      <w:numFmt w:val="bullet"/>
      <w:lvlText w:val=""/>
      <w:lvlJc w:val="left"/>
      <w:pPr>
        <w:ind w:left="5040" w:hanging="360"/>
      </w:pPr>
      <w:rPr>
        <w:rFonts w:ascii="Symbol" w:hAnsi="Symbol" w:hint="default"/>
      </w:rPr>
    </w:lvl>
    <w:lvl w:ilvl="7" w:tplc="C7DE1384">
      <w:start w:val="1"/>
      <w:numFmt w:val="bullet"/>
      <w:lvlText w:val="o"/>
      <w:lvlJc w:val="left"/>
      <w:pPr>
        <w:ind w:left="5760" w:hanging="360"/>
      </w:pPr>
      <w:rPr>
        <w:rFonts w:ascii="Courier New" w:hAnsi="Courier New" w:hint="default"/>
      </w:rPr>
    </w:lvl>
    <w:lvl w:ilvl="8" w:tplc="0CDCD6BA">
      <w:start w:val="1"/>
      <w:numFmt w:val="bullet"/>
      <w:lvlText w:val=""/>
      <w:lvlJc w:val="left"/>
      <w:pPr>
        <w:ind w:left="6480" w:hanging="360"/>
      </w:pPr>
      <w:rPr>
        <w:rFonts w:ascii="Wingdings" w:hAnsi="Wingdings" w:hint="default"/>
      </w:rPr>
    </w:lvl>
  </w:abstractNum>
  <w:abstractNum w:abstractNumId="31">
    <w:nsid w:val="5DBE7EFB"/>
    <w:multiLevelType w:val="hybridMultilevel"/>
    <w:tmpl w:val="7C8C90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nsid w:val="62B62AE4"/>
    <w:multiLevelType w:val="hybridMultilevel"/>
    <w:tmpl w:val="655253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65BE69ED"/>
    <w:multiLevelType w:val="hybridMultilevel"/>
    <w:tmpl w:val="F2CC32E0"/>
    <w:lvl w:ilvl="0" w:tplc="43F8E47E">
      <w:start w:val="1"/>
      <w:numFmt w:val="bullet"/>
      <w:lvlText w:val="·"/>
      <w:lvlJc w:val="left"/>
      <w:pPr>
        <w:ind w:left="720" w:hanging="360"/>
      </w:pPr>
      <w:rPr>
        <w:rFonts w:ascii="Symbol" w:hAnsi="Symbol" w:hint="default"/>
      </w:rPr>
    </w:lvl>
    <w:lvl w:ilvl="1" w:tplc="637E59C2">
      <w:start w:val="1"/>
      <w:numFmt w:val="bullet"/>
      <w:lvlText w:val="o"/>
      <w:lvlJc w:val="left"/>
      <w:pPr>
        <w:ind w:left="1440" w:hanging="360"/>
      </w:pPr>
      <w:rPr>
        <w:rFonts w:ascii="Courier New" w:hAnsi="Courier New" w:hint="default"/>
      </w:rPr>
    </w:lvl>
    <w:lvl w:ilvl="2" w:tplc="D45ED3D4">
      <w:start w:val="1"/>
      <w:numFmt w:val="bullet"/>
      <w:lvlText w:val=""/>
      <w:lvlJc w:val="left"/>
      <w:pPr>
        <w:ind w:left="2160" w:hanging="360"/>
      </w:pPr>
      <w:rPr>
        <w:rFonts w:ascii="Wingdings" w:hAnsi="Wingdings" w:hint="default"/>
      </w:rPr>
    </w:lvl>
    <w:lvl w:ilvl="3" w:tplc="E5104B02">
      <w:start w:val="1"/>
      <w:numFmt w:val="bullet"/>
      <w:lvlText w:val=""/>
      <w:lvlJc w:val="left"/>
      <w:pPr>
        <w:ind w:left="2880" w:hanging="360"/>
      </w:pPr>
      <w:rPr>
        <w:rFonts w:ascii="Symbol" w:hAnsi="Symbol" w:hint="default"/>
      </w:rPr>
    </w:lvl>
    <w:lvl w:ilvl="4" w:tplc="1604FFCA">
      <w:start w:val="1"/>
      <w:numFmt w:val="bullet"/>
      <w:lvlText w:val="o"/>
      <w:lvlJc w:val="left"/>
      <w:pPr>
        <w:ind w:left="3600" w:hanging="360"/>
      </w:pPr>
      <w:rPr>
        <w:rFonts w:ascii="Courier New" w:hAnsi="Courier New" w:hint="default"/>
      </w:rPr>
    </w:lvl>
    <w:lvl w:ilvl="5" w:tplc="7742A8C4">
      <w:start w:val="1"/>
      <w:numFmt w:val="bullet"/>
      <w:lvlText w:val=""/>
      <w:lvlJc w:val="left"/>
      <w:pPr>
        <w:ind w:left="4320" w:hanging="360"/>
      </w:pPr>
      <w:rPr>
        <w:rFonts w:ascii="Wingdings" w:hAnsi="Wingdings" w:hint="default"/>
      </w:rPr>
    </w:lvl>
    <w:lvl w:ilvl="6" w:tplc="E9B09D70">
      <w:start w:val="1"/>
      <w:numFmt w:val="bullet"/>
      <w:lvlText w:val=""/>
      <w:lvlJc w:val="left"/>
      <w:pPr>
        <w:ind w:left="5040" w:hanging="360"/>
      </w:pPr>
      <w:rPr>
        <w:rFonts w:ascii="Symbol" w:hAnsi="Symbol" w:hint="default"/>
      </w:rPr>
    </w:lvl>
    <w:lvl w:ilvl="7" w:tplc="653C12EE">
      <w:start w:val="1"/>
      <w:numFmt w:val="bullet"/>
      <w:lvlText w:val="o"/>
      <w:lvlJc w:val="left"/>
      <w:pPr>
        <w:ind w:left="5760" w:hanging="360"/>
      </w:pPr>
      <w:rPr>
        <w:rFonts w:ascii="Courier New" w:hAnsi="Courier New" w:hint="default"/>
      </w:rPr>
    </w:lvl>
    <w:lvl w:ilvl="8" w:tplc="8CE00EFE">
      <w:start w:val="1"/>
      <w:numFmt w:val="bullet"/>
      <w:lvlText w:val=""/>
      <w:lvlJc w:val="left"/>
      <w:pPr>
        <w:ind w:left="6480" w:hanging="360"/>
      </w:pPr>
      <w:rPr>
        <w:rFonts w:ascii="Wingdings" w:hAnsi="Wingdings" w:hint="default"/>
      </w:rPr>
    </w:lvl>
  </w:abstractNum>
  <w:abstractNum w:abstractNumId="34">
    <w:nsid w:val="6B97552F"/>
    <w:multiLevelType w:val="hybridMultilevel"/>
    <w:tmpl w:val="70E6A25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5">
    <w:nsid w:val="6CA245AF"/>
    <w:multiLevelType w:val="hybridMultilevel"/>
    <w:tmpl w:val="1924EF7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nsid w:val="6D0B02F8"/>
    <w:multiLevelType w:val="hybridMultilevel"/>
    <w:tmpl w:val="8230D1B8"/>
    <w:lvl w:ilvl="0" w:tplc="1BECA0A6">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nsid w:val="7794494F"/>
    <w:multiLevelType w:val="multilevel"/>
    <w:tmpl w:val="52504AF2"/>
    <w:lvl w:ilvl="0">
      <w:start w:val="3"/>
      <w:numFmt w:val="decimal"/>
      <w:lvlText w:val="%1"/>
      <w:lvlJc w:val="left"/>
      <w:pPr>
        <w:ind w:left="360" w:hanging="360"/>
      </w:pPr>
      <w:rPr>
        <w:rFonts w:hint="default"/>
        <w:u w:val="none"/>
      </w:rPr>
    </w:lvl>
    <w:lvl w:ilvl="1">
      <w:start w:val="4"/>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080" w:hanging="1080"/>
      </w:pPr>
      <w:rPr>
        <w:rFonts w:hint="default"/>
        <w:u w:val="none"/>
      </w:rPr>
    </w:lvl>
    <w:lvl w:ilvl="6">
      <w:start w:val="1"/>
      <w:numFmt w:val="decimal"/>
      <w:lvlText w:val="%1.%2.%3.%4.%5.%6.%7"/>
      <w:lvlJc w:val="left"/>
      <w:pPr>
        <w:ind w:left="1440" w:hanging="1440"/>
      </w:pPr>
      <w:rPr>
        <w:rFonts w:hint="default"/>
        <w:u w:val="none"/>
      </w:rPr>
    </w:lvl>
    <w:lvl w:ilvl="7">
      <w:start w:val="1"/>
      <w:numFmt w:val="decimal"/>
      <w:lvlText w:val="%1.%2.%3.%4.%5.%6.%7.%8"/>
      <w:lvlJc w:val="left"/>
      <w:pPr>
        <w:ind w:left="1440" w:hanging="1440"/>
      </w:pPr>
      <w:rPr>
        <w:rFonts w:hint="default"/>
        <w:u w:val="none"/>
      </w:rPr>
    </w:lvl>
    <w:lvl w:ilvl="8">
      <w:start w:val="1"/>
      <w:numFmt w:val="decimal"/>
      <w:lvlText w:val="%1.%2.%3.%4.%5.%6.%7.%8.%9"/>
      <w:lvlJc w:val="left"/>
      <w:pPr>
        <w:ind w:left="1800" w:hanging="1800"/>
      </w:pPr>
      <w:rPr>
        <w:rFonts w:hint="default"/>
        <w:u w:val="none"/>
      </w:rPr>
    </w:lvl>
  </w:abstractNum>
  <w:abstractNum w:abstractNumId="38">
    <w:nsid w:val="7B507EF1"/>
    <w:multiLevelType w:val="hybridMultilevel"/>
    <w:tmpl w:val="533A5BB2"/>
    <w:lvl w:ilvl="0" w:tplc="FFFFFFFF">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33"/>
  </w:num>
  <w:num w:numId="2">
    <w:abstractNumId w:val="24"/>
  </w:num>
  <w:num w:numId="3">
    <w:abstractNumId w:val="19"/>
  </w:num>
  <w:num w:numId="4">
    <w:abstractNumId w:val="8"/>
  </w:num>
  <w:num w:numId="5">
    <w:abstractNumId w:val="30"/>
  </w:num>
  <w:num w:numId="6">
    <w:abstractNumId w:val="29"/>
  </w:num>
  <w:num w:numId="7">
    <w:abstractNumId w:val="9"/>
  </w:num>
  <w:num w:numId="8">
    <w:abstractNumId w:val="25"/>
  </w:num>
  <w:num w:numId="9">
    <w:abstractNumId w:val="36"/>
  </w:num>
  <w:num w:numId="10">
    <w:abstractNumId w:val="4"/>
  </w:num>
  <w:num w:numId="11">
    <w:abstractNumId w:val="6"/>
  </w:num>
  <w:num w:numId="12">
    <w:abstractNumId w:val="2"/>
  </w:num>
  <w:num w:numId="13">
    <w:abstractNumId w:val="27"/>
  </w:num>
  <w:num w:numId="14">
    <w:abstractNumId w:val="10"/>
  </w:num>
  <w:num w:numId="15">
    <w:abstractNumId w:val="34"/>
  </w:num>
  <w:num w:numId="16">
    <w:abstractNumId w:val="26"/>
  </w:num>
  <w:num w:numId="17">
    <w:abstractNumId w:val="38"/>
  </w:num>
  <w:num w:numId="18">
    <w:abstractNumId w:val="15"/>
  </w:num>
  <w:num w:numId="19">
    <w:abstractNumId w:val="28"/>
  </w:num>
  <w:num w:numId="20">
    <w:abstractNumId w:val="24"/>
  </w:num>
  <w:num w:numId="21">
    <w:abstractNumId w:val="3"/>
  </w:num>
  <w:num w:numId="22">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6"/>
  </w:num>
  <w:num w:numId="24">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
  </w:num>
  <w:num w:numId="26">
    <w:abstractNumId w:val="31"/>
  </w:num>
  <w:num w:numId="27">
    <w:abstractNumId w:val="7"/>
  </w:num>
  <w:num w:numId="28">
    <w:abstractNumId w:val="20"/>
  </w:num>
  <w:num w:numId="29">
    <w:abstractNumId w:val="0"/>
  </w:num>
  <w:num w:numId="30">
    <w:abstractNumId w:val="21"/>
  </w:num>
  <w:num w:numId="31">
    <w:abstractNumId w:val="22"/>
  </w:num>
  <w:num w:numId="32">
    <w:abstractNumId w:val="32"/>
  </w:num>
  <w:num w:numId="33">
    <w:abstractNumId w:val="38"/>
  </w:num>
  <w:num w:numId="34">
    <w:abstractNumId w:val="17"/>
  </w:num>
  <w:num w:numId="35">
    <w:abstractNumId w:val="34"/>
  </w:num>
  <w:num w:numId="36">
    <w:abstractNumId w:val="12"/>
  </w:num>
  <w:num w:numId="37">
    <w:abstractNumId w:val="13"/>
  </w:num>
  <w:num w:numId="38">
    <w:abstractNumId w:val="23"/>
  </w:num>
  <w:num w:numId="39">
    <w:abstractNumId w:val="37"/>
  </w:num>
  <w:num w:numId="40">
    <w:abstractNumId w:val="13"/>
  </w:num>
  <w:num w:numId="41">
    <w:abstractNumId w:val="24"/>
  </w:num>
  <w:num w:numId="42">
    <w:abstractNumId w:val="24"/>
  </w:num>
  <w:num w:numId="43">
    <w:abstractNumId w:val="14"/>
  </w:num>
  <w:num w:numId="44">
    <w:abstractNumId w:val="19"/>
  </w:num>
  <w:num w:numId="45">
    <w:abstractNumId w:val="34"/>
  </w:num>
  <w:num w:numId="46">
    <w:abstractNumId w:val="38"/>
  </w:num>
  <w:num w:numId="47">
    <w:abstractNumId w:val="11"/>
  </w:num>
  <w:num w:numId="48">
    <w:abstractNumId w:val="35"/>
  </w:num>
  <w:num w:numId="49">
    <w:abstractNumId w:val="5"/>
  </w:num>
  <w:num w:numId="50">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movePersonalInformation/>
  <w:removeDateAndTime/>
  <w:hideSpellingErrors/>
  <w:hideGrammaticalErrors/>
  <w:activeWritingStyle w:appName="MSWord" w:lang="it-IT" w:vendorID="64" w:dllVersion="131078" w:nlCheck="1" w:checkStyle="0"/>
  <w:activeWritingStyle w:appName="MSWord" w:lang="en-GB" w:vendorID="64" w:dllVersion="131078" w:nlCheck="1" w:checkStyle="1"/>
  <w:activeWritingStyle w:appName="MSWord" w:lang="en-IE" w:vendorID="64" w:dllVersion="131078" w:nlCheck="1" w:checkStyle="1"/>
  <w:activeWritingStyle w:appName="MSWord" w:lang="en-US" w:vendorID="64" w:dllVersion="131078" w:nlCheck="1" w:checkStyle="1"/>
  <w:activeWritingStyle w:appName="MSWord" w:lang="fr-BE" w:vendorID="64" w:dllVersion="131078" w:nlCheck="1" w:checkStyle="0"/>
  <w:revisionView w:markup="0"/>
  <w:defaultTabStop w:val="720"/>
  <w:hyphenationZone w:val="425"/>
  <w:characterSpacingControl w:val="doNotCompress"/>
  <w:hdrShapeDefaults>
    <o:shapedefaults v:ext="edit" spidmax="3891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EFCA8825-371D-467C-85BE-B56DFEFF1B04"/>
    <w:docVar w:name="LW_COVERPAGE_TYPE" w:val="1"/>
    <w:docVar w:name="LW_CROSSREFERENCE" w:val="&lt;UNUSED&gt;"/>
    <w:docVar w:name="LW_DocType" w:val="NORMAL"/>
    <w:docVar w:name="LW_EMISSION" w:val="10.3.2021"/>
    <w:docVar w:name="LW_EMISSION_ISODATE" w:val="2021-03-10"/>
    <w:docVar w:name="LW_EMISSION_LOCATION" w:val="BRX"/>
    <w:docVar w:name="LW_EMISSION_PREFIX" w:val="Bruxelles, "/>
    <w:docVar w:name="LW_EMISSION_SUFFIX" w:val=" "/>
    <w:docVar w:name="LW_ID_DOCTYPE_NONLW" w:val="CP-012"/>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1) 11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rivind ac\u539?iunea umanitar\u259? a UE: noi provoc\u259?ri, acelea\u537?i principii"/>
    <w:docVar w:name="LW_TYPE.DOC.CP" w:val="COMUNICARE A COMISIEI C\u258?TRE PARLAMENTUL EUROPEAN \u536?I CONSILIU"/>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paragraph" w:styleId="ListParagraph">
    <w:name w:val="List Paragraph"/>
    <w:aliases w:val="Dot pt,No Spacing1,List Paragraph Char Char Char,Indicator Text,Numbered Para 1,List Paragraph1,Bullet 1,Bullet Points,MAIN CONTENT,OBC Bullet,List Paragraph12,F5 List Paragraph,List Paragraph11,Colorful List - Accent 11,L,Recommendatio"/>
    <w:basedOn w:val="Normal"/>
    <w:link w:val="ListParagraphChar"/>
    <w:uiPriority w:val="34"/>
    <w:qFormat/>
    <w:pPr>
      <w:ind w:left="720"/>
      <w:contextualSpacing/>
    </w:pPr>
  </w:style>
  <w:style w:type="character" w:customStyle="1" w:styleId="Heading1Char">
    <w:name w:val="Heading 1 Char"/>
    <w:basedOn w:val="DefaultParagraphFont"/>
    <w:link w:val="Heading1"/>
    <w:uiPriority w:val="9"/>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2E74B5" w:themeColor="accent1" w:themeShade="BF"/>
      <w:sz w:val="26"/>
      <w:szCs w:val="26"/>
    </w:rPr>
  </w:style>
  <w:style w:type="character" w:styleId="FootnoteReference">
    <w:name w:val="footnote reference"/>
    <w:basedOn w:val="DefaultParagraphFont"/>
    <w:uiPriority w:val="99"/>
    <w:semiHidden/>
    <w:unhideWhenUsed/>
    <w:rPr>
      <w:vertAlign w:val="superscript"/>
    </w:rPr>
  </w:style>
  <w:style w:type="character" w:customStyle="1" w:styleId="FootnoteTextChar">
    <w:name w:val="Footnote Text Char"/>
    <w:basedOn w:val="DefaultParagraphFont"/>
    <w:link w:val="FootnoteText"/>
    <w:uiPriority w:val="99"/>
    <w:rPr>
      <w:sz w:val="20"/>
      <w:szCs w:val="20"/>
    </w:rPr>
  </w:style>
  <w:style w:type="paragraph" w:styleId="FootnoteText">
    <w:name w:val="footnote text"/>
    <w:basedOn w:val="Normal"/>
    <w:link w:val="FootnoteTextChar"/>
    <w:uiPriority w:val="99"/>
    <w:unhideWhenUsed/>
    <w:pPr>
      <w:spacing w:after="0" w:line="240" w:lineRule="auto"/>
    </w:pPr>
    <w:rPr>
      <w:sz w:val="20"/>
      <w:szCs w:val="20"/>
    </w:rPr>
  </w:style>
  <w:style w:type="character" w:styleId="Hyperlink">
    <w:name w:val="Hyperlink"/>
    <w:basedOn w:val="DefaultParagraphFont"/>
    <w:uiPriority w:val="99"/>
    <w:unhideWhenUsed/>
    <w:rPr>
      <w:color w:val="0563C1" w:themeColor="hyperlink"/>
      <w:u w:val="single"/>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ListParagraphChar">
    <w:name w:val="List Paragraph Char"/>
    <w:aliases w:val="Dot pt Char,No Spacing1 Char,List Paragraph Char Char Char Char,Indicator Text Char,Numbered Para 1 Char,List Paragraph1 Char,Bullet 1 Char,Bullet Points Char,MAIN CONTENT Char,OBC Bullet Char,List Paragraph12 Char,L Char"/>
    <w:basedOn w:val="DefaultParagraphFont"/>
    <w:link w:val="ListParagraph"/>
    <w:uiPriority w:val="34"/>
    <w:locked/>
  </w:style>
  <w:style w:type="table" w:styleId="TableGrid">
    <w:name w:val="Table Grid"/>
    <w:basedOn w:val="TableNormal"/>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eop">
    <w:name w:val="eop"/>
    <w:basedOn w:val="DefaultParagraphFont"/>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FollowedHyperlink">
    <w:name w:val="FollowedHyperlink"/>
    <w:basedOn w:val="DefaultParagraphFont"/>
    <w:uiPriority w:val="99"/>
    <w:semiHidden/>
    <w:unhideWhenUsed/>
    <w:rPr>
      <w:color w:val="954F72" w:themeColor="followedHyperlink"/>
      <w:u w:val="single"/>
    </w:rPr>
  </w:style>
  <w:style w:type="paragraph" w:customStyle="1" w:styleId="paragraph">
    <w:name w:val="paragraph"/>
    <w:basedOn w:val="Normal"/>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customStyle="1" w:styleId="normaltextrun">
    <w:name w:val="normaltextrun"/>
    <w:basedOn w:val="DefaultParagraphFont"/>
  </w:style>
  <w:style w:type="paragraph" w:styleId="Revision">
    <w:name w:val="Revision"/>
    <w:hidden/>
    <w:uiPriority w:val="99"/>
    <w:semiHidden/>
    <w:pPr>
      <w:spacing w:after="0" w:line="240" w:lineRule="auto"/>
    </w:pPr>
  </w:style>
  <w:style w:type="paragraph" w:styleId="PlainText">
    <w:name w:val="Plain Text"/>
    <w:basedOn w:val="Normal"/>
    <w:link w:val="PlainTextChar"/>
    <w:uiPriority w:val="99"/>
    <w:unhideWhenUsed/>
    <w:pPr>
      <w:spacing w:after="0" w:line="240" w:lineRule="auto"/>
    </w:pPr>
    <w:rPr>
      <w:rFonts w:ascii="Calibri" w:hAnsi="Calibri" w:cs="Calibri"/>
    </w:rPr>
  </w:style>
  <w:style w:type="character" w:customStyle="1" w:styleId="PlainTextChar">
    <w:name w:val="Plain Text Char"/>
    <w:basedOn w:val="DefaultParagraphFont"/>
    <w:link w:val="PlainText"/>
    <w:uiPriority w:val="99"/>
    <w:rPr>
      <w:rFonts w:ascii="Calibri" w:hAnsi="Calibri" w:cs="Calibri"/>
      <w:lang w:val="ro-RO"/>
    </w:rPr>
  </w:style>
  <w:style w:type="character" w:customStyle="1" w:styleId="None">
    <w:name w:val="None"/>
  </w:style>
  <w:style w:type="paragraph" w:customStyle="1" w:styleId="Commissionwill">
    <w:name w:val="Commission will"/>
    <w:pPr>
      <w:pBdr>
        <w:top w:val="nil"/>
        <w:left w:val="nil"/>
        <w:bottom w:val="nil"/>
        <w:right w:val="nil"/>
        <w:between w:val="nil"/>
        <w:bar w:val="nil"/>
      </w:pBdr>
      <w:spacing w:before="120" w:after="120" w:line="240" w:lineRule="auto"/>
      <w:jc w:val="both"/>
    </w:pPr>
    <w:rPr>
      <w:rFonts w:ascii="Times New Roman" w:eastAsia="Arial Unicode MS" w:hAnsi="Times New Roman" w:cs="Arial Unicode MS"/>
      <w:i/>
      <w:iCs/>
      <w:color w:val="000000"/>
      <w:sz w:val="24"/>
      <w:szCs w:val="24"/>
      <w:u w:color="000000"/>
      <w:bdr w:val="nil"/>
      <w:lang w:eastAsia="en-GB"/>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pPr>
      <w:spacing w:after="0" w:line="276" w:lineRule="auto"/>
      <w:ind w:left="5103"/>
    </w:pPr>
    <w:rPr>
      <w:rFonts w:ascii="Times New Roman" w:hAnsi="Times New Roman" w:cs="Times New Roman"/>
      <w:sz w:val="28"/>
    </w:rPr>
  </w:style>
  <w:style w:type="paragraph" w:customStyle="1" w:styleId="DateMarking">
    <w:name w:val="DateMarking"/>
    <w:basedOn w:val="Normal"/>
    <w:pPr>
      <w:spacing w:after="0" w:line="276" w:lineRule="auto"/>
      <w:ind w:left="5103"/>
    </w:pPr>
    <w:rPr>
      <w:rFonts w:ascii="Times New Roman" w:hAnsi="Times New Roman" w:cs="Times New Roman"/>
      <w:i/>
      <w:sz w:val="28"/>
    </w:rPr>
  </w:style>
  <w:style w:type="paragraph" w:customStyle="1" w:styleId="ReleasableTo">
    <w:name w:val="ReleasableTo"/>
    <w:basedOn w:val="Normal"/>
    <w:pPr>
      <w:spacing w:after="0" w:line="276" w:lineRule="auto"/>
      <w:ind w:left="5103"/>
    </w:pPr>
    <w:rPr>
      <w:rFonts w:ascii="Times New Roman" w:hAnsi="Times New Roman" w:cs="Times New Roman"/>
      <w:i/>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paragraph" w:styleId="ListParagraph">
    <w:name w:val="List Paragraph"/>
    <w:aliases w:val="Dot pt,No Spacing1,List Paragraph Char Char Char,Indicator Text,Numbered Para 1,List Paragraph1,Bullet 1,Bullet Points,MAIN CONTENT,OBC Bullet,List Paragraph12,F5 List Paragraph,List Paragraph11,Colorful List - Accent 11,L,Recommendatio"/>
    <w:basedOn w:val="Normal"/>
    <w:link w:val="ListParagraphChar"/>
    <w:uiPriority w:val="34"/>
    <w:qFormat/>
    <w:pPr>
      <w:ind w:left="720"/>
      <w:contextualSpacing/>
    </w:pPr>
  </w:style>
  <w:style w:type="character" w:customStyle="1" w:styleId="Heading1Char">
    <w:name w:val="Heading 1 Char"/>
    <w:basedOn w:val="DefaultParagraphFont"/>
    <w:link w:val="Heading1"/>
    <w:uiPriority w:val="9"/>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2E74B5" w:themeColor="accent1" w:themeShade="BF"/>
      <w:sz w:val="26"/>
      <w:szCs w:val="26"/>
    </w:rPr>
  </w:style>
  <w:style w:type="character" w:styleId="FootnoteReference">
    <w:name w:val="footnote reference"/>
    <w:basedOn w:val="DefaultParagraphFont"/>
    <w:uiPriority w:val="99"/>
    <w:semiHidden/>
    <w:unhideWhenUsed/>
    <w:rPr>
      <w:vertAlign w:val="superscript"/>
    </w:rPr>
  </w:style>
  <w:style w:type="character" w:customStyle="1" w:styleId="FootnoteTextChar">
    <w:name w:val="Footnote Text Char"/>
    <w:basedOn w:val="DefaultParagraphFont"/>
    <w:link w:val="FootnoteText"/>
    <w:uiPriority w:val="99"/>
    <w:rPr>
      <w:sz w:val="20"/>
      <w:szCs w:val="20"/>
    </w:rPr>
  </w:style>
  <w:style w:type="paragraph" w:styleId="FootnoteText">
    <w:name w:val="footnote text"/>
    <w:basedOn w:val="Normal"/>
    <w:link w:val="FootnoteTextChar"/>
    <w:uiPriority w:val="99"/>
    <w:unhideWhenUsed/>
    <w:pPr>
      <w:spacing w:after="0" w:line="240" w:lineRule="auto"/>
    </w:pPr>
    <w:rPr>
      <w:sz w:val="20"/>
      <w:szCs w:val="20"/>
    </w:rPr>
  </w:style>
  <w:style w:type="character" w:styleId="Hyperlink">
    <w:name w:val="Hyperlink"/>
    <w:basedOn w:val="DefaultParagraphFont"/>
    <w:uiPriority w:val="99"/>
    <w:unhideWhenUsed/>
    <w:rPr>
      <w:color w:val="0563C1" w:themeColor="hyperlink"/>
      <w:u w:val="single"/>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ListParagraphChar">
    <w:name w:val="List Paragraph Char"/>
    <w:aliases w:val="Dot pt Char,No Spacing1 Char,List Paragraph Char Char Char Char,Indicator Text Char,Numbered Para 1 Char,List Paragraph1 Char,Bullet 1 Char,Bullet Points Char,MAIN CONTENT Char,OBC Bullet Char,List Paragraph12 Char,L Char"/>
    <w:basedOn w:val="DefaultParagraphFont"/>
    <w:link w:val="ListParagraph"/>
    <w:uiPriority w:val="34"/>
    <w:locked/>
  </w:style>
  <w:style w:type="table" w:styleId="TableGrid">
    <w:name w:val="Table Grid"/>
    <w:basedOn w:val="TableNormal"/>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eop">
    <w:name w:val="eop"/>
    <w:basedOn w:val="DefaultParagraphFont"/>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FollowedHyperlink">
    <w:name w:val="FollowedHyperlink"/>
    <w:basedOn w:val="DefaultParagraphFont"/>
    <w:uiPriority w:val="99"/>
    <w:semiHidden/>
    <w:unhideWhenUsed/>
    <w:rPr>
      <w:color w:val="954F72" w:themeColor="followedHyperlink"/>
      <w:u w:val="single"/>
    </w:rPr>
  </w:style>
  <w:style w:type="paragraph" w:customStyle="1" w:styleId="paragraph">
    <w:name w:val="paragraph"/>
    <w:basedOn w:val="Normal"/>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customStyle="1" w:styleId="normaltextrun">
    <w:name w:val="normaltextrun"/>
    <w:basedOn w:val="DefaultParagraphFont"/>
  </w:style>
  <w:style w:type="paragraph" w:styleId="Revision">
    <w:name w:val="Revision"/>
    <w:hidden/>
    <w:uiPriority w:val="99"/>
    <w:semiHidden/>
    <w:pPr>
      <w:spacing w:after="0" w:line="240" w:lineRule="auto"/>
    </w:pPr>
  </w:style>
  <w:style w:type="paragraph" w:styleId="PlainText">
    <w:name w:val="Plain Text"/>
    <w:basedOn w:val="Normal"/>
    <w:link w:val="PlainTextChar"/>
    <w:uiPriority w:val="99"/>
    <w:unhideWhenUsed/>
    <w:pPr>
      <w:spacing w:after="0" w:line="240" w:lineRule="auto"/>
    </w:pPr>
    <w:rPr>
      <w:rFonts w:ascii="Calibri" w:hAnsi="Calibri" w:cs="Calibri"/>
    </w:rPr>
  </w:style>
  <w:style w:type="character" w:customStyle="1" w:styleId="PlainTextChar">
    <w:name w:val="Plain Text Char"/>
    <w:basedOn w:val="DefaultParagraphFont"/>
    <w:link w:val="PlainText"/>
    <w:uiPriority w:val="99"/>
    <w:rPr>
      <w:rFonts w:ascii="Calibri" w:hAnsi="Calibri" w:cs="Calibri"/>
      <w:lang w:val="ro-RO"/>
    </w:rPr>
  </w:style>
  <w:style w:type="character" w:customStyle="1" w:styleId="None">
    <w:name w:val="None"/>
  </w:style>
  <w:style w:type="paragraph" w:customStyle="1" w:styleId="Commissionwill">
    <w:name w:val="Commission will"/>
    <w:pPr>
      <w:pBdr>
        <w:top w:val="nil"/>
        <w:left w:val="nil"/>
        <w:bottom w:val="nil"/>
        <w:right w:val="nil"/>
        <w:between w:val="nil"/>
        <w:bar w:val="nil"/>
      </w:pBdr>
      <w:spacing w:before="120" w:after="120" w:line="240" w:lineRule="auto"/>
      <w:jc w:val="both"/>
    </w:pPr>
    <w:rPr>
      <w:rFonts w:ascii="Times New Roman" w:eastAsia="Arial Unicode MS" w:hAnsi="Times New Roman" w:cs="Arial Unicode MS"/>
      <w:i/>
      <w:iCs/>
      <w:color w:val="000000"/>
      <w:sz w:val="24"/>
      <w:szCs w:val="24"/>
      <w:u w:color="000000"/>
      <w:bdr w:val="nil"/>
      <w:lang w:eastAsia="en-GB"/>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pPr>
      <w:spacing w:after="0" w:line="276" w:lineRule="auto"/>
      <w:ind w:left="5103"/>
    </w:pPr>
    <w:rPr>
      <w:rFonts w:ascii="Times New Roman" w:hAnsi="Times New Roman" w:cs="Times New Roman"/>
      <w:sz w:val="28"/>
    </w:rPr>
  </w:style>
  <w:style w:type="paragraph" w:customStyle="1" w:styleId="DateMarking">
    <w:name w:val="DateMarking"/>
    <w:basedOn w:val="Normal"/>
    <w:pPr>
      <w:spacing w:after="0" w:line="276" w:lineRule="auto"/>
      <w:ind w:left="5103"/>
    </w:pPr>
    <w:rPr>
      <w:rFonts w:ascii="Times New Roman" w:hAnsi="Times New Roman" w:cs="Times New Roman"/>
      <w:i/>
      <w:sz w:val="28"/>
    </w:rPr>
  </w:style>
  <w:style w:type="paragraph" w:customStyle="1" w:styleId="ReleasableTo">
    <w:name w:val="ReleasableTo"/>
    <w:basedOn w:val="Normal"/>
    <w:pPr>
      <w:spacing w:after="0" w:line="276" w:lineRule="auto"/>
      <w:ind w:left="5103"/>
    </w:pPr>
    <w:rPr>
      <w:rFonts w:ascii="Times New Roman" w:hAnsi="Times New Roman" w:cs="Times New Roman"/>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593150">
      <w:bodyDiv w:val="1"/>
      <w:marLeft w:val="0"/>
      <w:marRight w:val="0"/>
      <w:marTop w:val="0"/>
      <w:marBottom w:val="0"/>
      <w:divBdr>
        <w:top w:val="none" w:sz="0" w:space="0" w:color="auto"/>
        <w:left w:val="none" w:sz="0" w:space="0" w:color="auto"/>
        <w:bottom w:val="none" w:sz="0" w:space="0" w:color="auto"/>
        <w:right w:val="none" w:sz="0" w:space="0" w:color="auto"/>
      </w:divBdr>
    </w:div>
    <w:div w:id="58526634">
      <w:bodyDiv w:val="1"/>
      <w:marLeft w:val="0"/>
      <w:marRight w:val="0"/>
      <w:marTop w:val="0"/>
      <w:marBottom w:val="0"/>
      <w:divBdr>
        <w:top w:val="none" w:sz="0" w:space="0" w:color="auto"/>
        <w:left w:val="none" w:sz="0" w:space="0" w:color="auto"/>
        <w:bottom w:val="none" w:sz="0" w:space="0" w:color="auto"/>
        <w:right w:val="none" w:sz="0" w:space="0" w:color="auto"/>
      </w:divBdr>
    </w:div>
    <w:div w:id="114103000">
      <w:bodyDiv w:val="1"/>
      <w:marLeft w:val="0"/>
      <w:marRight w:val="0"/>
      <w:marTop w:val="0"/>
      <w:marBottom w:val="0"/>
      <w:divBdr>
        <w:top w:val="none" w:sz="0" w:space="0" w:color="auto"/>
        <w:left w:val="none" w:sz="0" w:space="0" w:color="auto"/>
        <w:bottom w:val="none" w:sz="0" w:space="0" w:color="auto"/>
        <w:right w:val="none" w:sz="0" w:space="0" w:color="auto"/>
      </w:divBdr>
    </w:div>
    <w:div w:id="156120592">
      <w:bodyDiv w:val="1"/>
      <w:marLeft w:val="0"/>
      <w:marRight w:val="0"/>
      <w:marTop w:val="0"/>
      <w:marBottom w:val="0"/>
      <w:divBdr>
        <w:top w:val="none" w:sz="0" w:space="0" w:color="auto"/>
        <w:left w:val="none" w:sz="0" w:space="0" w:color="auto"/>
        <w:bottom w:val="none" w:sz="0" w:space="0" w:color="auto"/>
        <w:right w:val="none" w:sz="0" w:space="0" w:color="auto"/>
      </w:divBdr>
    </w:div>
    <w:div w:id="170141434">
      <w:bodyDiv w:val="1"/>
      <w:marLeft w:val="0"/>
      <w:marRight w:val="0"/>
      <w:marTop w:val="0"/>
      <w:marBottom w:val="0"/>
      <w:divBdr>
        <w:top w:val="none" w:sz="0" w:space="0" w:color="auto"/>
        <w:left w:val="none" w:sz="0" w:space="0" w:color="auto"/>
        <w:bottom w:val="none" w:sz="0" w:space="0" w:color="auto"/>
        <w:right w:val="none" w:sz="0" w:space="0" w:color="auto"/>
      </w:divBdr>
    </w:div>
    <w:div w:id="214314360">
      <w:bodyDiv w:val="1"/>
      <w:marLeft w:val="0"/>
      <w:marRight w:val="0"/>
      <w:marTop w:val="0"/>
      <w:marBottom w:val="0"/>
      <w:divBdr>
        <w:top w:val="none" w:sz="0" w:space="0" w:color="auto"/>
        <w:left w:val="none" w:sz="0" w:space="0" w:color="auto"/>
        <w:bottom w:val="none" w:sz="0" w:space="0" w:color="auto"/>
        <w:right w:val="none" w:sz="0" w:space="0" w:color="auto"/>
      </w:divBdr>
    </w:div>
    <w:div w:id="242835480">
      <w:bodyDiv w:val="1"/>
      <w:marLeft w:val="0"/>
      <w:marRight w:val="0"/>
      <w:marTop w:val="0"/>
      <w:marBottom w:val="0"/>
      <w:divBdr>
        <w:top w:val="none" w:sz="0" w:space="0" w:color="auto"/>
        <w:left w:val="none" w:sz="0" w:space="0" w:color="auto"/>
        <w:bottom w:val="none" w:sz="0" w:space="0" w:color="auto"/>
        <w:right w:val="none" w:sz="0" w:space="0" w:color="auto"/>
      </w:divBdr>
    </w:div>
    <w:div w:id="243031343">
      <w:bodyDiv w:val="1"/>
      <w:marLeft w:val="0"/>
      <w:marRight w:val="0"/>
      <w:marTop w:val="0"/>
      <w:marBottom w:val="0"/>
      <w:divBdr>
        <w:top w:val="none" w:sz="0" w:space="0" w:color="auto"/>
        <w:left w:val="none" w:sz="0" w:space="0" w:color="auto"/>
        <w:bottom w:val="none" w:sz="0" w:space="0" w:color="auto"/>
        <w:right w:val="none" w:sz="0" w:space="0" w:color="auto"/>
      </w:divBdr>
    </w:div>
    <w:div w:id="408693245">
      <w:bodyDiv w:val="1"/>
      <w:marLeft w:val="0"/>
      <w:marRight w:val="0"/>
      <w:marTop w:val="0"/>
      <w:marBottom w:val="0"/>
      <w:divBdr>
        <w:top w:val="none" w:sz="0" w:space="0" w:color="auto"/>
        <w:left w:val="none" w:sz="0" w:space="0" w:color="auto"/>
        <w:bottom w:val="none" w:sz="0" w:space="0" w:color="auto"/>
        <w:right w:val="none" w:sz="0" w:space="0" w:color="auto"/>
      </w:divBdr>
    </w:div>
    <w:div w:id="667710406">
      <w:bodyDiv w:val="1"/>
      <w:marLeft w:val="0"/>
      <w:marRight w:val="0"/>
      <w:marTop w:val="0"/>
      <w:marBottom w:val="0"/>
      <w:divBdr>
        <w:top w:val="none" w:sz="0" w:space="0" w:color="auto"/>
        <w:left w:val="none" w:sz="0" w:space="0" w:color="auto"/>
        <w:bottom w:val="none" w:sz="0" w:space="0" w:color="auto"/>
        <w:right w:val="none" w:sz="0" w:space="0" w:color="auto"/>
      </w:divBdr>
    </w:div>
    <w:div w:id="873083861">
      <w:bodyDiv w:val="1"/>
      <w:marLeft w:val="0"/>
      <w:marRight w:val="0"/>
      <w:marTop w:val="0"/>
      <w:marBottom w:val="0"/>
      <w:divBdr>
        <w:top w:val="none" w:sz="0" w:space="0" w:color="auto"/>
        <w:left w:val="none" w:sz="0" w:space="0" w:color="auto"/>
        <w:bottom w:val="none" w:sz="0" w:space="0" w:color="auto"/>
        <w:right w:val="none" w:sz="0" w:space="0" w:color="auto"/>
      </w:divBdr>
    </w:div>
    <w:div w:id="879897521">
      <w:bodyDiv w:val="1"/>
      <w:marLeft w:val="0"/>
      <w:marRight w:val="0"/>
      <w:marTop w:val="0"/>
      <w:marBottom w:val="0"/>
      <w:divBdr>
        <w:top w:val="none" w:sz="0" w:space="0" w:color="auto"/>
        <w:left w:val="none" w:sz="0" w:space="0" w:color="auto"/>
        <w:bottom w:val="none" w:sz="0" w:space="0" w:color="auto"/>
        <w:right w:val="none" w:sz="0" w:space="0" w:color="auto"/>
      </w:divBdr>
    </w:div>
    <w:div w:id="931888895">
      <w:bodyDiv w:val="1"/>
      <w:marLeft w:val="0"/>
      <w:marRight w:val="0"/>
      <w:marTop w:val="0"/>
      <w:marBottom w:val="0"/>
      <w:divBdr>
        <w:top w:val="none" w:sz="0" w:space="0" w:color="auto"/>
        <w:left w:val="none" w:sz="0" w:space="0" w:color="auto"/>
        <w:bottom w:val="none" w:sz="0" w:space="0" w:color="auto"/>
        <w:right w:val="none" w:sz="0" w:space="0" w:color="auto"/>
      </w:divBdr>
    </w:div>
    <w:div w:id="1035039505">
      <w:bodyDiv w:val="1"/>
      <w:marLeft w:val="0"/>
      <w:marRight w:val="0"/>
      <w:marTop w:val="0"/>
      <w:marBottom w:val="0"/>
      <w:divBdr>
        <w:top w:val="none" w:sz="0" w:space="0" w:color="auto"/>
        <w:left w:val="none" w:sz="0" w:space="0" w:color="auto"/>
        <w:bottom w:val="none" w:sz="0" w:space="0" w:color="auto"/>
        <w:right w:val="none" w:sz="0" w:space="0" w:color="auto"/>
      </w:divBdr>
    </w:div>
    <w:div w:id="1044404064">
      <w:bodyDiv w:val="1"/>
      <w:marLeft w:val="0"/>
      <w:marRight w:val="0"/>
      <w:marTop w:val="0"/>
      <w:marBottom w:val="0"/>
      <w:divBdr>
        <w:top w:val="none" w:sz="0" w:space="0" w:color="auto"/>
        <w:left w:val="none" w:sz="0" w:space="0" w:color="auto"/>
        <w:bottom w:val="none" w:sz="0" w:space="0" w:color="auto"/>
        <w:right w:val="none" w:sz="0" w:space="0" w:color="auto"/>
      </w:divBdr>
    </w:div>
    <w:div w:id="1053697437">
      <w:bodyDiv w:val="1"/>
      <w:marLeft w:val="0"/>
      <w:marRight w:val="0"/>
      <w:marTop w:val="0"/>
      <w:marBottom w:val="0"/>
      <w:divBdr>
        <w:top w:val="none" w:sz="0" w:space="0" w:color="auto"/>
        <w:left w:val="none" w:sz="0" w:space="0" w:color="auto"/>
        <w:bottom w:val="none" w:sz="0" w:space="0" w:color="auto"/>
        <w:right w:val="none" w:sz="0" w:space="0" w:color="auto"/>
      </w:divBdr>
    </w:div>
    <w:div w:id="1105154032">
      <w:bodyDiv w:val="1"/>
      <w:marLeft w:val="0"/>
      <w:marRight w:val="0"/>
      <w:marTop w:val="0"/>
      <w:marBottom w:val="0"/>
      <w:divBdr>
        <w:top w:val="none" w:sz="0" w:space="0" w:color="auto"/>
        <w:left w:val="none" w:sz="0" w:space="0" w:color="auto"/>
        <w:bottom w:val="none" w:sz="0" w:space="0" w:color="auto"/>
        <w:right w:val="none" w:sz="0" w:space="0" w:color="auto"/>
      </w:divBdr>
    </w:div>
    <w:div w:id="1142309531">
      <w:bodyDiv w:val="1"/>
      <w:marLeft w:val="0"/>
      <w:marRight w:val="0"/>
      <w:marTop w:val="0"/>
      <w:marBottom w:val="0"/>
      <w:divBdr>
        <w:top w:val="none" w:sz="0" w:space="0" w:color="auto"/>
        <w:left w:val="none" w:sz="0" w:space="0" w:color="auto"/>
        <w:bottom w:val="none" w:sz="0" w:space="0" w:color="auto"/>
        <w:right w:val="none" w:sz="0" w:space="0" w:color="auto"/>
      </w:divBdr>
    </w:div>
    <w:div w:id="1148088235">
      <w:bodyDiv w:val="1"/>
      <w:marLeft w:val="0"/>
      <w:marRight w:val="0"/>
      <w:marTop w:val="0"/>
      <w:marBottom w:val="0"/>
      <w:divBdr>
        <w:top w:val="none" w:sz="0" w:space="0" w:color="auto"/>
        <w:left w:val="none" w:sz="0" w:space="0" w:color="auto"/>
        <w:bottom w:val="none" w:sz="0" w:space="0" w:color="auto"/>
        <w:right w:val="none" w:sz="0" w:space="0" w:color="auto"/>
      </w:divBdr>
    </w:div>
    <w:div w:id="1186407579">
      <w:bodyDiv w:val="1"/>
      <w:marLeft w:val="0"/>
      <w:marRight w:val="0"/>
      <w:marTop w:val="0"/>
      <w:marBottom w:val="0"/>
      <w:divBdr>
        <w:top w:val="none" w:sz="0" w:space="0" w:color="auto"/>
        <w:left w:val="none" w:sz="0" w:space="0" w:color="auto"/>
        <w:bottom w:val="none" w:sz="0" w:space="0" w:color="auto"/>
        <w:right w:val="none" w:sz="0" w:space="0" w:color="auto"/>
      </w:divBdr>
    </w:div>
    <w:div w:id="1195315540">
      <w:bodyDiv w:val="1"/>
      <w:marLeft w:val="0"/>
      <w:marRight w:val="0"/>
      <w:marTop w:val="0"/>
      <w:marBottom w:val="0"/>
      <w:divBdr>
        <w:top w:val="none" w:sz="0" w:space="0" w:color="auto"/>
        <w:left w:val="none" w:sz="0" w:space="0" w:color="auto"/>
        <w:bottom w:val="none" w:sz="0" w:space="0" w:color="auto"/>
        <w:right w:val="none" w:sz="0" w:space="0" w:color="auto"/>
      </w:divBdr>
    </w:div>
    <w:div w:id="1248419454">
      <w:bodyDiv w:val="1"/>
      <w:marLeft w:val="0"/>
      <w:marRight w:val="0"/>
      <w:marTop w:val="0"/>
      <w:marBottom w:val="0"/>
      <w:divBdr>
        <w:top w:val="none" w:sz="0" w:space="0" w:color="auto"/>
        <w:left w:val="none" w:sz="0" w:space="0" w:color="auto"/>
        <w:bottom w:val="none" w:sz="0" w:space="0" w:color="auto"/>
        <w:right w:val="none" w:sz="0" w:space="0" w:color="auto"/>
      </w:divBdr>
    </w:div>
    <w:div w:id="1250385313">
      <w:bodyDiv w:val="1"/>
      <w:marLeft w:val="0"/>
      <w:marRight w:val="0"/>
      <w:marTop w:val="0"/>
      <w:marBottom w:val="0"/>
      <w:divBdr>
        <w:top w:val="none" w:sz="0" w:space="0" w:color="auto"/>
        <w:left w:val="none" w:sz="0" w:space="0" w:color="auto"/>
        <w:bottom w:val="none" w:sz="0" w:space="0" w:color="auto"/>
        <w:right w:val="none" w:sz="0" w:space="0" w:color="auto"/>
      </w:divBdr>
    </w:div>
    <w:div w:id="1267538036">
      <w:bodyDiv w:val="1"/>
      <w:marLeft w:val="0"/>
      <w:marRight w:val="0"/>
      <w:marTop w:val="0"/>
      <w:marBottom w:val="0"/>
      <w:divBdr>
        <w:top w:val="none" w:sz="0" w:space="0" w:color="auto"/>
        <w:left w:val="none" w:sz="0" w:space="0" w:color="auto"/>
        <w:bottom w:val="none" w:sz="0" w:space="0" w:color="auto"/>
        <w:right w:val="none" w:sz="0" w:space="0" w:color="auto"/>
      </w:divBdr>
    </w:div>
    <w:div w:id="1323119161">
      <w:bodyDiv w:val="1"/>
      <w:marLeft w:val="0"/>
      <w:marRight w:val="0"/>
      <w:marTop w:val="0"/>
      <w:marBottom w:val="0"/>
      <w:divBdr>
        <w:top w:val="none" w:sz="0" w:space="0" w:color="auto"/>
        <w:left w:val="none" w:sz="0" w:space="0" w:color="auto"/>
        <w:bottom w:val="none" w:sz="0" w:space="0" w:color="auto"/>
        <w:right w:val="none" w:sz="0" w:space="0" w:color="auto"/>
      </w:divBdr>
    </w:div>
    <w:div w:id="1480852109">
      <w:bodyDiv w:val="1"/>
      <w:marLeft w:val="0"/>
      <w:marRight w:val="0"/>
      <w:marTop w:val="0"/>
      <w:marBottom w:val="0"/>
      <w:divBdr>
        <w:top w:val="none" w:sz="0" w:space="0" w:color="auto"/>
        <w:left w:val="none" w:sz="0" w:space="0" w:color="auto"/>
        <w:bottom w:val="none" w:sz="0" w:space="0" w:color="auto"/>
        <w:right w:val="none" w:sz="0" w:space="0" w:color="auto"/>
      </w:divBdr>
    </w:div>
    <w:div w:id="1574583162">
      <w:bodyDiv w:val="1"/>
      <w:marLeft w:val="0"/>
      <w:marRight w:val="0"/>
      <w:marTop w:val="0"/>
      <w:marBottom w:val="0"/>
      <w:divBdr>
        <w:top w:val="none" w:sz="0" w:space="0" w:color="auto"/>
        <w:left w:val="none" w:sz="0" w:space="0" w:color="auto"/>
        <w:bottom w:val="none" w:sz="0" w:space="0" w:color="auto"/>
        <w:right w:val="none" w:sz="0" w:space="0" w:color="auto"/>
      </w:divBdr>
    </w:div>
    <w:div w:id="1778913523">
      <w:bodyDiv w:val="1"/>
      <w:marLeft w:val="0"/>
      <w:marRight w:val="0"/>
      <w:marTop w:val="0"/>
      <w:marBottom w:val="0"/>
      <w:divBdr>
        <w:top w:val="none" w:sz="0" w:space="0" w:color="auto"/>
        <w:left w:val="none" w:sz="0" w:space="0" w:color="auto"/>
        <w:bottom w:val="none" w:sz="0" w:space="0" w:color="auto"/>
        <w:right w:val="none" w:sz="0" w:space="0" w:color="auto"/>
      </w:divBdr>
    </w:div>
    <w:div w:id="1827746337">
      <w:bodyDiv w:val="1"/>
      <w:marLeft w:val="0"/>
      <w:marRight w:val="0"/>
      <w:marTop w:val="0"/>
      <w:marBottom w:val="0"/>
      <w:divBdr>
        <w:top w:val="none" w:sz="0" w:space="0" w:color="auto"/>
        <w:left w:val="none" w:sz="0" w:space="0" w:color="auto"/>
        <w:bottom w:val="none" w:sz="0" w:space="0" w:color="auto"/>
        <w:right w:val="none" w:sz="0" w:space="0" w:color="auto"/>
      </w:divBdr>
      <w:divsChild>
        <w:div w:id="857349945">
          <w:marLeft w:val="0"/>
          <w:marRight w:val="0"/>
          <w:marTop w:val="0"/>
          <w:marBottom w:val="0"/>
          <w:divBdr>
            <w:top w:val="none" w:sz="0" w:space="0" w:color="auto"/>
            <w:left w:val="none" w:sz="0" w:space="0" w:color="auto"/>
            <w:bottom w:val="none" w:sz="0" w:space="0" w:color="auto"/>
            <w:right w:val="none" w:sz="0" w:space="0" w:color="auto"/>
          </w:divBdr>
        </w:div>
        <w:div w:id="1703359673">
          <w:marLeft w:val="0"/>
          <w:marRight w:val="0"/>
          <w:marTop w:val="0"/>
          <w:marBottom w:val="0"/>
          <w:divBdr>
            <w:top w:val="none" w:sz="0" w:space="0" w:color="auto"/>
            <w:left w:val="none" w:sz="0" w:space="0" w:color="auto"/>
            <w:bottom w:val="none" w:sz="0" w:space="0" w:color="auto"/>
            <w:right w:val="none" w:sz="0" w:space="0" w:color="auto"/>
          </w:divBdr>
        </w:div>
      </w:divsChild>
    </w:div>
    <w:div w:id="1908416662">
      <w:bodyDiv w:val="1"/>
      <w:marLeft w:val="0"/>
      <w:marRight w:val="0"/>
      <w:marTop w:val="0"/>
      <w:marBottom w:val="0"/>
      <w:divBdr>
        <w:top w:val="none" w:sz="0" w:space="0" w:color="auto"/>
        <w:left w:val="none" w:sz="0" w:space="0" w:color="auto"/>
        <w:bottom w:val="none" w:sz="0" w:space="0" w:color="auto"/>
        <w:right w:val="none" w:sz="0" w:space="0" w:color="auto"/>
      </w:divBdr>
    </w:div>
    <w:div w:id="1955594526">
      <w:bodyDiv w:val="1"/>
      <w:marLeft w:val="0"/>
      <w:marRight w:val="0"/>
      <w:marTop w:val="0"/>
      <w:marBottom w:val="0"/>
      <w:divBdr>
        <w:top w:val="none" w:sz="0" w:space="0" w:color="auto"/>
        <w:left w:val="none" w:sz="0" w:space="0" w:color="auto"/>
        <w:bottom w:val="none" w:sz="0" w:space="0" w:color="auto"/>
        <w:right w:val="none" w:sz="0" w:space="0" w:color="auto"/>
      </w:divBdr>
    </w:div>
    <w:div w:id="1996103394">
      <w:bodyDiv w:val="1"/>
      <w:marLeft w:val="0"/>
      <w:marRight w:val="0"/>
      <w:marTop w:val="0"/>
      <w:marBottom w:val="0"/>
      <w:divBdr>
        <w:top w:val="none" w:sz="0" w:space="0" w:color="auto"/>
        <w:left w:val="none" w:sz="0" w:space="0" w:color="auto"/>
        <w:bottom w:val="none" w:sz="0" w:space="0" w:color="auto"/>
        <w:right w:val="none" w:sz="0" w:space="0" w:color="auto"/>
      </w:divBdr>
      <w:divsChild>
        <w:div w:id="210774005">
          <w:marLeft w:val="0"/>
          <w:marRight w:val="0"/>
          <w:marTop w:val="0"/>
          <w:marBottom w:val="0"/>
          <w:divBdr>
            <w:top w:val="none" w:sz="0" w:space="0" w:color="auto"/>
            <w:left w:val="none" w:sz="0" w:space="0" w:color="auto"/>
            <w:bottom w:val="none" w:sz="0" w:space="0" w:color="auto"/>
            <w:right w:val="none" w:sz="0" w:space="0" w:color="auto"/>
          </w:divBdr>
          <w:divsChild>
            <w:div w:id="409280050">
              <w:marLeft w:val="0"/>
              <w:marRight w:val="0"/>
              <w:marTop w:val="0"/>
              <w:marBottom w:val="0"/>
              <w:divBdr>
                <w:top w:val="none" w:sz="0" w:space="0" w:color="auto"/>
                <w:left w:val="none" w:sz="0" w:space="0" w:color="auto"/>
                <w:bottom w:val="none" w:sz="0" w:space="0" w:color="auto"/>
                <w:right w:val="none" w:sz="0" w:space="0" w:color="auto"/>
              </w:divBdr>
            </w:div>
            <w:div w:id="2010137104">
              <w:marLeft w:val="0"/>
              <w:marRight w:val="0"/>
              <w:marTop w:val="0"/>
              <w:marBottom w:val="0"/>
              <w:divBdr>
                <w:top w:val="none" w:sz="0" w:space="0" w:color="auto"/>
                <w:left w:val="none" w:sz="0" w:space="0" w:color="auto"/>
                <w:bottom w:val="none" w:sz="0" w:space="0" w:color="auto"/>
                <w:right w:val="none" w:sz="0" w:space="0" w:color="auto"/>
              </w:divBdr>
            </w:div>
            <w:div w:id="2038651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147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image" Target="media/image4.png"/><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3.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4.xml"/><Relationship Id="rId28" Type="http://schemas.openxmlformats.org/officeDocument/2006/relationships/footer" Target="footer6.xml"/><Relationship Id="rId10" Type="http://schemas.openxmlformats.org/officeDocument/2006/relationships/footnotes" Target="footnotes.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image" Target="media/image5.png"/><Relationship Id="rId27" Type="http://schemas.openxmlformats.org/officeDocument/2006/relationships/header" Target="header6.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13" Type="http://schemas.openxmlformats.org/officeDocument/2006/relationships/hyperlink" Target="https://ec.europa.eu/commission/commissioners/2019-2024/dalli/announcements/union-equality-first-year-actions-and-achievements_en" TargetMode="External"/><Relationship Id="rId18" Type="http://schemas.openxmlformats.org/officeDocument/2006/relationships/hyperlink" Target="https://agendaforhumanity.org/initiatives/3861" TargetMode="External"/><Relationship Id="rId26" Type="http://schemas.openxmlformats.org/officeDocument/2006/relationships/hyperlink" Target="https://ec.europa.eu/echo/what/humanitarian-aid/humanitarian-air-bridge_en" TargetMode="External"/><Relationship Id="rId39" Type="http://schemas.openxmlformats.org/officeDocument/2006/relationships/hyperlink" Target="https://fts.unocha.org/global-funding/overview/2020" TargetMode="External"/><Relationship Id="rId3" Type="http://schemas.openxmlformats.org/officeDocument/2006/relationships/hyperlink" Target="https://ec.europa.eu/international-partnerships/topics/eu-global-response-covid-19_en" TargetMode="External"/><Relationship Id="rId21" Type="http://schemas.openxmlformats.org/officeDocument/2006/relationships/hyperlink" Target="https://ec.europa.eu/education/sites/default/files/document-library-docs/deap-communication-sept2020_en.pdf" TargetMode="External"/><Relationship Id="rId34" Type="http://schemas.openxmlformats.org/officeDocument/2006/relationships/hyperlink" Target="https://ec.europa.eu/info/strategy/priorities-2019-2024/european-green-deal_ro" TargetMode="External"/><Relationship Id="rId42" Type="http://schemas.openxmlformats.org/officeDocument/2006/relationships/hyperlink" Target="https://www.weforum.org/projects/humanitarian-investing-initiative?emailType=Newsletter" TargetMode="External"/><Relationship Id="rId47" Type="http://schemas.openxmlformats.org/officeDocument/2006/relationships/hyperlink" Target="https://ec.europa.eu/commfrontoffice/publicopinion/index.cfm/survey/getsurveydetail/instruments/special/surveyky/2265" TargetMode="External"/><Relationship Id="rId7" Type="http://schemas.openxmlformats.org/officeDocument/2006/relationships/hyperlink" Target="https://eur-lex.europa.eu/legal-content/RO/TXT/?qid=1431445468547&amp;uri=CELEX:42008X0130(01)" TargetMode="External"/><Relationship Id="rId12" Type="http://schemas.openxmlformats.org/officeDocument/2006/relationships/hyperlink" Target="https://ec.europa.eu/echo/sites/echo-site/files/2019-01_disability_inclusion_guidance_note.pdf." TargetMode="External"/><Relationship Id="rId17" Type="http://schemas.openxmlformats.org/officeDocument/2006/relationships/hyperlink" Target="https://eeas.europa.eu/sites/default/files/en_strategy_on_strengthening_the_eus_contribution_to_rules-based_multilateralism.pdf" TargetMode="External"/><Relationship Id="rId25" Type="http://schemas.openxmlformats.org/officeDocument/2006/relationships/hyperlink" Target="https://ec.europa.eu/research/eic/index.cfm?pg=prizes_aid" TargetMode="External"/><Relationship Id="rId33" Type="http://schemas.openxmlformats.org/officeDocument/2006/relationships/hyperlink" Target="https://www.undrr.org/terminology/early-warning-system" TargetMode="External"/><Relationship Id="rId38" Type="http://schemas.openxmlformats.org/officeDocument/2006/relationships/hyperlink" Target="https://reliefweb.int/report/world/high-level-panel-humanitarian-financing-report-secretary-general-too-important-fail" TargetMode="External"/><Relationship Id="rId46" Type="http://schemas.openxmlformats.org/officeDocument/2006/relationships/hyperlink" Target="https://onu.delegfrance.org/Strengthening-respect-for-international-humanitarian-law" TargetMode="External"/><Relationship Id="rId2" Type="http://schemas.openxmlformats.org/officeDocument/2006/relationships/hyperlink" Target="https://www.unhcr.org/globaltrends2019" TargetMode="External"/><Relationship Id="rId16" Type="http://schemas.openxmlformats.org/officeDocument/2006/relationships/hyperlink" Target="https://eige.europa.eu/topics/health/covid-19-and-gender-equality." TargetMode="External"/><Relationship Id="rId20" Type="http://schemas.openxmlformats.org/officeDocument/2006/relationships/hyperlink" Target="https://data.consilium.europa.eu/doc/document/ST-10184-2015-INIT/ro/pdf" TargetMode="External"/><Relationship Id="rId29" Type="http://schemas.openxmlformats.org/officeDocument/2006/relationships/hyperlink" Target="https://eur-lex.europa.eu/legal-content/RO/TXT/PDF/?uri=CELEX:52020PC0726&amp;from=RO" TargetMode="External"/><Relationship Id="rId41" Type="http://schemas.openxmlformats.org/officeDocument/2006/relationships/hyperlink" Target="https://eur-lex.europa.eu/legal-content/RO/TXT/PDF/?uri=CELEX:52020JC0022&amp;qid=1615308963407&amp;from=RO" TargetMode="External"/><Relationship Id="rId1" Type="http://schemas.openxmlformats.org/officeDocument/2006/relationships/hyperlink" Target="https://fts.unocha.org/" TargetMode="External"/><Relationship Id="rId6" Type="http://schemas.openxmlformats.org/officeDocument/2006/relationships/hyperlink" Target="https://aidworkersecurity.org/incidents/report" TargetMode="External"/><Relationship Id="rId11" Type="http://schemas.openxmlformats.org/officeDocument/2006/relationships/hyperlink" Target="https://www.calltoactiongbv.com/" TargetMode="External"/><Relationship Id="rId24" Type="http://schemas.openxmlformats.org/officeDocument/2006/relationships/hyperlink" Target="https://www.unocha.org/our-work/humanitarian-financing/country-based-pooled-funds-cbpf" TargetMode="External"/><Relationship Id="rId32" Type="http://schemas.openxmlformats.org/officeDocument/2006/relationships/hyperlink" Target="https://data.consilium.europa.eu/doc/document/ST-12741-2020-INIT/en/pdf" TargetMode="External"/><Relationship Id="rId37" Type="http://schemas.openxmlformats.org/officeDocument/2006/relationships/hyperlink" Target="https://eur-lex.europa.eu/legal-content/RO/TXT/PDF/?uri=CELEX:52020JC0011&amp;from=EN" TargetMode="External"/><Relationship Id="rId40" Type="http://schemas.openxmlformats.org/officeDocument/2006/relationships/hyperlink" Target="https://eur-lex.europa.eu/legal-content/RO/TXT/PDF/?uri=CELEX:42017Y0630(01)&amp;from=RO" TargetMode="External"/><Relationship Id="rId45" Type="http://schemas.openxmlformats.org/officeDocument/2006/relationships/hyperlink" Target="https://eur-lex.europa.eu/legal-content/RO/TXT/?uri=CELEX%3A52021DC0032&amp;qid=1611728656387" TargetMode="External"/><Relationship Id="rId5" Type="http://schemas.openxmlformats.org/officeDocument/2006/relationships/hyperlink" Target="https://fts.unocha.org/" TargetMode="External"/><Relationship Id="rId15" Type="http://schemas.openxmlformats.org/officeDocument/2006/relationships/hyperlink" Target="https://www.unwomen.org/en/digital-library/publications/2020/04/policy-brief-the-impact-of-covid-19-on-women" TargetMode="External"/><Relationship Id="rId23" Type="http://schemas.openxmlformats.org/officeDocument/2006/relationships/hyperlink" Target="https://eur-lex.europa.eu/legal-content/RO/TXT/?uri=CELEX%3A32016R0679" TargetMode="External"/><Relationship Id="rId28" Type="http://schemas.openxmlformats.org/officeDocument/2006/relationships/hyperlink" Target="https://eur-lex.europa.eu/legal-content/RO/TXT/PDF/?uri=CELEX:52021DC0035&amp;from=ro" TargetMode="External"/><Relationship Id="rId36" Type="http://schemas.openxmlformats.org/officeDocument/2006/relationships/hyperlink" Target="https://www.unhcr.org/the-global-compact-on-refugees.html" TargetMode="External"/><Relationship Id="rId49" Type="http://schemas.openxmlformats.org/officeDocument/2006/relationships/hyperlink" Target="https://eur-lex.europa.eu/legal-content/RO/TXT/PDF/?uri=CELEX:52021JC0003(01)&amp;qid=1615310183461&amp;from=RO" TargetMode="External"/><Relationship Id="rId10" Type="http://schemas.openxmlformats.org/officeDocument/2006/relationships/hyperlink" Target="https://ec.europa.eu/international-partnerships/news/gender-action-plan-putting-women-and-girls-rights-heart-global-recovery-gender-equal-world_en" TargetMode="External"/><Relationship Id="rId19" Type="http://schemas.openxmlformats.org/officeDocument/2006/relationships/hyperlink" Target="https://ec.europa.eu/research/eic/index.cfm?pg=prizes_aid" TargetMode="External"/><Relationship Id="rId31" Type="http://schemas.openxmlformats.org/officeDocument/2006/relationships/hyperlink" Target="https://www.consilium.europa.eu/media/48057/st05263-en21.pdf" TargetMode="External"/><Relationship Id="rId44" Type="http://schemas.openxmlformats.org/officeDocument/2006/relationships/hyperlink" Target="https://ec.europa.eu/info/sites/info/files/business_economy_euro/banking_and_finance/documents/201116-humanitarian-aid-guidance-note_ro.pdf." TargetMode="External"/><Relationship Id="rId4" Type="http://schemas.openxmlformats.org/officeDocument/2006/relationships/hyperlink" Target="https://fts.unocha.org/" TargetMode="External"/><Relationship Id="rId9" Type="http://schemas.openxmlformats.org/officeDocument/2006/relationships/hyperlink" Target="https://data.consilium.europa.eu/doc/document/ST-5413-2018-INIT/ro/pdf" TargetMode="External"/><Relationship Id="rId14" Type="http://schemas.openxmlformats.org/officeDocument/2006/relationships/hyperlink" Target="https://eur-lex.europa.eu/resource.html?uri=cellar:e9112a36-6e95-11ea-b735-01aa75ed71a1.0017.02/DOC_2&amp;format=PDF" TargetMode="External"/><Relationship Id="rId22" Type="http://schemas.openxmlformats.org/officeDocument/2006/relationships/hyperlink" Target="https://ec.europa.eu/echo/essn_en" TargetMode="External"/><Relationship Id="rId27" Type="http://schemas.openxmlformats.org/officeDocument/2006/relationships/hyperlink" Target="https://ec.europa.eu/echo/what/civil-protection/emergency-response-coordination-centre-ercc_en" TargetMode="External"/><Relationship Id="rId30" Type="http://schemas.openxmlformats.org/officeDocument/2006/relationships/hyperlink" Target="https://europa.eu/youth/solidarity_en" TargetMode="External"/><Relationship Id="rId35" Type="http://schemas.openxmlformats.org/officeDocument/2006/relationships/hyperlink" Target="https://ec.europa.eu/echo/files/policies/refugees-idp/Communication_Forced_Displacement_Development_2016.pdf" TargetMode="External"/><Relationship Id="rId43" Type="http://schemas.openxmlformats.org/officeDocument/2006/relationships/hyperlink" Target="https://eur-lex.europa.eu/legal-content/RO/TXT/?uri=LEGISSUM%3Aah0004" TargetMode="External"/><Relationship Id="rId48" Type="http://schemas.openxmlformats.org/officeDocument/2006/relationships/hyperlink" Target="https://ec.europa.eu/echo/what/civil-protection/knowledge-network_en" TargetMode="External"/><Relationship Id="rId8" Type="http://schemas.openxmlformats.org/officeDocument/2006/relationships/hyperlink" Target="https://www.ghdinitiative.org/ghd/gns/principles-good-practice-of-ghd/principles-good-practice-ghd.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BB91CAC2DFD8974B900CA61249209993" ma:contentTypeVersion="4" ma:contentTypeDescription="Create a new document in this library." ma:contentTypeScope="" ma:versionID="59d25af41137023221b44dff94211f7e">
  <xsd:schema xmlns:xsd="http://www.w3.org/2001/XMLSchema" xmlns:xs="http://www.w3.org/2001/XMLSchema" xmlns:p="http://schemas.microsoft.com/office/2006/metadata/properties" xmlns:ns3="712bd83b-922a-4c9e-ba87-6a902829ec20" targetNamespace="http://schemas.microsoft.com/office/2006/metadata/properties" ma:root="true" ma:fieldsID="e6ea4803812d2dc816d7ab3bc901dd60" ns3:_="">
    <xsd:import namespace="712bd83b-922a-4c9e-ba87-6a902829ec20"/>
    <xsd:element name="properties">
      <xsd:complexType>
        <xsd:sequence>
          <xsd:element name="documentManagement">
            <xsd:complexType>
              <xsd:all>
                <xsd:element ref="ns3:EC_Collab_Reference" minOccurs="0"/>
                <xsd:element ref="ns3:EC_Collab_DocumentLanguage"/>
                <xsd:element ref="ns3:EC_Collab_Status"/>
                <xsd:element ref="ns3:EC_ARES_NUMBER" minOccurs="0"/>
                <xsd:element ref="ns3:EC_ARES_DATE_TRANSFERRED" minOccurs="0"/>
                <xsd:element ref="ns3:EC_ARES_TRANSFERRED_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2bd83b-922a-4c9e-ba87-6a902829ec20"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3"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4"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EC_ARES_NUMBER" ma:index="15"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16" nillable="true" ma:displayName="Transferred to Ares" ma:format="DateTime" ma:hidden="true" ma:internalName="EC_ARES_DATE_TRANSFERRED">
      <xsd:simpleType>
        <xsd:restriction base="dms:DateTime"/>
      </xsd:simpleType>
    </xsd:element>
    <xsd:element name="EC_ARES_TRANSFERRED_BY" ma:index="17" nillable="true" ma:displayName="Transferred By" ma:hidden="true" ma:internalName="EC_ARES_TRANSFERRED_B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EC_Collab_Status xmlns="712bd83b-922a-4c9e-ba87-6a902829ec20">Not Started</EC_Collab_Status>
    <EC_Collab_DocumentLanguage xmlns="712bd83b-922a-4c9e-ba87-6a902829ec20">EN</EC_Collab_DocumentLanguage>
    <EC_Collab_Reference xmlns="712bd83b-922a-4c9e-ba87-6a902829ec20" xsi:nil="true"/>
    <EC_ARES_TRANSFERRED_BY xmlns="712bd83b-922a-4c9e-ba87-6a902829ec20" xsi:nil="true"/>
    <EC_ARES_DATE_TRANSFERRED xmlns="712bd83b-922a-4c9e-ba87-6a902829ec20" xsi:nil="true"/>
    <EC_ARES_NUMBER xmlns="712bd83b-922a-4c9e-ba87-6a902829ec20">
      <Url xsi:nil="true"/>
      <Description xsi:nil="true"/>
    </EC_ARES_NUMBER>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138F23-7A3A-42CB-9AA7-3C8C648C87E9}">
  <ds:schemaRefs>
    <ds:schemaRef ds:uri="http://schemas.microsoft.com/sharepoint/v3/contenttype/forms"/>
  </ds:schemaRefs>
</ds:datastoreItem>
</file>

<file path=customXml/itemProps2.xml><?xml version="1.0" encoding="utf-8"?>
<ds:datastoreItem xmlns:ds="http://schemas.openxmlformats.org/officeDocument/2006/customXml" ds:itemID="{806C93A6-BE21-4326-87CB-B47AB1DC24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2bd83b-922a-4c9e-ba87-6a902829ec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96356AB-9D0D-42E3-B33E-F4155831ACF5}">
  <ds:schemaRefs>
    <ds:schemaRef ds:uri="http://purl.org/dc/terms/"/>
    <ds:schemaRef ds:uri="http://schemas.microsoft.com/office/2006/documentManagement/types"/>
    <ds:schemaRef ds:uri="http://purl.org/dc/dcmitype/"/>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712bd83b-922a-4c9e-ba87-6a902829ec20"/>
    <ds:schemaRef ds:uri="http://www.w3.org/XML/1998/namespace"/>
  </ds:schemaRefs>
</ds:datastoreItem>
</file>

<file path=customXml/itemProps4.xml><?xml version="1.0" encoding="utf-8"?>
<ds:datastoreItem xmlns:ds="http://schemas.openxmlformats.org/officeDocument/2006/customXml" ds:itemID="{A112F663-E295-42E0-8B5E-14B1EBDD7C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9198</Words>
  <Characters>54821</Characters>
  <Application>Microsoft Office Word</Application>
  <DocSecurity>0</DocSecurity>
  <Lines>913</Lines>
  <Paragraphs>211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63808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2021-03-09T13:57:00Z</dcterms:created>
  <dcterms:modified xsi:type="dcterms:W3CDTF">2021-03-11T22:08:00Z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Last edited using">
    <vt:lpwstr>LW 7.0.1, Build 20190916</vt:lpwstr>
  </property>
  <property fmtid="{D5CDD505-2E9C-101B-9397-08002B2CF9AE}" pid="4" name="DocStatus">
    <vt:lpwstr>Green</vt:lpwstr>
  </property>
  <property fmtid="{D5CDD505-2E9C-101B-9397-08002B2CF9AE}" pid="5" name="Part">
    <vt:lpwstr>1</vt:lpwstr>
  </property>
  <property fmtid="{D5CDD505-2E9C-101B-9397-08002B2CF9AE}" pid="6" name="Total parts">
    <vt:lpwstr>1</vt:lpwstr>
  </property>
  <property fmtid="{D5CDD505-2E9C-101B-9397-08002B2CF9AE}" pid="7" name="CPTemplateID">
    <vt:lpwstr>CP-012</vt:lpwstr>
  </property>
  <property fmtid="{D5CDD505-2E9C-101B-9397-08002B2CF9AE}" pid="8" name="_LW_INVALIDATED__LW_INVALIDATED__LW_INVALIDATED__LW_INVALIDATED__LW_INVALIDATED__LW_INVALIDATED__LW_INVALIDATED__LW_INVALIDATED__LW_INVALIDATED__LW_INVALIDATED_ContentTypeId">
    <vt:lpwstr>0x010100258AA79CEB83498886A3A0868112325000F02A4B06A2E3C949978FC01F6AD4C347</vt:lpwstr>
  </property>
  <property fmtid="{D5CDD505-2E9C-101B-9397-08002B2CF9AE}" pid="9" name="_LW_INVALIDATED__LW_INVALIDATED__LW_INVALIDATED__LW_INVALIDATED__LW_INVALIDATED__LW_INVALIDATED__LW_INVALIDATED__LW_INVALIDATED__LW_INVALIDATED_ContentTypeId">
    <vt:lpwstr>0x010100258AA79CEB83498886A3A0868112325000BB91CAC2DFD8974B900CA61249209993</vt:lpwstr>
  </property>
</Properties>
</file>