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245051B-1876-427C-8D58-3C87A71117E0" style="width:450.4pt;height:347.7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Bdr>
          <w:top w:val="single" w:sz="4" w:space="1" w:color="auto"/>
          <w:left w:val="single" w:sz="4" w:space="4" w:color="auto"/>
          <w:bottom w:val="single" w:sz="4" w:space="1" w:color="auto"/>
          <w:right w:val="single" w:sz="4" w:space="4" w:color="auto"/>
        </w:pBdr>
        <w:autoSpaceDE w:val="0"/>
        <w:autoSpaceDN w:val="0"/>
        <w:adjustRightInd w:val="0"/>
        <w:spacing w:after="120" w:line="288" w:lineRule="auto"/>
        <w:jc w:val="center"/>
        <w:rPr>
          <w:rFonts w:ascii="Times New Roman" w:hAnsi="Times New Roman" w:cs="Times New Roman"/>
          <w:noProof/>
          <w:sz w:val="24"/>
          <w:szCs w:val="24"/>
        </w:rPr>
      </w:pPr>
      <w:bookmarkStart w:id="1" w:name="_GoBack"/>
      <w:bookmarkEnd w:id="1"/>
      <w:r>
        <w:rPr>
          <w:rFonts w:ascii="Times New Roman" w:hAnsi="Times New Roman"/>
          <w:i/>
          <w:noProof/>
          <w:sz w:val="24"/>
          <w:szCs w:val="24"/>
        </w:rPr>
        <w:lastRenderedPageBreak/>
        <w:t>Avem nevoie de o strategie care să îi includă pe toți copiii și care să îi sprijine pe copiii aflați în situații vulnerabile, așa cum avem nevoie de o strategie care să ne promoveze și să ne sprijine dreptul de a participa la deciziile care ne afectează. Pentru că nimic din ceea ce se decide pentru copii nu ar trebui să se decidă fără copii. Este momentul să normalizăm participarea copiilor.</w:t>
      </w:r>
      <w:r>
        <w:rPr>
          <w:rFonts w:ascii="Times New Roman" w:hAnsi="Times New Roman"/>
          <w:noProof/>
          <w:sz w:val="24"/>
          <w:szCs w:val="24"/>
        </w:rPr>
        <w:t xml:space="preserve"> </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88" w:lineRule="auto"/>
        <w:jc w:val="center"/>
        <w:rPr>
          <w:rFonts w:ascii="Times New Roman" w:hAnsi="Times New Roman" w:cs="Times New Roman"/>
          <w:noProof/>
          <w:sz w:val="24"/>
          <w:szCs w:val="24"/>
        </w:rPr>
      </w:pPr>
      <w:r>
        <w:rPr>
          <w:rFonts w:ascii="Times New Roman" w:hAnsi="Times New Roman"/>
          <w:noProof/>
          <w:sz w:val="20"/>
          <w:szCs w:val="20"/>
        </w:rPr>
        <w:t>(Concluziile copiilor, cel de Al 13-lea Forum european privind drepturile copilului, 2020).</w:t>
      </w:r>
    </w:p>
    <w:p>
      <w:pPr>
        <w:keepNext/>
        <w:keepLines/>
        <w:spacing w:after="120" w:line="240" w:lineRule="auto"/>
        <w:jc w:val="both"/>
        <w:outlineLvl w:val="0"/>
        <w:rPr>
          <w:rFonts w:ascii="Times New Roman" w:eastAsiaTheme="majorEastAsia" w:hAnsi="Times New Roman" w:cs="Times New Roman"/>
          <w:b/>
          <w:noProof/>
          <w:color w:val="1F497D" w:themeColor="text2"/>
          <w:sz w:val="24"/>
          <w:szCs w:val="24"/>
        </w:rPr>
      </w:pPr>
    </w:p>
    <w:p>
      <w:pPr>
        <w:keepNext/>
        <w:keepLines/>
        <w:spacing w:after="120" w:line="240" w:lineRule="auto"/>
        <w:jc w:val="both"/>
        <w:outlineLvl w:val="0"/>
        <w:rPr>
          <w:rFonts w:ascii="Times New Roman" w:eastAsiaTheme="majorEastAsia" w:hAnsi="Times New Roman" w:cs="Times New Roman"/>
          <w:b/>
          <w:noProof/>
          <w:color w:val="365F91" w:themeColor="accent1" w:themeShade="BF"/>
          <w:sz w:val="24"/>
          <w:szCs w:val="24"/>
        </w:rPr>
      </w:pPr>
      <w:r>
        <w:rPr>
          <w:rFonts w:ascii="Times New Roman" w:hAnsi="Times New Roman"/>
          <w:b/>
          <w:noProof/>
          <w:color w:val="1F497D" w:themeColor="text2"/>
          <w:sz w:val="24"/>
          <w:szCs w:val="24"/>
        </w:rPr>
        <w:t>Introducere</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 xml:space="preserve">Drepturile copiilor sunt drepturi ale omului. </w:t>
      </w:r>
      <w:r>
        <w:rPr>
          <w:rFonts w:ascii="Times New Roman" w:hAnsi="Times New Roman"/>
          <w:noProof/>
          <w:sz w:val="24"/>
          <w:szCs w:val="24"/>
        </w:rPr>
        <w:t xml:space="preserve">Fiecare copil din Europa și din întreaga lume ar trebui să se bucure de aceleași drepturi și să poată trăi fără a fi discriminat, pus la zid sau intimidat în orice fel.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Acesta este un imperativ social, moral și uman de care depind copiii – care reprezintă aproape o cincime din persoanele care trăiesc în UE</w:t>
      </w:r>
      <w:r>
        <w:rPr>
          <w:rFonts w:ascii="Times New Roman" w:eastAsiaTheme="majorEastAsia" w:hAnsi="Times New Roman" w:cs="Times New Roman"/>
          <w:noProof/>
          <w:sz w:val="24"/>
          <w:szCs w:val="24"/>
          <w:vertAlign w:val="superscript"/>
        </w:rPr>
        <w:footnoteReference w:id="2"/>
      </w:r>
      <w:r>
        <w:rPr>
          <w:rFonts w:ascii="Times New Roman" w:hAnsi="Times New Roman"/>
          <w:noProof/>
          <w:sz w:val="24"/>
          <w:szCs w:val="24"/>
        </w:rPr>
        <w:t xml:space="preserve"> și o treime din populația lumii</w:t>
      </w:r>
      <w:r>
        <w:rPr>
          <w:rFonts w:ascii="Times New Roman" w:eastAsiaTheme="majorEastAsia" w:hAnsi="Times New Roman" w:cs="Times New Roman"/>
          <w:noProof/>
          <w:sz w:val="24"/>
          <w:szCs w:val="24"/>
          <w:vertAlign w:val="superscript"/>
        </w:rPr>
        <w:footnoteReference w:id="3"/>
      </w:r>
      <w:r>
        <w:rPr>
          <w:rFonts w:ascii="Times New Roman" w:hAnsi="Times New Roman"/>
          <w:noProof/>
          <w:sz w:val="24"/>
          <w:szCs w:val="24"/>
        </w:rPr>
        <w:t xml:space="preserve"> – și comunitatea în ansamblu. Este important să se garanteze că toți copiii își pot valorifica potențialul și pot juca un rol de lider în societate – fie că este vorba despre lupta pentru echitate și egalitate, de consolidarea democrației sau de impulsionarea dublei tranziții verzi și digitale.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Acesta este motivul pentru care </w:t>
      </w:r>
      <w:r>
        <w:rPr>
          <w:rFonts w:ascii="Times New Roman" w:hAnsi="Times New Roman"/>
          <w:b/>
          <w:noProof/>
          <w:sz w:val="24"/>
          <w:szCs w:val="24"/>
        </w:rPr>
        <w:t>protecția și promovarea drepturilor copilului reprezintă unul dintre obiectivele fundamentale ale activității Uniunii Europene</w:t>
      </w:r>
      <w:r>
        <w:rPr>
          <w:rFonts w:ascii="Times New Roman" w:hAnsi="Times New Roman"/>
          <w:noProof/>
          <w:sz w:val="24"/>
          <w:szCs w:val="24"/>
        </w:rPr>
        <w:t xml:space="preserve"> în interiorul său și dincolo de frontierele sale</w:t>
      </w:r>
      <w:r>
        <w:rPr>
          <w:rFonts w:ascii="Times New Roman" w:eastAsiaTheme="majorEastAsia" w:hAnsi="Times New Roman" w:cs="Times New Roman"/>
          <w:noProof/>
          <w:sz w:val="24"/>
          <w:szCs w:val="24"/>
          <w:vertAlign w:val="superscript"/>
        </w:rPr>
        <w:footnoteReference w:id="4"/>
      </w:r>
      <w:r>
        <w:rPr>
          <w:rFonts w:ascii="Times New Roman" w:hAnsi="Times New Roman"/>
          <w:noProof/>
          <w:sz w:val="24"/>
          <w:szCs w:val="24"/>
        </w:rPr>
        <w:t xml:space="preserve">. Drepturile copilului sunt consacrate în </w:t>
      </w:r>
      <w:r>
        <w:rPr>
          <w:rFonts w:ascii="Times New Roman" w:hAnsi="Times New Roman"/>
          <w:noProof/>
          <w:sz w:val="24"/>
          <w:szCs w:val="24"/>
          <w:shd w:val="clear" w:color="auto" w:fill="FFFFFF"/>
        </w:rPr>
        <w:t>Carta drepturilor fundamentale a UE</w:t>
      </w:r>
      <w:r>
        <w:rPr>
          <w:rFonts w:ascii="Times New Roman" w:hAnsi="Times New Roman" w:cs="Times New Roman"/>
          <w:noProof/>
          <w:sz w:val="24"/>
          <w:szCs w:val="24"/>
          <w:shd w:val="clear" w:color="auto" w:fill="FFFFFF"/>
          <w:vertAlign w:val="superscript"/>
        </w:rPr>
        <w:footnoteReference w:id="5"/>
      </w:r>
      <w:r>
        <w:rPr>
          <w:rFonts w:ascii="Times New Roman" w:hAnsi="Times New Roman"/>
          <w:noProof/>
          <w:sz w:val="24"/>
          <w:szCs w:val="24"/>
          <w:shd w:val="clear" w:color="auto" w:fill="FFFFFF"/>
        </w:rPr>
        <w:t>, care garantează protecția acestor drepturi în punerea în aplicare a dreptului Uniunii. Acestea acoperă toate domeniile de politică și fac parte din prioritățile de bază ale Comisiei Europene, astfel cum sunt prevăzute în Orientările politice ale președintei von der Leyen</w:t>
      </w:r>
      <w:r>
        <w:rPr>
          <w:rStyle w:val="FootnoteReference"/>
          <w:rFonts w:ascii="Times New Roman" w:hAnsi="Times New Roman" w:cs="Times New Roman"/>
          <w:noProof/>
          <w:sz w:val="24"/>
          <w:szCs w:val="24"/>
          <w:shd w:val="clear" w:color="auto" w:fill="FFFFFF"/>
        </w:rPr>
        <w:footnoteReference w:id="6"/>
      </w:r>
      <w:r>
        <w:rPr>
          <w:rFonts w:ascii="Times New Roman" w:hAnsi="Times New Roman"/>
          <w:noProof/>
          <w:sz w:val="24"/>
          <w:szCs w:val="24"/>
          <w:shd w:val="clear" w:color="auto" w:fill="FFFFFF"/>
        </w:rPr>
        <w:t xml:space="preserve">. </w:t>
      </w:r>
    </w:p>
    <w:p>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b/>
          <w:noProof/>
          <w:color w:val="000000" w:themeColor="text1"/>
          <w:sz w:val="24"/>
          <w:szCs w:val="24"/>
        </w:rPr>
        <w:t>Principalul obiectiv ambițios al prezentei strategii este de a le oferi copiilor din Uniunea Europeană și din întreaga lume cea mai bună viață posibilă</w:t>
      </w:r>
      <w:r>
        <w:rPr>
          <w:rFonts w:ascii="Times New Roman" w:hAnsi="Times New Roman"/>
          <w:noProof/>
          <w:color w:val="000000" w:themeColor="text1"/>
          <w:sz w:val="24"/>
          <w:szCs w:val="24"/>
        </w:rPr>
        <w:t>.</w:t>
      </w:r>
      <w:r>
        <w:rPr>
          <w:rFonts w:ascii="Times New Roman" w:hAnsi="Times New Roman"/>
          <w:noProof/>
          <w:color w:val="000000" w:themeColor="text1"/>
          <w:sz w:val="24"/>
          <w:szCs w:val="24"/>
          <w:shd w:val="clear" w:color="auto" w:fill="FFFFFF"/>
        </w:rPr>
        <w:t xml:space="preserve"> Strategia reafirmă drepturile și rolul copiilor în societatea noastră. Copiii ne inspiră și</w:t>
      </w:r>
      <w:r>
        <w:rPr>
          <w:rFonts w:ascii="Times New Roman" w:hAnsi="Times New Roman"/>
          <w:noProof/>
          <w:color w:val="000000" w:themeColor="text1"/>
          <w:sz w:val="24"/>
          <w:szCs w:val="24"/>
        </w:rPr>
        <w:t xml:space="preserve"> se află în prima linie în ceea ce privește sensibilizarea cu privire la crizele legate de natură și schimbările climatice, discriminare și nedreptate. Ei sunt atât cetățenii și liderii de astăzi, cât și liderii de mâine.</w:t>
      </w:r>
      <w:r>
        <w:rPr>
          <w:rFonts w:ascii="Times New Roman" w:hAnsi="Times New Roman"/>
          <w:noProof/>
          <w:color w:val="000000" w:themeColor="text1"/>
          <w:sz w:val="24"/>
          <w:szCs w:val="24"/>
          <w:shd w:val="clear" w:color="auto" w:fill="FFFFFF"/>
        </w:rPr>
        <w:t xml:space="preserve"> Obiectivul prezentei strategii este de a ne stimula să ne asumăm responsabilitatea comună de a ne uni forțele pentru a respecta, a proteja și a pune în aplicare drepturile fiecărui copil</w:t>
      </w:r>
      <w:r>
        <w:rPr>
          <w:rFonts w:ascii="Times New Roman" w:hAnsi="Times New Roman"/>
          <w:noProof/>
          <w:color w:val="000000" w:themeColor="text1"/>
          <w:sz w:val="24"/>
          <w:szCs w:val="24"/>
        </w:rPr>
        <w:t xml:space="preserve"> și de a construi împreună cu copiii societăți mai sănătoase, mai reziliente, mai echitabile și mai egale pentru toți.</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Convenția Organizației Națiunilor Unite cu privire la drepturile copilului</w:t>
      </w:r>
      <w:r>
        <w:rPr>
          <w:rStyle w:val="FootnoteReference"/>
          <w:rFonts w:ascii="Times New Roman" w:eastAsiaTheme="majorEastAsia" w:hAnsi="Times New Roman" w:cs="Times New Roman"/>
          <w:noProof/>
          <w:sz w:val="24"/>
          <w:szCs w:val="24"/>
        </w:rPr>
        <w:footnoteReference w:id="7"/>
      </w:r>
      <w:r>
        <w:rPr>
          <w:rFonts w:ascii="Times New Roman" w:hAnsi="Times New Roman"/>
          <w:noProof/>
          <w:sz w:val="24"/>
          <w:szCs w:val="24"/>
        </w:rPr>
        <w:t xml:space="preserve"> (CDC), pe care toate statele membre ale UE au ratificat-o, continuă să ne orienteze acțiunile în acest domeniu. La peste 30 de ani de la intrarea sa în vigoare, s-au înregistrat progrese semnificative și se recunoaște tot mai mult faptul că toți copiii au drepturi care le sunt proprii. </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Convenția recunoaște dreptul tuturor copiilor de a beneficia de cel mai bun start posibil în viață, de a crește fericiți și sănătoși și de a-și valorifica întregul potențial. Aceasta include dreptul de a trăi pe o planetă curată și sănătoasă, într-un mediu care oferă protecție și îngrijire, de a se relaxa, de a se juca și de a profita de activități culturale și artistice, precum și dreptul de a se bucura de mediul natural, respectându-l în același timp. Familiile și comunitățile trebuie, de asemenea, să beneficieze de sprijinul necesar pentru a putea asigura bunăstarea și dezvoltarea copiilor.</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b/>
          <w:noProof/>
          <w:sz w:val="24"/>
          <w:szCs w:val="24"/>
        </w:rPr>
        <w:t>Niciodată până acum copiii din UE nu au beneficiat de drepturile, oportunitățile și securitatea de care se bucură astăzi</w:t>
      </w:r>
      <w:r>
        <w:rPr>
          <w:rFonts w:ascii="Times New Roman" w:hAnsi="Times New Roman"/>
          <w:noProof/>
          <w:sz w:val="24"/>
          <w:szCs w:val="24"/>
        </w:rPr>
        <w:t xml:space="preserve">. Acest lucru se datorează în special acțiunilor politice, legislației și finanțării UE din ultimul deceniu și colaborării cu statele membre. În ultimele decenii, Comisia a prezentat inițiative importante vizând combaterea traficului de copii, a abuzului sexual asupra copiilor, a exploatării sexuale a copiilor și a dispariției copiilor, precum și promovarea unor sisteme de justiție în interesul copilului. Am elaborat și am inclus dispoziții favorabile copiilor în politicile și legislația în materie de azil și migrație. Ne-am intensificat eforturile pentru a face internetul mai sigur pentru copii și pentru a combate în continuare sărăcia și excluziunea socială. Orientările UE revizuite din 2017 pentru promovarea și protecția drepturilor copilului au reprezentat o etapă importantă pentru drepturile copiilor la nivel mondial, împreună cu numeroasele programe umanitare și de dezvoltare care promovează dreptul la sănătate și educație. Impactul acestor inițiative a îmbunătățit în mare măsură viața copiilor din UE și exercitarea concretă a drepturilor acestora. </w:t>
      </w:r>
    </w:p>
    <w:p>
      <w:pPr>
        <w:spacing w:after="120" w:line="240" w:lineRule="auto"/>
        <w:jc w:val="both"/>
        <w:rPr>
          <w:rFonts w:ascii="Times New Roman" w:eastAsiaTheme="majorEastAsia" w:hAnsi="Times New Roman" w:cs="Times New Roman"/>
          <w:noProof/>
          <w:sz w:val="24"/>
          <w:szCs w:val="24"/>
        </w:rPr>
      </w:pPr>
      <w:r>
        <w:rPr>
          <w:rFonts w:ascii="Times New Roman" w:hAnsi="Times New Roman"/>
          <w:b/>
          <w:noProof/>
          <w:sz w:val="24"/>
          <w:szCs w:val="24"/>
        </w:rPr>
        <w:t>Aceste progrese au fost obținute cu multă trudă, dar nu ar trebui considerate ca fiind de la sine înțelese.</w:t>
      </w:r>
      <w:r>
        <w:rPr>
          <w:rFonts w:ascii="Times New Roman" w:hAnsi="Times New Roman"/>
          <w:noProof/>
          <w:sz w:val="24"/>
          <w:szCs w:val="24"/>
        </w:rPr>
        <w:t xml:space="preserve"> Acum este momentul să valorificăm aceste eforturi, </w:t>
      </w:r>
      <w:r>
        <w:rPr>
          <w:rFonts w:ascii="Times New Roman" w:hAnsi="Times New Roman"/>
          <w:noProof/>
          <w:sz w:val="24"/>
          <w:szCs w:val="24"/>
          <w:shd w:val="clear" w:color="auto" w:fill="FFFFFF"/>
        </w:rPr>
        <w:t>să abordăm provocările persistente și emergente</w:t>
      </w:r>
      <w:r>
        <w:rPr>
          <w:rFonts w:ascii="Times New Roman" w:hAnsi="Times New Roman"/>
          <w:noProof/>
          <w:sz w:val="24"/>
          <w:szCs w:val="24"/>
        </w:rPr>
        <w:t xml:space="preserve"> și să definim o strategie cuprinzătoare pentru protejarea și promovarea drepturilor copiilor într-o lume aflată în continuă schimbare. </w:t>
      </w:r>
    </w:p>
    <w:p>
      <w:pPr>
        <w:autoSpaceDE w:val="0"/>
        <w:autoSpaceDN w:val="0"/>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szCs w:val="24"/>
        </w:rPr>
        <w:t xml:space="preserve">Prea mulți copii se confruntă încă cu încălcări grave și frecvente ale drepturilor lor. Copiii continuă să fie victime ale diferitelor forme de violență și suferă ca urmare a excluziunii socioeconomice și a discriminării, în special pe motive de sex, orientare sexuală, origine rasială sau etnică, religie sau convingeri, handicap – a lor sau a părinților lor. Preocupările copiilor nu sunt suficient ascultate, iar opiniile lor nu sunt luate suficient în considerare în ceea ce privește chestiuni importante pentru ei. </w:t>
      </w:r>
    </w:p>
    <w:p>
      <w:pPr>
        <w:spacing w:after="120" w:line="240" w:lineRule="auto"/>
        <w:jc w:val="both"/>
        <w:rPr>
          <w:rFonts w:ascii="Times New Roman" w:hAnsi="Times New Roman" w:cs="Times New Roman"/>
          <w:noProof/>
          <w:sz w:val="24"/>
          <w:szCs w:val="24"/>
          <w:shd w:val="clear" w:color="auto" w:fill="FFFFFF"/>
        </w:rPr>
      </w:pPr>
      <w:r>
        <w:rPr>
          <w:rFonts w:ascii="Times New Roman" w:hAnsi="Times New Roman"/>
          <w:b/>
          <w:noProof/>
          <w:sz w:val="24"/>
          <w:szCs w:val="24"/>
        </w:rPr>
        <w:t>Pandemia de COVID-19 a exacerbat provocările și inegalitățile existente și a creat altele noi</w:t>
      </w:r>
      <w:r>
        <w:rPr>
          <w:rFonts w:ascii="Times New Roman" w:hAnsi="Times New Roman"/>
          <w:noProof/>
          <w:sz w:val="24"/>
          <w:szCs w:val="24"/>
        </w:rPr>
        <w:t>.</w:t>
      </w:r>
      <w:r>
        <w:rPr>
          <w:rFonts w:ascii="Times New Roman" w:hAnsi="Times New Roman"/>
          <w:noProof/>
          <w:sz w:val="24"/>
          <w:szCs w:val="24"/>
          <w:shd w:val="clear" w:color="auto" w:fill="FFFFFF"/>
        </w:rPr>
        <w:t xml:space="preserve"> Copiii au fost expuși la creșterea violenței domestice, a abuzurilor și a exploatării online și la hărțuirea pe internet</w:t>
      </w:r>
      <w:r>
        <w:rPr>
          <w:rFonts w:ascii="Times New Roman" w:hAnsi="Times New Roman" w:cs="Times New Roman"/>
          <w:noProof/>
          <w:sz w:val="24"/>
          <w:szCs w:val="24"/>
          <w:shd w:val="clear" w:color="auto" w:fill="FFFFFF"/>
          <w:vertAlign w:val="superscript"/>
        </w:rPr>
        <w:footnoteReference w:id="8"/>
      </w:r>
      <w:r>
        <w:rPr>
          <w:rFonts w:ascii="Times New Roman" w:hAnsi="Times New Roman"/>
          <w:noProof/>
          <w:sz w:val="24"/>
          <w:szCs w:val="24"/>
        </w:rPr>
        <w:t>, iar numărul de materiale partajate online care conțin abuzuri sexuale asupra copiilor</w:t>
      </w:r>
      <w:r>
        <w:rPr>
          <w:rFonts w:ascii="Times New Roman" w:hAnsi="Times New Roman" w:cs="Times New Roman"/>
          <w:noProof/>
          <w:sz w:val="24"/>
          <w:szCs w:val="24"/>
          <w:vertAlign w:val="superscript"/>
        </w:rPr>
        <w:footnoteReference w:id="9"/>
      </w:r>
      <w:r>
        <w:rPr>
          <w:rFonts w:ascii="Times New Roman" w:hAnsi="Times New Roman"/>
          <w:noProof/>
          <w:sz w:val="24"/>
          <w:szCs w:val="24"/>
        </w:rPr>
        <w:t xml:space="preserve"> a crescut. </w:t>
      </w:r>
      <w:r>
        <w:rPr>
          <w:rFonts w:ascii="Times New Roman" w:hAnsi="Times New Roman"/>
          <w:noProof/>
          <w:sz w:val="24"/>
          <w:szCs w:val="24"/>
          <w:shd w:val="clear" w:color="auto" w:fill="FFFFFF"/>
        </w:rPr>
        <w:t>Procedurile de azil sau de reîntregire a familiei au înregistrat întârzieri. Trecerea la învățământul la distanță a afectat în mod disproporționat copiii foarte mici, cei cu nevoi speciale, cei care trăiesc în sărăcie, cei din comunitățile marginalizate, cum sunt copiii romi, și din zonele îndepărtate și rurale, care nu au conexiune la internet și nici acces la echipamente informatice. Mulți copii nu au mai putut lua o masă pe zi, cea mai nutritivă, și nu au mai avut acces la serviciile oferite de școală. Pandemia a afectat, de asemenea, puternic sănătatea mintală a copiilor, înregistrându-se o creștere a nivelului de anxietate și stres și a sentimentului de singurătate. Mulți dintre ei nu au putut participa la activități sportive, recreative, artistice și culturale, care sunt esențiale pentru dezvoltarea și bunăstarea lor.</w:t>
      </w:r>
    </w:p>
    <w:p>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 xml:space="preserve">UE are nevoie de o abordare nouă și cuprinzătoare pentru a reflecta noile realități și provocările permanente. </w:t>
      </w:r>
      <w:r>
        <w:rPr>
          <w:rFonts w:ascii="Times New Roman" w:hAnsi="Times New Roman"/>
          <w:noProof/>
          <w:sz w:val="24"/>
          <w:szCs w:val="24"/>
          <w:shd w:val="clear" w:color="auto" w:fill="FFFFFF"/>
        </w:rPr>
        <w:t>Prin adoptarea acestei prime strategii cuprinzătoare privind drepturile copilului, Comisia se angajează să plaseze copiii și interesul superior al acestora în centrul politicilor UE, prin intermediul acțiunilor sale interne și externe și în conformitate cu principiul subsidiarității. Prezenta strategie vizează reunirea tuturor instrumentelor legislative, de politică și de finanțare, mai noi și mai vechi, ale UE într-un singur cadru cuprinzător.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Aceasta propune o serie de acțiuni specifice în </w:t>
      </w:r>
      <w:r>
        <w:rPr>
          <w:rFonts w:ascii="Times New Roman" w:hAnsi="Times New Roman"/>
          <w:b/>
          <w:bCs/>
          <w:noProof/>
          <w:sz w:val="24"/>
          <w:szCs w:val="24"/>
        </w:rPr>
        <w:t>șase domenii tematice</w:t>
      </w:r>
      <w:r>
        <w:rPr>
          <w:rFonts w:ascii="Times New Roman" w:hAnsi="Times New Roman"/>
          <w:noProof/>
          <w:sz w:val="24"/>
          <w:szCs w:val="24"/>
        </w:rPr>
        <w:t xml:space="preserve">, fiecare definind prioritățile pentru acțiunea UE în următorii ani. La aceasta va contribui consolidarea </w:t>
      </w:r>
      <w:r>
        <w:rPr>
          <w:rFonts w:ascii="Times New Roman" w:hAnsi="Times New Roman"/>
          <w:b/>
          <w:noProof/>
          <w:sz w:val="24"/>
          <w:szCs w:val="24"/>
        </w:rPr>
        <w:t>integrării drepturilor copiilor</w:t>
      </w:r>
      <w:r>
        <w:rPr>
          <w:rFonts w:ascii="Times New Roman" w:hAnsi="Times New Roman"/>
          <w:noProof/>
          <w:sz w:val="24"/>
          <w:szCs w:val="24"/>
        </w:rPr>
        <w:t xml:space="preserve"> în toate politicile relevante ale UE. Nevoile specifice ale anumitor grupuri de copii, inclusiv ale celor aflați în situații de vulnerabilitate multiplă și care se confruntă cu forme intersecționale de discriminare, sunt luate în considerare în mod corespunzător.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Prezenta strategie se bazează pe comunicările anterioare ale Comisiei privind drepturile copilului</w:t>
      </w:r>
      <w:r>
        <w:rPr>
          <w:rFonts w:ascii="Times New Roman" w:hAnsi="Times New Roman" w:cs="Times New Roman"/>
          <w:noProof/>
          <w:sz w:val="24"/>
          <w:szCs w:val="24"/>
          <w:shd w:val="clear" w:color="auto" w:fill="FFFFFF"/>
          <w:vertAlign w:val="superscript"/>
        </w:rPr>
        <w:footnoteReference w:id="10"/>
      </w:r>
      <w:r>
        <w:rPr>
          <w:rFonts w:ascii="Times New Roman" w:hAnsi="Times New Roman"/>
          <w:noProof/>
          <w:sz w:val="24"/>
          <w:szCs w:val="24"/>
        </w:rPr>
        <w:t xml:space="preserve"> și pe cadrul juridic și de politică existent</w:t>
      </w:r>
      <w:r>
        <w:rPr>
          <w:rFonts w:ascii="Times New Roman" w:hAnsi="Times New Roman" w:cs="Times New Roman"/>
          <w:noProof/>
          <w:sz w:val="24"/>
          <w:szCs w:val="24"/>
          <w:vertAlign w:val="superscript"/>
        </w:rPr>
        <w:footnoteReference w:id="11"/>
      </w:r>
      <w:r>
        <w:rPr>
          <w:rFonts w:ascii="Times New Roman" w:hAnsi="Times New Roman"/>
          <w:noProof/>
          <w:sz w:val="24"/>
          <w:szCs w:val="24"/>
        </w:rPr>
        <w:t>. Aceasta contribuie, de asemenea, la realizarea obiectivelor Pilonului european al drepturilor sociale</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Ancorată în CDC și în cele trei protocoale opționale ale acesteia și în Convenția Națiunilor Unite privind drepturile persoanelor cu handicap (CRPD)</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strategia va contribui la realizarea obiectivelor de dezvoltare durabilă (ODD) ale Organizației Națiunilor Unite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De asemenea, aceasta face legătura cu standardele Consiliului Europei privind drepturile copilului, precum și cu Strategia sa privind drepturile copilului (2016-2021)</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w:t>
      </w:r>
    </w:p>
    <w:p>
      <w:pPr>
        <w:tabs>
          <w:tab w:val="center" w:pos="4536"/>
        </w:tabs>
        <w:spacing w:after="120" w:line="240" w:lineRule="auto"/>
        <w:jc w:val="both"/>
        <w:rPr>
          <w:rFonts w:ascii="Times New Roman" w:hAnsi="Times New Roman" w:cs="Times New Roman"/>
          <w:noProof/>
          <w:sz w:val="24"/>
          <w:szCs w:val="24"/>
        </w:rPr>
      </w:pPr>
      <w:r>
        <w:rPr>
          <w:rFonts w:ascii="Times New Roman" w:hAnsi="Times New Roman"/>
          <w:noProof/>
          <w:sz w:val="24"/>
          <w:szCs w:val="24"/>
        </w:rPr>
        <w:t>Strategia se bazează pe contribuțiile substanțiale ale Parlamentului European</w:t>
      </w:r>
      <w:r>
        <w:rPr>
          <w:rFonts w:ascii="Times New Roman" w:hAnsi="Times New Roman" w:cs="Times New Roman"/>
          <w:noProof/>
          <w:sz w:val="24"/>
          <w:szCs w:val="24"/>
          <w:vertAlign w:val="superscript"/>
        </w:rPr>
        <w:footnoteReference w:id="16"/>
      </w:r>
      <w:r>
        <w:rPr>
          <w:rFonts w:ascii="Times New Roman" w:hAnsi="Times New Roman"/>
          <w:noProof/>
          <w:sz w:val="24"/>
          <w:szCs w:val="24"/>
        </w:rPr>
        <w:t>, ale statelor membre, ale organizațiilor de apărare a drepturilor copilului, ale altor părți interesate și ale unor persoane fizice, colectate în cursul etapei pregătitoare, inclusiv prin intermediul unei consultări publice deschise</w:t>
      </w:r>
      <w:r>
        <w:rPr>
          <w:rFonts w:ascii="Times New Roman" w:hAnsi="Times New Roman" w:cs="Times New Roman"/>
          <w:noProof/>
          <w:sz w:val="24"/>
          <w:szCs w:val="24"/>
          <w:vertAlign w:val="superscript"/>
          <w:lang w:val="en-IE"/>
        </w:rPr>
        <w:footnoteReference w:id="17"/>
      </w:r>
      <w:r>
        <w:rPr>
          <w:rFonts w:ascii="Times New Roman" w:hAnsi="Times New Roman"/>
          <w:noProof/>
          <w:sz w:val="24"/>
          <w:szCs w:val="24"/>
        </w:rPr>
        <w:t xml:space="preserve"> și al Forumului european privind drepturile copilului din 2020</w:t>
      </w:r>
      <w:r>
        <w:rPr>
          <w:rFonts w:ascii="Times New Roman" w:hAnsi="Times New Roman" w:cs="Times New Roman"/>
          <w:noProof/>
          <w:sz w:val="24"/>
          <w:szCs w:val="24"/>
          <w:vertAlign w:val="superscript"/>
          <w:lang w:val="en-IE"/>
        </w:rPr>
        <w:footnoteReference w:id="18"/>
      </w:r>
      <w:r>
        <w:rPr>
          <w:rFonts w:ascii="Times New Roman" w:hAnsi="Times New Roman"/>
          <w:noProof/>
          <w:sz w:val="24"/>
          <w:szCs w:val="24"/>
        </w:rPr>
        <w:t xml:space="preserve">. </w:t>
      </w:r>
    </w:p>
    <w:p>
      <w:pPr>
        <w:tabs>
          <w:tab w:val="center" w:pos="4536"/>
        </w:tabs>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Prezenta strategie a fost elaborată </w:t>
      </w:r>
      <w:r>
        <w:rPr>
          <w:rFonts w:ascii="Times New Roman" w:hAnsi="Times New Roman"/>
          <w:b/>
          <w:noProof/>
          <w:sz w:val="24"/>
          <w:szCs w:val="24"/>
        </w:rPr>
        <w:t>pentru copii și împreună cu copiii</w:t>
      </w:r>
      <w:r>
        <w:rPr>
          <w:rFonts w:ascii="Times New Roman" w:hAnsi="Times New Roman"/>
          <w:noProof/>
          <w:sz w:val="24"/>
          <w:szCs w:val="24"/>
        </w:rPr>
        <w:t xml:space="preserve">. </w:t>
      </w:r>
      <w:r>
        <w:rPr>
          <w:rFonts w:ascii="Times New Roman" w:hAnsi="Times New Roman"/>
          <w:b/>
          <w:noProof/>
          <w:sz w:val="24"/>
          <w:szCs w:val="24"/>
        </w:rPr>
        <w:t>Opiniile și sugestiile a peste 10 000 de copii</w:t>
      </w:r>
      <w:r>
        <w:rPr>
          <w:rFonts w:ascii="Times New Roman" w:hAnsi="Times New Roman"/>
          <w:noProof/>
          <w:sz w:val="24"/>
          <w:szCs w:val="24"/>
        </w:rPr>
        <w:t xml:space="preserve"> au fost luate în considerare în pregătirea acestei strategii</w:t>
      </w:r>
      <w:r>
        <w:rPr>
          <w:rStyle w:val="FootnoteReference"/>
          <w:rFonts w:ascii="Times New Roman" w:hAnsi="Times New Roman" w:cs="Times New Roman"/>
          <w:noProof/>
          <w:sz w:val="24"/>
          <w:szCs w:val="24"/>
          <w:lang w:val="en-IE"/>
        </w:rPr>
        <w:footnoteReference w:id="19"/>
      </w:r>
      <w:r>
        <w:rPr>
          <w:rFonts w:ascii="Times New Roman" w:hAnsi="Times New Roman"/>
          <w:noProof/>
          <w:sz w:val="24"/>
          <w:szCs w:val="24"/>
        </w:rPr>
        <w:t>. Copiii au fost, de asemenea, implicați în pregătirea versiunii adaptate pentru copii</w:t>
      </w:r>
      <w:r>
        <w:rPr>
          <w:rFonts w:ascii="Times New Roman" w:hAnsi="Times New Roman" w:cs="Times New Roman"/>
          <w:noProof/>
          <w:sz w:val="24"/>
          <w:szCs w:val="24"/>
          <w:vertAlign w:val="superscript"/>
        </w:rPr>
        <w:footnoteReference w:id="20"/>
      </w:r>
      <w:r>
        <w:rPr>
          <w:rFonts w:ascii="Times New Roman" w:hAnsi="Times New Roman"/>
          <w:noProof/>
          <w:sz w:val="24"/>
          <w:szCs w:val="24"/>
        </w:rPr>
        <w:t xml:space="preserve">. Acest demers marchează un nou capitol și un pas important pentru UE către o participare reală a copiilor la procesele sale decizionale. </w:t>
      </w:r>
    </w:p>
    <w:p>
      <w:pPr>
        <w:tabs>
          <w:tab w:val="center" w:pos="4536"/>
        </w:tabs>
        <w:spacing w:after="120" w:line="240" w:lineRule="auto"/>
        <w:jc w:val="both"/>
        <w:rPr>
          <w:rFonts w:ascii="Times New Roman" w:hAnsi="Times New Roman" w:cs="Times New Roman"/>
          <w:noProof/>
          <w:sz w:val="24"/>
          <w:szCs w:val="24"/>
          <w:lang w:val="fr-BE"/>
        </w:rPr>
      </w:pP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bookmarkStart w:id="2" w:name="_Toc54088514"/>
      <w:r>
        <w:rPr>
          <w:rFonts w:ascii="Times New Roman" w:hAnsi="Times New Roman"/>
          <w:b/>
          <w:noProof/>
          <w:color w:val="4F81BD" w:themeColor="accent1"/>
          <w:sz w:val="24"/>
          <w:szCs w:val="24"/>
        </w:rPr>
        <w:t>Participarea la viața politică și democratică: o Uniune care le oferă copiilor mijloacele de a fi cetățeni activi și membri ai societăților democratice</w:t>
      </w:r>
      <w:bookmarkEnd w:id="2"/>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i/>
          <w:noProof/>
          <w:sz w:val="24"/>
          <w:szCs w:val="24"/>
        </w:rPr>
        <w:t xml:space="preserve">„Dacă nu noi, atunci cine?” </w:t>
      </w:r>
      <w:r>
        <w:rPr>
          <w:rFonts w:ascii="Times New Roman" w:hAnsi="Times New Roman"/>
          <w:noProof/>
          <w:sz w:val="24"/>
          <w:szCs w:val="24"/>
        </w:rPr>
        <w:t xml:space="preserve">(Băiat în vârstă de 16 ani, cel de </w:t>
      </w:r>
      <w:r>
        <w:rPr>
          <w:rFonts w:ascii="Times New Roman" w:hAnsi="Times New Roman"/>
          <w:iCs/>
          <w:noProof/>
          <w:sz w:val="24"/>
          <w:szCs w:val="24"/>
        </w:rPr>
        <w:t>Al 13-lea Forum european privind drepturile copilului, 2020</w:t>
      </w:r>
      <w:r>
        <w:rPr>
          <w:rFonts w:ascii="Times New Roman" w:hAnsi="Times New Roman"/>
          <w:noProof/>
          <w:sz w:val="24"/>
          <w:szCs w:val="24"/>
        </w:rPr>
        <w:t>)</w:t>
      </w:r>
    </w:p>
    <w:p>
      <w:pPr>
        <w:pStyle w:val="CommentText"/>
        <w:spacing w:after="120"/>
        <w:jc w:val="both"/>
        <w:rPr>
          <w:rFonts w:ascii="Times New Roman" w:hAnsi="Times New Roman" w:cs="Times New Roman"/>
          <w:noProof/>
          <w:sz w:val="24"/>
          <w:szCs w:val="24"/>
        </w:rPr>
      </w:pPr>
      <w:r>
        <w:rPr>
          <w:rFonts w:ascii="Times New Roman" w:hAnsi="Times New Roman"/>
          <w:noProof/>
          <w:sz w:val="24"/>
          <w:szCs w:val="24"/>
        </w:rPr>
        <w:t>Imaginile cu tineri care străbat străzile din întreaga lume pentru a face apel la acțiuni în domeniul climei sau pentru a apăra drepturile copiilor</w:t>
      </w:r>
      <w:r>
        <w:rPr>
          <w:rStyle w:val="FootnoteReference"/>
          <w:rFonts w:ascii="Times New Roman" w:hAnsi="Times New Roman" w:cs="Times New Roman"/>
          <w:noProof/>
          <w:sz w:val="24"/>
          <w:szCs w:val="24"/>
          <w:lang w:val="en-IE"/>
        </w:rPr>
        <w:footnoteReference w:id="21"/>
      </w:r>
      <w:r>
        <w:rPr>
          <w:rFonts w:ascii="Times New Roman" w:hAnsi="Times New Roman"/>
          <w:noProof/>
          <w:sz w:val="24"/>
          <w:szCs w:val="24"/>
        </w:rPr>
        <w:t xml:space="preserve"> ne arată că copiii sunt cetățeni activi și </w:t>
      </w:r>
      <w:r>
        <w:rPr>
          <w:rFonts w:ascii="Times New Roman" w:hAnsi="Times New Roman"/>
          <w:b/>
          <w:noProof/>
          <w:sz w:val="24"/>
          <w:szCs w:val="24"/>
        </w:rPr>
        <w:t>agenți ai schimbării</w:t>
      </w:r>
      <w:r>
        <w:rPr>
          <w:rFonts w:ascii="Times New Roman" w:hAnsi="Times New Roman"/>
          <w:noProof/>
          <w:sz w:val="24"/>
          <w:szCs w:val="24"/>
        </w:rPr>
        <w:t xml:space="preserve">. Deși, în majoritatea statelor membre ale UE, copiii nu au drept de vot până la vârsta de 18 ani, aceștia au dreptul de a fi membri activi ai societăților democratice și pot contribui la definirea, punerea în aplicare și evaluarea priorităților politice. </w:t>
      </w:r>
    </w:p>
    <w:p>
      <w:pPr>
        <w:pStyle w:val="CommentText"/>
        <w:spacing w:after="120"/>
        <w:jc w:val="both"/>
        <w:rPr>
          <w:rFonts w:ascii="Times New Roman" w:hAnsi="Times New Roman" w:cs="Times New Roman"/>
          <w:noProof/>
          <w:sz w:val="24"/>
          <w:szCs w:val="24"/>
        </w:rPr>
      </w:pPr>
      <w:r>
        <w:rPr>
          <w:rFonts w:ascii="Times New Roman" w:hAnsi="Times New Roman"/>
          <w:noProof/>
          <w:sz w:val="24"/>
          <w:szCs w:val="24"/>
        </w:rPr>
        <w:t>Există exemple bune privind modul în care diferitele niveluri de guvernare și de autorități publice încurajează participarea efectivă a copiilor, ceea ce duce la o influență reală asupra deciziilor din sfera publică</w:t>
      </w:r>
      <w:r>
        <w:rPr>
          <w:rFonts w:ascii="Times New Roman" w:hAnsi="Times New Roman" w:cs="Times New Roman"/>
          <w:noProof/>
          <w:sz w:val="24"/>
          <w:szCs w:val="24"/>
          <w:vertAlign w:val="superscript"/>
        </w:rPr>
        <w:footnoteReference w:id="22"/>
      </w:r>
      <w:r>
        <w:rPr>
          <w:rFonts w:ascii="Times New Roman" w:hAnsi="Times New Roman"/>
          <w:noProof/>
          <w:sz w:val="24"/>
          <w:szCs w:val="24"/>
        </w:rPr>
        <w:t>. La nivelul UE, acestea includ dialogurile UE cu tinerii</w:t>
      </w:r>
      <w:r>
        <w:rPr>
          <w:rStyle w:val="FootnoteReference"/>
          <w:rFonts w:ascii="Times New Roman" w:hAnsi="Times New Roman" w:cs="Times New Roman"/>
          <w:noProof/>
          <w:sz w:val="24"/>
          <w:szCs w:val="24"/>
          <w:lang w:val="en-IE"/>
        </w:rPr>
        <w:footnoteReference w:id="23"/>
      </w:r>
      <w:r>
        <w:rPr>
          <w:rFonts w:ascii="Times New Roman" w:hAnsi="Times New Roman"/>
          <w:noProof/>
          <w:sz w:val="24"/>
          <w:szCs w:val="24"/>
        </w:rPr>
        <w:t xml:space="preserve"> și Spațiul învățării</w:t>
      </w:r>
      <w:r>
        <w:rPr>
          <w:rFonts w:ascii="Times New Roman" w:hAnsi="Times New Roman" w:cs="Times New Roman"/>
          <w:noProof/>
          <w:sz w:val="24"/>
          <w:szCs w:val="24"/>
          <w:vertAlign w:val="superscript"/>
        </w:rPr>
        <w:footnoteReference w:id="24"/>
      </w:r>
      <w:r>
        <w:rPr>
          <w:rFonts w:ascii="Times New Roman" w:hAnsi="Times New Roman"/>
          <w:noProof/>
          <w:sz w:val="24"/>
          <w:szCs w:val="24"/>
        </w:rPr>
        <w:t xml:space="preserve">. </w:t>
      </w:r>
    </w:p>
    <w:p>
      <w:pPr>
        <w:pStyle w:val="CommentText"/>
        <w:spacing w:after="120"/>
        <w:jc w:val="both"/>
        <w:rPr>
          <w:rFonts w:ascii="Times New Roman" w:hAnsi="Times New Roman" w:cs="Times New Roman"/>
          <w:noProof/>
          <w:sz w:val="24"/>
          <w:szCs w:val="24"/>
        </w:rPr>
      </w:pPr>
      <w:r>
        <w:rPr>
          <w:rFonts w:ascii="Times New Roman" w:hAnsi="Times New Roman"/>
          <w:noProof/>
          <w:sz w:val="24"/>
          <w:szCs w:val="24"/>
        </w:rPr>
        <w:t xml:space="preserve">Cu toate acestea, </w:t>
      </w:r>
      <w:r>
        <w:rPr>
          <w:rFonts w:ascii="Times New Roman" w:hAnsi="Times New Roman"/>
          <w:b/>
          <w:noProof/>
          <w:sz w:val="24"/>
          <w:szCs w:val="24"/>
        </w:rPr>
        <w:t>prea mulți copii nu se simt suficient de implicați în procesul decizional</w:t>
      </w:r>
      <w:r>
        <w:rPr>
          <w:rStyle w:val="FootnoteReference"/>
          <w:rFonts w:ascii="Times New Roman" w:hAnsi="Times New Roman" w:cs="Times New Roman"/>
          <w:noProof/>
          <w:sz w:val="24"/>
          <w:szCs w:val="24"/>
          <w:lang w:val="en-IE"/>
        </w:rPr>
        <w:footnoteReference w:id="25"/>
      </w:r>
      <w:r>
        <w:rPr>
          <w:rFonts w:ascii="Times New Roman" w:hAnsi="Times New Roman"/>
          <w:noProof/>
          <w:sz w:val="24"/>
          <w:szCs w:val="24"/>
        </w:rPr>
        <w:t>. Printre provocări se numără stereotipurile și percepțiile potrivit cărora participarea copiilor este dificilă și costisitoare și necesită resurse și expertiză. Stereotipurile de gen, în special, limitează aspirațiile băieților și ale fetelor și creează bariere în calea participării lor și a alegerilor lor de viață. Deși majoritatea copiilor par să fie conștienți de drepturile lor, doar unul din patru consideră că drepturile le sunt respectate de societate în ansamblu</w:t>
      </w:r>
      <w:r>
        <w:rPr>
          <w:rStyle w:val="FootnoteReference"/>
          <w:rFonts w:ascii="Times New Roman" w:hAnsi="Times New Roman" w:cs="Times New Roman"/>
          <w:noProof/>
          <w:sz w:val="24"/>
          <w:szCs w:val="24"/>
          <w:lang w:val="en-IE"/>
        </w:rPr>
        <w:footnoteReference w:id="26"/>
      </w:r>
      <w:r>
        <w:rPr>
          <w:rFonts w:ascii="Times New Roman" w:hAnsi="Times New Roman"/>
          <w:noProof/>
          <w:sz w:val="24"/>
          <w:szCs w:val="24"/>
        </w:rPr>
        <w:t xml:space="preserve">. Acest lucru afectează negativ participarea copiilor în școli, în sport, cultură și alte activități recreative, în sistemele de justiție și migrație sau în sectorul asistenței medicale, precum și în familii. </w:t>
      </w:r>
    </w:p>
    <w:p>
      <w:pPr>
        <w:pStyle w:val="FootnoteText"/>
        <w:spacing w:after="120"/>
        <w:jc w:val="both"/>
        <w:rPr>
          <w:rFonts w:ascii="Times New Roman" w:hAnsi="Times New Roman" w:cs="Times New Roman"/>
          <w:noProof/>
          <w:sz w:val="24"/>
          <w:szCs w:val="24"/>
        </w:rPr>
      </w:pPr>
      <w:r>
        <w:rPr>
          <w:rFonts w:ascii="Times New Roman" w:hAnsi="Times New Roman"/>
          <w:noProof/>
          <w:sz w:val="24"/>
          <w:szCs w:val="24"/>
        </w:rPr>
        <w:t xml:space="preserve">Din acest motiv, UE trebuie să promoveze și să îmbunătățească </w:t>
      </w:r>
      <w:r>
        <w:rPr>
          <w:rFonts w:ascii="Times New Roman" w:hAnsi="Times New Roman"/>
          <w:b/>
          <w:noProof/>
          <w:sz w:val="24"/>
          <w:szCs w:val="24"/>
        </w:rPr>
        <w:t>participarea incluzivă și sistemică a copiilor la nivel local, național și la nivelul UE</w:t>
      </w:r>
      <w:r>
        <w:rPr>
          <w:rFonts w:ascii="Times New Roman" w:hAnsi="Times New Roman"/>
          <w:noProof/>
          <w:sz w:val="24"/>
          <w:szCs w:val="24"/>
        </w:rPr>
        <w:t xml:space="preserve">. Acest lucru va fi realizat prin intermediul unei noi </w:t>
      </w:r>
      <w:r>
        <w:rPr>
          <w:rFonts w:ascii="Times New Roman" w:hAnsi="Times New Roman"/>
          <w:b/>
          <w:noProof/>
          <w:sz w:val="24"/>
          <w:szCs w:val="24"/>
        </w:rPr>
        <w:t>platforme a UE de participare a copiilor</w:t>
      </w:r>
      <w:r>
        <w:rPr>
          <w:rFonts w:ascii="Times New Roman" w:hAnsi="Times New Roman"/>
          <w:noProof/>
          <w:sz w:val="24"/>
          <w:szCs w:val="24"/>
        </w:rPr>
        <w:t xml:space="preserve">, care urmează să fie instituită în parteneriat cu Parlamentul European și cu organizațiile de apărare a drepturilor copilului, pentru a asigura o mai bună implicare a copiilor în procesul decizional. Conferința privind viitorul Europei reprezintă, de asemenea, o ocazie excelentă de a pune în practică participarea copiilor. </w:t>
      </w:r>
    </w:p>
    <w:p>
      <w:pPr>
        <w:pStyle w:val="FootnoteText"/>
        <w:spacing w:after="120"/>
        <w:jc w:val="both"/>
        <w:rPr>
          <w:rFonts w:ascii="Times New Roman" w:hAnsi="Times New Roman" w:cs="Times New Roman"/>
          <w:noProof/>
          <w:sz w:val="24"/>
          <w:szCs w:val="24"/>
        </w:rPr>
      </w:pPr>
      <w:r>
        <w:rPr>
          <w:rFonts w:ascii="Times New Roman" w:hAnsi="Times New Roman"/>
          <w:noProof/>
          <w:sz w:val="24"/>
          <w:szCs w:val="24"/>
        </w:rPr>
        <w:t xml:space="preserve">De asemenea, Comisia va ajuta copiii, profesioniștii care lucrează cu și pentru copii, mass-media, publicul, politicienii și factorii de decizie politică să sporească gradul de conștientizare cu privire la drepturile copiilor și să asigure dreptul copilului de a fi auzit și ascultat. Aceasta va promova, de asemenea, o participare semnificativă și incluzivă a copiilor la procesul de elaborare a politicilor instituțiilor europene și ale agențiilor UE, în special prin consultări specifice cu copiii, după caz.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u w:val="single"/>
        </w:rPr>
        <w:t>Acțiuni-cheie ale Comisiei Europene:</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 xml:space="preserve">instituirea, în cooperare cu Parlamentul European și cu organizațiile de apărare a drepturilor copilului, a unei platforme a UE de participare a copiilor, pentru a conecta mecanismele existente de participare a copiilor la nivel local, național și la nivelul UE și pentru a pentru a stimula participarea copiilor la procesele decizionale de la nivelul UE; </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crearea unui spațiu care să le ofere copiilor, prin intermediul angajamentelor, oportunitatea de a deveni participanți activi la Pactul climatic european sau ambasadori ai acestui pact. Prin implicarea școlilor în educația în domeniul climei, energiei și mediului durabile, coaliția „Educație pentru climă” va ajuta copiii </w:t>
      </w:r>
      <w:r>
        <w:rPr>
          <w:rFonts w:ascii="Times New Roman" w:hAnsi="Times New Roman"/>
          <w:bCs/>
          <w:noProof/>
          <w:sz w:val="24"/>
          <w:szCs w:val="24"/>
        </w:rPr>
        <w:t>să devină</w:t>
      </w:r>
      <w:r>
        <w:rPr>
          <w:rFonts w:ascii="Times New Roman" w:hAnsi="Times New Roman"/>
          <w:noProof/>
          <w:sz w:val="24"/>
          <w:szCs w:val="24"/>
        </w:rPr>
        <w:t xml:space="preserve"> agenți ai schimbării în punerea în aplicare a Pactului climatic și a Pactului verde european</w:t>
      </w:r>
      <w:r>
        <w:rPr>
          <w:rStyle w:val="FootnoteReference"/>
          <w:rFonts w:ascii="Times New Roman" w:hAnsi="Times New Roman" w:cs="Times New Roman"/>
          <w:noProof/>
          <w:sz w:val="24"/>
          <w:szCs w:val="24"/>
        </w:rPr>
        <w:footnoteReference w:id="27"/>
      </w:r>
      <w:r>
        <w:rPr>
          <w:rFonts w:ascii="Times New Roman" w:hAnsi="Times New Roman"/>
          <w:noProof/>
          <w:sz w:val="24"/>
          <w:szCs w:val="24"/>
        </w:rPr>
        <w:t>;</w:t>
      </w:r>
      <w:r>
        <w:rPr>
          <w:noProof/>
        </w:rPr>
        <w:t xml:space="preserve"> </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dezvoltarea și promovarea unor versiuni și formate accesibile, incluzive din punct de vedere digital și adaptate copiilor ale Cartei drepturilor fundamentale, precum și ale altor instrumente esențiale ale UE;</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elaborarea și promovarea de orientări privind utilizarea unui limbaj adaptat copiilor în documente și în cadrul evenimentelor și al reuniunilor părților interesate la care participă copii;</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includerea copiilor în cadrul Forumului privind drepturile fundamentale al Agenției pentru Drepturi Fundamentale a UE (FRA) și al Conferinței privind viitorul Europei;</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desfășurarea de consultări specifice copiilor pentru inițiativele viitoare relevante;</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 xml:space="preserve">consolidarea expertizei și a practicilor în materie de participare a copiilor în rândul personalului Comisiei și al personalului agențiilor UE, inclusiv în ceea ce privește politicile de protecție a copilului. </w:t>
      </w:r>
    </w:p>
    <w:p>
      <w:pPr>
        <w:spacing w:after="120" w:line="240" w:lineRule="auto"/>
        <w:contextualSpacing/>
        <w:jc w:val="both"/>
        <w:rPr>
          <w:rFonts w:ascii="Times New Roman" w:hAnsi="Times New Roman" w:cs="Times New Roman"/>
          <w:b/>
          <w:noProof/>
          <w:sz w:val="24"/>
          <w:szCs w:val="24"/>
        </w:rPr>
      </w:pP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rPr>
      </w:pPr>
      <w:r>
        <w:rPr>
          <w:rFonts w:ascii="Times New Roman" w:hAnsi="Times New Roman"/>
          <w:b/>
          <w:noProof/>
          <w:sz w:val="24"/>
          <w:szCs w:val="24"/>
        </w:rPr>
        <w:t>Comisia Europeană invită statele membre:</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rPr>
      </w:pPr>
      <w:r>
        <w:rPr>
          <w:rFonts w:ascii="Times New Roman" w:hAnsi="Times New Roman"/>
          <w:noProof/>
          <w:sz w:val="24"/>
          <w:szCs w:val="24"/>
        </w:rPr>
        <w:t>să stabilească, să îmbunătățească și să furnizeze resurse adecvate pentru mecanismele noi și pentru cele existente de participare a copiilor la nivel local, regional și național, inclusiv prin intermediul instrumentului de autoevaluare al Consiliului Europei privind participarea copiilor</w:t>
      </w:r>
      <w:r>
        <w:rPr>
          <w:rStyle w:val="FootnoteReference"/>
          <w:rFonts w:ascii="Times New Roman" w:eastAsiaTheme="majorEastAsia" w:hAnsi="Times New Roman" w:cs="Times New Roman"/>
          <w:noProof/>
          <w:sz w:val="24"/>
          <w:szCs w:val="24"/>
          <w:lang w:val="en-GB"/>
        </w:rPr>
        <w:footnoteReference w:id="28"/>
      </w:r>
      <w:r>
        <w:rPr>
          <w:rFonts w:ascii="Times New Roman" w:hAnsi="Times New Roman"/>
          <w:noProof/>
          <w:sz w:val="24"/>
          <w:szCs w:val="24"/>
        </w:rPr>
        <w:t>;</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rPr>
      </w:pPr>
      <w:r>
        <w:rPr>
          <w:rFonts w:ascii="Times New Roman" w:hAnsi="Times New Roman"/>
          <w:noProof/>
          <w:sz w:val="24"/>
          <w:szCs w:val="24"/>
        </w:rPr>
        <w:t xml:space="preserve">să sporească gradul de sensibilizare față de drepturile copilului și de cunoaștere a cestor drepturi, inclusiv pentru profesioniștii care lucrează cu și pentru copii, prin campanii de sensibilizare și activități de formare; </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rPr>
      </w:pPr>
      <w:r>
        <w:rPr>
          <w:rFonts w:ascii="Times New Roman" w:hAnsi="Times New Roman"/>
          <w:noProof/>
          <w:sz w:val="24"/>
          <w:szCs w:val="24"/>
        </w:rPr>
        <w:t xml:space="preserve">să consolideze educația privind cetățenia, egalitatea și participarea la procesele democratice în programele școlare la nivel local, regional, național și la nivelul UE; </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sprijine școlile în eforturile lor de a-i determina pe elevi să se implice în viața de zi cu zi și în procesul decizional ale școlii.</w:t>
      </w:r>
    </w:p>
    <w:p>
      <w:pPr>
        <w:pStyle w:val="CommentText"/>
        <w:spacing w:after="120"/>
        <w:ind w:left="357"/>
        <w:jc w:val="both"/>
        <w:rPr>
          <w:rFonts w:ascii="Times New Roman" w:eastAsiaTheme="majorEastAsia" w:hAnsi="Times New Roman" w:cs="Times New Roman"/>
          <w:b/>
          <w:i/>
          <w:noProof/>
          <w:sz w:val="24"/>
          <w:szCs w:val="24"/>
        </w:rPr>
      </w:pP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r>
        <w:rPr>
          <w:rFonts w:ascii="Times New Roman" w:hAnsi="Times New Roman"/>
          <w:b/>
          <w:noProof/>
          <w:color w:val="4F81BD" w:themeColor="accent1"/>
          <w:sz w:val="24"/>
          <w:szCs w:val="24"/>
        </w:rPr>
        <w:t>Incluziunea socioeconomică, sănătatea și educația: o Uniune care combate sărăcia în rândul copiilor și promovează societăți, sisteme de sănătate și sisteme de educație favorabile incluziunii și adaptate copiilor.</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i/>
          <w:noProof/>
          <w:sz w:val="24"/>
          <w:szCs w:val="24"/>
        </w:rPr>
        <w:t xml:space="preserve">„Cred că, uneori, simt o oarecare anxietate. Aș vrea să vorbesc cu un psiholog care să mă sfătuiască cum să fac față anumitor situații.” </w:t>
      </w:r>
      <w:r>
        <w:rPr>
          <w:rFonts w:ascii="Times New Roman" w:hAnsi="Times New Roman"/>
          <w:noProof/>
          <w:sz w:val="24"/>
          <w:szCs w:val="24"/>
        </w:rPr>
        <w:t>(Copil, Grecia)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i/>
          <w:noProof/>
          <w:sz w:val="24"/>
          <w:szCs w:val="24"/>
        </w:rPr>
        <w:t xml:space="preserve">„Școala ne permite să ne deschidem către lume și să vorbim cu oamenii. Școala este viața.” </w:t>
      </w:r>
      <w:r>
        <w:rPr>
          <w:rFonts w:ascii="Times New Roman" w:hAnsi="Times New Roman"/>
          <w:noProof/>
          <w:sz w:val="24"/>
          <w:szCs w:val="24"/>
        </w:rPr>
        <w:t>(Copil solicitant de azil, Franța)</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Fiecare copil are dreptul la un nivel de trai adecvat și la șanse egale încă de la o vârstă fragedă.</w:t>
      </w:r>
      <w:r>
        <w:rPr>
          <w:rFonts w:ascii="Times New Roman" w:hAnsi="Times New Roman"/>
          <w:noProof/>
          <w:sz w:val="24"/>
          <w:szCs w:val="24"/>
        </w:rPr>
        <w:t xml:space="preserve"> Consolidarea incluziunii socioeconomice a copiilor este esențială pentru a aborda problema transmiterii sărăciei și a inegalităților de la o generație la alta. Protecția socială și sprijinul acordat familiilor sunt esențiale în acest sens.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Fiecare copil are dreptul la cel mai înalt standard posibil de asistență medicală și la educație de calitate, indiferent de mediul din care provine și de locul în care trăiește. Cu toate acestea, copiii expuși riscului de sărăcie și de excluziune socială sunt mai susceptibili să se confrunte cu dificultăți în ceea ce privește accesul la servicii esențiale, </w:t>
      </w:r>
      <w:r>
        <w:rPr>
          <w:rFonts w:ascii="Times New Roman" w:hAnsi="Times New Roman"/>
          <w:noProof/>
          <w:sz w:val="24"/>
          <w:szCs w:val="24"/>
          <w:u w:val="single"/>
        </w:rPr>
        <w:t>în special în zonele rurale, îndepărtate și defavorizate</w:t>
      </w:r>
      <w:r>
        <w:rPr>
          <w:rFonts w:ascii="Times New Roman" w:hAnsi="Times New Roman"/>
          <w:noProof/>
          <w:sz w:val="24"/>
          <w:szCs w:val="24"/>
        </w:rPr>
        <w:t>.</w:t>
      </w:r>
    </w:p>
    <w:p>
      <w:pPr>
        <w:spacing w:after="120" w:line="240" w:lineRule="auto"/>
        <w:jc w:val="both"/>
        <w:rPr>
          <w:rFonts w:ascii="Times New Roman" w:eastAsia="Arial Unicode MS" w:hAnsi="Times New Roman" w:cs="Times New Roman"/>
          <w:noProof/>
          <w:color w:val="000000"/>
          <w:sz w:val="24"/>
          <w:szCs w:val="24"/>
          <w:bdr w:val="none" w:sz="0" w:space="0" w:color="auto" w:frame="1"/>
        </w:rPr>
      </w:pPr>
      <w:r>
        <w:rPr>
          <w:rFonts w:ascii="Times New Roman" w:hAnsi="Times New Roman"/>
          <w:noProof/>
          <w:sz w:val="24"/>
          <w:szCs w:val="24"/>
        </w:rPr>
        <w:t>Pilonul european al drepturilor sociale</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xml:space="preserve"> și Recomandarea Comisiei din 2013 intitulată „Investiția în copii: ruperea cercului vicios al defavorizării”</w:t>
      </w:r>
      <w:r>
        <w:rPr>
          <w:rFonts w:ascii="Times New Roman" w:hAnsi="Times New Roman" w:cs="Times New Roman"/>
          <w:noProof/>
          <w:sz w:val="24"/>
          <w:szCs w:val="24"/>
          <w:vertAlign w:val="superscript"/>
        </w:rPr>
        <w:footnoteReference w:id="30"/>
      </w:r>
      <w:r>
        <w:rPr>
          <w:rFonts w:ascii="Times New Roman" w:hAnsi="Times New Roman"/>
          <w:noProof/>
          <w:sz w:val="24"/>
          <w:szCs w:val="24"/>
        </w:rPr>
        <w:t xml:space="preserve"> rămân instrumente importante pentru reducerea sărăciei în rândul copiilor și pentru consolidarea bunăstării copiilor. </w:t>
      </w:r>
      <w:r>
        <w:rPr>
          <w:rFonts w:ascii="Times New Roman" w:hAnsi="Times New Roman"/>
          <w:noProof/>
          <w:color w:val="000000"/>
          <w:sz w:val="24"/>
          <w:szCs w:val="24"/>
          <w:bdr w:val="none" w:sz="0" w:space="0" w:color="auto" w:frame="1"/>
        </w:rPr>
        <w:t xml:space="preserve">Instrumentele de finanțare ale UE sunt, de asemenea, esențiale pentru sprijinirea acestor obiective de politică. </w:t>
      </w:r>
      <w:r>
        <w:rPr>
          <w:rFonts w:ascii="Times New Roman" w:hAnsi="Times New Roman"/>
          <w:noProof/>
          <w:sz w:val="24"/>
          <w:szCs w:val="24"/>
        </w:rPr>
        <w:t xml:space="preserve">Între 2021 și 2027, statele membre cu o rată a riscului de sărăcie sau de excluziune socială a copiilor mai mare decât media UE (în perioada 2017-2019) vor trebui să aloce 5 % din </w:t>
      </w:r>
      <w:r>
        <w:rPr>
          <w:rFonts w:ascii="Times New Roman" w:hAnsi="Times New Roman"/>
          <w:noProof/>
          <w:color w:val="000000"/>
          <w:sz w:val="24"/>
          <w:szCs w:val="24"/>
          <w:bdr w:val="none" w:sz="0" w:space="0" w:color="auto" w:frame="1"/>
        </w:rPr>
        <w:t>Fondul social european Plus (FSE +)</w:t>
      </w:r>
      <w:r>
        <w:rPr>
          <w:rFonts w:ascii="Times New Roman" w:hAnsi="Times New Roman"/>
          <w:noProof/>
          <w:sz w:val="24"/>
          <w:szCs w:val="24"/>
        </w:rPr>
        <w:t xml:space="preserve"> pentru combaterea sărăciei în rândul copiilor, în timp ce toate celelalte state ar trebui, de asemenea, să aloce sume adecvate. </w:t>
      </w:r>
      <w:r>
        <w:rPr>
          <w:rFonts w:ascii="Times New Roman" w:hAnsi="Times New Roman"/>
          <w:noProof/>
          <w:sz w:val="24"/>
          <w:szCs w:val="24"/>
          <w:bdr w:val="none" w:sz="0" w:space="0" w:color="auto" w:frame="1"/>
        </w:rPr>
        <w:t>Fondul european de dezvoltare regională (FEDR) va contribui la investiții în infrastructură, echipamente și acces la servicii de bază de calitate, cu un accent puternic pe regiunile cele mai sărace ale Uniunii, unde serviciile publice tind să fie mai puțin dezvoltate.</w:t>
      </w:r>
      <w:r>
        <w:rPr>
          <w:rFonts w:ascii="Times New Roman" w:hAnsi="Times New Roman"/>
          <w:noProof/>
          <w:color w:val="000000"/>
          <w:sz w:val="24"/>
          <w:szCs w:val="24"/>
          <w:bdr w:val="none" w:sz="0" w:space="0" w:color="auto" w:frame="1"/>
        </w:rPr>
        <w:t xml:space="preserve"> </w:t>
      </w:r>
      <w:r>
        <w:rPr>
          <w:rFonts w:ascii="Times New Roman" w:hAnsi="Times New Roman"/>
          <w:noProof/>
          <w:sz w:val="24"/>
          <w:szCs w:val="24"/>
        </w:rPr>
        <w:t>Mecanismul de redresare și reziliență va contribui la realizarea unei redresări rapide și favorabile incluziunii în urma pandemiei de COVID-19, inclusiv prin promovarea politicilor pentru copii și tineret și prin consolidarea coeziunii economice, sociale și teritoriale.</w:t>
      </w:r>
    </w:p>
    <w:p>
      <w:pPr>
        <w:pStyle w:val="NormalWeb"/>
        <w:numPr>
          <w:ilvl w:val="1"/>
          <w:numId w:val="3"/>
        </w:numPr>
        <w:spacing w:before="0" w:beforeAutospacing="0" w:after="120" w:afterAutospacing="0"/>
        <w:jc w:val="both"/>
        <w:rPr>
          <w:rFonts w:eastAsiaTheme="minorHAnsi"/>
          <w:b/>
          <w:noProof/>
        </w:rPr>
      </w:pPr>
      <w:r>
        <w:rPr>
          <w:b/>
          <w:noProof/>
        </w:rPr>
        <w:t>Combaterea sărăciei în rândul copiilor și promovarea egalității de șanse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pofida unei scăderi a acestui procent în ultimii ani, în 2019, 22,2 % din copiii din UE erau expuși riscului de sărăcie sau de excluziune socială. În funcție de statul membru, riscul de sărăcie în cazul copiilor crescuți de un singur părinte, din familii cu trei sau mai mulți copii, care locuiesc în zone rurale și în zonele cele mai îndepărtate ale UE sau care provin din familii de migranți sau de romi este de până la trei ori mai mare decât în cazul altor copii</w:t>
      </w:r>
      <w:r>
        <w:rPr>
          <w:rFonts w:ascii="Times New Roman" w:hAnsi="Times New Roman" w:cs="Times New Roman"/>
          <w:noProof/>
          <w:sz w:val="24"/>
          <w:szCs w:val="24"/>
          <w:vertAlign w:val="superscript"/>
        </w:rPr>
        <w:footnoteReference w:id="31"/>
      </w:r>
      <w:r>
        <w:rPr>
          <w:rFonts w:ascii="Times New Roman" w:hAnsi="Times New Roman"/>
          <w:noProof/>
          <w:sz w:val="24"/>
          <w:szCs w:val="24"/>
        </w:rPr>
        <w:t xml:space="preserve">. </w:t>
      </w:r>
      <w:r>
        <w:rPr>
          <w:rFonts w:ascii="Times New Roman" w:hAnsi="Times New Roman"/>
          <w:noProof/>
          <w:sz w:val="24"/>
          <w:szCs w:val="24"/>
          <w:shd w:val="clear" w:color="auto" w:fill="FFFFFF"/>
        </w:rPr>
        <w:t xml:space="preserve">Aproximativ jumătate dintre copiii ai căror părinți au un nivel de educație scăzut erau expuși riscului de sărăcie sau de excluziune socială, în comparație cu mai puțin de 10 % din copiii ai căror părinți au un nivel de educație ridicat. </w:t>
      </w:r>
      <w:r>
        <w:rPr>
          <w:rFonts w:ascii="Times New Roman" w:hAnsi="Times New Roman"/>
          <w:noProof/>
          <w:sz w:val="24"/>
          <w:szCs w:val="24"/>
        </w:rPr>
        <w:t>Copiii care provin din familii cu venituri mici sunt expuși unui risc mai ridicat de privare severă de locuință sau de suprapopulare și sunt mai expuși la lipsa de adăpost.</w:t>
      </w:r>
    </w:p>
    <w:p>
      <w:pPr>
        <w:pStyle w:val="NormalWeb"/>
        <w:spacing w:before="0" w:beforeAutospacing="0" w:after="120" w:afterAutospacing="0"/>
        <w:jc w:val="both"/>
        <w:rPr>
          <w:noProof/>
        </w:rPr>
      </w:pPr>
      <w:r>
        <w:rPr>
          <w:b/>
          <w:noProof/>
        </w:rPr>
        <w:t>Acest lucru se traduce printr-o puternică inegalitate de șanse</w:t>
      </w:r>
      <w:r>
        <w:rPr>
          <w:noProof/>
        </w:rPr>
        <w:t>, care rămâne o problemă pentru copii chiar și în țările cu niveluri scăzute de sărăcie și excluziune socială</w:t>
      </w:r>
      <w:r>
        <w:rPr>
          <w:rStyle w:val="FootnoteReference"/>
          <w:noProof/>
        </w:rPr>
        <w:footnoteReference w:id="32"/>
      </w:r>
      <w:r>
        <w:rPr>
          <w:noProof/>
        </w:rPr>
        <w:t xml:space="preserve">. Copiii din medii defavorizate au mai puține șanse decât copiii din familii mai înstărite de a avea rezultate bune la școală, de a se bucura de o stare bună de sănătate și de a-și realiza, mai târziu în viață, întregul potențial. </w:t>
      </w:r>
    </w:p>
    <w:p>
      <w:pPr>
        <w:spacing w:after="120" w:line="240" w:lineRule="auto"/>
        <w:jc w:val="both"/>
        <w:rPr>
          <w:rFonts w:ascii="Times New Roman" w:eastAsia="Arial Unicode MS" w:hAnsi="Times New Roman" w:cs="Times New Roman"/>
          <w:noProof/>
          <w:color w:val="000000"/>
          <w:sz w:val="24"/>
          <w:szCs w:val="24"/>
          <w:bdr w:val="none" w:sz="0" w:space="0" w:color="auto" w:frame="1"/>
        </w:rPr>
      </w:pPr>
      <w:r>
        <w:rPr>
          <w:rFonts w:ascii="Times New Roman" w:hAnsi="Times New Roman"/>
          <w:noProof/>
          <w:sz w:val="24"/>
          <w:szCs w:val="24"/>
        </w:rPr>
        <w:t xml:space="preserve">Toți copiii, inclusiv cei cu handicap și cei din grupuri defavorizate, au același drept de a trăi împreună cu familiile lor și într-o comunitate. Sistemele integrate de protecție a copilului, inclusiv prevenirea eficace, intervenția timpurie și sprijinul familial, ar trebui să ofere copiilor fără îngrijire părintească sau expuși riscului de a-și pierde îngrijirea părintească condițiile necesare pentru a preveni separarea familiilor. Sărăcia nu ar trebui să fie niciodată singurul motiv pentru plasarea copiilor în instituții. Trebuie să se asigure tranziția către o protecție de calitate bazată pe comunitate și pe familie, precum și sprijinul pentru copiii care ating vârsta la care pot părăsi instituțiile.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Prin Planul de acțiune privind punerea în aplicare a Pilonului european al drepturilor sociale</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xml:space="preserve">, Comisia a stabilit obiectivul ambițios de a reduce, până în 2030, numărul persoanelor expuse riscului de sărăcie sau de excluziune socială în UE cu cel puțin 15 milioane, din care cel puțin 5 milioane de copii. Unul dintre principalele rezultate așteptate este propunerea Comisiei de recomandare a Consiliului de instituire a </w:t>
      </w:r>
      <w:r>
        <w:rPr>
          <w:rFonts w:ascii="Times New Roman" w:hAnsi="Times New Roman"/>
          <w:b/>
          <w:noProof/>
          <w:sz w:val="24"/>
          <w:szCs w:val="24"/>
        </w:rPr>
        <w:t>Garanției europene pentru copii</w:t>
      </w:r>
      <w:r>
        <w:rPr>
          <w:rStyle w:val="FootnoteReference"/>
          <w:rFonts w:ascii="Times New Roman" w:hAnsi="Times New Roman" w:cs="Times New Roman"/>
          <w:noProof/>
          <w:sz w:val="24"/>
          <w:szCs w:val="24"/>
        </w:rPr>
        <w:footnoteReference w:id="34"/>
      </w:r>
      <w:r>
        <w:rPr>
          <w:rFonts w:ascii="Times New Roman" w:hAnsi="Times New Roman"/>
          <w:noProof/>
          <w:sz w:val="24"/>
          <w:szCs w:val="24"/>
        </w:rPr>
        <w:t xml:space="preserve">, care completează prezenta strategie și solicită măsuri specifice pentru copiii expuși riscului de sărăcie sau de excluziune socială. Propunerea recomandă statelor membre să garanteze accesul copiilor aflați în dificultate la servicii esențiale de calitate: educația și îngrijirea copiilor preșcolari, educația (inclusiv activitățile școlare), asistența medicală, nutriția și locuința.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monitorizează modul în care statele membre abordează sărăcia sau excluziunea socială în rândul copiilor în cadrul procesului </w:t>
      </w:r>
      <w:r>
        <w:rPr>
          <w:rFonts w:ascii="Times New Roman" w:hAnsi="Times New Roman"/>
          <w:b/>
          <w:noProof/>
          <w:sz w:val="24"/>
          <w:szCs w:val="24"/>
        </w:rPr>
        <w:t>semestrului european</w:t>
      </w:r>
      <w:r>
        <w:rPr>
          <w:rFonts w:ascii="Times New Roman" w:hAnsi="Times New Roman"/>
          <w:noProof/>
          <w:sz w:val="24"/>
          <w:szCs w:val="24"/>
        </w:rPr>
        <w:t xml:space="preserve"> și, dacă este necesar, propune recomandări relevante specifice fiecărei țări. Garanția pentru tineret consolidată</w:t>
      </w:r>
      <w:r>
        <w:rPr>
          <w:rFonts w:ascii="Times New Roman" w:hAnsi="Times New Roman" w:cs="Times New Roman"/>
          <w:noProof/>
          <w:sz w:val="24"/>
          <w:szCs w:val="24"/>
          <w:vertAlign w:val="superscript"/>
          <w:lang w:val="en-IE"/>
        </w:rPr>
        <w:footnoteReference w:id="35"/>
      </w:r>
      <w:r>
        <w:rPr>
          <w:rFonts w:ascii="Times New Roman" w:hAnsi="Times New Roman"/>
          <w:noProof/>
          <w:sz w:val="24"/>
          <w:szCs w:val="24"/>
        </w:rPr>
        <w:t xml:space="preserve"> prevede că toți tinerii începând cu vârsta de 15 ani primesc o ofertă de angajare, de continuare a educației, de intrare în ucenicie sau de efectuare a unui stagiu, în termen de patru luni de la intrarea în șomaj sau de la absolvirea unei forme de educație formală.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u w:val="single"/>
        </w:rPr>
        <w:t>Acțiuni-cheie ale Comisiei Europene:</w:t>
      </w:r>
    </w:p>
    <w:p>
      <w:pPr>
        <w:pStyle w:val="ListParagraph"/>
        <w:numPr>
          <w:ilvl w:val="0"/>
          <w:numId w:val="1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u w:val="single"/>
        </w:rPr>
      </w:pPr>
      <w:r>
        <w:rPr>
          <w:rFonts w:ascii="Times New Roman" w:hAnsi="Times New Roman"/>
          <w:noProof/>
          <w:sz w:val="24"/>
          <w:szCs w:val="24"/>
        </w:rPr>
        <w:t xml:space="preserve">instituirea unei </w:t>
      </w:r>
      <w:r>
        <w:rPr>
          <w:rFonts w:ascii="Times New Roman" w:hAnsi="Times New Roman"/>
          <w:b/>
          <w:noProof/>
          <w:sz w:val="24"/>
          <w:szCs w:val="24"/>
        </w:rPr>
        <w:t>Garanții europene pentru copii;</w:t>
      </w:r>
    </w:p>
    <w:p>
      <w:pPr>
        <w:pStyle w:val="ListParagraph"/>
        <w:numPr>
          <w:ilvl w:val="0"/>
          <w:numId w:val="1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asigurarea complementarității cu </w:t>
      </w:r>
      <w:r>
        <w:rPr>
          <w:rFonts w:ascii="Times New Roman" w:hAnsi="Times New Roman"/>
          <w:b/>
          <w:noProof/>
          <w:sz w:val="24"/>
          <w:szCs w:val="24"/>
        </w:rPr>
        <w:t>Strategia europeană pentru drepturile persoanelor cu handicap</w:t>
      </w:r>
      <w:r>
        <w:rPr>
          <w:rStyle w:val="FootnoteReference"/>
          <w:rFonts w:ascii="Times New Roman" w:hAnsi="Times New Roman" w:cs="Times New Roman"/>
          <w:b/>
          <w:noProof/>
          <w:sz w:val="24"/>
          <w:szCs w:val="24"/>
        </w:rPr>
        <w:footnoteReference w:id="36"/>
      </w:r>
      <w:r>
        <w:rPr>
          <w:rFonts w:ascii="Times New Roman" w:hAnsi="Times New Roman"/>
          <w:noProof/>
          <w:sz w:val="24"/>
          <w:szCs w:val="24"/>
        </w:rPr>
        <w:t xml:space="preserve"> pentru a răspunde nevoilor copiilor cu handicap și a oferi un acces mai bun la serviciile de bază și la o viață independentă.</w:t>
      </w:r>
    </w:p>
    <w:tbl>
      <w:tblPr>
        <w:tblStyle w:val="TableGrid"/>
        <w:tblW w:w="9322" w:type="dxa"/>
        <w:tblLook w:val="04A0" w:firstRow="1" w:lastRow="0" w:firstColumn="1" w:lastColumn="0" w:noHBand="0" w:noVBand="1"/>
      </w:tblPr>
      <w:tblGrid>
        <w:gridCol w:w="9322"/>
      </w:tblGrid>
      <w:tr>
        <w:tc>
          <w:tcPr>
            <w:tcW w:w="9322" w:type="dxa"/>
          </w:tcPr>
          <w:p>
            <w:pPr>
              <w:spacing w:after="120"/>
              <w:jc w:val="both"/>
              <w:rPr>
                <w:rFonts w:ascii="Times New Roman" w:hAnsi="Times New Roman" w:cs="Times New Roman"/>
                <w:b/>
                <w:noProof/>
                <w:sz w:val="24"/>
                <w:szCs w:val="24"/>
                <w:u w:val="single"/>
              </w:rPr>
            </w:pPr>
            <w:r>
              <w:rPr>
                <w:rFonts w:ascii="Times New Roman" w:hAnsi="Times New Roman"/>
                <w:b/>
                <w:noProof/>
                <w:sz w:val="24"/>
                <w:szCs w:val="24"/>
                <w:u w:val="single"/>
              </w:rPr>
              <w:t>Comisia Europeană invită statele membre:</w:t>
            </w:r>
          </w:p>
          <w:p>
            <w:pPr>
              <w:pStyle w:val="ListParagraph"/>
              <w:numPr>
                <w:ilvl w:val="0"/>
                <w:numId w:val="18"/>
              </w:numPr>
              <w:spacing w:after="120"/>
              <w:jc w:val="both"/>
              <w:rPr>
                <w:rFonts w:ascii="Times New Roman" w:hAnsi="Times New Roman" w:cs="Times New Roman"/>
                <w:noProof/>
                <w:sz w:val="24"/>
                <w:szCs w:val="24"/>
              </w:rPr>
            </w:pPr>
            <w:r>
              <w:rPr>
                <w:rFonts w:ascii="Times New Roman" w:hAnsi="Times New Roman"/>
                <w:noProof/>
                <w:color w:val="000000"/>
                <w:sz w:val="24"/>
                <w:szCs w:val="24"/>
                <w:shd w:val="clear" w:color="auto" w:fill="FFFFFF"/>
              </w:rPr>
              <w:t>să adopte rapid în cadrul Consiliului propunerea Comisiei de recomandare a Consiliului de instituire a Garanției europene pentru copii și să pună în aplicare dispozițiile acesteia</w:t>
            </w:r>
            <w:r>
              <w:rPr>
                <w:rFonts w:ascii="Times New Roman" w:hAnsi="Times New Roman"/>
                <w:noProof/>
                <w:sz w:val="24"/>
                <w:szCs w:val="24"/>
              </w:rPr>
              <w:t>;</w:t>
            </w:r>
          </w:p>
          <w:p>
            <w:pPr>
              <w:pStyle w:val="ListParagraph"/>
              <w:numPr>
                <w:ilvl w:val="0"/>
                <w:numId w:val="18"/>
              </w:numPr>
              <w:spacing w:after="120"/>
              <w:jc w:val="both"/>
              <w:rPr>
                <w:rFonts w:ascii="Times New Roman" w:hAnsi="Times New Roman" w:cs="Times New Roman"/>
                <w:noProof/>
                <w:sz w:val="24"/>
                <w:szCs w:val="24"/>
              </w:rPr>
            </w:pPr>
            <w:r>
              <w:rPr>
                <w:rFonts w:ascii="Times New Roman" w:hAnsi="Times New Roman"/>
                <w:noProof/>
                <w:sz w:val="24"/>
                <w:szCs w:val="24"/>
              </w:rPr>
              <w:t>să pună în aplicare Garanția pentru tineret consolidată și să promoveze participarea tinerilor la serviciile Garanției pentru tineret.</w:t>
            </w:r>
          </w:p>
        </w:tc>
      </w:tr>
    </w:tbl>
    <w:p>
      <w:pPr>
        <w:pStyle w:val="ListParagraph"/>
        <w:spacing w:after="120" w:line="240" w:lineRule="auto"/>
        <w:ind w:left="360"/>
        <w:jc w:val="both"/>
        <w:rPr>
          <w:rFonts w:ascii="Times New Roman" w:hAnsi="Times New Roman" w:cs="Times New Roman"/>
          <w:noProof/>
          <w:sz w:val="24"/>
          <w:szCs w:val="24"/>
        </w:rPr>
      </w:pPr>
    </w:p>
    <w:p>
      <w:pPr>
        <w:pStyle w:val="ListParagraph"/>
        <w:numPr>
          <w:ilvl w:val="1"/>
          <w:numId w:val="3"/>
        </w:num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Asigurarea dreptului la asistență medicală pentru toți copiii</w:t>
      </w: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szCs w:val="24"/>
        </w:rPr>
        <w:t>Vaccinarea</w:t>
      </w:r>
      <w:r>
        <w:rPr>
          <w:rFonts w:ascii="Times New Roman" w:hAnsi="Times New Roman"/>
          <w:noProof/>
          <w:color w:val="000000"/>
          <w:sz w:val="24"/>
          <w:szCs w:val="24"/>
        </w:rPr>
        <w:t xml:space="preserve"> este principalul instrument de prevenire a bolilor grave, contagioase și, uneori, mortale și reprezintă un element de bază al îngrijirii copiilor. Datorită vaccinării la scară largă, variola a fost eradicată, iar în Europa nu se mai înregistrează cazuri de poliomielită. Cu toate acestea, din cauza ratei de vaccinare insuficiente, apar în continuare epidemii de boli care pot fi prevenite prin vaccinare. Pandemia de COVID-19 a pus în pericol, de asemenea, continuitatea programelor de vaccinare a copiilor în Europa. Comisia Europeană și statele membre ale UE împărtășesc obiectivele de combatere a dezinformării, de îmbunătățire a încrederii în vaccinuri și de asigurare a unui acces echitabil la vaccinuri pentru toți.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2020, peste 15 500 de copii și adolescenți au fost diagnosticați cu cancer în UE, iar peste 2 000 de pacienți tineri și-au pierdut viața din cauza acestei boli. Cancerul constituie principala cauză de deces ca urmare a bolii pentru copiii de peste un an. Până la 30 % din copiii afectați de cancer suferă de consecințe grave pe termen lung, iar numărul copiilor care supraviețuiesc acestei boli este în creștere.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Adoptarea unui stil de viață sănătos și activ de la o vârstă fragedă va contribui la reducerea riscurilor de cancer mai târziu în viață. </w:t>
      </w:r>
      <w:r>
        <w:rPr>
          <w:rFonts w:ascii="Times New Roman" w:hAnsi="Times New Roman"/>
          <w:b/>
          <w:noProof/>
          <w:sz w:val="24"/>
          <w:szCs w:val="24"/>
        </w:rPr>
        <w:t>Planul european de combatere a cancerului</w:t>
      </w:r>
      <w:r>
        <w:rPr>
          <w:rFonts w:ascii="Times New Roman" w:hAnsi="Times New Roman" w:cs="Times New Roman"/>
          <w:noProof/>
          <w:sz w:val="24"/>
          <w:szCs w:val="24"/>
          <w:vertAlign w:val="superscript"/>
          <w:lang w:val="en-IE"/>
        </w:rPr>
        <w:footnoteReference w:id="37"/>
      </w:r>
      <w:r>
        <w:rPr>
          <w:rFonts w:ascii="Times New Roman" w:hAnsi="Times New Roman"/>
          <w:noProof/>
          <w:sz w:val="24"/>
          <w:szCs w:val="24"/>
        </w:rPr>
        <w:t xml:space="preserve"> intensifică acțiunile de prevenire timpurie și lansează noi inițiative privind cancerul pediatric pentru a-i ajuta pe tinerii pacienți să se recupereze și să beneficieze de o calitate optimă a vieții. Copiii care suferă de cancer au adesea la dispoziție un număr redus de tratamente validate. Regulamentul revizuit privind medicamentele pentru copii, o inițiativă emblematică a Strategiei farmaceutice pentru UE</w:t>
      </w:r>
      <w:r>
        <w:rPr>
          <w:rStyle w:val="FootnoteReference"/>
          <w:rFonts w:ascii="Times New Roman" w:hAnsi="Times New Roman" w:cs="Times New Roman"/>
          <w:noProof/>
          <w:sz w:val="24"/>
          <w:szCs w:val="24"/>
          <w:lang w:val="en-IE"/>
        </w:rPr>
        <w:footnoteReference w:id="38"/>
      </w:r>
      <w:r>
        <w:rPr>
          <w:rFonts w:ascii="Times New Roman" w:hAnsi="Times New Roman"/>
          <w:noProof/>
          <w:sz w:val="24"/>
          <w:szCs w:val="24"/>
        </w:rPr>
        <w:t xml:space="preserve">, urmărește să promoveze medicamente specifice pentru copii, inclusiv în oncologia pediatrică. </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Copilăria este o etapă esențială a vieții care determină sănătatea fizică și mintală viitoare.</w:t>
      </w:r>
      <w:r>
        <w:rPr>
          <w:rFonts w:ascii="Times New Roman" w:hAnsi="Times New Roman"/>
          <w:noProof/>
          <w:sz w:val="24"/>
          <w:szCs w:val="24"/>
        </w:rPr>
        <w:t xml:space="preserve"> Cu toate acestea, problemele de sănătate mintală ale copiilor sunt larg răspândite și pot fi uneori legate de izolare, de mediul educațional, de excluziunea socială și de sărăcie, precum și de utilizarea prelungită a instrumentelor digitale. Până la 20 % din copiii din întreaga lume se confruntă cu probleme de sănătate mintală care, dacă nu sunt tratate, au consecințe grave asupra dezvoltării, a nivelului de educație și a potențialului lor de a trăi o viață împlinită.</w:t>
      </w:r>
      <w:r>
        <w:rPr>
          <w:rFonts w:ascii="Arial" w:hAnsi="Arial"/>
          <w:noProof/>
          <w:sz w:val="23"/>
          <w:szCs w:val="23"/>
          <w:shd w:val="clear" w:color="auto" w:fill="FFFFFF"/>
        </w:rPr>
        <w:t xml:space="preserve"> </w:t>
      </w:r>
      <w:r>
        <w:rPr>
          <w:rFonts w:ascii="Times New Roman" w:hAnsi="Times New Roman"/>
          <w:noProof/>
          <w:sz w:val="24"/>
          <w:szCs w:val="24"/>
        </w:rPr>
        <w:t>Școala este recunoscută ca fiind unul dintre factorii determinanți fundamentali ai sănătății mintale a copiilor</w:t>
      </w:r>
      <w:r>
        <w:rPr>
          <w:rStyle w:val="FootnoteReference"/>
          <w:rFonts w:ascii="Times New Roman" w:hAnsi="Times New Roman"/>
          <w:noProof/>
          <w:sz w:val="24"/>
          <w:szCs w:val="24"/>
          <w:lang w:val="en-IE"/>
        </w:rPr>
        <w:footnoteReference w:id="39"/>
      </w:r>
      <w:r>
        <w:rPr>
          <w:rFonts w:ascii="Times New Roman" w:hAnsi="Times New Roman"/>
          <w:noProof/>
          <w:sz w:val="24"/>
          <w:szCs w:val="24"/>
        </w:rPr>
        <w:t>. Spațiul european al educației</w:t>
      </w:r>
      <w:r>
        <w:rPr>
          <w:rStyle w:val="FootnoteReference"/>
          <w:rFonts w:ascii="Times New Roman" w:hAnsi="Times New Roman" w:cs="Times New Roman"/>
          <w:noProof/>
          <w:sz w:val="24"/>
          <w:szCs w:val="24"/>
          <w:lang w:val="en-IE"/>
        </w:rPr>
        <w:footnoteReference w:id="40"/>
      </w:r>
      <w:r>
        <w:rPr>
          <w:rFonts w:ascii="Times New Roman" w:hAnsi="Times New Roman"/>
          <w:noProof/>
          <w:sz w:val="24"/>
          <w:szCs w:val="24"/>
        </w:rPr>
        <w:t xml:space="preserve"> va aborda, de asemenea, sănătatea mintală și bunăstarea în educație. Participarea la activități culturale, timpul petrecut în natură și exercițiile fizice pot avea un impact pozitiv asupra sănătății mintale a copiilor</w:t>
      </w:r>
      <w:r>
        <w:rPr>
          <w:rStyle w:val="FootnoteReference"/>
          <w:rFonts w:ascii="Times New Roman" w:hAnsi="Times New Roman" w:cs="Times New Roman"/>
          <w:noProof/>
          <w:sz w:val="24"/>
          <w:szCs w:val="24"/>
          <w:lang w:val="en-IE"/>
        </w:rPr>
        <w:footnoteReference w:id="41"/>
      </w:r>
      <w:r>
        <w:rPr>
          <w:rFonts w:ascii="Times New Roman" w:hAnsi="Times New Roman"/>
          <w:noProof/>
          <w:sz w:val="24"/>
          <w:szCs w:val="24"/>
        </w:rPr>
        <w:t xml:space="preserve">, prin consolidarea stimei de sine, a acceptării de sine, a încrederii și a sentimentului propriei valori.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Copiii migranți suferă adesea de probleme de sănătate mintală din cauza unor situații cu care s-au confruntat în țara de origine, pe ruta de migrație, din cauza incertitudinii sau a tratamentului degradant la care au fost supuși în țara de sosire. Activitatea în curs a rețelei de experți în materie de vulnerabilitate („VEN”) a Biroului European de Sprijin pentru Azil (EASO) se axează, printre altele, pe sănătatea mintală a solicitanților de azil. Alte grupuri de copii, cum ar fi copiii cu handicap și copiii LGBTIQ, ar putea avea nevoi specifice în ceea ce privește sănătatea mintală și fizică, care trebuie abordate în mod corespunzător.</w:t>
      </w:r>
    </w:p>
    <w:p>
      <w:pPr>
        <w:spacing w:after="120" w:line="240" w:lineRule="auto"/>
        <w:jc w:val="both"/>
        <w:rPr>
          <w:rFonts w:ascii="Times New Roman" w:hAnsi="Times New Roman" w:cs="Times New Roman"/>
          <w:noProof/>
          <w:sz w:val="24"/>
          <w:szCs w:val="24"/>
        </w:rPr>
      </w:pPr>
      <w:r>
        <w:rPr>
          <w:rFonts w:ascii="Times New Roman" w:hAnsi="Times New Roman"/>
          <w:b/>
          <w:noProof/>
          <w:color w:val="000000"/>
          <w:sz w:val="24"/>
          <w:szCs w:val="24"/>
        </w:rPr>
        <w:t>O dietă sănătoasă</w:t>
      </w:r>
      <w:r>
        <w:rPr>
          <w:rFonts w:ascii="Times New Roman" w:hAnsi="Times New Roman"/>
          <w:noProof/>
          <w:color w:val="000000"/>
          <w:sz w:val="24"/>
          <w:szCs w:val="24"/>
        </w:rPr>
        <w:t xml:space="preserve">, alături de o activitate fizică regulată, </w:t>
      </w:r>
      <w:r>
        <w:rPr>
          <w:rFonts w:ascii="Times New Roman" w:hAnsi="Times New Roman"/>
          <w:b/>
          <w:noProof/>
          <w:color w:val="000000"/>
          <w:sz w:val="24"/>
          <w:szCs w:val="24"/>
        </w:rPr>
        <w:t>este esențială pentru dezvoltarea fizică și mintală deplină a copiilor.</w:t>
      </w:r>
      <w:r>
        <w:rPr>
          <w:rFonts w:ascii="Times New Roman" w:hAnsi="Times New Roman"/>
          <w:noProof/>
          <w:color w:val="000000"/>
          <w:sz w:val="24"/>
          <w:szCs w:val="24"/>
        </w:rPr>
        <w:t xml:space="preserve"> </w:t>
      </w:r>
      <w:r>
        <w:rPr>
          <w:rFonts w:ascii="Times New Roman" w:hAnsi="Times New Roman"/>
          <w:noProof/>
          <w:sz w:val="24"/>
          <w:szCs w:val="24"/>
        </w:rPr>
        <w:t>Chiar și în prezent, în UE există copii care suferă de foame, în special copiii romi și nomazi</w:t>
      </w:r>
      <w:r>
        <w:rPr>
          <w:rFonts w:ascii="Times New Roman" w:hAnsi="Times New Roman" w:cs="Times New Roman"/>
          <w:noProof/>
          <w:sz w:val="24"/>
          <w:szCs w:val="24"/>
          <w:vertAlign w:val="superscript"/>
          <w:lang w:val="en-IE"/>
        </w:rPr>
        <w:footnoteReference w:id="42"/>
      </w:r>
      <w:r>
        <w:rPr>
          <w:rFonts w:ascii="Times New Roman" w:hAnsi="Times New Roman"/>
          <w:noProof/>
          <w:sz w:val="24"/>
          <w:szCs w:val="24"/>
        </w:rPr>
        <w:t>, ceea ce îi face mai vulnerabili la boli și le împiedică dezvoltarea adecvată a creierului. Copiii fără adăpost și copiii migranți care locuiesc în centre de primire supraaglomerate sau care nu corespund standardelor se confruntă, de asemenea, cu probleme similare.</w:t>
      </w:r>
      <w:r>
        <w:rPr>
          <w:rFonts w:ascii="Times New Roman" w:hAnsi="Times New Roman"/>
          <w:noProof/>
          <w:color w:val="000000"/>
          <w:sz w:val="24"/>
          <w:szCs w:val="24"/>
        </w:rPr>
        <w:t xml:space="preserve"> </w:t>
      </w:r>
    </w:p>
    <w:p>
      <w:pPr>
        <w:spacing w:after="120" w:line="240" w:lineRule="auto"/>
        <w:jc w:val="both"/>
        <w:rPr>
          <w:rFonts w:ascii="Times New Roman" w:hAnsi="Times New Roman" w:cs="Times New Roman"/>
          <w:noProof/>
          <w:color w:val="000000"/>
          <w:sz w:val="24"/>
          <w:szCs w:val="24"/>
        </w:rPr>
      </w:pPr>
      <w:r>
        <w:rPr>
          <w:rFonts w:ascii="Times New Roman" w:hAnsi="Times New Roman"/>
          <w:noProof/>
          <w:sz w:val="24"/>
          <w:szCs w:val="24"/>
        </w:rPr>
        <w:t>Pe de altă parte, în ultimii 30-40 ani, din cauza faptului că alimentele ultraprocesate și nesănătoase au devenit tot mai disponibile și accesibile, a crescut numărul persoanelor supraponderale sau obeze. În UE, unul din trei copii cu vârsta cuprinsă între 6 și 9 ani este supraponderal sau obez.</w:t>
      </w:r>
      <w:r>
        <w:rPr>
          <w:rFonts w:ascii="Times New Roman" w:hAnsi="Times New Roman"/>
          <w:noProof/>
          <w:color w:val="000000"/>
          <w:sz w:val="24"/>
          <w:szCs w:val="24"/>
        </w:rPr>
        <w:t xml:space="preserve"> Crește astfel riscul de diabet, de cancer, de boli cardiovasculare sau de decese premature. Printre acțiunile Comisiei se numără programul de încurajare a consumului de fructe, legume și lapte în școli</w:t>
      </w:r>
      <w:r>
        <w:rPr>
          <w:rFonts w:ascii="Times New Roman" w:hAnsi="Times New Roman" w:cs="Times New Roman"/>
          <w:noProof/>
          <w:color w:val="000000"/>
          <w:sz w:val="24"/>
          <w:szCs w:val="24"/>
          <w:vertAlign w:val="superscript"/>
          <w:lang w:val="en-IE"/>
        </w:rPr>
        <w:footnoteReference w:id="43"/>
      </w:r>
      <w:r>
        <w:rPr>
          <w:rFonts w:ascii="Times New Roman" w:hAnsi="Times New Roman"/>
          <w:noProof/>
          <w:color w:val="000000"/>
          <w:sz w:val="24"/>
          <w:szCs w:val="24"/>
        </w:rPr>
        <w:t xml:space="preserve"> și Planul de acțiune al UE privind obezitatea infantilă pentru perioada 2014-2020</w:t>
      </w:r>
      <w:r>
        <w:rPr>
          <w:rFonts w:ascii="Times New Roman" w:hAnsi="Times New Roman" w:cs="Times New Roman"/>
          <w:noProof/>
          <w:color w:val="000000"/>
          <w:sz w:val="24"/>
          <w:szCs w:val="24"/>
          <w:vertAlign w:val="superscript"/>
          <w:lang w:val="en-IE"/>
        </w:rPr>
        <w:footnoteReference w:id="44"/>
      </w:r>
      <w:r>
        <w:rPr>
          <w:rFonts w:ascii="Times New Roman" w:hAnsi="Times New Roman"/>
          <w:noProof/>
          <w:color w:val="000000"/>
          <w:sz w:val="24"/>
          <w:szCs w:val="24"/>
        </w:rPr>
        <w:t>, care vor fi evaluate în vederea unor acțiuni ulterioare.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sz w:val="24"/>
          <w:szCs w:val="24"/>
        </w:rPr>
        <w:t>Strategia Comisiei „De la fermă la consumator”</w:t>
      </w:r>
      <w:r>
        <w:rPr>
          <w:rFonts w:ascii="Times New Roman" w:hAnsi="Times New Roman" w:cs="Times New Roman"/>
          <w:noProof/>
          <w:color w:val="000000"/>
          <w:sz w:val="24"/>
          <w:szCs w:val="24"/>
          <w:vertAlign w:val="superscript"/>
          <w:lang w:val="en-IE"/>
        </w:rPr>
        <w:footnoteReference w:id="45"/>
      </w:r>
      <w:r>
        <w:rPr>
          <w:rFonts w:ascii="Times New Roman" w:hAnsi="Times New Roman"/>
          <w:noProof/>
          <w:color w:val="000000"/>
          <w:sz w:val="24"/>
          <w:szCs w:val="24"/>
        </w:rPr>
        <w:t xml:space="preserve"> invită industria alimentară și sectorul comerțului cu amănuntul să sporească disponibilitatea și accesibilitatea opțiunilor alimentare sănătoase și durabile. În acest context, Comisia va propune etichetarea nutrițională obligatorie armonizată pe partea frontală a ambalajului pentru a facilita alegerile alimentare sănătoase și în cunoștință de cauză și va stabili profiluri nutriționale pentru a restricționa promovarea (prin intermediul unor mențiuni nutriționale sau de sănătate) a produselor alimentare cu un conținut ridicat de grăsimi, zahăr și sare. </w:t>
      </w:r>
      <w:r>
        <w:rPr>
          <w:rFonts w:ascii="Times New Roman" w:hAnsi="Times New Roman"/>
          <w:noProof/>
          <w:color w:val="000000" w:themeColor="text1"/>
          <w:sz w:val="24"/>
          <w:szCs w:val="24"/>
        </w:rPr>
        <w:t>Campania „HealthyLifestyle4All” va promova un stil de viață sănătos pentru toți, toate generațiile și toate grupurile sociale, în special pentru copii.</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u w:val="single"/>
        </w:rPr>
        <w:t>Acțiuni-cheie ale Comisiei Europene:</w:t>
      </w:r>
    </w:p>
    <w:p>
      <w:pPr>
        <w:numPr>
          <w:ilvl w:val="0"/>
          <w:numId w:val="12"/>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accelerarea punerii în aplicare a </w:t>
      </w:r>
      <w:r>
        <w:rPr>
          <w:rFonts w:ascii="Times New Roman" w:hAnsi="Times New Roman"/>
          <w:noProof/>
          <w:color w:val="000000"/>
          <w:sz w:val="24"/>
          <w:szCs w:val="24"/>
        </w:rPr>
        <w:t>Recomandării Consiliului de consolidare a cooperării UE în ceea ce privește bolile care pot fi prevenite prin vaccinare</w:t>
      </w:r>
      <w:r>
        <w:rPr>
          <w:rFonts w:ascii="Times New Roman" w:hAnsi="Times New Roman" w:cs="Times New Roman"/>
          <w:noProof/>
          <w:color w:val="000000"/>
          <w:sz w:val="24"/>
          <w:szCs w:val="24"/>
          <w:vertAlign w:val="superscript"/>
          <w:lang w:val="en-IE"/>
        </w:rPr>
        <w:footnoteReference w:id="46"/>
      </w:r>
      <w:r>
        <w:rPr>
          <w:rFonts w:ascii="Times New Roman" w:hAnsi="Times New Roman"/>
          <w:noProof/>
          <w:color w:val="000000"/>
          <w:sz w:val="24"/>
          <w:szCs w:val="24"/>
        </w:rPr>
        <w:t>;</w:t>
      </w:r>
    </w:p>
    <w:p>
      <w:pPr>
        <w:numPr>
          <w:ilvl w:val="0"/>
          <w:numId w:val="11"/>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furnizarea de informații și schimbul de bune practici pentru a aborda sănătatea mintală a copiilor, prin intermediul Portalului de bune practici</w:t>
      </w:r>
      <w:r>
        <w:rPr>
          <w:rFonts w:ascii="Times New Roman" w:hAnsi="Times New Roman" w:cs="Times New Roman"/>
          <w:noProof/>
          <w:sz w:val="24"/>
          <w:szCs w:val="24"/>
          <w:vertAlign w:val="superscript"/>
        </w:rPr>
        <w:footnoteReference w:id="47"/>
      </w:r>
      <w:r>
        <w:rPr>
          <w:rFonts w:ascii="Times New Roman" w:hAnsi="Times New Roman"/>
          <w:noProof/>
          <w:sz w:val="24"/>
          <w:szCs w:val="24"/>
        </w:rPr>
        <w:t xml:space="preserve"> și al Platformei privind politica în domeniul sănătății;</w:t>
      </w:r>
    </w:p>
    <w:p>
      <w:pPr>
        <w:numPr>
          <w:ilvl w:val="0"/>
          <w:numId w:val="13"/>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revizuirea cadrului juridic al programului UE pentru școli pentru a se reorienta către alimente sănătoase și durabile;</w:t>
      </w:r>
    </w:p>
    <w:p>
      <w:pPr>
        <w:numPr>
          <w:ilvl w:val="0"/>
          <w:numId w:val="13"/>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dezvoltarea de bune practici și a unui cod de conduită voluntar pentru a reduce comercializarea online către copii a produselor cu un conținut ridicat de zahăr, grăsimi și sare în cadrul Acțiunii comune privind punerea în aplicare a bunelor practici validate în materie de alimentație.</w:t>
      </w:r>
    </w:p>
    <w:p>
      <w:pPr>
        <w:spacing w:after="120" w:line="240" w:lineRule="auto"/>
        <w:jc w:val="both"/>
        <w:rPr>
          <w:rFonts w:ascii="Times New Roman" w:hAnsi="Times New Roman" w:cs="Times New Roman"/>
          <w:b/>
          <w:bCs/>
          <w:noProof/>
          <w:color w:val="FF0000"/>
          <w:sz w:val="24"/>
          <w:szCs w:val="24"/>
          <w:u w:val="single"/>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bCs/>
          <w:noProof/>
          <w:sz w:val="24"/>
          <w:szCs w:val="24"/>
          <w:u w:val="single"/>
        </w:rPr>
      </w:pPr>
      <w:r>
        <w:rPr>
          <w:rFonts w:ascii="Times New Roman" w:hAnsi="Times New Roman"/>
          <w:b/>
          <w:bCs/>
          <w:noProof/>
          <w:sz w:val="24"/>
          <w:szCs w:val="24"/>
          <w:u w:val="single"/>
        </w:rPr>
        <w:t>Comisia Europeană invită statele membre:</w:t>
      </w:r>
    </w:p>
    <w:p>
      <w:pPr>
        <w:pStyle w:val="ListParagraph"/>
        <w:numPr>
          <w:ilvl w:val="0"/>
          <w:numId w:val="34"/>
        </w:numPr>
        <w:pBdr>
          <w:top w:val="single" w:sz="4" w:space="1" w:color="auto"/>
          <w:left w:val="single" w:sz="4" w:space="4" w:color="auto"/>
          <w:bottom w:val="single" w:sz="4" w:space="1" w:color="auto"/>
          <w:right w:val="single" w:sz="4" w:space="4" w:color="auto"/>
        </w:pBdr>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să identifice copiii ca grup țintă prioritar în strategiile lor naționale în materie de sănătate mintală; </w:t>
      </w:r>
    </w:p>
    <w:p>
      <w:pPr>
        <w:pStyle w:val="ListParagraph"/>
        <w:numPr>
          <w:ilvl w:val="0"/>
          <w:numId w:val="34"/>
        </w:numPr>
        <w:pBdr>
          <w:top w:val="single" w:sz="4" w:space="1" w:color="auto"/>
          <w:left w:val="single" w:sz="4" w:space="4" w:color="auto"/>
          <w:bottom w:val="single" w:sz="4" w:space="1" w:color="auto"/>
          <w:right w:val="single" w:sz="4" w:space="4" w:color="auto"/>
        </w:pBdr>
        <w:rPr>
          <w:rFonts w:ascii="Times New Roman" w:hAnsi="Times New Roman" w:cs="Times New Roman"/>
          <w:b/>
          <w:bCs/>
          <w:noProof/>
          <w:sz w:val="24"/>
          <w:szCs w:val="24"/>
        </w:rPr>
      </w:pPr>
      <w:r>
        <w:rPr>
          <w:rFonts w:ascii="Times New Roman" w:hAnsi="Times New Roman"/>
          <w:noProof/>
          <w:sz w:val="24"/>
          <w:szCs w:val="24"/>
        </w:rPr>
        <w:t>să creeze rețele la care să participe familiile, școlile, tinerii și alte părți interesate și instituțiile implicate în sănătatea mintală a copiilor.</w:t>
      </w:r>
    </w:p>
    <w:p>
      <w:pPr>
        <w:pStyle w:val="ListParagraph"/>
        <w:spacing w:after="120" w:line="240" w:lineRule="auto"/>
        <w:ind w:left="360"/>
        <w:jc w:val="both"/>
        <w:rPr>
          <w:rFonts w:ascii="Times New Roman" w:hAnsi="Times New Roman" w:cs="Times New Roman"/>
          <w:b/>
          <w:noProof/>
          <w:sz w:val="24"/>
          <w:szCs w:val="24"/>
        </w:rPr>
      </w:pPr>
    </w:p>
    <w:p>
      <w:pPr>
        <w:pStyle w:val="ListParagraph"/>
        <w:numPr>
          <w:ilvl w:val="1"/>
          <w:numId w:val="3"/>
        </w:num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Construirea unei educații de calitate și favorabile incluziunii</w:t>
      </w:r>
    </w:p>
    <w:p>
      <w:pPr>
        <w:spacing w:after="120" w:line="240" w:lineRule="auto"/>
        <w:ind w:right="-278"/>
        <w:jc w:val="both"/>
        <w:rPr>
          <w:rFonts w:ascii="Times New Roman" w:hAnsi="Times New Roman" w:cs="Times New Roman"/>
          <w:noProof/>
          <w:sz w:val="24"/>
          <w:szCs w:val="24"/>
        </w:rPr>
      </w:pPr>
      <w:r>
        <w:rPr>
          <w:rFonts w:ascii="Times New Roman" w:hAnsi="Times New Roman"/>
          <w:noProof/>
          <w:sz w:val="24"/>
          <w:szCs w:val="24"/>
        </w:rPr>
        <w:t xml:space="preserve">Toți copiii au dreptul de a-și dezvolta competențele și talentele esențiale, începând din copilărie și pe tot parcursul școlarizării și formării profesionale, inclusiv în structurile de învățare non-formală. </w:t>
      </w:r>
      <w:r>
        <w:rPr>
          <w:rFonts w:ascii="Times New Roman" w:hAnsi="Times New Roman"/>
          <w:b/>
          <w:noProof/>
          <w:sz w:val="24"/>
          <w:szCs w:val="24"/>
        </w:rPr>
        <w:t>Accesul la o educație favorabilă incluziunii, nesegregată și de calitate ar trebui garantat</w:t>
      </w:r>
      <w:r>
        <w:rPr>
          <w:rFonts w:ascii="Times New Roman" w:hAnsi="Times New Roman"/>
          <w:noProof/>
          <w:sz w:val="24"/>
          <w:szCs w:val="24"/>
        </w:rPr>
        <w:t xml:space="preserve">, printre altele, </w:t>
      </w:r>
      <w:r>
        <w:rPr>
          <w:rFonts w:ascii="Times New Roman" w:hAnsi="Times New Roman"/>
          <w:b/>
          <w:noProof/>
          <w:sz w:val="24"/>
          <w:szCs w:val="24"/>
        </w:rPr>
        <w:t>printr-un tratament nediscriminatoriu</w:t>
      </w:r>
      <w:r>
        <w:rPr>
          <w:rFonts w:ascii="Times New Roman" w:hAnsi="Times New Roman"/>
          <w:noProof/>
          <w:sz w:val="24"/>
          <w:szCs w:val="24"/>
        </w:rPr>
        <w:t xml:space="preserve">, indiferent de originea rasială și etnică, de religie sau de convingeri, de handicap, naționalitate, tipul de ședere, sex și orientare sexuală. </w:t>
      </w:r>
    </w:p>
    <w:p>
      <w:pPr>
        <w:spacing w:after="120" w:line="240" w:lineRule="auto"/>
        <w:ind w:right="-278"/>
        <w:jc w:val="both"/>
        <w:rPr>
          <w:rFonts w:ascii="Times New Roman" w:hAnsi="Times New Roman" w:cs="Times New Roman"/>
          <w:noProof/>
          <w:sz w:val="24"/>
          <w:szCs w:val="24"/>
        </w:rPr>
      </w:pPr>
      <w:r>
        <w:rPr>
          <w:rFonts w:ascii="Times New Roman" w:hAnsi="Times New Roman"/>
          <w:noProof/>
          <w:sz w:val="24"/>
          <w:szCs w:val="24"/>
        </w:rPr>
        <w:t>Educația și îngrijirea timpurie (ECEC) este deosebit de benefică pentru dezvoltarea cognitivă, lingvistică și socială a copiilor. Atât criteriul de referință din ET2020</w:t>
      </w:r>
      <w:r>
        <w:rPr>
          <w:rStyle w:val="FootnoteReference"/>
          <w:rFonts w:ascii="Times New Roman" w:hAnsi="Times New Roman" w:cs="Times New Roman"/>
          <w:noProof/>
          <w:sz w:val="24"/>
          <w:szCs w:val="24"/>
          <w:lang w:val="en-IE"/>
        </w:rPr>
        <w:footnoteReference w:id="48"/>
      </w:r>
      <w:r>
        <w:rPr>
          <w:rFonts w:ascii="Times New Roman" w:hAnsi="Times New Roman"/>
          <w:noProof/>
          <w:sz w:val="24"/>
          <w:szCs w:val="24"/>
        </w:rPr>
        <w:t>, cât și obiectivele de la Barcelona</w:t>
      </w:r>
      <w:r>
        <w:rPr>
          <w:rStyle w:val="FootnoteReference"/>
          <w:rFonts w:ascii="Times New Roman" w:hAnsi="Times New Roman" w:cs="Times New Roman"/>
          <w:noProof/>
          <w:sz w:val="24"/>
          <w:szCs w:val="24"/>
          <w:lang w:val="en-IE"/>
        </w:rPr>
        <w:footnoteReference w:id="49"/>
      </w:r>
      <w:r>
        <w:rPr>
          <w:rFonts w:ascii="Times New Roman" w:hAnsi="Times New Roman"/>
          <w:noProof/>
          <w:sz w:val="24"/>
          <w:szCs w:val="24"/>
        </w:rPr>
        <w:t xml:space="preserve"> privind participarea copiilor la ECEC au fost îndeplinite la nivelul UE, deși există variații mari de la un stat membru la altul. </w:t>
      </w:r>
    </w:p>
    <w:p>
      <w:pPr>
        <w:spacing w:after="120" w:line="240" w:lineRule="auto"/>
        <w:ind w:right="-284"/>
        <w:jc w:val="both"/>
        <w:rPr>
          <w:rFonts w:ascii="Times New Roman" w:hAnsi="Times New Roman" w:cs="Times New Roman"/>
          <w:noProof/>
          <w:sz w:val="24"/>
          <w:szCs w:val="24"/>
        </w:rPr>
      </w:pPr>
      <w:r>
        <w:rPr>
          <w:rFonts w:ascii="Times New Roman" w:hAnsi="Times New Roman"/>
          <w:noProof/>
          <w:sz w:val="24"/>
          <w:szCs w:val="24"/>
        </w:rPr>
        <w:t>Ratele de înscriere în cadrul ECEC pentru copiii cu handicap și copiii din grupuri defavorizate, copiii proveniți din familii de migranți și copiii romi sunt mult mai scăzute, deși acești copii se numără printre cei care ar beneficia cel mai mult de pe urma participării la ECEC. Țările au adoptat măsuri specifice pentru a facilita accesul la serviciile de ECEC pentru copiii care trăiesc în sărăcie, însă puține țări prevăd măsuri de sprijin pentru copiii care provin din familii de migranți sau pentru cei care aparțin minorităților regionale sau etnice</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Acest lucru este deosebit de problematic pentru copiii proveniți din familii de migranți, pentru care accesul la ECEC este deosebit de benefic în ceea ce privește dezvoltarea limbajului. Comisia va propune revizuirea obiectivelor de la Barcelona pentru a sprijini în continuare convergența ascendentă între statele membre în ceea ce privește participarea la educația și îngrijirea timpurie</w:t>
      </w:r>
      <w:r>
        <w:rPr>
          <w:rStyle w:val="FootnoteReference"/>
          <w:rFonts w:ascii="Times New Roman" w:hAnsi="Times New Roman" w:cs="Times New Roman"/>
          <w:noProof/>
          <w:sz w:val="24"/>
          <w:szCs w:val="24"/>
          <w:lang w:val="en-IE"/>
        </w:rPr>
        <w:footnoteReference w:id="51"/>
      </w:r>
      <w:r>
        <w:rPr>
          <w:rFonts w:ascii="Times New Roman" w:hAnsi="Times New Roman"/>
          <w:noProof/>
          <w:sz w:val="24"/>
          <w:szCs w:val="24"/>
        </w:rPr>
        <w:t xml:space="preserve">. </w:t>
      </w:r>
    </w:p>
    <w:p>
      <w:pPr>
        <w:spacing w:after="120" w:line="240" w:lineRule="auto"/>
        <w:ind w:right="-284"/>
        <w:jc w:val="both"/>
        <w:rPr>
          <w:rFonts w:ascii="Times New Roman" w:hAnsi="Times New Roman" w:cs="Times New Roman"/>
          <w:noProof/>
          <w:sz w:val="24"/>
          <w:szCs w:val="24"/>
        </w:rPr>
      </w:pPr>
      <w:r>
        <w:rPr>
          <w:rFonts w:ascii="Times New Roman" w:hAnsi="Times New Roman"/>
          <w:noProof/>
          <w:sz w:val="24"/>
          <w:szCs w:val="24"/>
        </w:rPr>
        <w:t xml:space="preserve">Pentru a concepe o educație școlară favorabilă incluziunii, este necesar să se dezvolte experiențe de învățare utile în diferite medii. În acest scop, Comisia va prezenta propuneri de sprijinire a învățării online și la distanță în învățământul primar și secundar, care vor promova dezvoltarea unei educații mai flexibile și favorabile incluziunii, prin combinarea diferitelor medii de învățare (învățarea la școală și la distanță) și diferitelor instrumente (digitale, inclusiv online, și nedigitale), ținând seama, în același timp, de problemele specifice ale grupurilor și ale comunităților defavorizate. </w:t>
      </w:r>
    </w:p>
    <w:p>
      <w:pPr>
        <w:spacing w:after="120" w:line="240" w:lineRule="auto"/>
        <w:ind w:right="-284"/>
        <w:jc w:val="both"/>
        <w:rPr>
          <w:rFonts w:ascii="Times New Roman" w:hAnsi="Times New Roman" w:cs="Times New Roman"/>
          <w:noProof/>
          <w:sz w:val="24"/>
          <w:szCs w:val="24"/>
        </w:rPr>
      </w:pPr>
      <w:r>
        <w:rPr>
          <w:rFonts w:ascii="Times New Roman" w:hAnsi="Times New Roman"/>
          <w:noProof/>
          <w:sz w:val="24"/>
          <w:szCs w:val="24"/>
        </w:rPr>
        <w:t>În pofida progreselor recente, tinerii care părăsesc timpuriu sistemul de educație și formare reprezintă în continuare aproximativ 10 % din tinerii din UE (și peste 60 % din tinerii romi) și doar 83 % au absolvit învățământul secundar superior (doar 28 % în rândul romilor). Dintre copiii romi din școlile primare, 44 % frecventează școli primare segregate, ceea ce le compromite șansele de reușită în etapele ulterioare ale parcursului lor școlar</w:t>
      </w:r>
      <w:r>
        <w:rPr>
          <w:rStyle w:val="FootnoteReference"/>
          <w:rFonts w:ascii="Times New Roman" w:hAnsi="Times New Roman" w:cs="Times New Roman"/>
          <w:noProof/>
          <w:sz w:val="24"/>
          <w:szCs w:val="24"/>
          <w:lang w:val="en-IE"/>
        </w:rPr>
        <w:footnoteReference w:id="52"/>
      </w:r>
      <w:r>
        <w:rPr>
          <w:rFonts w:ascii="Times New Roman" w:hAnsi="Times New Roman"/>
          <w:noProof/>
          <w:sz w:val="24"/>
          <w:szCs w:val="24"/>
        </w:rPr>
        <w:t>. Copiii cu handicap părăsesc timpuriu școala și numărul elevilor cu handicap care obțin o diplomă universitară este mai mic (o diferență de 14,4 puncte procentuale). Există o disparitate de gen persistentă, numărul băieților care părăsesc timpuriu școala fiind mai mare decât numărul fetelor. În plus, rezultatele din 2018 ale Programului pentru evaluarea internațională a elevilor (PISA) al Organizației pentru Cooperare și Dezvoltare Economică (OCDE)</w:t>
      </w:r>
      <w:r>
        <w:rPr>
          <w:rStyle w:val="FootnoteReference"/>
          <w:rFonts w:ascii="Times New Roman" w:hAnsi="Times New Roman" w:cs="Times New Roman"/>
          <w:noProof/>
          <w:sz w:val="24"/>
          <w:szCs w:val="24"/>
          <w:lang w:val="en-IE"/>
        </w:rPr>
        <w:footnoteReference w:id="53"/>
      </w:r>
      <w:r>
        <w:rPr>
          <w:rFonts w:ascii="Times New Roman" w:hAnsi="Times New Roman"/>
          <w:noProof/>
          <w:sz w:val="24"/>
          <w:szCs w:val="24"/>
        </w:rPr>
        <w:t xml:space="preserve"> arată că unul din cinci tineri europeni nu dispune încă de competențe adecvate în materie de citit, matematică sau științe. Pentru a contracara această tendință și pentru a-i sprijini pe toți elevii să își finalizeze ciclul de învățământ secundar superior, Comisia va prezenta o recomandare de a deschide „Căi către succesul școlar”, punând accentul pe elevii defavorizați.</w:t>
      </w:r>
    </w:p>
    <w:p>
      <w:pPr>
        <w:spacing w:after="120" w:line="240" w:lineRule="auto"/>
        <w:ind w:right="-284"/>
        <w:jc w:val="both"/>
        <w:rPr>
          <w:rFonts w:ascii="Times New Roman" w:hAnsi="Times New Roman" w:cs="Times New Roman"/>
          <w:noProof/>
          <w:sz w:val="24"/>
          <w:szCs w:val="24"/>
        </w:rPr>
      </w:pPr>
      <w:r>
        <w:rPr>
          <w:rFonts w:ascii="Times New Roman" w:hAnsi="Times New Roman"/>
          <w:noProof/>
          <w:sz w:val="24"/>
          <w:szCs w:val="24"/>
        </w:rPr>
        <w:t xml:space="preserve">Educația și formarea profesională (EFP) îi pot sprijini pe elevi să dobândească o combinație echilibrată de aptitudini profesionale și competențe-cheie care să le asigure succesul pe o piață a muncii și într-o societate aflate în evoluție și care va favoriza incluziunea și egalitatea de șanse. </w:t>
      </w: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Acțiuni-cheie ale Comisiei Europene </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rPr>
        <w:t>propunerea, în 2022, a unei revizuiri a obiectivelor de la Barcelona pentru a sprijini în continuare convergența ascendentă între statele membre în ceea ce privește participarea la educația și îngrijirea timpurie;</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rPr>
        <w:t>propunerea unei recomandări a Consiliului privind învățarea online și la distanță în învățământul primar și în cel secundar;</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rPr>
        <w:t xml:space="preserve">propunerea unei noi inițiative intitulate „Căi către succesul școlar”, care va contribui, de asemenea, la disocierea nivelului de educație și a rezultatelor școlare de statutul social, economic și cultural; </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rPr>
        <w:t>instituirea unui grup de experți care să creeze medii de învățare favorabile pentru grupurile expuse riscului de eșec școlar și care să sprijine bunăstarea la școală;</w:t>
      </w:r>
    </w:p>
    <w:p>
      <w:pPr>
        <w:pStyle w:val="ListParagraph"/>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szCs w:val="24"/>
        </w:rPr>
        <w:t>sprijinirea statelor membre în punerea în aplicare a Recomandării Consiliului din 2020 privind EFP pentru competitivitate durabilă, echitate socială și reziliență;</w:t>
      </w:r>
    </w:p>
    <w:p>
      <w:pPr>
        <w:pStyle w:val="ListParagraph"/>
        <w:numPr>
          <w:ilvl w:val="0"/>
          <w:numId w:val="16"/>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color w:val="000000"/>
          <w:sz w:val="24"/>
          <w:szCs w:val="24"/>
          <w:shd w:val="clear" w:color="auto" w:fill="FFFFFF"/>
        </w:rPr>
        <w:t>promovarea setului de instrumente pentru includerea în educația și îngrijirea timpurie</w:t>
      </w:r>
      <w:r>
        <w:rPr>
          <w:rStyle w:val="FootnoteReference"/>
          <w:rFonts w:ascii="Times New Roman" w:eastAsia="Times New Roman" w:hAnsi="Times New Roman" w:cs="Times New Roman"/>
          <w:noProof/>
          <w:color w:val="000000"/>
          <w:sz w:val="24"/>
          <w:szCs w:val="24"/>
          <w:shd w:val="clear" w:color="auto" w:fill="FFFFFF"/>
          <w:lang w:eastAsia="en-GB"/>
        </w:rPr>
        <w:footnoteReference w:id="54"/>
      </w:r>
      <w:r>
        <w:rPr>
          <w:rFonts w:ascii="Times New Roman" w:hAnsi="Times New Roman"/>
          <w:noProof/>
          <w:color w:val="000000"/>
          <w:sz w:val="24"/>
          <w:szCs w:val="24"/>
          <w:shd w:val="clear" w:color="auto" w:fill="FFFFFF"/>
        </w:rPr>
        <w:t>.</w:t>
      </w:r>
    </w:p>
    <w:p>
      <w:pPr>
        <w:spacing w:after="120" w:line="240" w:lineRule="auto"/>
        <w:contextualSpacing/>
        <w:jc w:val="both"/>
        <w:rPr>
          <w:rFonts w:ascii="Times New Roman" w:hAnsi="Times New Roman" w:cs="Times New Roman"/>
          <w:b/>
          <w:noProof/>
          <w:sz w:val="24"/>
          <w:szCs w:val="24"/>
          <w:u w:val="single"/>
          <w:lang w:val="en-IE"/>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b/>
          <w:noProof/>
          <w:sz w:val="24"/>
          <w:szCs w:val="24"/>
          <w:u w:val="single"/>
        </w:rPr>
        <w:t>Comisia Europeană invită statele membre:</w:t>
      </w:r>
    </w:p>
    <w:p>
      <w:pPr>
        <w:pStyle w:val="ListParagraph"/>
        <w:numPr>
          <w:ilvl w:val="0"/>
          <w:numId w:val="17"/>
        </w:numPr>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noProof/>
          <w:color w:val="000000"/>
          <w:sz w:val="24"/>
          <w:szCs w:val="24"/>
          <w:shd w:val="clear" w:color="auto" w:fill="FFFFFF"/>
        </w:rPr>
      </w:pPr>
      <w:r>
        <w:rPr>
          <w:rFonts w:ascii="Times New Roman" w:hAnsi="Times New Roman"/>
          <w:bCs/>
          <w:noProof/>
          <w:color w:val="000000"/>
          <w:sz w:val="24"/>
          <w:szCs w:val="24"/>
          <w:shd w:val="clear" w:color="auto" w:fill="FFFFFF"/>
        </w:rPr>
        <w:t>să depună eforturi în vederea atingerii obiectivelor propuse în cadrul spațiului european al educației;</w:t>
      </w:r>
    </w:p>
    <w:p>
      <w:pPr>
        <w:pStyle w:val="ListParagraph"/>
        <w:numPr>
          <w:ilvl w:val="0"/>
          <w:numId w:val="17"/>
        </w:numPr>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noProof/>
          <w:color w:val="000000"/>
          <w:sz w:val="24"/>
          <w:szCs w:val="24"/>
          <w:shd w:val="clear" w:color="auto" w:fill="FFFFFF"/>
        </w:rPr>
      </w:pPr>
      <w:r>
        <w:rPr>
          <w:rFonts w:ascii="Times New Roman" w:hAnsi="Times New Roman"/>
          <w:noProof/>
          <w:sz w:val="24"/>
          <w:szCs w:val="24"/>
        </w:rPr>
        <w:t>să continue punerea în aplicare deplină, în strânsă cooperare cu Comisia Europeană, a tuturor acțiunilor relevante recomandate în Planul de acțiune privind integrarea și incluziunea pentru perioada 2021-2024</w:t>
      </w:r>
      <w:r>
        <w:rPr>
          <w:rStyle w:val="FootnoteReference"/>
          <w:rFonts w:ascii="Times New Roman" w:eastAsia="Arial" w:hAnsi="Times New Roman" w:cs="Times New Roman"/>
          <w:noProof/>
          <w:sz w:val="24"/>
          <w:szCs w:val="24"/>
        </w:rPr>
        <w:footnoteReference w:id="55"/>
      </w:r>
      <w:r>
        <w:rPr>
          <w:rFonts w:ascii="Times New Roman" w:hAnsi="Times New Roman"/>
          <w:noProof/>
          <w:sz w:val="24"/>
          <w:szCs w:val="24"/>
        </w:rPr>
        <w:t xml:space="preserve"> în domeniul educației și formării profesionale.</w:t>
      </w:r>
    </w:p>
    <w:p>
      <w:pPr>
        <w:pStyle w:val="Heading2"/>
        <w:spacing w:before="0" w:after="120" w:line="240" w:lineRule="auto"/>
        <w:ind w:left="360"/>
        <w:jc w:val="both"/>
        <w:rPr>
          <w:rFonts w:ascii="Times New Roman" w:hAnsi="Times New Roman" w:cs="Times New Roman"/>
          <w:b/>
          <w:noProof/>
          <w:color w:val="4F81BD" w:themeColor="accent1"/>
          <w:sz w:val="24"/>
          <w:szCs w:val="24"/>
        </w:rPr>
      </w:pPr>
      <w:bookmarkStart w:id="3" w:name="_Toc54088516"/>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r>
        <w:rPr>
          <w:rFonts w:ascii="Times New Roman" w:hAnsi="Times New Roman"/>
          <w:b/>
          <w:noProof/>
          <w:color w:val="4F81BD" w:themeColor="accent1"/>
          <w:sz w:val="24"/>
          <w:szCs w:val="24"/>
        </w:rPr>
        <w:t>Combaterea violenței împotriva copiilor și asigurarea protecției copiilor: o Uniune Europeană care îi ajută pe copii să se dezvolte fără a fi expuși la violență</w:t>
      </w:r>
      <w:bookmarkEnd w:id="3"/>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eastAsia="Times New Roman" w:hAnsi="Times New Roman" w:cs="Times New Roman"/>
          <w:noProof/>
          <w:sz w:val="24"/>
          <w:szCs w:val="24"/>
        </w:rPr>
      </w:pPr>
      <w:r>
        <w:rPr>
          <w:rFonts w:ascii="Times New Roman" w:hAnsi="Times New Roman"/>
          <w:i/>
          <w:noProof/>
          <w:sz w:val="24"/>
          <w:szCs w:val="24"/>
        </w:rPr>
        <w:t xml:space="preserve">„Faptul că trăim într-o instituție nu spune absolut nimic despre noi, decât că avem deja o anumită experiență de viață.” </w:t>
      </w:r>
      <w:r>
        <w:rPr>
          <w:rFonts w:ascii="Times New Roman" w:hAnsi="Times New Roman"/>
          <w:noProof/>
          <w:sz w:val="24"/>
          <w:szCs w:val="24"/>
        </w:rPr>
        <w:t>(Copil, Slovenia)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i/>
          <w:noProof/>
          <w:sz w:val="24"/>
          <w:szCs w:val="24"/>
        </w:rPr>
        <w:t xml:space="preserve">„Mi-aș dori să fie mai puține conflicte și tensiuni în familia mea.” </w:t>
      </w:r>
      <w:r>
        <w:rPr>
          <w:rFonts w:ascii="Times New Roman" w:hAnsi="Times New Roman"/>
          <w:noProof/>
          <w:sz w:val="24"/>
          <w:szCs w:val="24"/>
        </w:rPr>
        <w:t>(Copil, Grecia)</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Violența împotriva copiilor, sub toate formele sale, este larg răspândită.</w:t>
      </w:r>
      <w:r>
        <w:rPr>
          <w:rFonts w:ascii="Times New Roman" w:hAnsi="Times New Roman"/>
          <w:noProof/>
          <w:sz w:val="24"/>
          <w:szCs w:val="24"/>
        </w:rPr>
        <w:t xml:space="preserve"> Copiii pot fi victime, martori, precum și autori ai actelor de violență – începând din propria casă, la școală, în cadrul unor activități recreative și de agrement, în sistemul judiciar, atât offline, cât și online.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Se estimează că, în fiecare an, jumătate din copiii din întreaga lume sunt supuși unei forme de violență. La nivel mondial, aproape trei sferturi din copiii cu vârste cuprinse între 2 și 4 ani suferă în mod regulat pedepse fizice și/sau violențe psihologice din partea părinților și a îngrijitorilor</w:t>
      </w:r>
      <w:r>
        <w:rPr>
          <w:rStyle w:val="FootnoteReference"/>
          <w:rFonts w:ascii="Times New Roman" w:hAnsi="Times New Roman" w:cs="Times New Roman"/>
          <w:noProof/>
          <w:sz w:val="24"/>
          <w:szCs w:val="24"/>
        </w:rPr>
        <w:footnoteReference w:id="56"/>
      </w:r>
      <w:r>
        <w:rPr>
          <w:rFonts w:ascii="Times New Roman" w:hAnsi="Times New Roman"/>
          <w:noProof/>
          <w:sz w:val="24"/>
          <w:szCs w:val="24"/>
        </w:rPr>
        <w:t>. În Europa, 1 din 5 copii va fi victimă a unei forme de violență sexuală</w:t>
      </w:r>
      <w:r>
        <w:rPr>
          <w:rStyle w:val="FootnoteReference"/>
          <w:rFonts w:ascii="Times New Roman" w:hAnsi="Times New Roman" w:cs="Times New Roman"/>
          <w:noProof/>
          <w:sz w:val="24"/>
          <w:szCs w:val="24"/>
        </w:rPr>
        <w:footnoteReference w:id="57"/>
      </w:r>
      <w:r>
        <w:rPr>
          <w:rFonts w:ascii="Times New Roman" w:hAnsi="Times New Roman"/>
          <w:noProof/>
          <w:sz w:val="24"/>
          <w:szCs w:val="24"/>
        </w:rPr>
        <w:t>, în timp ce copiii reprezintă aproape un sfert din victimele traficului de persoane în UE – majoritatea fiind fete, victime ale traficului în scopul exploatării sexuale</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Peste 200 de milioane de femei și fete din întreaga lume au supraviețuit mutilării genitale feminine</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dintre care peste 600 000 în UE</w:t>
      </w:r>
      <w:r>
        <w:rPr>
          <w:rStyle w:val="FootnoteReference"/>
          <w:rFonts w:ascii="Times New Roman" w:hAnsi="Times New Roman" w:cs="Times New Roman"/>
          <w:noProof/>
          <w:sz w:val="24"/>
          <w:szCs w:val="24"/>
        </w:rPr>
        <w:footnoteReference w:id="60"/>
      </w:r>
      <w:r>
        <w:rPr>
          <w:rFonts w:ascii="Times New Roman" w:hAnsi="Times New Roman"/>
          <w:noProof/>
          <w:sz w:val="24"/>
          <w:szCs w:val="24"/>
        </w:rPr>
        <w:t>. 62 % din persoanele intersexuale</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xml:space="preserve"> care au fost supuse unei intervenții chirurgicale au declarat că nici ei, nici părinții lor nu și-au dat consimțământul în deplină cunoștință de cauză înaintea unui tratament sau a unei intervenții medicale care viza modificarea caracteristicilor lor sexuale</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Pandemia de COVID-19 a dus la o creștere a anumitor forme de violență, cum ar fi violența domestică, iar mecanismele de depunere a plângerilor și de raportare trebuie să se adapteze la noile circumstanțe. Trebuie îmbunătățite capacitatea și accesul la liniile de asistență telefonică pentru copii (116 111) și la liniile telefonice de urgență pentru copiii dispăruți (116 000).</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Expunerea la violență afectează grav dezvoltarea fizică, psihologică și emoțională a copilului. Aceasta poate avea consecințe asupra prezenței la școală, a interacțiunii sociale și a dezvoltării armonioase a copilului. Expunerea la violență poate duce la probleme de sănătate mintală, boli cronice, tendințe de automutilare și chiar la sinucidere. Copiii aflați în situații vulnerabile pot fi afectați în mod deosebit. </w:t>
      </w:r>
    </w:p>
    <w:p>
      <w:pPr>
        <w:spacing w:after="120" w:line="240" w:lineRule="auto"/>
        <w:jc w:val="both"/>
        <w:rPr>
          <w:rFonts w:ascii="Times New Roman" w:hAnsi="Times New Roman" w:cs="Times New Roman"/>
          <w:b/>
          <w:noProof/>
        </w:rPr>
      </w:pPr>
      <w:r>
        <w:rPr>
          <w:rFonts w:ascii="Times New Roman" w:hAnsi="Times New Roman"/>
          <w:b/>
          <w:noProof/>
          <w:sz w:val="24"/>
          <w:szCs w:val="24"/>
        </w:rPr>
        <w:t>Violența în școli și între colegi este frecventă</w:t>
      </w:r>
      <w:r>
        <w:rPr>
          <w:rFonts w:ascii="Times New Roman" w:hAnsi="Times New Roman"/>
          <w:noProof/>
          <w:sz w:val="24"/>
          <w:szCs w:val="24"/>
        </w:rPr>
        <w:t>. Conform rezultatelor PISA din 2018, 23 % din elevi au declarat că au fost hărțuiți la școală (hărțuire fizică, verbală sau relațională) cel puțin de câteva ori pe lună. Un sondaj recent privind persoanele LGBTI realizat de Agenția pentru Drepturi Fundamentale a arătat că 51 % dintre respondenții cu vârste cuprinse între 15 și 17 ani au raportat că au fost hărțuiți la școală.</w:t>
      </w:r>
    </w:p>
    <w:p>
      <w:pPr>
        <w:pStyle w:val="Default"/>
        <w:spacing w:after="120"/>
        <w:jc w:val="both"/>
        <w:rPr>
          <w:rFonts w:ascii="Times New Roman" w:hAnsi="Times New Roman" w:cs="Times New Roman"/>
          <w:noProof/>
        </w:rPr>
      </w:pPr>
      <w:r>
        <w:rPr>
          <w:rFonts w:ascii="Times New Roman" w:hAnsi="Times New Roman"/>
          <w:noProof/>
        </w:rPr>
        <w:t>În 2019, 12 % din migranții internaționali la nivel mondial (mai precis 33 de milioane) erau copii. Copiii migranți, inclusiv copiii refugiați, sunt foarte adesea expuși riscului de abuz și au suferit forme extreme de violență – războaie, conflicte violente, exploatare, trafic de persoane, abuzuri fizice, psihologice și sexuale – înainte și/sau după sosirea lor pe teritoriul UE</w:t>
      </w:r>
      <w:r>
        <w:rPr>
          <w:rStyle w:val="FootnoteReference"/>
          <w:rFonts w:ascii="Times New Roman" w:hAnsi="Times New Roman" w:cs="Times New Roman"/>
          <w:noProof/>
          <w:lang w:val="en-IE"/>
        </w:rPr>
        <w:footnoteReference w:id="63"/>
      </w:r>
      <w:r>
        <w:rPr>
          <w:rFonts w:ascii="Times New Roman" w:hAnsi="Times New Roman"/>
          <w:noProof/>
        </w:rPr>
        <w:t>. Copiii pot dispărea sau pot fi separați de familiile lor. Riscurile cresc atunci când copiii călătoresc neînsoțiți sau sunt obligați să împartă spații supraaglomerate cu adulți care le sunt străini. Vulnerabilitatea deosebită a copiilor în contextul migrației sau din cauza faptului că provin din familii de migranți necesită protecție și sprijin suplimentar și specific. Acest lucru este valabil și pentru cei din afara UE, cum ar fi cei aproape 30 000 de copii, dintre care unii sunt copii ai luptătorilor străini, care se estimează că locuiesc în tabăra Al Hol din Siria, acești copii suferind de traumatisme legate de conflict și trăind în condiții extrem de dificile</w:t>
      </w:r>
      <w:r>
        <w:rPr>
          <w:rStyle w:val="FootnoteReference"/>
          <w:rFonts w:ascii="Times New Roman" w:hAnsi="Times New Roman" w:cs="Times New Roman"/>
          <w:noProof/>
        </w:rPr>
        <w:footnoteReference w:id="64"/>
      </w:r>
      <w:r>
        <w:rPr>
          <w:rFonts w:ascii="Times New Roman" w:hAnsi="Times New Roman"/>
          <w:noProof/>
        </w:rPr>
        <w:t>.</w:t>
      </w:r>
    </w:p>
    <w:p>
      <w:pPr>
        <w:spacing w:line="240" w:lineRule="auto"/>
        <w:jc w:val="both"/>
        <w:rPr>
          <w:rFonts w:ascii="Times New Roman" w:hAnsi="Times New Roman" w:cs="Times New Roman"/>
          <w:noProof/>
        </w:rPr>
      </w:pPr>
      <w:r>
        <w:rPr>
          <w:rFonts w:ascii="Times New Roman" w:hAnsi="Times New Roman"/>
          <w:noProof/>
          <w:sz w:val="24"/>
          <w:szCs w:val="24"/>
        </w:rPr>
        <w:t>Comisia va combate violența, inclusiv violența pe criterii de gen, împotriva tuturor copiilor și va sprijini statele membre în acest demers. În acest context, Comisia va continua să sprijine statele membre și să monitorizeze punerea în aplicare a acțiunilor identificate în Comunicarea din 2017 privind protecția copiilor migranți</w:t>
      </w:r>
      <w:r>
        <w:rPr>
          <w:rStyle w:val="FootnoteReference"/>
          <w:rFonts w:ascii="Times New Roman" w:hAnsi="Times New Roman" w:cs="Times New Roman"/>
          <w:noProof/>
          <w:sz w:val="24"/>
          <w:szCs w:val="24"/>
        </w:rPr>
        <w:footnoteReference w:id="65"/>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Comisia va colabora, de asemenea, cu toate părțile interesate pentru a sensibiliza publicul cu privire la toate formele de violență, pentru a asigura o prevenire, o protecție și un sprijin eficace și adaptate copiilor care sunt victime și martori ai unor acte de violență. Programul CERV</w:t>
      </w:r>
      <w:r>
        <w:rPr>
          <w:rStyle w:val="FootnoteReference"/>
          <w:rFonts w:ascii="Times New Roman" w:hAnsi="Times New Roman" w:cs="Times New Roman"/>
          <w:noProof/>
          <w:sz w:val="24"/>
          <w:szCs w:val="24"/>
        </w:rPr>
        <w:footnoteReference w:id="66"/>
      </w:r>
      <w:r>
        <w:rPr>
          <w:rFonts w:ascii="Times New Roman" w:hAnsi="Times New Roman"/>
          <w:noProof/>
          <w:sz w:val="24"/>
          <w:szCs w:val="24"/>
        </w:rPr>
        <w:t xml:space="preserve"> va continua să finanțeze proiecte de protecție a copilului.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Comisia va căuta soluții pentru a găsi o soluție la lipsa de date comparabile, defalcate în funcție de vârstă și sex privind violența împotriva copiilor la nivel național și la nivelul UE și se va baza, după caz, pe expertiza Agenției pentru Drepturi Fundamentale.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Prezenta strategie va completa și va consolida, după caz, acțiunile prevăzute în cadrul noii strategii a UE privind combaterea traficului de persoane, precum și în cadrul strategiei UE pentru o combatere mai eficace a abuzului sexual asupra copiilor</w:t>
      </w:r>
      <w:r>
        <w:rPr>
          <w:rStyle w:val="FootnoteReference"/>
          <w:rFonts w:ascii="Times New Roman" w:hAnsi="Times New Roman" w:cs="Times New Roman"/>
          <w:noProof/>
          <w:sz w:val="24"/>
          <w:szCs w:val="24"/>
        </w:rPr>
        <w:footnoteReference w:id="67"/>
      </w:r>
      <w:r>
        <w:rPr>
          <w:rFonts w:ascii="Times New Roman" w:hAnsi="Times New Roman"/>
          <w:noProof/>
          <w:sz w:val="24"/>
          <w:szCs w:val="24"/>
        </w:rPr>
        <w:t>. În acest context, Comisia analizează, de asemenea, posibilitatea înființării unui centru european pentru prevenirea și combaterea abuzului sexual asupra copiilor, care să colaboreze cu întreprinderile și organismele de aplicare a legii, să identifice victimele și să aducă infractorii în fața justiției.</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 xml:space="preserve">Promovarea sistemelor integrate de protecție a copilului este intrinsec legată de prevenirea violenței și de protecția împotriva acesteia. </w:t>
      </w:r>
      <w:r>
        <w:rPr>
          <w:rFonts w:ascii="Times New Roman" w:hAnsi="Times New Roman"/>
          <w:noProof/>
          <w:sz w:val="24"/>
          <w:szCs w:val="24"/>
        </w:rPr>
        <w:t>Plasând copilul în centrul preocupărilor, toate autoritățile și serviciile relevante ar trebui să colaboreze pentru a proteja și a sprijini copilul și interesul său superior. Comisia va sprijini în continuare înființarea de case ale copiilor (</w:t>
      </w:r>
      <w:r>
        <w:rPr>
          <w:rFonts w:ascii="Times New Roman" w:hAnsi="Times New Roman"/>
          <w:i/>
          <w:noProof/>
          <w:sz w:val="24"/>
          <w:szCs w:val="24"/>
        </w:rPr>
        <w:t>Barnahus</w:t>
      </w:r>
      <w:r>
        <w:rPr>
          <w:rStyle w:val="FootnoteReference"/>
          <w:rFonts w:ascii="Times New Roman" w:hAnsi="Times New Roman" w:cs="Times New Roman"/>
          <w:noProof/>
          <w:sz w:val="24"/>
          <w:szCs w:val="24"/>
        </w:rPr>
        <w:footnoteReference w:id="68"/>
      </w:r>
      <w:r>
        <w:rPr>
          <w:rFonts w:ascii="Times New Roman" w:hAnsi="Times New Roman"/>
          <w:noProof/>
          <w:sz w:val="24"/>
          <w:szCs w:val="24"/>
        </w:rPr>
        <w:t xml:space="preserve">) în UE. Ar trebui acordată o atenție deosebită măsurilor de prevenire, inclusiv sprijinului familial. </w:t>
      </w:r>
    </w:p>
    <w:p>
      <w:pPr>
        <w:spacing w:after="120" w:line="240" w:lineRule="auto"/>
        <w:contextualSpacing/>
        <w:jc w:val="both"/>
        <w:rPr>
          <w:rFonts w:ascii="Times New Roman" w:hAnsi="Times New Roman" w:cs="Times New Roman"/>
          <w:noProof/>
          <w:sz w:val="24"/>
          <w:szCs w:val="24"/>
        </w:rPr>
      </w:pPr>
    </w:p>
    <w:p>
      <w:pPr>
        <w:pBdr>
          <w:top w:val="single" w:sz="4" w:space="1" w:color="auto"/>
          <w:left w:val="single" w:sz="4" w:space="4" w:color="auto"/>
          <w:bottom w:val="single" w:sz="4" w:space="0" w:color="auto"/>
          <w:right w:val="single" w:sz="4" w:space="4" w:color="auto"/>
        </w:pBdr>
        <w:spacing w:after="120" w:line="240" w:lineRule="auto"/>
        <w:ind w:left="-23"/>
        <w:jc w:val="both"/>
        <w:rPr>
          <w:rFonts w:ascii="Times New Roman" w:hAnsi="Times New Roman" w:cs="Times New Roman"/>
          <w:b/>
          <w:noProof/>
          <w:sz w:val="24"/>
          <w:szCs w:val="24"/>
        </w:rPr>
      </w:pPr>
      <w:r>
        <w:rPr>
          <w:rFonts w:ascii="Times New Roman" w:hAnsi="Times New Roman"/>
          <w:b/>
          <w:noProof/>
          <w:sz w:val="24"/>
          <w:szCs w:val="24"/>
        </w:rPr>
        <w:t>Acțiuni-cheie ale Comisiei Europene:</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noProof/>
          <w:sz w:val="24"/>
          <w:szCs w:val="24"/>
        </w:rPr>
        <w:t>prezentarea unei propuneri legislative de combatere a violenței pe criterii de gen împotriva femeilor și a violenței domestice, sprijinind în același timp finalizarea procesului de aderare a UE la Convenția Consiliului Europei privind prevenirea și combaterea violenței;</w:t>
      </w:r>
      <w:r>
        <w:rPr>
          <w:rFonts w:ascii="Times New Roman" w:hAnsi="Times New Roman"/>
          <w:b/>
          <w:noProof/>
          <w:sz w:val="24"/>
          <w:szCs w:val="24"/>
        </w:rPr>
        <w:t xml:space="preserve"> </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noProof/>
          <w:sz w:val="24"/>
          <w:szCs w:val="24"/>
        </w:rPr>
        <w:t>prezentarea unei recomandări privind prevenirea practicilor dăunătoare împotriva femeilor și a fetelor, inclusiv a mutilării genitale feminine;</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noProof/>
          <w:sz w:val="24"/>
          <w:szCs w:val="24"/>
        </w:rPr>
        <w:t>prezentarea unei inițiative menite să sprijine dezvoltarea și consolidarea sistemelor integrate de protecție a copilului, care va încuraja toate autoritățile și serviciile relevante să colaboreze mai bine în cadrul unui sistem care plasează copilul în centrul preocupărilor;</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noProof/>
          <w:sz w:val="24"/>
          <w:szCs w:val="24"/>
        </w:rPr>
        <w:t>sprijinirea schimbului de bune practici privind încetarea intervențiilor chirurgicale și medicale nevitale practicate asupra copiilor și a adolescenților intersexuali fără consimțământul lor sau al părinților lor în deplină cunoștință de cauză, astfel încât aceștia să se încadreze în definiția tipică a bărbatului sau a femeii (mutilarea genitală a persoanelor intersexuale).</w:t>
      </w: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b/>
          <w:noProof/>
          <w:sz w:val="24"/>
          <w:szCs w:val="24"/>
          <w:u w:val="single"/>
        </w:rPr>
        <w:t>Comisia Europeană invită statele membre:</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să sensibilizeze și să investească în consolidarea capacităților și în măsuri care (i) să prevină mai eficient violența, (ii) să protejeze victimele și martorii, prevăzând inclusiv garanțiile necesare pentru copiii suspectați sau acuzați; </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să ofere un sprijin adecvat copiilor cu vulnerabilități specifice care sunt victime ale unor acte de violență, precum și victimelor violenței din mediul școlar;</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adopte acte legislative pentru a interzice pedepsele corporale în toate situațiile, dacă acestea nu sunt încă disponibile, și să depună eforturi în vederea eliminării acestora;</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îmbunătățească funcționarea sistemelor de protecție a copilului la nivel național, în special:</w:t>
      </w:r>
    </w:p>
    <w:p>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înființeze (în cazul în care nu sunt încă disponibile) și să îmbunătățească linia telefonică de asistență pentru copii (116 111) și linia telefonică de urgență pentru copiii dispăruți (116 000)</w:t>
      </w:r>
      <w:r>
        <w:rPr>
          <w:rStyle w:val="FootnoteReference"/>
          <w:rFonts w:ascii="Times New Roman" w:hAnsi="Times New Roman" w:cs="Times New Roman"/>
          <w:noProof/>
          <w:sz w:val="24"/>
          <w:szCs w:val="24"/>
          <w:lang w:val="en-IE"/>
        </w:rPr>
        <w:footnoteReference w:id="69"/>
      </w:r>
      <w:r>
        <w:rPr>
          <w:rFonts w:ascii="Times New Roman" w:hAnsi="Times New Roman"/>
          <w:noProof/>
          <w:sz w:val="24"/>
          <w:szCs w:val="24"/>
        </w:rPr>
        <w:t>, inclusiv prin suplimentarea finanțării și prin consolidarea capacităților;</w:t>
      </w:r>
    </w:p>
    <w:p>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color w:val="4F81BD" w:themeColor="accent1"/>
          <w:sz w:val="24"/>
          <w:szCs w:val="24"/>
        </w:rPr>
      </w:pPr>
      <w:r>
        <w:rPr>
          <w:rFonts w:ascii="Times New Roman" w:hAnsi="Times New Roman"/>
          <w:noProof/>
          <w:sz w:val="24"/>
          <w:szCs w:val="24"/>
        </w:rPr>
        <w:t xml:space="preserve">să promoveze strategii și programe naționale menite să accelereze dezinstituționalizarea și tranziția către servicii de îngrijire de calitate, în cadrul familiei și al comunității, inclusiv punând un accent adecvat pe pregătirea copiilor care părăsesc structurile de primire, în special pentru copiii migranți neînsoțiți. </w:t>
      </w: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r>
        <w:rPr>
          <w:rFonts w:ascii="Times New Roman" w:hAnsi="Times New Roman"/>
          <w:b/>
          <w:noProof/>
          <w:color w:val="4F81BD" w:themeColor="accent1"/>
          <w:sz w:val="24"/>
          <w:szCs w:val="24"/>
        </w:rPr>
        <w:t>Justiția în interesul copilului: o Uniune Europeană în care sistemul judiciar apără drepturile și nevoile copiilor</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i/>
          <w:noProof/>
          <w:sz w:val="24"/>
          <w:szCs w:val="24"/>
        </w:rPr>
        <w:t>„[Justiția în interesul copilului este...] atunci când un copil se află într-un sistem în care este protejat/ascultat/în siguranță”.</w:t>
      </w:r>
      <w:r>
        <w:rPr>
          <w:rFonts w:ascii="Times New Roman" w:hAnsi="Times New Roman"/>
          <w:noProof/>
          <w:sz w:val="24"/>
          <w:szCs w:val="24"/>
        </w:rPr>
        <w:t xml:space="preserve"> (O tânără de 17 ani din România).</w:t>
      </w:r>
    </w:p>
    <w:p>
      <w:pPr>
        <w:spacing w:after="120" w:line="240" w:lineRule="auto"/>
        <w:jc w:val="both"/>
        <w:rPr>
          <w:rFonts w:ascii="Times New Roman" w:hAnsi="Times New Roman"/>
          <w:noProof/>
          <w:sz w:val="24"/>
        </w:rPr>
      </w:pPr>
      <w:r>
        <w:rPr>
          <w:rFonts w:ascii="Times New Roman" w:hAnsi="Times New Roman"/>
          <w:noProof/>
          <w:sz w:val="24"/>
          <w:szCs w:val="24"/>
        </w:rPr>
        <w:t xml:space="preserve">Copiii pot fi victime, martori, suspecți sau acuzați de săvârșirea unei infracțiuni sau pot fi parte într-un proces – în cadrul justiției civile, penale sau administrative. În toate cazurile, </w:t>
      </w:r>
      <w:r>
        <w:rPr>
          <w:rFonts w:ascii="Times New Roman" w:hAnsi="Times New Roman"/>
          <w:b/>
          <w:noProof/>
          <w:sz w:val="24"/>
          <w:szCs w:val="24"/>
        </w:rPr>
        <w:t>copiii ar trebui să se simtă confortabil și în siguranță pentru a participa în mod eficace și a fi ascultați</w:t>
      </w:r>
      <w:r>
        <w:rPr>
          <w:rFonts w:ascii="Times New Roman" w:hAnsi="Times New Roman"/>
          <w:noProof/>
          <w:sz w:val="24"/>
          <w:szCs w:val="24"/>
        </w:rPr>
        <w:t>.</w:t>
      </w:r>
      <w:r>
        <w:rPr>
          <w:rFonts w:ascii="Times New Roman" w:hAnsi="Times New Roman"/>
          <w:b/>
          <w:noProof/>
          <w:sz w:val="24"/>
          <w:szCs w:val="24"/>
        </w:rPr>
        <w:t xml:space="preserve"> Procedurile judiciare</w:t>
      </w:r>
      <w:r>
        <w:rPr>
          <w:rFonts w:ascii="Times New Roman" w:hAnsi="Times New Roman"/>
          <w:noProof/>
          <w:sz w:val="24"/>
          <w:szCs w:val="24"/>
        </w:rPr>
        <w:t xml:space="preserve"> trebuie să fie adaptate vârstei și nevoilor lor, să le respecte toate drepturile</w:t>
      </w:r>
      <w:r>
        <w:rPr>
          <w:rStyle w:val="FootnoteReference"/>
          <w:rFonts w:ascii="Times New Roman" w:hAnsi="Times New Roman" w:cs="Times New Roman"/>
          <w:noProof/>
          <w:sz w:val="24"/>
          <w:szCs w:val="24"/>
          <w:lang w:val="en-IE"/>
        </w:rPr>
        <w:footnoteReference w:id="70"/>
      </w:r>
      <w:r>
        <w:rPr>
          <w:rFonts w:ascii="Times New Roman" w:hAnsi="Times New Roman"/>
          <w:noProof/>
          <w:sz w:val="24"/>
          <w:szCs w:val="24"/>
        </w:rPr>
        <w:t xml:space="preserve"> și să acorde prioritate interesului superior al copilului. Deși acțiunile UE în acest domeniu au fost semnificative până în prezent, iar în cadrul Consiliului Europei s-au stabilit anumite standarde</w:t>
      </w:r>
      <w:r>
        <w:rPr>
          <w:rStyle w:val="FootnoteReference"/>
          <w:rFonts w:ascii="Times New Roman" w:hAnsi="Times New Roman" w:cs="Times New Roman"/>
          <w:noProof/>
          <w:sz w:val="24"/>
          <w:szCs w:val="24"/>
          <w:lang w:val="en-IE"/>
        </w:rPr>
        <w:footnoteReference w:id="71"/>
      </w:r>
      <w:r>
        <w:rPr>
          <w:rFonts w:ascii="Times New Roman" w:hAnsi="Times New Roman"/>
          <w:noProof/>
          <w:sz w:val="24"/>
          <w:szCs w:val="24"/>
        </w:rPr>
        <w:t>, sistemele naționale de justiție trebuie să fie mai bine echipate pentru a răspunde nevoilor și drepturilor copiilor. Uneori, specialiștii nu sunt formați să interacționeze cu copiii într-un mod care să țină seama de vârsta lor, inclusiv atunci când comunică rezultatele unei proceduri, și să respecte interesul superior al copilului. Dreptul copilului de a fi ascultat nu este întotdeauna respectat și nu există întotdeauna mecanisme de evitare a audierilor multiple ale copilului sau de strângere de probe</w:t>
      </w:r>
      <w:r>
        <w:rPr>
          <w:rStyle w:val="FootnoteReference"/>
          <w:rFonts w:ascii="Times New Roman" w:hAnsi="Times New Roman" w:cs="Times New Roman"/>
          <w:noProof/>
          <w:sz w:val="24"/>
          <w:szCs w:val="24"/>
          <w:lang w:val="en-IE"/>
        </w:rPr>
        <w:footnoteReference w:id="72"/>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Copiii se confruntă cu dificultăți în ceea ce privește accesul la justiție și obținerea unor măsuri reparatorii eficace pentru încălcarea drepturilor lor, inclusiv la nivel european și internațional. Copiii vulnerabili sunt adesea expuși la forme multiple și intersecționale de discriminare. Copiii cu handicap se confruntă cu dificultăți din cauza accesibilității reduse a sistemelor de justiție și a procedurilor judiciare și nu dispun de informații accesibile în materie de drepturi și de căi de atac. Ar trebui îmbunătățită colectarea de date privind copiii implicați în proceduri judiciare, inclusiv în cadrul instanțelor specializate.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Pandemia de COVID-19 a amplificat provocările legate de copii și justiție. Unele proceduri judiciare au fost întrerupte sau amânate; a fost afectat și dreptul de a vizita membrii familiei în închisoare.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Copiii sunt în contact cu sistemul de justiție civilă fie în urma separării sau a divorțului părinților, fie atunci când sunt adoptați (sau plasați în îngrijire). Dreptul material al familiei este o competență națională. În cazurile transfrontaliere, Regulamentul Bruxelles IIa (cu reformarea sa din 2019) sau Regulamentul privind obligațiile de întreținere și o cooperare judiciară mai strânsă sunt esențiale pentru protejarea drepturilor copiilor și asigurarea accesului acestora la justiție. Deși ar trebui să se evite separarea inutilă a familiei, orice decizie privind plasarea unui copil în îngrijire ar trebui să garanteze respectarea drepturilor copilului</w:t>
      </w:r>
      <w:r>
        <w:rPr>
          <w:rStyle w:val="FootnoteReference"/>
          <w:rFonts w:ascii="Times New Roman" w:hAnsi="Times New Roman" w:cs="Times New Roman"/>
          <w:noProof/>
          <w:sz w:val="24"/>
          <w:szCs w:val="24"/>
          <w:lang w:val="en-IE"/>
        </w:rPr>
        <w:footnoteReference w:id="73"/>
      </w:r>
      <w:r>
        <w:rPr>
          <w:rFonts w:ascii="Times New Roman" w:hAnsi="Times New Roman"/>
          <w:noProof/>
          <w:sz w:val="24"/>
          <w:szCs w:val="24"/>
        </w:rPr>
        <w:t>. În cazul în care instanțele judecătorești sau autoritățile naționale au cunoștință de o legătură strânsă a copilului cu un alt stat membru, ar trebui prevăzute cât mai curând posibil măsuri adecvate pentru garantarea acestor drepturi.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2022, Comisia va actualiza Ghidul practic pentru aplicarea Regulamentului Bruxelles IIa (reformare). Provocări specifice apar în situațiile transfrontaliere, inclusiv pentru familiile cu părinți divorțați sau separați, precum și pentru familiile curcubeu.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2020, o treime din numărul total de cereri de azil depuse făceau referire la copii</w:t>
      </w:r>
      <w:r>
        <w:rPr>
          <w:rStyle w:val="FootnoteReference"/>
          <w:rFonts w:ascii="Times New Roman" w:hAnsi="Times New Roman" w:cs="Times New Roman"/>
          <w:noProof/>
          <w:sz w:val="24"/>
          <w:szCs w:val="24"/>
          <w:lang w:val="en-IE"/>
        </w:rPr>
        <w:footnoteReference w:id="74"/>
      </w:r>
      <w:r>
        <w:rPr>
          <w:rFonts w:ascii="Times New Roman" w:hAnsi="Times New Roman"/>
          <w:noProof/>
          <w:sz w:val="24"/>
          <w:szCs w:val="24"/>
        </w:rPr>
        <w:t xml:space="preserve">. Principiul interesului superior al copilului trebuie considerat primordial în toate acțiunile sau deciziile care îi privesc pe copiii migranți. </w:t>
      </w:r>
      <w:r>
        <w:rPr>
          <w:rFonts w:ascii="Times New Roman" w:hAnsi="Times New Roman"/>
          <w:bCs/>
          <w:noProof/>
          <w:sz w:val="24"/>
          <w:szCs w:val="24"/>
        </w:rPr>
        <w:t>În pofida progreselor înregistrate până în prezent, inclusiv în ceea ce privește punerea în aplicare a Comunicării din 2017 privind protecția copiilor migranți</w:t>
      </w:r>
      <w:r>
        <w:rPr>
          <w:rFonts w:ascii="Times New Roman" w:hAnsi="Times New Roman"/>
          <w:noProof/>
          <w:sz w:val="24"/>
          <w:szCs w:val="24"/>
        </w:rPr>
        <w:t>, copiilor nu li se oferă întotdeauna informații adecvate vârstei lor cu privire la proceduri și nici orientări și sprijin efective pe parcursul procedurilor de azil sau de returnare. Pactul privind migrația și azilul a subliniat atât necesitatea punerii în aplicare, cât și necesitatea consolidării garanțiilor și a standardelor de protecție prevăzute de legislația UE pentru copiii migranți. Odată adoptate, noile norme vor accelera numirea reprezentanților pentru copiii neînsoțiți și vor asigura resursele necesare pentru a sprijini nevoile speciale ale acestora, inclusiv tranziția lor către vârsta adultă și către o viață independentă. Copiii vor beneficia întotdeauna de cazare și de asistență adecvată, inclusiv de asistență juridică, pe tot parcursul procedurilor. Noile norme vor consolida, de asemenea, solidaritatea dintre statele membre în ceea ce privește asigurarea protecției depline a copiilor neînsoțiți.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Chiar și în prezent, în Europa există copii apatrizi, fie de la naștere, fie, adesea, din cauza migrației. Lipsa cetățeniei face dificil accesul la anumite servicii de bază, cum ar fi asistența medicală și educația, și poate duce la situații de violență și exploatare.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cazul </w:t>
      </w:r>
      <w:r>
        <w:rPr>
          <w:rFonts w:ascii="Times New Roman" w:hAnsi="Times New Roman"/>
          <w:b/>
          <w:noProof/>
          <w:sz w:val="24"/>
          <w:szCs w:val="24"/>
        </w:rPr>
        <w:t>copiilor victime ale infracțiunilor</w:t>
      </w:r>
      <w:r>
        <w:rPr>
          <w:rFonts w:ascii="Times New Roman" w:hAnsi="Times New Roman"/>
          <w:noProof/>
          <w:sz w:val="24"/>
          <w:szCs w:val="24"/>
        </w:rPr>
        <w:t>, există adesea o subraportare gravă din cauza vârstei victimei, a lipsei de conștientizare a drepturilor pe care le are și a lipsei de servicii de raportare și de sprijin accesibile adaptate în funcție de vârstă și de sex. În ceea ce privește identificarea victimelor anumitor infracțiuni, cum ar fi traficul de persoane sau abuzul sexual, apar provocări specifice, astfel cum se subliniază în Strategia UE privind drepturile victimelor</w:t>
      </w:r>
      <w:r>
        <w:rPr>
          <w:rStyle w:val="FootnoteReference"/>
          <w:rFonts w:ascii="Times New Roman" w:hAnsi="Times New Roman" w:cs="Times New Roman"/>
          <w:noProof/>
          <w:sz w:val="24"/>
          <w:szCs w:val="24"/>
          <w:lang w:val="en-IE"/>
        </w:rPr>
        <w:footnoteReference w:id="75"/>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Studiul la nivel mondial al Organizației Națiunilor Unite din 2019 privind copiii lipsiți de libertate</w:t>
      </w:r>
      <w:r>
        <w:rPr>
          <w:rStyle w:val="FootnoteReference"/>
          <w:rFonts w:ascii="Times New Roman" w:hAnsi="Times New Roman" w:cs="Times New Roman"/>
          <w:noProof/>
          <w:sz w:val="24"/>
          <w:szCs w:val="24"/>
          <w:lang w:val="en-IE"/>
        </w:rPr>
        <w:footnoteReference w:id="76"/>
      </w:r>
      <w:r>
        <w:rPr>
          <w:rFonts w:ascii="Times New Roman" w:hAnsi="Times New Roman"/>
          <w:noProof/>
          <w:sz w:val="24"/>
          <w:szCs w:val="24"/>
        </w:rPr>
        <w:t xml:space="preserve"> a evidențiat faptul că prea mulți copii sunt încă privați de libertate pentru sunt în conflict cu legea sau sunt implicați în proceduri de migrație și azil. Autoritățile naționale, inclusiv în statele membre ale UE, trebuie să pună la dispoziție </w:t>
      </w:r>
      <w:r>
        <w:rPr>
          <w:rFonts w:ascii="Times New Roman" w:hAnsi="Times New Roman"/>
          <w:b/>
          <w:noProof/>
          <w:sz w:val="24"/>
          <w:szCs w:val="24"/>
        </w:rPr>
        <w:t>măsuri neprivative de libertate viabile și eficace</w:t>
      </w:r>
      <w:r>
        <w:rPr>
          <w:rFonts w:ascii="Times New Roman" w:hAnsi="Times New Roman"/>
          <w:noProof/>
          <w:sz w:val="24"/>
          <w:szCs w:val="24"/>
        </w:rPr>
        <w:t xml:space="preserve"> și să intensifice utilizarea acestora, în conformitate cu acquis-ul UE, și să se asigure că detenția este utilizată numai în ultimă instanță și pentru cel mai scurt timp posibil. Atunci când părinții sunt în închisoare, ar trebui, de asemenea, încurajate politicile și practicile care respectă drepturile copiilor lor. Punerea în aplicare și aplicarea completă și corectă în a Directivei privind garanțiile procedurale</w:t>
      </w:r>
      <w:r>
        <w:rPr>
          <w:rStyle w:val="FootnoteReference"/>
          <w:rFonts w:ascii="Times New Roman" w:hAnsi="Times New Roman" w:cs="Times New Roman"/>
          <w:noProof/>
          <w:sz w:val="24"/>
          <w:szCs w:val="24"/>
          <w:lang w:val="en-IE"/>
        </w:rPr>
        <w:footnoteReference w:id="77"/>
      </w:r>
      <w:r>
        <w:rPr>
          <w:rFonts w:ascii="Times New Roman" w:hAnsi="Times New Roman"/>
          <w:noProof/>
          <w:sz w:val="24"/>
          <w:szCs w:val="24"/>
        </w:rPr>
        <w:t xml:space="preserve"> va asigura o mai bună protecție a copiilor care sunt persoane suspectate sau acuzate în cadrul procedurilor penale.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u w:val="single"/>
        </w:rPr>
        <w:t>Acțiuni-cheie ale Comisiei Europene:</w:t>
      </w:r>
    </w:p>
    <w:p>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propunerea, în 2022, a unei inițiative legislative orizontale privind recunoașterea reciprocă a filiației între statele membre;</w:t>
      </w:r>
    </w:p>
    <w:p>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contribuția la formarea profesioniștilor din domeniul justiției cu privire la drepturile copilului și la o justiție în interesul copilului, în conformitate cu strategia europeană în materie de formare judiciară pentru perioada 2021-2024</w:t>
      </w:r>
      <w:r>
        <w:rPr>
          <w:rStyle w:val="FootnoteReference"/>
          <w:rFonts w:ascii="Times New Roman" w:hAnsi="Times New Roman" w:cs="Times New Roman"/>
          <w:noProof/>
          <w:sz w:val="24"/>
          <w:szCs w:val="24"/>
        </w:rPr>
        <w:footnoteReference w:id="78"/>
      </w:r>
      <w:r>
        <w:rPr>
          <w:rFonts w:ascii="Times New Roman" w:hAnsi="Times New Roman"/>
          <w:noProof/>
          <w:sz w:val="24"/>
          <w:szCs w:val="24"/>
        </w:rPr>
        <w:t xml:space="preserve"> și prin intermediul Rețelei Europene de Formare Judiciară (EJTN)</w:t>
      </w:r>
      <w:r>
        <w:rPr>
          <w:rStyle w:val="FootnoteReference"/>
          <w:rFonts w:ascii="Times New Roman" w:hAnsi="Times New Roman" w:cs="Times New Roman"/>
          <w:noProof/>
          <w:sz w:val="24"/>
          <w:szCs w:val="24"/>
          <w:lang w:val="en-IE"/>
        </w:rPr>
        <w:footnoteReference w:id="79"/>
      </w:r>
      <w:r>
        <w:rPr>
          <w:rFonts w:ascii="Times New Roman" w:hAnsi="Times New Roman"/>
          <w:noProof/>
          <w:sz w:val="24"/>
          <w:szCs w:val="24"/>
        </w:rPr>
        <w:t>, al programelor Justiție și CERV, precum și al Platformei europene de formare a portalului e-justiție al UE</w:t>
      </w:r>
      <w:r>
        <w:rPr>
          <w:rStyle w:val="FootnoteReference"/>
          <w:rFonts w:ascii="Times New Roman" w:hAnsi="Times New Roman" w:cs="Times New Roman"/>
          <w:noProof/>
          <w:sz w:val="24"/>
          <w:szCs w:val="24"/>
          <w:lang w:val="en-IE"/>
        </w:rPr>
        <w:footnoteReference w:id="80"/>
      </w:r>
      <w:r>
        <w:rPr>
          <w:rFonts w:ascii="Times New Roman" w:hAnsi="Times New Roman"/>
          <w:noProof/>
          <w:sz w:val="24"/>
          <w:szCs w:val="24"/>
        </w:rPr>
        <w:t xml:space="preserve">; </w:t>
      </w:r>
    </w:p>
    <w:p>
      <w:pPr>
        <w:pStyle w:val="ListParagraph"/>
        <w:numPr>
          <w:ilvl w:val="0"/>
          <w:numId w:val="31"/>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consolidarea punerii în aplicare, împreună cu Consiliul Europei, a Orientărilor din 2010 privind o justiție în interesul copilului;</w:t>
      </w:r>
    </w:p>
    <w:p>
      <w:pPr>
        <w:pStyle w:val="ListParagraph"/>
        <w:numPr>
          <w:ilvl w:val="0"/>
          <w:numId w:val="31"/>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furnizarea de sprijin financiar specific pentru proiectele transnaționale și inovatoare de protejare a copiilor migranți în cadrul noului Fond pentru azil, migrație și integrare (FAMI)</w:t>
      </w:r>
      <w:r>
        <w:rPr>
          <w:rStyle w:val="FootnoteReference"/>
          <w:rFonts w:ascii="Times New Roman" w:hAnsi="Times New Roman"/>
          <w:noProof/>
          <w:sz w:val="24"/>
          <w:szCs w:val="24"/>
          <w:lang w:val="en-IE"/>
        </w:rPr>
        <w:footnoteReference w:id="81"/>
      </w:r>
      <w:r>
        <w:rPr>
          <w:rFonts w:ascii="Times New Roman" w:hAnsi="Times New Roman"/>
          <w:noProof/>
          <w:sz w:val="24"/>
          <w:szCs w:val="24"/>
        </w:rPr>
        <w:t>;</w:t>
      </w:r>
    </w:p>
    <w:p>
      <w:pPr>
        <w:pStyle w:val="ListParagraph"/>
        <w:numPr>
          <w:ilvl w:val="0"/>
          <w:numId w:val="31"/>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 xml:space="preserve">sprijinirea statelor membre în dezvoltarea unor alternative eficace și viabile la luarea în custodie publică a copiilor în cadrul procedurilor de migrație. </w:t>
      </w:r>
    </w:p>
    <w:p>
      <w:pPr>
        <w:spacing w:after="120" w:line="240" w:lineRule="auto"/>
        <w:contextualSpacing/>
        <w:jc w:val="both"/>
        <w:rPr>
          <w:rFonts w:ascii="Times New Roman" w:hAnsi="Times New Roman" w:cs="Times New Roman"/>
          <w:b/>
          <w:noProof/>
          <w:sz w:val="24"/>
          <w:szCs w:val="24"/>
          <w:u w:val="single"/>
        </w:rPr>
      </w:pP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rPr>
      </w:pPr>
      <w:r>
        <w:rPr>
          <w:rFonts w:ascii="Times New Roman" w:hAnsi="Times New Roman"/>
          <w:b/>
          <w:noProof/>
          <w:sz w:val="24"/>
          <w:szCs w:val="24"/>
          <w:u w:val="single"/>
        </w:rPr>
        <w:t>Comisia Europeană invită statele membre:</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ajute furnizorii de formare judiciară și toate organismele profesionale relevante să țină seama, în activitatea lor, de drepturile copilului și de principiul unei justiții accesibile și adaptate copiilor. În acest scop, acestea ar trebui să aloce resursele necesare activităților de consolidare a capacităților menționate mai sus și să profite de sprijinul FRA pentru a consolida capacitățile pe teme precum justiția în interesul copilului și copiii migranți;</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dezvolte alternative solide la acțiunile judiciare: de la alternative la detenție la utilizarea justiției reparatorii și a medierii în contextul justiției civile;</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pună în aplicare Recomandarea Consiliului Europei privind copiii cu părinți deținuți</w:t>
      </w:r>
      <w:r>
        <w:rPr>
          <w:rStyle w:val="FootnoteReference"/>
          <w:rFonts w:ascii="Times New Roman" w:hAnsi="Times New Roman" w:cs="Times New Roman"/>
          <w:noProof/>
          <w:sz w:val="24"/>
          <w:szCs w:val="24"/>
        </w:rPr>
        <w:footnoteReference w:id="82"/>
      </w:r>
      <w:r>
        <w:rPr>
          <w:rFonts w:ascii="Times New Roman" w:hAnsi="Times New Roman"/>
          <w:noProof/>
          <w:sz w:val="24"/>
          <w:szCs w:val="24"/>
        </w:rPr>
        <w:t>;</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consolideze sistemele de tutelă pentru toți copiii neînsoțiți, inclusiv prin participarea la activitățile Rețelei europene a instituțiilor de tutelă</w:t>
      </w:r>
      <w:r>
        <w:rPr>
          <w:rStyle w:val="FootnoteReference"/>
          <w:rFonts w:ascii="Times New Roman" w:hAnsi="Times New Roman" w:cs="Times New Roman"/>
          <w:noProof/>
          <w:sz w:val="24"/>
          <w:szCs w:val="24"/>
        </w:rPr>
        <w:footnoteReference w:id="83"/>
      </w:r>
      <w:r>
        <w:rPr>
          <w:rFonts w:ascii="Times New Roman" w:hAnsi="Times New Roman"/>
          <w:noProof/>
          <w:sz w:val="24"/>
          <w:szCs w:val="24"/>
        </w:rPr>
        <w:t>;</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să promoveze și să asigure accesul universal, gratuit și imediat la înregistrarea și la certificarea nașterilor pentru toți copiii. În plus, să mărească capacitatea funcționarilor din prima linie de a răspunde problemelor legate de apatridie și de naționalitate în contextul migrației; </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să consolideze cooperarea în cazurile cu implicații transfrontaliere, pentru a asigura respectarea deplină a drepturilor copilului.</w:t>
      </w:r>
    </w:p>
    <w:p>
      <w:pPr>
        <w:spacing w:after="120" w:line="240" w:lineRule="auto"/>
        <w:jc w:val="both"/>
        <w:rPr>
          <w:rFonts w:ascii="Times New Roman" w:hAnsi="Times New Roman" w:cs="Times New Roman"/>
          <w:noProof/>
          <w:sz w:val="24"/>
          <w:szCs w:val="24"/>
        </w:rPr>
      </w:pP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bookmarkStart w:id="4" w:name="_Toc54088513"/>
      <w:r>
        <w:rPr>
          <w:rFonts w:ascii="Times New Roman" w:hAnsi="Times New Roman"/>
          <w:b/>
          <w:noProof/>
          <w:color w:val="4F81BD" w:themeColor="accent1"/>
          <w:sz w:val="24"/>
          <w:szCs w:val="24"/>
        </w:rPr>
        <w:t xml:space="preserve">Sectorul digital și societatea informațională: o Uniune Europeană în care copiii să poată naviga în condiții de siguranță în mediul digital și să poată profita de oportunitățile pe care le oferă acest mediu </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i/>
          <w:noProof/>
          <w:sz w:val="24"/>
          <w:szCs w:val="24"/>
        </w:rPr>
        <w:t xml:space="preserve">„Nu aveam calculator, în satul meu nu aveam internet și nici date. (…) În ultimele 3 luni, nu m-am putut conecta. A trebuit să fac recapitulări.” </w:t>
      </w:r>
      <w:r>
        <w:rPr>
          <w:rFonts w:ascii="Times New Roman" w:hAnsi="Times New Roman"/>
          <w:noProof/>
          <w:sz w:val="24"/>
          <w:szCs w:val="24"/>
        </w:rPr>
        <w:t>(O tânără de 15 ani din Spania).</w:t>
      </w:r>
    </w:p>
    <w:p>
      <w:pPr>
        <w:pStyle w:val="CommentText"/>
        <w:spacing w:after="120"/>
        <w:jc w:val="both"/>
        <w:rPr>
          <w:rFonts w:ascii="Times New Roman" w:hAnsi="Times New Roman" w:cs="Times New Roman"/>
          <w:noProof/>
          <w:sz w:val="24"/>
          <w:szCs w:val="24"/>
        </w:rPr>
      </w:pPr>
      <w:r>
        <w:rPr>
          <w:rFonts w:ascii="Times New Roman" w:hAnsi="Times New Roman"/>
          <w:noProof/>
          <w:sz w:val="24"/>
          <w:szCs w:val="24"/>
        </w:rPr>
        <w:t>Dezvoltarea mediului digital și utilizarea noilor tehnologii au deschis numeroase oportunități. De la o vârstă foarte fragedă, copiii se joacă, creează, învață, interacționează și se exprimă într-un mediu online și conectat. Datorită tehnologiilor digitale, copiii pot face parte din mișcări mondiale și pot juca rolul de cetățeni activi. În calitate de „nativi ai erei digitale”, aceștia sunt mai bine plasați pentru a prospera într-un sistem de educație din ce în ce mai digitalizat și mai conectat și în viitoarele sisteme ale pieței forței de muncă. Utilizarea instrumentelor digitale îi poate ajuta pe copiii cu handicap să învețe, să se conecteze, să comunice și să participe la activități recreative online, cu condiția ca acestea să fie accesibile.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Cu toate acestea, prezența online a copiilor crește expunerea acestora la conținuturi dăunătoare sau ilegale, cum ar fi materialele care prezintă abuzuri sexuale asupra copiilor sau scene de exploatare sexuală a copiilor, materialele pornografice și conținutul destinat adulților, mesajele cu caracter sexual (sextingul), discursurile online de incitare la ură, informații eronate sau acțiuni de dezinformare, din cauza lipsei unor sisteme eficace de control parental sau de verificare a vârstei. Expunerea online prezintă, de asemenea, riscuri de contacte dăunătoare și ilegale, cum ar fi manipularea și acostarea copiilor pe internet în scopuri sexuale (cyber-grooming), ademenirea copiilor în scopuri sexuale, hărțuirea pe internet, abuzul și hărțuirea online. </w:t>
      </w:r>
      <w:r>
        <w:rPr>
          <w:rFonts w:ascii="Times New Roman" w:hAnsi="Times New Roman"/>
          <w:noProof/>
          <w:color w:val="000000" w:themeColor="text1"/>
          <w:sz w:val="24"/>
          <w:szCs w:val="24"/>
        </w:rPr>
        <w:t>Aproape o treime din fete și 20 % din băieți s-au confruntat cu un conținut deranjant o dată pe lună în ultimul an; copiii care aparțin minorităților se confruntă mai frecvent cu evenimente perturbatoare online</w:t>
      </w:r>
      <w:r>
        <w:rPr>
          <w:rStyle w:val="FootnoteReference"/>
          <w:rFonts w:ascii="Times New Roman" w:hAnsi="Times New Roman" w:cs="Times New Roman"/>
          <w:noProof/>
          <w:color w:val="000000" w:themeColor="text1"/>
          <w:sz w:val="24"/>
          <w:szCs w:val="24"/>
        </w:rPr>
        <w:footnoteReference w:id="84"/>
      </w:r>
      <w:r>
        <w:rPr>
          <w:rFonts w:ascii="Times New Roman" w:hAnsi="Times New Roman"/>
          <w:noProof/>
          <w:color w:val="000000" w:themeColor="text1"/>
          <w:sz w:val="24"/>
          <w:szCs w:val="24"/>
        </w:rPr>
        <w:t>. Dintre respondenții LGBTI cu vârste cuprinse între 15 și 17 ani, 15 % au fost victime ale hărțuirii pe internet din cauza orientării lor sexuale</w:t>
      </w:r>
      <w:r>
        <w:rPr>
          <w:rStyle w:val="FootnoteReference"/>
          <w:rFonts w:ascii="Times New Roman" w:hAnsi="Times New Roman" w:cs="Times New Roman"/>
          <w:noProof/>
          <w:color w:val="000000" w:themeColor="text1"/>
          <w:sz w:val="24"/>
          <w:szCs w:val="24"/>
        </w:rPr>
        <w:footnoteReference w:id="85"/>
      </w:r>
      <w:r>
        <w:rPr>
          <w:rFonts w:ascii="Times New Roman" w:hAnsi="Times New Roman"/>
          <w:noProof/>
          <w:color w:val="000000" w:themeColor="text1"/>
          <w:sz w:val="24"/>
          <w:szCs w:val="24"/>
        </w:rPr>
        <w:t xml:space="preserve">. </w:t>
      </w:r>
      <w:r>
        <w:rPr>
          <w:rFonts w:ascii="Times New Roman" w:hAnsi="Times New Roman"/>
          <w:noProof/>
          <w:sz w:val="24"/>
          <w:szCs w:val="24"/>
        </w:rPr>
        <w:t>Din ce în ce mai mulți traficanți utilizează platformele de internet pentru a recruta și exploata victimele, copiii fiind un grup țintă deosebit de vulnerabil</w:t>
      </w:r>
      <w:r>
        <w:rPr>
          <w:rStyle w:val="FootnoteReference"/>
          <w:rFonts w:ascii="Times New Roman" w:hAnsi="Times New Roman" w:cs="Times New Roman"/>
          <w:noProof/>
          <w:sz w:val="24"/>
          <w:szCs w:val="24"/>
        </w:rPr>
        <w:footnoteReference w:id="86"/>
      </w:r>
      <w:r>
        <w:rPr>
          <w:rFonts w:ascii="Times New Roman" w:hAnsi="Times New Roman"/>
          <w:noProof/>
          <w:sz w:val="24"/>
          <w:szCs w:val="24"/>
        </w:rPr>
        <w:t>.</w:t>
      </w:r>
      <w:r>
        <w:rPr>
          <w:rFonts w:ascii="Times New Roman" w:hAnsi="Times New Roman"/>
          <w:b/>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contextul strategiei UE pentru o combatere mai eficace a abuzurilor sexuale asupra copiilor</w:t>
      </w:r>
      <w:r>
        <w:rPr>
          <w:rStyle w:val="FootnoteReference"/>
          <w:rFonts w:ascii="Times New Roman" w:hAnsi="Times New Roman" w:cs="Times New Roman"/>
          <w:noProof/>
          <w:sz w:val="24"/>
          <w:szCs w:val="24"/>
        </w:rPr>
        <w:footnoteReference w:id="87"/>
      </w:r>
      <w:r>
        <w:rPr>
          <w:rFonts w:ascii="Times New Roman" w:hAnsi="Times New Roman"/>
          <w:noProof/>
          <w:sz w:val="24"/>
          <w:szCs w:val="24"/>
        </w:rPr>
        <w:t xml:space="preserve">, Comisia a prezentat o propunere intermediară care să le permită întreprinderilor din domeniul tehnologiilor informației și comunicațiilor (TIC) să semnaleze în continuare în mod voluntar autorităților abuzurile sexuale asupra copiilor, în măsura în care aceste practici sunt legale, și invită colegiuitorii să găsească rapid un acord în vederea adoptării acesteia. Pe termen lung, Comisia va prezenta o propunere legislativă menită să combată în mod eficace abuzurile sexuale online asupra copiilor.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Expunerea excesivă la ecrane și la activitățile online reprezintă un motiv de preocupare pentru sănătatea și bunăstarea mintală a copiilor, întrucât acestea duc la creșterea nivelului de stres, la deficit de atenție, la probleme de vedere și la lipsa activității fizice și sportive. </w:t>
      </w:r>
    </w:p>
    <w:p>
      <w:pPr>
        <w:pStyle w:val="CommentText"/>
        <w:spacing w:after="120"/>
        <w:jc w:val="both"/>
        <w:rPr>
          <w:rFonts w:ascii="Times New Roman" w:hAnsi="Times New Roman" w:cs="Times New Roman"/>
          <w:noProof/>
          <w:sz w:val="24"/>
          <w:szCs w:val="24"/>
        </w:rPr>
      </w:pPr>
      <w:r>
        <w:rPr>
          <w:rFonts w:ascii="Times New Roman" w:hAnsi="Times New Roman"/>
          <w:noProof/>
          <w:sz w:val="24"/>
          <w:szCs w:val="24"/>
        </w:rPr>
        <w:t>Din cauza pandemiei de COVID-19, a crescut foarte mult timpul petrecut de copii în mediul online, școala și viața culturală și socială mutându-se online. Acest lucru a dus la creșterea riscurilor online și la adâncirea inegalităților digitale. Un copil din 10 a raportat că nu a participat la nicio activitate online și că a avut rar contacte cu cadrele didactice în perioada de izolare, în primăvară</w:t>
      </w:r>
      <w:r>
        <w:rPr>
          <w:rStyle w:val="FootnoteReference"/>
          <w:rFonts w:ascii="Times New Roman" w:hAnsi="Times New Roman" w:cs="Times New Roman"/>
          <w:noProof/>
          <w:sz w:val="24"/>
          <w:szCs w:val="24"/>
        </w:rPr>
        <w:footnoteReference w:id="88"/>
      </w:r>
      <w:r>
        <w:rPr>
          <w:rFonts w:ascii="Times New Roman" w:hAnsi="Times New Roman"/>
          <w:noProof/>
          <w:sz w:val="24"/>
          <w:szCs w:val="24"/>
        </w:rPr>
        <w:t>. Accesul la internet rămâne o provocare pentru un număr mare de copii din UE: acesta este cu 20 % mai mare în gospodăriile cu venituri ridicate și este cu mult mai scăzut în zonele rurale</w:t>
      </w:r>
      <w:r>
        <w:rPr>
          <w:rStyle w:val="FootnoteReference"/>
          <w:rFonts w:ascii="Times New Roman" w:hAnsi="Times New Roman" w:cs="Times New Roman"/>
          <w:noProof/>
          <w:sz w:val="24"/>
          <w:szCs w:val="24"/>
        </w:rPr>
        <w:footnoteReference w:id="89"/>
      </w:r>
      <w:r>
        <w:rPr>
          <w:rFonts w:ascii="Times New Roman" w:hAnsi="Times New Roman"/>
          <w:noProof/>
          <w:sz w:val="24"/>
          <w:szCs w:val="24"/>
        </w:rPr>
        <w:t>. În recenta sa comunicare privind Deceniul digital al Europei, Comisia a anunțat obiective ambițioase în materie de conectivitate pentru toate gospodăriile din Europa</w:t>
      </w:r>
      <w:r>
        <w:rPr>
          <w:rStyle w:val="FootnoteReference"/>
          <w:rFonts w:ascii="Times New Roman" w:hAnsi="Times New Roman" w:cs="Times New Roman"/>
          <w:noProof/>
          <w:sz w:val="24"/>
          <w:szCs w:val="24"/>
          <w:lang w:val="en-IE"/>
        </w:rPr>
        <w:footnoteReference w:id="90"/>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color w:val="000000" w:themeColor="text1"/>
          <w:sz w:val="24"/>
          <w:szCs w:val="24"/>
        </w:rPr>
        <w:t>UE a elaborat instrumente juridice și inițiative de politică pentru a ține seama de drepturile copiilor în mediul digital</w:t>
      </w:r>
      <w:r>
        <w:rPr>
          <w:rStyle w:val="FootnoteReference"/>
          <w:rFonts w:ascii="Times New Roman" w:hAnsi="Times New Roman" w:cs="Times New Roman"/>
          <w:noProof/>
          <w:color w:val="000000" w:themeColor="text1"/>
          <w:sz w:val="24"/>
          <w:szCs w:val="24"/>
          <w:lang w:val="en-IE"/>
        </w:rPr>
        <w:footnoteReference w:id="91"/>
      </w:r>
      <w:r>
        <w:rPr>
          <w:rFonts w:ascii="Times New Roman" w:hAnsi="Times New Roman"/>
          <w:noProof/>
          <w:color w:val="000000" w:themeColor="text1"/>
          <w:sz w:val="24"/>
          <w:szCs w:val="24"/>
        </w:rPr>
        <w:t xml:space="preserve">. Dacă va fi necesar, acestea vor trebui adaptate și actualizate pe măsură ce vor apărea noi amenințări sau pe măsură ce situația și tehnologiile evoluează. Directiva revizuită a serviciilor mass-media audiovizuale a consolidat protecția copiilor împotriva conținutului dăunător și a comunicărilor comerciale inadecvate. </w:t>
      </w:r>
      <w:r>
        <w:rPr>
          <w:rFonts w:ascii="Times New Roman" w:hAnsi="Times New Roman"/>
          <w:noProof/>
          <w:sz w:val="24"/>
          <w:szCs w:val="24"/>
        </w:rPr>
        <w:t>Recentul act legislativ privind serviciile digitale</w:t>
      </w:r>
      <w:r>
        <w:rPr>
          <w:rStyle w:val="FootnoteReference"/>
          <w:rFonts w:ascii="Times New Roman" w:hAnsi="Times New Roman" w:cs="Times New Roman"/>
          <w:noProof/>
          <w:sz w:val="24"/>
          <w:szCs w:val="24"/>
        </w:rPr>
        <w:footnoteReference w:id="92"/>
      </w:r>
      <w:r>
        <w:rPr>
          <w:rFonts w:ascii="Times New Roman" w:hAnsi="Times New Roman"/>
          <w:noProof/>
          <w:sz w:val="24"/>
          <w:szCs w:val="24"/>
        </w:rPr>
        <w:t xml:space="preserve"> propune prestatorilor de servicii obligații de diligență pentru a garanta siguranța utilizatorilor online, inclusiv a copiilor. Codul de bune practici privind dezinformarea</w:t>
      </w:r>
      <w:r>
        <w:rPr>
          <w:rStyle w:val="FootnoteReference"/>
          <w:rFonts w:ascii="Times New Roman" w:hAnsi="Times New Roman" w:cs="Times New Roman"/>
          <w:noProof/>
          <w:sz w:val="24"/>
          <w:szCs w:val="24"/>
        </w:rPr>
        <w:footnoteReference w:id="93"/>
      </w:r>
      <w:r>
        <w:rPr>
          <w:rFonts w:ascii="Times New Roman" w:hAnsi="Times New Roman"/>
          <w:noProof/>
          <w:sz w:val="24"/>
          <w:szCs w:val="24"/>
        </w:rPr>
        <w:t xml:space="preserve"> va institui un regim de coreglementare adaptat pentru combaterea riscurilor legate de răspândirea dezinformării. Noul Plan de acțiune pentru educația digitală (2021-2027)</w:t>
      </w:r>
      <w:r>
        <w:rPr>
          <w:rStyle w:val="FootnoteReference"/>
          <w:rFonts w:ascii="Times New Roman" w:hAnsi="Times New Roman" w:cs="Times New Roman"/>
          <w:noProof/>
          <w:sz w:val="24"/>
          <w:szCs w:val="24"/>
        </w:rPr>
        <w:footnoteReference w:id="94"/>
      </w:r>
      <w:r>
        <w:rPr>
          <w:rFonts w:ascii="Times New Roman" w:hAnsi="Times New Roman"/>
          <w:noProof/>
          <w:sz w:val="24"/>
          <w:szCs w:val="24"/>
          <w:shd w:val="clear" w:color="auto" w:fill="FFFFFF"/>
        </w:rPr>
        <w:t xml:space="preserve"> promovează alfabetizarea digitală în vederea combaterii dezinformării și plasează educația și formarea în centrul acestui efort. </w:t>
      </w:r>
      <w:r>
        <w:rPr>
          <w:rFonts w:ascii="Times New Roman" w:hAnsi="Times New Roman"/>
          <w:noProof/>
          <w:color w:val="000000"/>
          <w:sz w:val="24"/>
          <w:szCs w:val="24"/>
        </w:rPr>
        <w:t>La nivel internațional, au fost publicate recent orientări privind interpretarea drepturilor copilului în mediul digital</w:t>
      </w:r>
      <w:r>
        <w:rPr>
          <w:rStyle w:val="FootnoteReference"/>
          <w:rFonts w:ascii="Times New Roman" w:hAnsi="Times New Roman" w:cs="Times New Roman"/>
          <w:noProof/>
          <w:color w:val="000000"/>
          <w:sz w:val="24"/>
          <w:szCs w:val="24"/>
          <w:lang w:val="en-IE"/>
        </w:rPr>
        <w:footnoteReference w:id="95"/>
      </w:r>
      <w:r>
        <w:rPr>
          <w:rFonts w:ascii="Times New Roman" w:hAnsi="Times New Roman"/>
          <w:noProof/>
          <w:color w:val="000000"/>
          <w:sz w:val="24"/>
          <w:szCs w:val="24"/>
        </w:rPr>
        <w:t xml:space="preserve">. </w:t>
      </w:r>
    </w:p>
    <w:p>
      <w:pPr>
        <w:pStyle w:val="CommentText"/>
        <w:spacing w:after="120"/>
        <w:jc w:val="both"/>
        <w:rPr>
          <w:rFonts w:ascii="Times New Roman" w:hAnsi="Times New Roman" w:cs="Times New Roman"/>
          <w:noProof/>
          <w:sz w:val="24"/>
          <w:szCs w:val="24"/>
        </w:rPr>
      </w:pPr>
      <w:r>
        <w:rPr>
          <w:rFonts w:ascii="Times New Roman" w:hAnsi="Times New Roman"/>
          <w:noProof/>
          <w:color w:val="000000" w:themeColor="text1"/>
          <w:sz w:val="24"/>
          <w:szCs w:val="24"/>
        </w:rPr>
        <w:t>În ceea ce privește normele privind protecția datelor și a vieții private, copiii pledează pentru ca întreprinderile să elaboreze politici de confidențialitate inteligibile pentru serviciile și aplicațiile digitale și solicită să fie implicați în proiectarea și dezvoltarea noilor produse digitale pe care le vor utiliza. Comisia este pregătită să sprijine aceste eforturi, în special prin intermediul inițiativelor „Youth Pledge for a Better Internet”</w:t>
      </w:r>
      <w:r>
        <w:rPr>
          <w:rStyle w:val="FootnoteReference"/>
          <w:rFonts w:ascii="Times New Roman" w:hAnsi="Times New Roman" w:cs="Times New Roman"/>
          <w:noProof/>
          <w:color w:val="000000" w:themeColor="text1"/>
          <w:sz w:val="24"/>
          <w:szCs w:val="24"/>
          <w:lang w:val="en-IE"/>
        </w:rPr>
        <w:footnoteReference w:id="96"/>
      </w:r>
      <w:r>
        <w:rPr>
          <w:rFonts w:ascii="Times New Roman" w:hAnsi="Times New Roman"/>
          <w:noProof/>
          <w:color w:val="000000" w:themeColor="text1"/>
          <w:sz w:val="24"/>
          <w:szCs w:val="24"/>
        </w:rPr>
        <w:t xml:space="preserve"> și „Youth Call for Action”</w:t>
      </w:r>
      <w:r>
        <w:rPr>
          <w:rStyle w:val="FootnoteReference"/>
          <w:rFonts w:ascii="Times New Roman" w:hAnsi="Times New Roman" w:cs="Times New Roman"/>
          <w:noProof/>
          <w:color w:val="000000" w:themeColor="text1"/>
          <w:sz w:val="24"/>
          <w:szCs w:val="24"/>
        </w:rPr>
        <w:footnoteReference w:id="97"/>
      </w:r>
      <w:r>
        <w:rPr>
          <w:rFonts w:ascii="Times New Roman" w:hAnsi="Times New Roman"/>
          <w:noProof/>
          <w:color w:val="000000" w:themeColor="text1"/>
          <w:sz w:val="24"/>
          <w:szCs w:val="24"/>
        </w:rPr>
        <w:t>.</w:t>
      </w:r>
    </w:p>
    <w:p>
      <w:pPr>
        <w:pStyle w:val="BalloonText"/>
        <w:spacing w:after="120"/>
        <w:jc w:val="both"/>
        <w:rPr>
          <w:rFonts w:ascii="Times New Roman" w:hAnsi="Times New Roman" w:cs="Times New Roman"/>
          <w:noProof/>
          <w:sz w:val="24"/>
          <w:szCs w:val="24"/>
        </w:rPr>
      </w:pPr>
      <w:r>
        <w:rPr>
          <w:rFonts w:ascii="Times New Roman" w:hAnsi="Times New Roman"/>
          <w:noProof/>
          <w:sz w:val="24"/>
          <w:szCs w:val="24"/>
        </w:rPr>
        <w:t>Comisia va continua să ofere sprijin, prin intermediul programului digital, centrelor pentru un internet mai sigur și platformei „Un internet mai bun pentru copii”</w:t>
      </w:r>
      <w:r>
        <w:rPr>
          <w:rStyle w:val="FootnoteReference"/>
          <w:rFonts w:ascii="Times New Roman" w:hAnsi="Times New Roman" w:cs="Times New Roman"/>
          <w:noProof/>
          <w:sz w:val="24"/>
          <w:szCs w:val="24"/>
        </w:rPr>
        <w:footnoteReference w:id="98"/>
      </w:r>
      <w:r>
        <w:rPr>
          <w:rFonts w:ascii="Times New Roman" w:hAnsi="Times New Roman"/>
          <w:noProof/>
          <w:sz w:val="24"/>
          <w:szCs w:val="24"/>
        </w:rPr>
        <w:t>, în vederea sensibilizării cu privire la hărțuirea pe internet și a consolidării capacităților în acest domeniu, a recunoașterii știrilor false și a dezinformării, precum și a promovării unui comportament sănătos și responsabil în mediul online. Viitoarea inițiativă „Căi către succesul școlar”</w:t>
      </w:r>
      <w:r>
        <w:rPr>
          <w:rStyle w:val="FootnoteReference"/>
          <w:rFonts w:ascii="Times New Roman" w:hAnsi="Times New Roman" w:cs="Times New Roman"/>
          <w:noProof/>
          <w:sz w:val="24"/>
          <w:szCs w:val="24"/>
          <w:lang w:val="en-IE"/>
        </w:rPr>
        <w:footnoteReference w:id="99"/>
      </w:r>
      <w:r>
        <w:rPr>
          <w:rFonts w:ascii="Times New Roman" w:hAnsi="Times New Roman"/>
          <w:noProof/>
          <w:sz w:val="24"/>
          <w:szCs w:val="24"/>
        </w:rPr>
        <w:t xml:space="preserve"> va promova prevenirea hărțuirii pe internet. Programul Erasmus+</w:t>
      </w:r>
      <w:r>
        <w:rPr>
          <w:rStyle w:val="FootnoteReference"/>
          <w:rFonts w:ascii="Times New Roman" w:hAnsi="Times New Roman" w:cs="Times New Roman"/>
          <w:noProof/>
          <w:sz w:val="24"/>
          <w:szCs w:val="24"/>
          <w:lang w:val="en-IE"/>
        </w:rPr>
        <w:footnoteReference w:id="100"/>
      </w:r>
      <w:r>
        <w:rPr>
          <w:rFonts w:ascii="Times New Roman" w:hAnsi="Times New Roman"/>
          <w:noProof/>
          <w:sz w:val="24"/>
          <w:szCs w:val="24"/>
        </w:rPr>
        <w:t xml:space="preserve"> va finanța inițiative de sprijinire a dobândirii de competențe digitale de către toți copiii.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Inteligența artificială (IA) are și va avea un impact major asupra copiilor și a drepturilor lor</w:t>
      </w:r>
      <w:r>
        <w:rPr>
          <w:rStyle w:val="FootnoteReference"/>
          <w:rFonts w:ascii="Times New Roman" w:hAnsi="Times New Roman" w:cs="Times New Roman"/>
          <w:noProof/>
          <w:sz w:val="24"/>
          <w:szCs w:val="24"/>
        </w:rPr>
        <w:footnoteReference w:id="101"/>
      </w:r>
      <w:r>
        <w:rPr>
          <w:rFonts w:ascii="Times New Roman" w:hAnsi="Times New Roman"/>
          <w:noProof/>
          <w:sz w:val="24"/>
          <w:szCs w:val="24"/>
        </w:rPr>
        <w:t xml:space="preserve">, de exemplu în domeniul educației, al activităților recreative și al serviciilor medicale. Cu toate acestea, ea poate implica, de asemenea, anumite riscuri legate de viața privată, siguranță și securitate. Viitoarea </w:t>
      </w:r>
      <w:r>
        <w:rPr>
          <w:rFonts w:ascii="Times New Roman" w:hAnsi="Times New Roman"/>
          <w:noProof/>
          <w:color w:val="000000" w:themeColor="text1"/>
          <w:sz w:val="24"/>
          <w:szCs w:val="24"/>
        </w:rPr>
        <w:t xml:space="preserve">propunere a Comisiei privind un cadru juridic orizontal pentru IA va identifica sistemele de IA a căror utilizare prezintă un grad ridicat de risc pentru drepturile fundamentale, inclusiv pentru drepturile copiilor.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u w:val="single"/>
        </w:rPr>
        <w:t>Acțiuni-cheie ale Comisiei Europene:</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adoptarea, în 2022, unei versiuni actualizate a strategiei „Un internet mai bun pentru copii”;</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crearea și facilitarea unui proces condus de către copii, care să vizeze elaborarea unui set de principii pe care industria să le promoveze și să le respecte</w:t>
      </w:r>
      <w:r>
        <w:rPr>
          <w:rStyle w:val="FootnoteReference"/>
          <w:rFonts w:ascii="Times New Roman" w:hAnsi="Times New Roman" w:cs="Times New Roman"/>
          <w:noProof/>
          <w:sz w:val="24"/>
          <w:szCs w:val="24"/>
        </w:rPr>
        <w:footnoteReference w:id="102"/>
      </w:r>
      <w:r>
        <w:rPr>
          <w:rFonts w:ascii="Times New Roman" w:hAnsi="Times New Roman"/>
          <w:noProof/>
          <w:sz w:val="24"/>
          <w:szCs w:val="24"/>
        </w:rPr>
        <w:t>;</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promovarea dezvoltării și a utilizării TIC și a tehnologiilor de asistență accesibile pentru copiii cu handicap, cum ar fi recunoașterea vocală, subtitrarea complexă închisă și altele</w:t>
      </w:r>
      <w:r>
        <w:rPr>
          <w:rStyle w:val="FootnoteReference"/>
          <w:rFonts w:ascii="Times New Roman" w:hAnsi="Times New Roman" w:cs="Times New Roman"/>
          <w:noProof/>
          <w:sz w:val="24"/>
          <w:szCs w:val="24"/>
        </w:rPr>
        <w:footnoteReference w:id="103"/>
      </w:r>
      <w:r>
        <w:rPr>
          <w:rFonts w:ascii="Times New Roman" w:hAnsi="Times New Roman"/>
          <w:noProof/>
          <w:sz w:val="24"/>
          <w:szCs w:val="24"/>
        </w:rPr>
        <w:t xml:space="preserve">, inclusiv în cadrul conferințelor și al evenimentelor organizate de Comisie; </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asigurarea punerii în aplicare depline a Actului european privind accesibilitatea</w:t>
      </w:r>
      <w:r>
        <w:rPr>
          <w:rStyle w:val="FootnoteReference"/>
          <w:rFonts w:ascii="Times New Roman" w:hAnsi="Times New Roman" w:cs="Times New Roman"/>
          <w:noProof/>
          <w:sz w:val="24"/>
          <w:szCs w:val="24"/>
        </w:rPr>
        <w:footnoteReference w:id="104"/>
      </w:r>
      <w:r>
        <w:rPr>
          <w:rFonts w:ascii="Times New Roman" w:hAnsi="Times New Roman"/>
          <w:noProof/>
          <w:sz w:val="24"/>
          <w:szCs w:val="24"/>
        </w:rPr>
        <w:t>;</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intensificarea luptei împotriva tuturor formelor de abuz sexual online asupra copiilor, de exemplu prin propunerea legislației necesare, inclusiv a obligației furnizorilor de servicii online relevanți de a detecta și raporta materialele care conțin abuzuri sexuale asupra copiilor cunoscute în mediul online.</w:t>
      </w:r>
    </w:p>
    <w:p>
      <w:pPr>
        <w:spacing w:after="120" w:line="240" w:lineRule="auto"/>
        <w:contextualSpacing/>
        <w:jc w:val="both"/>
        <w:rPr>
          <w:rFonts w:ascii="Times New Roman" w:hAnsi="Times New Roman" w:cs="Times New Roman"/>
          <w:b/>
          <w:noProof/>
          <w:sz w:val="24"/>
          <w:szCs w:val="24"/>
          <w:u w:val="single"/>
        </w:rPr>
      </w:pP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rPr>
      </w:pPr>
      <w:r>
        <w:rPr>
          <w:rFonts w:ascii="Times New Roman" w:hAnsi="Times New Roman"/>
          <w:b/>
          <w:noProof/>
          <w:sz w:val="24"/>
          <w:szCs w:val="24"/>
          <w:u w:val="single"/>
        </w:rPr>
        <w:t>Comisia Europeană invită statele membre:</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asigure accesul egal și efectiv la instrumente digitale și conexiuni la internet de mare viteză, alfabetizarea digitală, materiale educaționale online accesibile și instrumente pedagogice etc. pentru toți copiii;</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sprijine dezvoltarea competențelor digitale de bază ale copiilor, prin intermediul Cadrului competențelor digitale pentru cetățeni</w:t>
      </w:r>
      <w:r>
        <w:rPr>
          <w:rStyle w:val="FootnoteReference"/>
          <w:rFonts w:ascii="Times New Roman" w:hAnsi="Times New Roman" w:cs="Times New Roman"/>
          <w:noProof/>
          <w:sz w:val="24"/>
          <w:szCs w:val="24"/>
          <w:lang w:val="en-GB"/>
        </w:rPr>
        <w:footnoteReference w:id="105"/>
      </w:r>
      <w:r>
        <w:rPr>
          <w:rFonts w:ascii="Times New Roman" w:hAnsi="Times New Roman"/>
          <w:noProof/>
          <w:sz w:val="24"/>
          <w:szCs w:val="24"/>
        </w:rPr>
        <w:t>;</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sprijine acțiunile de educație în domeniul mass-mediei ca parte a educației, pentru a dezvolta capacitatea copiilor de a evalua critic conținutul online și de a detecta materialele care dezinformează și cele care conțin abuzuri sexuale asupra copiilor;</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sprijine și să promoveze activitatea centrelor pentru un internet mai sigur cofinanțate de UE și să sprijine liniile telefonice de asistență și liniile telefonice de urgență pentru copii să dezvolte căi de comunicare online;</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încurajeze copiii, în special fetele, să facă studii în domeniul științei, tehnologiei, ingineriei și matematicii (STIM) și să elimine stereotipurilor de gen în acest domeniu, pentru a asigura egalitatea de șanse pe piața digitală a muncii.</w:t>
      </w:r>
    </w:p>
    <w:p>
      <w:pPr>
        <w:pStyle w:val="CommentText"/>
        <w:spacing w:after="120"/>
        <w:jc w:val="both"/>
        <w:rPr>
          <w:rFonts w:ascii="Times New Roman" w:hAnsi="Times New Roman" w:cs="Times New Roman"/>
          <w:b/>
          <w:noProof/>
          <w:sz w:val="24"/>
          <w:szCs w:val="24"/>
          <w:u w:val="single"/>
        </w:rPr>
      </w:pPr>
    </w:p>
    <w:p>
      <w:pPr>
        <w:pStyle w:val="CommentText"/>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szCs w:val="24"/>
          <w:u w:val="single"/>
        </w:rPr>
      </w:pPr>
      <w:r>
        <w:rPr>
          <w:rFonts w:ascii="Times New Roman" w:hAnsi="Times New Roman"/>
          <w:b/>
          <w:noProof/>
          <w:sz w:val="24"/>
          <w:szCs w:val="24"/>
          <w:u w:val="single"/>
        </w:rPr>
        <w:t>Comisia invită întreprinderile din domeniul TIC:</w:t>
      </w:r>
    </w:p>
    <w:p>
      <w:pPr>
        <w:pStyle w:val="CommentText"/>
        <w:numPr>
          <w:ilvl w:val="0"/>
          <w:numId w:val="6"/>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se asigure că drepturile copiilor, inclusiv respectarea vieții private, protecția datelor cu caracter personal și accesul la un conținut adecvat vârstei, sunt incluse în produsele și serviciile digitale începând cu momentul conceperii și în mod implicit, inclusiv pentru copiii cu handicap;</w:t>
      </w:r>
    </w:p>
    <w:p>
      <w:pPr>
        <w:pStyle w:val="CommentText"/>
        <w:numPr>
          <w:ilvl w:val="0"/>
          <w:numId w:val="6"/>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doteze copiii și părinții cu instrumente adecvate care să permită controlul timpului petrecut în fața unui ecran și al comportamentului lor față de ecrane și care să îi protejeze de efectele utilizării excesive a produselor online și de dependența de aceste produse;</w:t>
      </w:r>
    </w:p>
    <w:p>
      <w:pPr>
        <w:pStyle w:val="CommentText"/>
        <w:numPr>
          <w:ilvl w:val="0"/>
          <w:numId w:val="6"/>
        </w:numPr>
        <w:pBdr>
          <w:top w:val="single" w:sz="4" w:space="1" w:color="auto"/>
          <w:left w:val="single" w:sz="4" w:space="4" w:color="auto"/>
          <w:bottom w:val="single" w:sz="4" w:space="1" w:color="auto"/>
          <w:right w:val="single" w:sz="4" w:space="4" w:color="auto"/>
        </w:pBdr>
        <w:spacing w:after="0"/>
        <w:ind w:left="357" w:hanging="357"/>
        <w:contextualSpacing/>
        <w:jc w:val="both"/>
        <w:rPr>
          <w:rFonts w:ascii="Times New Roman" w:hAnsi="Times New Roman" w:cs="Times New Roman"/>
          <w:noProof/>
          <w:sz w:val="24"/>
          <w:szCs w:val="24"/>
        </w:rPr>
      </w:pPr>
      <w:r>
        <w:rPr>
          <w:rFonts w:ascii="Times New Roman" w:hAnsi="Times New Roman"/>
          <w:noProof/>
          <w:sz w:val="24"/>
          <w:szCs w:val="24"/>
        </w:rPr>
        <w:t>să consolideze măsurile de combatere a conținutului dăunător și a comunicării comerciale inadecvate, de exemplu prin intermediul unor canale de raportare și de blocare ușor de utilizat sau al unor instrumente eficace de verificare a vârstei;</w:t>
      </w:r>
    </w:p>
    <w:p>
      <w:pPr>
        <w:pStyle w:val="CommentText"/>
        <w:numPr>
          <w:ilvl w:val="0"/>
          <w:numId w:val="6"/>
        </w:numPr>
        <w:pBdr>
          <w:top w:val="single" w:sz="4" w:space="1" w:color="auto"/>
          <w:left w:val="single" w:sz="4" w:space="4" w:color="auto"/>
          <w:bottom w:val="single" w:sz="4" w:space="1" w:color="auto"/>
          <w:right w:val="single" w:sz="4" w:space="4" w:color="auto"/>
        </w:pBdr>
        <w:spacing w:after="0"/>
        <w:contextualSpacing/>
        <w:jc w:val="both"/>
        <w:rPr>
          <w:rFonts w:ascii="Times New Roman" w:hAnsi="Times New Roman" w:cs="Times New Roman"/>
          <w:noProof/>
          <w:sz w:val="24"/>
          <w:szCs w:val="24"/>
        </w:rPr>
      </w:pPr>
      <w:r>
        <w:rPr>
          <w:rFonts w:ascii="Times New Roman" w:hAnsi="Times New Roman"/>
          <w:noProof/>
          <w:sz w:val="24"/>
          <w:szCs w:val="24"/>
        </w:rPr>
        <w:t xml:space="preserve">să își continue eforturile de detectare, raportare și eliminare a conținutului online ilegal, inclusiv a materialelor cu abuzuri sexuale asupra copiilor de pe platformele și din serviciile pe care le oferă, în măsura în care practicile respective sunt legale. </w:t>
      </w:r>
    </w:p>
    <w:bookmarkEnd w:id="4"/>
    <w:p>
      <w:pPr>
        <w:pStyle w:val="Heading2"/>
        <w:spacing w:before="0" w:after="120" w:line="240" w:lineRule="auto"/>
        <w:ind w:left="357"/>
        <w:jc w:val="both"/>
        <w:rPr>
          <w:rFonts w:ascii="Times New Roman" w:hAnsi="Times New Roman" w:cs="Times New Roman"/>
          <w:b/>
          <w:bCs/>
          <w:noProof/>
          <w:color w:val="4F81BD" w:themeColor="accent1"/>
          <w:sz w:val="24"/>
          <w:szCs w:val="24"/>
        </w:rPr>
      </w:pPr>
    </w:p>
    <w:p>
      <w:pPr>
        <w:pStyle w:val="Heading2"/>
        <w:numPr>
          <w:ilvl w:val="0"/>
          <w:numId w:val="3"/>
        </w:numPr>
        <w:spacing w:before="0" w:after="120" w:line="240" w:lineRule="auto"/>
        <w:ind w:left="357" w:hanging="357"/>
        <w:jc w:val="both"/>
        <w:rPr>
          <w:rFonts w:ascii="Times New Roman" w:hAnsi="Times New Roman" w:cs="Times New Roman"/>
          <w:b/>
          <w:bCs/>
          <w:noProof/>
          <w:color w:val="4F81BD" w:themeColor="accent1"/>
          <w:sz w:val="24"/>
          <w:szCs w:val="24"/>
        </w:rPr>
      </w:pPr>
      <w:r>
        <w:rPr>
          <w:rFonts w:ascii="Times New Roman" w:hAnsi="Times New Roman"/>
          <w:b/>
          <w:bCs/>
          <w:noProof/>
          <w:color w:val="4F81BD" w:themeColor="accent1"/>
          <w:sz w:val="24"/>
          <w:szCs w:val="24"/>
        </w:rPr>
        <w:t xml:space="preserve">Dimensiunea mondială: o Uniune care sprijină, protejează și stimulează implicarea copiilor la nivel mondial, inclusiv în timpul crizelor și al conflictelor. </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eastAsia="Times New Roman" w:hAnsi="Times New Roman" w:cs="Times New Roman"/>
          <w:i/>
          <w:noProof/>
          <w:sz w:val="24"/>
          <w:szCs w:val="24"/>
        </w:rPr>
      </w:pPr>
      <w:r>
        <w:rPr>
          <w:rFonts w:ascii="Times New Roman" w:hAnsi="Times New Roman"/>
          <w:i/>
          <w:noProof/>
          <w:sz w:val="24"/>
          <w:szCs w:val="24"/>
        </w:rPr>
        <w:t xml:space="preserve">„UE are o forță care reunește multe țări din lume ce colaborează pentru pace, cooperare și egalitate între oameni și care finanțează proiecte pentru organizații ce se ocupă cu protecția drepturilor copiilor”. </w:t>
      </w:r>
      <w:r>
        <w:rPr>
          <w:rFonts w:ascii="Times New Roman" w:hAnsi="Times New Roman"/>
          <w:noProof/>
          <w:sz w:val="24"/>
          <w:szCs w:val="24"/>
        </w:rPr>
        <w:t>(Un copil din Albania).</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i/>
          <w:noProof/>
          <w:sz w:val="24"/>
          <w:szCs w:val="24"/>
        </w:rPr>
        <w:t xml:space="preserve"> „Trebuie să cobori foarte jos în puțul de extracție cu ajutorul unei frânghii, să iei ce ți s-a cerut să iei și apoi să te întorci la suprafață. Am fost aproape să mă sufoc în interiorul puțului, din cauză că nu primeam destul oxigen” </w:t>
      </w:r>
      <w:r>
        <w:rPr>
          <w:rFonts w:ascii="Times New Roman" w:hAnsi="Times New Roman"/>
          <w:noProof/>
          <w:sz w:val="24"/>
          <w:szCs w:val="24"/>
        </w:rPr>
        <w:t>(Un băiat de 11 ani din Tanzania).</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Angajamentul UE de a promova, proteja, îndeplini și respecta drepturile copilului este asumat la nivel mondial.</w:t>
      </w:r>
      <w:r>
        <w:rPr>
          <w:rFonts w:ascii="Times New Roman" w:hAnsi="Times New Roman"/>
          <w:noProof/>
          <w:sz w:val="24"/>
          <w:szCs w:val="24"/>
        </w:rPr>
        <w:t xml:space="preserve"> Prin prezenta strategie, UE urmărește, de asemenea, să își consolideze poziția în calitate de actor-cheie la nivel mondial în acest sens. UE joacă deja un rol principal în protejarea și sprijinirea copiilor din întreaga lume, prin consolidarea accesului la educație, la servicii, la sănătate și prin protejarea împotriva tuturor formelor de violență, abuz și neglijență, inclusiv în context umanitar.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pofida progreselor semnificative înregistrate în ultimele decenii, prea mulți </w:t>
      </w:r>
      <w:r>
        <w:rPr>
          <w:rFonts w:ascii="Times New Roman" w:hAnsi="Times New Roman"/>
          <w:b/>
          <w:bCs/>
          <w:noProof/>
          <w:sz w:val="24"/>
          <w:szCs w:val="24"/>
        </w:rPr>
        <w:t>copii din întreaga lume suferă sau riscă să sufere din cauza încălcării drepturilor omului, a crizelor umanitare, de mediu și climatice, a faptului că nu au acces la educație, din cauza malnutriției, a sărăciei, a inegalităților și a excluziunii</w:t>
      </w:r>
      <w:r>
        <w:rPr>
          <w:rFonts w:ascii="Times New Roman" w:hAnsi="Times New Roman"/>
          <w:noProof/>
          <w:sz w:val="24"/>
          <w:szCs w:val="24"/>
        </w:rPr>
        <w:t xml:space="preserve">. </w:t>
      </w:r>
      <w:r>
        <w:rPr>
          <w:rFonts w:ascii="Times New Roman" w:hAnsi="Times New Roman"/>
          <w:noProof/>
          <w:color w:val="000000"/>
          <w:sz w:val="24"/>
          <w:szCs w:val="24"/>
        </w:rPr>
        <w:t>Fetele se află într-o situație extrem de dificilă, întrucât sunt în continuare victime ale discriminării și violenței pe criterii de gen, inclusiv ale căsătoriei copiilor, ale căsătoriei timpurii și ale căsătoriei forțate, precum și ale mutilării genitale feminine încă de la vârsta de 4 ani.</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Aproape două treimi din copiii lumii trăiesc într-o țară afectată de conflicte. Dintre aceștia, 1 din 6 trăiește la o distanță de aproximativ 50 de km față de o zonă de conflict</w:t>
      </w:r>
      <w:r>
        <w:rPr>
          <w:rStyle w:val="FootnoteReference"/>
          <w:rFonts w:ascii="Times New Roman" w:hAnsi="Times New Roman" w:cs="Times New Roman"/>
          <w:noProof/>
          <w:sz w:val="24"/>
          <w:szCs w:val="24"/>
        </w:rPr>
        <w:footnoteReference w:id="106"/>
      </w:r>
      <w:r>
        <w:rPr>
          <w:rFonts w:ascii="Times New Roman" w:hAnsi="Times New Roman"/>
          <w:noProof/>
          <w:sz w:val="24"/>
          <w:szCs w:val="24"/>
        </w:rPr>
        <w:t>. Acest lucru nu numai că reprezintă o amenințate pentru sănătatea fizică și mentală a copiilor, dar îi poate priva adesea de educație</w:t>
      </w:r>
      <w:r>
        <w:rPr>
          <w:rFonts w:ascii="Times New Roman" w:eastAsia="Times New Roman" w:hAnsi="Times New Roman" w:cs="Times New Roman"/>
          <w:noProof/>
          <w:color w:val="000000" w:themeColor="text1"/>
          <w:sz w:val="24"/>
          <w:szCs w:val="24"/>
          <w:vertAlign w:val="superscript"/>
        </w:rPr>
        <w:footnoteReference w:id="107"/>
      </w:r>
      <w:r>
        <w:rPr>
          <w:rFonts w:ascii="Times New Roman" w:hAnsi="Times New Roman"/>
          <w:noProof/>
          <w:sz w:val="24"/>
          <w:szCs w:val="24"/>
        </w:rPr>
        <w:t xml:space="preserve"> și poate avea un impact negativ asupra perspectivelor lor de viitor, precum și asupra celor ale comunităților din care provin.</w:t>
      </w:r>
      <w:r>
        <w:rPr>
          <w:rFonts w:ascii="Times New Roman" w:hAnsi="Times New Roman"/>
          <w:noProof/>
          <w:color w:val="000000"/>
          <w:sz w:val="24"/>
          <w:szCs w:val="24"/>
        </w:rPr>
        <w:t xml:space="preserve"> </w:t>
      </w:r>
    </w:p>
    <w:p>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b/>
          <w:bCs/>
          <w:noProof/>
          <w:color w:val="000000"/>
          <w:sz w:val="24"/>
          <w:szCs w:val="24"/>
        </w:rPr>
        <w:t>Copiii sunt, de asemenea, victime ale recrutării și utilizării în conflictele armate.</w:t>
      </w:r>
      <w:r>
        <w:rPr>
          <w:rFonts w:ascii="Times New Roman" w:hAnsi="Times New Roman"/>
          <w:noProof/>
          <w:color w:val="000000"/>
          <w:sz w:val="24"/>
          <w:szCs w:val="24"/>
        </w:rPr>
        <w:t xml:space="preserve"> Participarea la conflicte le afectează grav bunăstarea fizică, psihologică și emoțională.</w:t>
      </w:r>
      <w:r>
        <w:rPr>
          <w:rFonts w:ascii="Times New Roman" w:hAnsi="Times New Roman"/>
          <w:noProof/>
          <w:color w:val="000000" w:themeColor="text1"/>
          <w:sz w:val="24"/>
          <w:szCs w:val="24"/>
          <w:shd w:val="clear" w:color="auto" w:fill="FFFFFF"/>
        </w:rPr>
        <w:t xml:space="preserve"> </w:t>
      </w:r>
      <w:r>
        <w:rPr>
          <w:rFonts w:ascii="Times New Roman" w:hAnsi="Times New Roman"/>
          <w:noProof/>
          <w:sz w:val="24"/>
          <w:szCs w:val="24"/>
        </w:rPr>
        <w:t>De asemenea, copiii soldați, atât băieții, cât și fetele, sunt adesea victime ale violențelor sexuale, care sunt folosite prea des ca armă de război.</w:t>
      </w:r>
    </w:p>
    <w:p>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Se estimează că în fiecare an mor 5,2 milioane de copii</w:t>
      </w:r>
      <w:r>
        <w:rPr>
          <w:rStyle w:val="FootnoteReference"/>
          <w:rFonts w:ascii="Times New Roman" w:hAnsi="Times New Roman" w:cs="Times New Roman"/>
          <w:noProof/>
          <w:sz w:val="24"/>
          <w:szCs w:val="24"/>
        </w:rPr>
        <w:footnoteReference w:id="108"/>
      </w:r>
      <w:r>
        <w:rPr>
          <w:rFonts w:ascii="Times New Roman" w:hAnsi="Times New Roman"/>
          <w:noProof/>
          <w:sz w:val="24"/>
          <w:szCs w:val="24"/>
        </w:rPr>
        <w:t xml:space="preserve"> cu vârsta sub 5 ani, în principal din cauze care pot fi prevenite și tratate, legate, în mare parte, de sărăcie, de excluziunea socială, de discriminare, de norme de gen și de nerespectarea drepturilor fundamentale ale omului.</w:t>
      </w:r>
      <w:r>
        <w:rPr>
          <w:rFonts w:ascii="Times New Roman" w:hAnsi="Times New Roman"/>
          <w:b/>
          <w:noProof/>
          <w:sz w:val="24"/>
          <w:szCs w:val="24"/>
        </w:rPr>
        <w:t xml:space="preserve"> </w:t>
      </w:r>
      <w:r>
        <w:rPr>
          <w:rFonts w:ascii="Times New Roman" w:hAnsi="Times New Roman"/>
          <w:noProof/>
          <w:sz w:val="24"/>
          <w:szCs w:val="24"/>
        </w:rPr>
        <w:t>Pandemia de COVID-19 și schimbările climatice au agravat și mai mult formele existente de discriminare împotriva copiilor, precum și expunerea copiilor și a familiilor din întreaga lume la situații de vulnerabilitate. La apogeul pandemiei, aproximativ 1,6 miliarde de copii erau deșcolarizați la nivel mondial</w:t>
      </w:r>
      <w:r>
        <w:rPr>
          <w:rStyle w:val="FootnoteReference"/>
          <w:rFonts w:ascii="Times New Roman" w:hAnsi="Times New Roman" w:cs="Times New Roman"/>
          <w:noProof/>
          <w:sz w:val="24"/>
          <w:szCs w:val="24"/>
        </w:rPr>
        <w:footnoteReference w:id="109"/>
      </w:r>
      <w:r>
        <w:rPr>
          <w:rFonts w:ascii="Times New Roman" w:hAnsi="Times New Roman"/>
          <w:noProof/>
          <w:sz w:val="24"/>
          <w:szCs w:val="24"/>
        </w:rPr>
        <w:t xml:space="preserv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Acțiunea UE în cadrul dimensiunii externe va fi în conformitate cu angajamentele stabilite în cadrul Planului de acțiune al UE privind drepturile omului și democrația 2020-2024</w:t>
      </w:r>
      <w:r>
        <w:rPr>
          <w:rStyle w:val="FootnoteReference"/>
          <w:rFonts w:ascii="Times New Roman" w:eastAsia="Times New Roman" w:hAnsi="Times New Roman" w:cs="Times New Roman"/>
          <w:noProof/>
          <w:sz w:val="24"/>
          <w:szCs w:val="24"/>
          <w:lang w:val="en-IE"/>
        </w:rPr>
        <w:footnoteReference w:id="110"/>
      </w:r>
      <w:r>
        <w:rPr>
          <w:rStyle w:val="FootnoteReference"/>
          <w:rFonts w:ascii="Times New Roman" w:eastAsia="Times New Roman" w:hAnsi="Times New Roman" w:cs="Times New Roman"/>
          <w:noProof/>
          <w:sz w:val="24"/>
          <w:szCs w:val="24"/>
        </w:rPr>
        <w:t xml:space="preserve"> </w:t>
      </w:r>
      <w:r>
        <w:rPr>
          <w:rFonts w:ascii="Times New Roman" w:hAnsi="Times New Roman"/>
          <w:noProof/>
          <w:sz w:val="24"/>
          <w:szCs w:val="24"/>
        </w:rPr>
        <w:t>și va fi sprijinită prin acțiuni specifice incluse în alte inițiative relevante, cum ar fi Orientările privind promovarea și protecția drepturilor copilului</w:t>
      </w:r>
      <w:r>
        <w:rPr>
          <w:rStyle w:val="FootnoteReference"/>
          <w:rFonts w:ascii="Times New Roman" w:eastAsia="Times New Roman" w:hAnsi="Times New Roman" w:cs="Times New Roman"/>
          <w:noProof/>
          <w:sz w:val="24"/>
          <w:szCs w:val="24"/>
          <w:lang w:val="en-IE"/>
        </w:rPr>
        <w:footnoteReference w:id="111"/>
      </w:r>
      <w:r>
        <w:rPr>
          <w:rFonts w:ascii="Times New Roman" w:hAnsi="Times New Roman"/>
          <w:noProof/>
          <w:sz w:val="24"/>
          <w:szCs w:val="24"/>
        </w:rPr>
        <w:t>, Orientările privind copiii și conflictele armate</w:t>
      </w:r>
      <w:r>
        <w:rPr>
          <w:rStyle w:val="FootnoteReference"/>
          <w:rFonts w:ascii="Times New Roman" w:eastAsia="Times New Roman" w:hAnsi="Times New Roman" w:cs="Times New Roman"/>
          <w:noProof/>
          <w:sz w:val="24"/>
          <w:szCs w:val="24"/>
          <w:lang w:val="en-IE"/>
        </w:rPr>
        <w:footnoteReference w:id="112"/>
      </w:r>
      <w:r>
        <w:rPr>
          <w:rFonts w:ascii="Times New Roman" w:hAnsi="Times New Roman"/>
          <w:noProof/>
          <w:sz w:val="24"/>
          <w:szCs w:val="24"/>
        </w:rPr>
        <w:t>, Planul de acțiune al UE pentru egalitatea de gen în acțiunile externe (2021-2025)</w:t>
      </w:r>
      <w:r>
        <w:rPr>
          <w:rStyle w:val="FootnoteReference"/>
          <w:rFonts w:ascii="Times New Roman" w:eastAsia="Times New Roman" w:hAnsi="Times New Roman" w:cs="Times New Roman"/>
          <w:noProof/>
          <w:sz w:val="24"/>
          <w:szCs w:val="24"/>
          <w:lang w:val="en-IE"/>
        </w:rPr>
        <w:footnoteReference w:id="113"/>
      </w:r>
      <w:r>
        <w:rPr>
          <w:rFonts w:ascii="Times New Roman" w:hAnsi="Times New Roman"/>
          <w:noProof/>
          <w:sz w:val="24"/>
          <w:szCs w:val="24"/>
        </w:rPr>
        <w:t xml:space="preserve"> și setul de instrumente privind drepturile copilului</w:t>
      </w:r>
      <w:r>
        <w:rPr>
          <w:rStyle w:val="FootnoteReference"/>
          <w:rFonts w:ascii="Times New Roman" w:eastAsia="Times New Roman" w:hAnsi="Times New Roman" w:cs="Times New Roman"/>
          <w:noProof/>
          <w:sz w:val="24"/>
          <w:szCs w:val="24"/>
          <w:lang w:val="en-IE"/>
        </w:rPr>
        <w:footnoteReference w:id="114"/>
      </w:r>
      <w:r>
        <w:rPr>
          <w:rFonts w:ascii="Times New Roman" w:hAnsi="Times New Roman"/>
          <w:noProof/>
          <w:sz w:val="24"/>
          <w:szCs w:val="24"/>
        </w:rPr>
        <w:t xml:space="preserv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toate contextele, UE va continua să contribuie la asigurarea unei educații de calitate, sigure și favorabile incluziunii, a protecției sociale, a serviciilor de sănătate, a unei bune nutriții, a apei potabile curate, a unei locuințe, a aerului curat din încăperi și a unor instalații sanitare adecvate. Mai precis, în cadrul </w:t>
      </w:r>
      <w:r>
        <w:rPr>
          <w:rFonts w:ascii="Times New Roman" w:hAnsi="Times New Roman"/>
          <w:b/>
          <w:noProof/>
          <w:sz w:val="24"/>
          <w:szCs w:val="24"/>
        </w:rPr>
        <w:t>politicilor sale de dezvoltare</w:t>
      </w:r>
      <w:r>
        <w:rPr>
          <w:rFonts w:ascii="Times New Roman" w:hAnsi="Times New Roman"/>
          <w:noProof/>
          <w:sz w:val="24"/>
          <w:szCs w:val="24"/>
        </w:rPr>
        <w:t>, UE (i) va promova acoperirea universală cu servicii de sănătate pentru a asigura accesul la servicii esențiale pentru sănătatea mamelor, a nou-născuților, a copiilor și a adolescenților, inclusiv la servicii de sănătate mintală și de asistență psihosocială; (ii) va pleda în favoarea unor sisteme alimentare care să permită o dietă nutritivă, sigură, abordabilă financiar și durabilă, care să răspundă nevoilor și drepturilor copiilor și (iii) va investi în continuare în dezvoltarea unor sisteme educaționale de calitate și accesibile, în toate nivelurile de învățământ: preșcolar, primar, secundar și superior. În plus, asistența financiară va sprijini accesul școlilor la o conectivitate durabilă și la prețuri accesibile, precum și includerea competențelor digitale în programele școlare și în cele de formare a cadrelor didactice.</w:t>
      </w:r>
    </w:p>
    <w:p>
      <w:pPr>
        <w:pStyle w:val="Bodytext20"/>
        <w:shd w:val="clear" w:color="auto" w:fill="auto"/>
        <w:spacing w:after="120" w:line="274" w:lineRule="exact"/>
        <w:ind w:firstLine="0"/>
        <w:jc w:val="both"/>
        <w:rPr>
          <w:rFonts w:ascii="Times New Roman" w:hAnsi="Times New Roman" w:cs="Times New Roman"/>
          <w:noProof/>
          <w:sz w:val="24"/>
          <w:szCs w:val="24"/>
        </w:rPr>
      </w:pPr>
      <w:r>
        <w:rPr>
          <w:rFonts w:ascii="Times New Roman" w:hAnsi="Times New Roman"/>
          <w:noProof/>
          <w:sz w:val="24"/>
          <w:szCs w:val="24"/>
        </w:rPr>
        <w:t xml:space="preserve">În cadrul </w:t>
      </w:r>
      <w:r>
        <w:rPr>
          <w:rFonts w:ascii="Times New Roman" w:hAnsi="Times New Roman"/>
          <w:b/>
          <w:noProof/>
          <w:sz w:val="24"/>
          <w:szCs w:val="24"/>
        </w:rPr>
        <w:t>crizelor umanitare</w:t>
      </w:r>
      <w:r>
        <w:rPr>
          <w:rFonts w:ascii="Times New Roman" w:hAnsi="Times New Roman"/>
          <w:noProof/>
          <w:sz w:val="24"/>
          <w:szCs w:val="24"/>
        </w:rPr>
        <w:t xml:space="preserve">, UE va continua să le ofere sprijin copiilor, aplicând o abordare bazată pe nevoi, în conformitate cu principiile umanitare, și va continua să se asigure că ajutorul său ține seama de gen și de vârstă. UE va continua să pună accentul pe protecția copilului, să combată toate tipurile de violență împotriva copiilor și să ofere asistență psihosocială și asistență în materie de sănătate mintală. În plus, este foarte important să se mențină accesul la o educație sigură, de calitate și favorabilă incluziunii, pentru ca atât copiii, cât și tinerii să dobândească competențe esențiale, pentru a le oferi protecție și sentimentul de normalitate, precum și pentru a contribui la pace și de a le oferi un mijloc de reintegrare și reziliență.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total, 152 de milioane de copii (9,6 % din copiii din întreaga lume) sunt victime ale </w:t>
      </w:r>
      <w:r>
        <w:rPr>
          <w:rFonts w:ascii="Times New Roman" w:hAnsi="Times New Roman"/>
          <w:b/>
          <w:noProof/>
          <w:sz w:val="24"/>
          <w:szCs w:val="24"/>
        </w:rPr>
        <w:t>muncii copiilor</w:t>
      </w:r>
      <w:r>
        <w:rPr>
          <w:rFonts w:ascii="Times New Roman" w:hAnsi="Times New Roman"/>
          <w:noProof/>
          <w:sz w:val="24"/>
          <w:szCs w:val="24"/>
        </w:rPr>
        <w:t>, 73 de milioane de copii fiind obligați să facă munci periculoase, care le-ar putea afecta sănătatea, siguranța și dezvoltarea</w:t>
      </w:r>
      <w:r>
        <w:rPr>
          <w:rStyle w:val="FootnoteReference"/>
          <w:rFonts w:ascii="Times New Roman" w:hAnsi="Times New Roman" w:cs="Times New Roman"/>
          <w:noProof/>
          <w:sz w:val="24"/>
          <w:szCs w:val="24"/>
        </w:rPr>
        <w:footnoteReference w:id="115"/>
      </w:r>
      <w:r>
        <w:rPr>
          <w:rFonts w:ascii="Times New Roman" w:hAnsi="Times New Roman"/>
          <w:noProof/>
          <w:sz w:val="24"/>
          <w:szCs w:val="24"/>
        </w:rPr>
        <w:t xml:space="preserve">. Orientările politice ale Comisiei au anunțat o abordare de toleranță zero față de </w:t>
      </w:r>
      <w:r>
        <w:rPr>
          <w:rFonts w:ascii="Times New Roman" w:hAnsi="Times New Roman"/>
          <w:b/>
          <w:noProof/>
          <w:sz w:val="24"/>
          <w:szCs w:val="24"/>
        </w:rPr>
        <w:t>munca copiilor</w:t>
      </w:r>
      <w:r>
        <w:rPr>
          <w:rFonts w:ascii="Times New Roman" w:hAnsi="Times New Roman"/>
          <w:noProof/>
          <w:sz w:val="24"/>
          <w:szCs w:val="24"/>
        </w:rPr>
        <w:t>, contribuind astfel la acțiunile întreprinse pe plan mondial în anul 2021, declarat de ONU Anul internațional al eliminării muncii copiilor</w:t>
      </w:r>
      <w:r>
        <w:rPr>
          <w:rStyle w:val="FootnoteReference"/>
          <w:rFonts w:ascii="Times New Roman" w:hAnsi="Times New Roman" w:cs="Times New Roman"/>
          <w:noProof/>
          <w:sz w:val="24"/>
          <w:szCs w:val="24"/>
        </w:rPr>
        <w:footnoteReference w:id="116"/>
      </w:r>
      <w:r>
        <w:rPr>
          <w:rFonts w:ascii="Times New Roman" w:hAnsi="Times New Roman"/>
          <w:noProof/>
          <w:sz w:val="24"/>
          <w:szCs w:val="24"/>
        </w:rPr>
        <w:t>. Planul de acțiune al UE privind drepturile omului și democrația</w:t>
      </w:r>
      <w:r>
        <w:rPr>
          <w:rStyle w:val="FootnoteReference"/>
          <w:rFonts w:ascii="Times New Roman" w:hAnsi="Times New Roman" w:cs="Times New Roman"/>
          <w:noProof/>
          <w:sz w:val="24"/>
          <w:szCs w:val="24"/>
        </w:rPr>
        <w:footnoteReference w:id="117"/>
      </w:r>
      <w:r>
        <w:rPr>
          <w:rFonts w:ascii="Times New Roman" w:hAnsi="Times New Roman"/>
          <w:noProof/>
          <w:sz w:val="24"/>
          <w:szCs w:val="24"/>
        </w:rPr>
        <w:t xml:space="preserve"> include, de asemenea, o acțiune de reducere substanțială a incidenței muncii copiilor la nivel mondial până în 2025, anul stabilit de Organizația Națiunilor Unite pentru eliminarea completă a muncii copiilor la nivel mondial. Este vorba de facilitarea accesului gratuit și ușor al copiilor la educația obligatorie, până la împlinirea vârstei minime de muncă, precum și de extinderea programelor de asistență socială pentru a ajuta familiile să iasă din sărăcie. </w:t>
      </w:r>
    </w:p>
    <w:p>
      <w:pPr>
        <w:pStyle w:val="CommentText"/>
        <w:jc w:val="both"/>
        <w:rPr>
          <w:noProof/>
          <w:color w:val="1F497D"/>
          <w:sz w:val="24"/>
          <w:szCs w:val="24"/>
        </w:rPr>
      </w:pPr>
      <w:r>
        <w:rPr>
          <w:rFonts w:ascii="Times New Roman" w:hAnsi="Times New Roman"/>
          <w:noProof/>
          <w:sz w:val="24"/>
          <w:szCs w:val="24"/>
        </w:rPr>
        <w:t xml:space="preserve">Acordurile comerciale și de investiții ale UE și sistemul generalizat de preferințe (SGP) au jucat un rol important în promovarea respectării drepturilor fundamentale ale omului și ale lucrătorilor înscrise în convențiile fundamentale ale ONU elaborate de Organizația Internațională a Muncii (OIM). Se va acorda o prioritate deosebită punerii în aplicare a acestor angajamente, inclusiv acțiunilor de combatere a muncii copiilor. UE va insista ca țările terțe să actualizeze în mod regulat listele naționale cu munci periculoase pe care copiii nu ar trebui niciodată să le desfășoare. De asemenea, UE își va intensifica eforturile pentru a se asigura că munca copiilor nu este folosită în cadrul lanțurilor de aprovizionare ale întreprinderilor, în special prin promovarea unei guvernanțe corporative durabile.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conformitate cu Planul de acțiune privind drepturile omului și democrația, UE își va intensifica eforturile pentru a asigura o </w:t>
      </w:r>
      <w:r>
        <w:rPr>
          <w:rFonts w:ascii="Times New Roman" w:hAnsi="Times New Roman"/>
          <w:b/>
          <w:bCs/>
          <w:noProof/>
          <w:sz w:val="24"/>
          <w:szCs w:val="24"/>
        </w:rPr>
        <w:t>participare semnificativă a copiilor</w:t>
      </w:r>
      <w:r>
        <w:rPr>
          <w:rFonts w:ascii="Times New Roman" w:hAnsi="Times New Roman"/>
          <w:noProof/>
          <w:sz w:val="24"/>
          <w:szCs w:val="24"/>
        </w:rPr>
        <w:t>,</w:t>
      </w:r>
      <w:r>
        <w:rPr>
          <w:rFonts w:ascii="Times New Roman" w:hAnsi="Times New Roman"/>
          <w:b/>
          <w:bCs/>
          <w:noProof/>
          <w:sz w:val="24"/>
          <w:szCs w:val="24"/>
        </w:rPr>
        <w:t xml:space="preserve"> </w:t>
      </w:r>
      <w:r>
        <w:rPr>
          <w:rFonts w:ascii="Times New Roman" w:hAnsi="Times New Roman"/>
          <w:noProof/>
          <w:sz w:val="24"/>
          <w:szCs w:val="24"/>
        </w:rPr>
        <w:t>pentru a preveni și combate toate formele de violență împotriva copiilor, inclusiv violența pe criterii de gen, și pentru a răspunde la acestea, precum și pentru a elimina căsătoriile timpurii, căsătoriile forțate și căsătoriile între copii, mutilarea genitală a femeilor, traficul de copii, cerșetoria, exploatarea (sexuală) și neglijarea copiilor. De asemenea, se vor fi intensifica eforturile de a</w:t>
      </w:r>
      <w:r>
        <w:rPr>
          <w:rFonts w:ascii="Times New Roman" w:hAnsi="Times New Roman"/>
          <w:noProof/>
          <w:color w:val="000000"/>
          <w:sz w:val="24"/>
          <w:szCs w:val="24"/>
        </w:rPr>
        <w:t xml:space="preserve"> preveni și a pune capăt încălcărilor grave în privința copiilor afectați de conflictele armate</w:t>
      </w:r>
      <w:r>
        <w:rPr>
          <w:rFonts w:ascii="Times New Roman" w:hAnsi="Times New Roman"/>
          <w:noProof/>
          <w:sz w:val="24"/>
          <w:szCs w:val="24"/>
        </w:rPr>
        <w:t>, inclusiv prin activități de promovare a respectării dreptului internațional umanitar</w:t>
      </w:r>
      <w:r>
        <w:rPr>
          <w:rFonts w:ascii="Times New Roman" w:hAnsi="Times New Roman"/>
          <w:noProof/>
          <w:color w:val="000000"/>
          <w:sz w:val="24"/>
          <w:szCs w:val="24"/>
        </w:rPr>
        <w:t xml:space="preserve">. </w:t>
      </w:r>
      <w:r>
        <w:rPr>
          <w:rFonts w:ascii="Times New Roman" w:hAnsi="Times New Roman"/>
          <w:noProof/>
          <w:sz w:val="24"/>
          <w:szCs w:val="24"/>
        </w:rPr>
        <w:t xml:space="preserve">Planul de acțiune sprijină, de asemenea, țările partenere în construirea și </w:t>
      </w:r>
      <w:r>
        <w:rPr>
          <w:rFonts w:ascii="Times New Roman" w:hAnsi="Times New Roman"/>
          <w:b/>
          <w:noProof/>
          <w:sz w:val="24"/>
          <w:szCs w:val="24"/>
        </w:rPr>
        <w:t>consolidarea unor sisteme de justiție și de protecție a copilului în interesul copilului</w:t>
      </w:r>
      <w:r>
        <w:rPr>
          <w:rFonts w:ascii="Times New Roman" w:hAnsi="Times New Roman"/>
          <w:noProof/>
          <w:sz w:val="24"/>
          <w:szCs w:val="24"/>
        </w:rPr>
        <w:t>, inclusiv pentru copiii migranți, refugiați și strămutați forțat și copiii care aparțin minorităților, în special romii. UE va continua să sprijine relocarea pe teritoriul său a copiilor și a altor persoane vulnerabile care au nevoie de protecție internațională. UE va sprijini acțiunile menite să abordeze problema copiilor străzii și va investi în dezvoltarea unui sistem de îngrijire alternativă de calitate și în tranziția de la îngrijirea în instituții la servicii de îngrijire de calitate, în cadrul familiei și al comunității, pentru copiii care nu beneficiază de îngrijire părintească și pentru copiii cu handicap.</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UE va continua să includă drepturile copiilor în dialogul politic cu țările partenere, în special în contextul negocierilor de aderare și al procesului de stabilizare și asociere. Aceasta va promova, de asemenea, măsurile de combatere a violenței și a discriminării, în special împotriva copiilor vulnerabili, inclusiv prin oferirea de sprijin organizațiilor societății civile. UE va sprijini monitorizarea și colectarea de date defalcate privind situația copiilor din regiune și va continua să prezinte aceste date în rapoartele de țară din pachetul anual privind extinderea.</w:t>
      </w:r>
    </w:p>
    <w:p>
      <w:pPr>
        <w:spacing w:after="120" w:line="240" w:lineRule="auto"/>
        <w:jc w:val="both"/>
        <w:rPr>
          <w:noProof/>
        </w:rPr>
      </w:pPr>
      <w:r>
        <w:rPr>
          <w:rFonts w:ascii="Times New Roman" w:hAnsi="Times New Roman"/>
          <w:b/>
          <w:noProof/>
          <w:color w:val="000000" w:themeColor="text1"/>
          <w:sz w:val="24"/>
          <w:szCs w:val="24"/>
        </w:rPr>
        <w:t>Pentru a atinge aceste obiective</w:t>
      </w:r>
      <w:r>
        <w:rPr>
          <w:rFonts w:ascii="Times New Roman" w:hAnsi="Times New Roman"/>
          <w:noProof/>
          <w:color w:val="000000" w:themeColor="text1"/>
          <w:sz w:val="24"/>
          <w:szCs w:val="24"/>
        </w:rPr>
        <w:t>, UE va coordona utilizarea tuturor programelor sale de cheltuieli</w:t>
      </w:r>
      <w:r>
        <w:rPr>
          <w:rFonts w:ascii="Times New Roman" w:hAnsi="Times New Roman"/>
          <w:iCs/>
          <w:noProof/>
          <w:sz w:val="24"/>
          <w:szCs w:val="24"/>
        </w:rPr>
        <w:t xml:space="preserve"> disponibile în cadrul financiar multianual 2021-2027, în special </w:t>
      </w:r>
      <w:r>
        <w:rPr>
          <w:rFonts w:ascii="Times New Roman" w:hAnsi="Times New Roman"/>
          <w:iCs/>
          <w:noProof/>
          <w:color w:val="000000" w:themeColor="text1"/>
          <w:sz w:val="24"/>
          <w:szCs w:val="24"/>
        </w:rPr>
        <w:t>Instrumentul de vecinătate, cooperare pentru dezvoltare și cooperare internațională (IVCDCI), Instrumentul de asistență pentru preaderare III (IPA III) și Instrumentul de ajutor umanitar.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De asemenea, UE va încuraja acțiunile în cadrul forurilor multilaterale și regionale de apărare a drepturilor omului, prin campanii de promovare și sensibilizare, precum și prin acțiuni întreprinse cu societatea civilă, copiii și adolescenții, instituțiile naționale din domeniul drepturilor omului, mediul academic, sectorul afacerilor și alte părți interesate relevante.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Acțiuni-cheie ale Comisiei Europene:</w:t>
      </w:r>
    </w:p>
    <w:p>
      <w:pPr>
        <w:pStyle w:val="Bodytext20"/>
        <w:numPr>
          <w:ilvl w:val="0"/>
          <w:numId w:val="21"/>
        </w:numPr>
        <w:pBdr>
          <w:top w:val="single" w:sz="4" w:space="1" w:color="auto"/>
          <w:left w:val="single" w:sz="4" w:space="4" w:color="auto"/>
          <w:bottom w:val="single" w:sz="4" w:space="1" w:color="auto"/>
          <w:right w:val="single" w:sz="4" w:space="4" w:color="auto"/>
        </w:pBdr>
        <w:shd w:val="clear" w:color="auto" w:fill="auto"/>
        <w:tabs>
          <w:tab w:val="left" w:pos="360"/>
        </w:tabs>
        <w:spacing w:after="0" w:line="278" w:lineRule="exact"/>
        <w:jc w:val="both"/>
        <w:rPr>
          <w:rFonts w:ascii="Times New Roman" w:hAnsi="Times New Roman" w:cs="Times New Roman"/>
          <w:noProof/>
          <w:sz w:val="24"/>
          <w:szCs w:val="24"/>
        </w:rPr>
      </w:pPr>
      <w:r>
        <w:rPr>
          <w:rFonts w:ascii="Times New Roman" w:hAnsi="Times New Roman"/>
          <w:noProof/>
          <w:sz w:val="24"/>
          <w:szCs w:val="24"/>
        </w:rPr>
        <w:t xml:space="preserve">alocarea pentru educație a 10 % din finanțarea totală acordată în cadrul IVCDCI în Africa Subsahariană, în Asia și Pacific, în America și în zona Caraibilor; </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alocarea în continuare a 10 % din finanțarea consacrată ajutorului umanitar pentru educație în situații de urgență și de criză prelungită și promovarea adoptării Declarației privind școlile sigure; </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depunerea de eforturi pentru ca lanțurile de aprovizionare ale întreprinderilor din UE să nu folosească munca copiilor, în special printr-o inițiativă legislativă privind guvernanța corporativă sustenabilă;</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promovarea și furnizarea de asistență tehnică pentru consolidarea sistemelor de inspecție a muncii pentru monitorizarea și aplicarea legislației privind munca copiilor;</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furnizarea de asistență tehnică, în cadrul Echipei Europa, administrațiilor țărilor partenere prin intermediul programelor și a facilităților sale, cum ar fi SOCIEUX +, Instrumentul de asistență tehnică și schimb de informații (TAIEX) și programele de înfrățire; </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elaborarea, până în 2022, a unui Plan de acțiune pentru tineret care să promoveze implicarea și participarea tinerilor și a copiilor;</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desemnarea unor puncte focale pentru tineret și consolidarea capacităților de protecție a copilului în cadrul delegațiilor UE.</w:t>
      </w:r>
    </w:p>
    <w:p>
      <w:pPr>
        <w:pStyle w:val="Heading2"/>
        <w:spacing w:before="0" w:after="120" w:line="240" w:lineRule="auto"/>
        <w:ind w:left="357"/>
        <w:jc w:val="both"/>
        <w:rPr>
          <w:rFonts w:ascii="Times New Roman" w:hAnsi="Times New Roman" w:cs="Times New Roman"/>
          <w:b/>
          <w:bCs/>
          <w:noProof/>
          <w:color w:val="4F81BD" w:themeColor="accent1"/>
          <w:sz w:val="24"/>
          <w:szCs w:val="24"/>
        </w:rPr>
      </w:pPr>
    </w:p>
    <w:p>
      <w:pPr>
        <w:pStyle w:val="Heading2"/>
        <w:numPr>
          <w:ilvl w:val="0"/>
          <w:numId w:val="3"/>
        </w:numPr>
        <w:spacing w:before="0" w:after="120" w:line="240" w:lineRule="auto"/>
        <w:ind w:left="357" w:hanging="357"/>
        <w:jc w:val="both"/>
        <w:rPr>
          <w:rFonts w:ascii="Times New Roman" w:hAnsi="Times New Roman" w:cs="Times New Roman"/>
          <w:b/>
          <w:bCs/>
          <w:noProof/>
          <w:color w:val="4F81BD" w:themeColor="accent1"/>
          <w:sz w:val="24"/>
          <w:szCs w:val="24"/>
        </w:rPr>
      </w:pPr>
      <w:r>
        <w:rPr>
          <w:rFonts w:ascii="Times New Roman" w:hAnsi="Times New Roman"/>
          <w:b/>
          <w:bCs/>
          <w:noProof/>
          <w:color w:val="4F81BD" w:themeColor="accent1"/>
          <w:sz w:val="24"/>
          <w:szCs w:val="24"/>
        </w:rPr>
        <w:t>Integrarea perspectivei copilului în toate acțiunile UE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Pentru a atinge obiectivele stabilite în strategie, Comisia se va asigura că perspectiva drepturilor copilului este integrată în toate politicile, actele legislative și programele de finanțare relevante</w:t>
      </w:r>
      <w:r>
        <w:rPr>
          <w:rStyle w:val="FootnoteReference"/>
          <w:rFonts w:ascii="Times New Roman" w:hAnsi="Times New Roman" w:cs="Times New Roman"/>
          <w:noProof/>
          <w:sz w:val="24"/>
          <w:szCs w:val="24"/>
          <w:lang w:val="en-IE"/>
        </w:rPr>
        <w:footnoteReference w:id="118"/>
      </w:r>
      <w:r>
        <w:rPr>
          <w:rFonts w:ascii="Times New Roman" w:hAnsi="Times New Roman"/>
          <w:noProof/>
          <w:sz w:val="24"/>
          <w:szCs w:val="24"/>
        </w:rPr>
        <w:t xml:space="preserve">. Această măsură se va înscrie în eforturile de creare </w:t>
      </w:r>
      <w:r>
        <w:rPr>
          <w:rFonts w:ascii="Times New Roman" w:hAnsi="Times New Roman"/>
          <w:b/>
          <w:noProof/>
          <w:sz w:val="24"/>
          <w:szCs w:val="24"/>
        </w:rPr>
        <w:t>a unei culturi adaptate copiilor în procesul de elaborare a politicilor UE</w:t>
      </w:r>
      <w:r>
        <w:rPr>
          <w:rFonts w:ascii="Times New Roman" w:hAnsi="Times New Roman"/>
          <w:noProof/>
          <w:sz w:val="24"/>
          <w:szCs w:val="24"/>
        </w:rPr>
        <w:t xml:space="preserve"> și va fi sprijinită prin oferirea de formare și prin consolidarea capacităților personalului UE, precum și prin consolidarea coordonării interne, asigurată de echipa coordonatorului Comisiei pentru drepturile copilului. Se va întocmi o listă de verificare a integrării drepturilor copilului.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Avem nevoie de date fiabile și comparabile pentru a elabora politici bazate pe date concrete. Comisia va invita FRA să acorde în continuare asistență tehnică și sprijin metodologic statelor membre cu privire la elaborarea și punerea în aplicare a exercițiilor de colectare de date. Datele Eurostat și datele generate de alte agenții ale UE vor trebui mai bine defalcate în funcție de vârstă și sex; același lucru este valabil și pentru cercetarea în domenii tematice specifice care fac obiectul prezentei strategii. Acest lucru se va realiza prin intermediul programului-cadru pentru cercetare și inovare Orizont Europa (2021-2027)</w:t>
      </w:r>
      <w:r>
        <w:rPr>
          <w:rStyle w:val="FootnoteReference"/>
          <w:rFonts w:ascii="Times New Roman" w:hAnsi="Times New Roman" w:cs="Times New Roman"/>
          <w:noProof/>
          <w:sz w:val="24"/>
          <w:szCs w:val="24"/>
          <w:lang w:val="en-AU"/>
        </w:rPr>
        <w:footnoteReference w:id="119"/>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Strategia va contribui, de asemenea, la integrarea și la coordonarea inițiativelor la nivel național și între principalele părți interesate, pentru a asigura o mai bună punere în aplicare a obligațiilor juridice existente la nivelul UE și la nivel internațional. De asemenea, în acest scop, Comisia va institui, până la sfârșitul anului 2021, </w:t>
      </w:r>
      <w:r>
        <w:rPr>
          <w:rFonts w:ascii="Times New Roman" w:hAnsi="Times New Roman"/>
          <w:b/>
          <w:noProof/>
          <w:sz w:val="24"/>
          <w:szCs w:val="24"/>
        </w:rPr>
        <w:t>Rețeaua UE pentru drepturile copiilor</w:t>
      </w:r>
      <w:r>
        <w:rPr>
          <w:rFonts w:ascii="Times New Roman" w:hAnsi="Times New Roman"/>
          <w:noProof/>
          <w:sz w:val="24"/>
          <w:szCs w:val="24"/>
        </w:rPr>
        <w:t>. Bazându-se pe activitatea grupului informal de experți existent privind drepturile copilului</w:t>
      </w:r>
      <w:r>
        <w:rPr>
          <w:rStyle w:val="FootnoteReference"/>
          <w:rFonts w:ascii="Times New Roman" w:hAnsi="Times New Roman" w:cs="Times New Roman"/>
          <w:noProof/>
          <w:sz w:val="24"/>
          <w:szCs w:val="24"/>
          <w:lang w:val="en-IE"/>
        </w:rPr>
        <w:footnoteReference w:id="120"/>
      </w:r>
      <w:r>
        <w:rPr>
          <w:rFonts w:ascii="Times New Roman" w:hAnsi="Times New Roman"/>
          <w:noProof/>
          <w:sz w:val="24"/>
          <w:szCs w:val="24"/>
        </w:rPr>
        <w:t>, rețeaua va consolida dialogul și învățarea reciprocă între UE și statele membre cu privire la drepturile copiilor și va sprijini punerea în aplicare, monitorizarea și evaluarea strategiei. Rețeaua va fi alcătuită din reprezentanți naționali și, pentru o parte din activitățile sale, va include organizații internaționale și neguvernamentale, reprezentanți ai autorităților locale și regionale și copii, printre alții. De asemenea, Comisia va dezvolta o colaborare mai strânsă cu autoritățile regionale și locale, precum și cu alte instituții relevante, cu organizații regionale și internaționale, cu societatea civilă și cu mediatorii pentru copii.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Prezenta strategie ar trebui citită în coroborare cu Strategia de consolidare a aplicării Cartei drepturilor fundamentale în UE și cu Planul de acțiune pentru democrația europeană. Strategia vine în completarea eforturilor specifice de a face drepturile și valorile UE mai tangibile în domenii precum</w:t>
      </w:r>
      <w:r>
        <w:rPr>
          <w:rStyle w:val="FootnoteReference"/>
          <w:rFonts w:ascii="Times New Roman" w:hAnsi="Times New Roman" w:cs="Times New Roman"/>
          <w:noProof/>
          <w:sz w:val="24"/>
          <w:szCs w:val="24"/>
        </w:rPr>
        <w:footnoteReference w:id="121"/>
      </w:r>
      <w:r>
        <w:rPr>
          <w:rFonts w:ascii="Times New Roman" w:hAnsi="Times New Roman"/>
          <w:noProof/>
          <w:sz w:val="24"/>
          <w:szCs w:val="24"/>
        </w:rPr>
        <w:t xml:space="preserve"> protecția copiilor migranți, egalitatea și incluziunea, egalitatea de gen, combaterea rasismului și pluralismul, drepturile aferente cetățeniei UE, drepturile victimelor, combaterea abuzului sexual asupra copiilor, drepturile sociale și educația și formarea favorabile incluziunii</w:t>
      </w:r>
      <w:r>
        <w:rPr>
          <w:rStyle w:val="FootnoteReference"/>
          <w:rFonts w:ascii="Times New Roman" w:hAnsi="Times New Roman" w:cs="Times New Roman"/>
          <w:noProof/>
          <w:sz w:val="24"/>
          <w:szCs w:val="24"/>
        </w:rPr>
        <w:footnoteReference w:id="122"/>
      </w:r>
      <w:r>
        <w:rPr>
          <w:rFonts w:ascii="Times New Roman" w:hAnsi="Times New Roman"/>
          <w:noProof/>
          <w:sz w:val="24"/>
          <w:szCs w:val="24"/>
        </w:rPr>
        <w:t>. Aceasta este, de asemenea, în conformitate cu prioritățile definite în Planul de acțiune al UE privind drepturile omului și democrația</w:t>
      </w:r>
      <w:r>
        <w:rPr>
          <w:rStyle w:val="FootnoteReference"/>
          <w:rFonts w:ascii="Times New Roman" w:hAnsi="Times New Roman" w:cs="Times New Roman"/>
          <w:noProof/>
          <w:sz w:val="24"/>
          <w:szCs w:val="24"/>
        </w:rPr>
        <w:footnoteReference w:id="123"/>
      </w:r>
      <w:r>
        <w:rPr>
          <w:rFonts w:ascii="Times New Roman" w:hAnsi="Times New Roman"/>
          <w:noProof/>
          <w:sz w:val="24"/>
          <w:szCs w:val="24"/>
        </w:rPr>
        <w:t xml:space="preserve">. </w:t>
      </w:r>
    </w:p>
    <w:p>
      <w:pPr>
        <w:pStyle w:val="Heading2"/>
        <w:spacing w:before="0" w:after="120" w:line="240" w:lineRule="auto"/>
        <w:jc w:val="both"/>
        <w:rPr>
          <w:rFonts w:ascii="Times New Roman" w:hAnsi="Times New Roman" w:cs="Times New Roman"/>
          <w:b/>
          <w:noProof/>
          <w:color w:val="auto"/>
          <w:sz w:val="24"/>
          <w:szCs w:val="24"/>
        </w:rPr>
      </w:pPr>
      <w:r>
        <w:rPr>
          <w:rFonts w:ascii="Times New Roman" w:hAnsi="Times New Roman"/>
          <w:b/>
          <w:noProof/>
          <w:color w:val="auto"/>
          <w:sz w:val="24"/>
          <w:szCs w:val="24"/>
        </w:rPr>
        <w:t>7.1 Contribuția fondurilor UE la punerea în aplicare a strategiei</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szCs w:val="24"/>
        </w:rPr>
        <w:t>Finanțarea UE este esențială pentru sprijinirea punerii în aplicare a politicilor UE în statele membre</w:t>
      </w:r>
      <w:r>
        <w:rPr>
          <w:rFonts w:ascii="Times New Roman" w:hAnsi="Times New Roman"/>
          <w:noProof/>
          <w:color w:val="000000" w:themeColor="text1"/>
          <w:sz w:val="24"/>
          <w:szCs w:val="24"/>
        </w:rPr>
        <w:t>. Prin prezenta strategie, Comisia va sprijini statele membre să utilizeze în mod optim fondurile UE în cadrul inițiativelor lor de protejare și de respectare a drepturilor copilului. De asemenea, strategia ar trebui să încurajeze introducerea în buget a drepturilor copilului și să identifice modalități de urmărire a cheltuielilor din bugetul UE în acest domeniu, astfel încât fondurile să fie direcționate către nevoile cele mai presante. Statele membre ar trebui să acorde prioritate finanțării drepturilor copilului în cadrul programelor de finanțare ale UE, în funcție de nevoile identificate la nivel național și regional. În temeiul cadrului financiar multianual 2021-2027,</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Fondul social european Plus (FSE+) și Fondul european de dezvoltare regională (FEDR) sprijină investițiile în dezvoltarea capacităților umane și a infrastructurilor, în echipamente și în accesul la servicii în domeniile educației, ocupării forței de muncă, locuințelor, asistenței sociale, sănătății și îngrijirii copiilor, precum și în trecerea de la serviciile instituționale la cele bazate pe familie și pe comunitate.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Statele membre în care rata copiilor expuși riscului de sărăcie sau de excluziune socială este mai mare decât media UE (în perioada 2017-2019) vor trebui să aloce 5 % din FSE+ pentru combaterea sărăciei în rândul copiilor, iar celelalte state membre vor trebui să aloce o sumă corespunzătoare. În perioada de programare 2021-2027, statele membre ar trebui să îndeplinească mai multe condiții favorizante, care ar putea avea o legătură strânsă cu măsurile privind drepturile copilului. Este vorba de cadre de politică în domeniul reducerii sărăciei, de incluziunea romilor și de respectarea Convenției Națiunilor Unite privind drepturile persoanelor cu handicap și a Cartei. </w:t>
      </w:r>
      <w:r>
        <w:rPr>
          <w:rFonts w:ascii="Times New Roman" w:hAnsi="Times New Roman"/>
          <w:noProof/>
          <w:sz w:val="24"/>
          <w:szCs w:val="24"/>
        </w:rPr>
        <w:t>Noul Fond pentru azil, migrație și integrare (FAMI) va consolida protecția copiilor migranți neînsoțiți prin alocarea și furnizarea de sprijin financiar și stimulente pentru primirea și cazarea lor, precum și pentru acoperirea altor nevoi speciale ale acestora, cu o rată de cofinanțare de până la 75 %, care poate fi majorată la 90 % pentru proiectele puse în aplicare în cadrul acțiunilor specifice.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Pentru a asigura respectarea drepturilor copiilor, se pot utiliza și alte fonduri și programe ale UE, printre care programul „Justiție”, programul „Drepturi și valori”, Erasmus+, Orizont 2020, programul digital, Mecanismul de redresare și reziliență, Fondul european agricol pentru dezvoltare rurală (FEADR), REACT-EU și InvestEU. În plus, Instrumentul de sprijin tehnic este în măsură, la cerere, să ofere sprijin tehnic statelor membre care doresc să elaboreze măsuri de consolidare a capacităților.</w:t>
      </w:r>
    </w:p>
    <w:p>
      <w:pPr>
        <w:pStyle w:val="CommentText"/>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Statele membre sunt invitate să asigure o abordare coordonată la nivel național, macroregional</w:t>
      </w:r>
      <w:r>
        <w:rPr>
          <w:rStyle w:val="FootnoteReference"/>
          <w:rFonts w:ascii="Times New Roman" w:hAnsi="Times New Roman" w:cs="Times New Roman"/>
          <w:noProof/>
          <w:color w:val="000000" w:themeColor="text1"/>
          <w:sz w:val="24"/>
          <w:szCs w:val="24"/>
          <w:lang w:val="en-GB"/>
        </w:rPr>
        <w:footnoteReference w:id="124"/>
      </w:r>
      <w:r>
        <w:rPr>
          <w:rFonts w:ascii="Times New Roman" w:hAnsi="Times New Roman"/>
          <w:noProof/>
          <w:color w:val="000000" w:themeColor="text1"/>
          <w:sz w:val="24"/>
          <w:szCs w:val="24"/>
        </w:rPr>
        <w:t xml:space="preserve">, regional și local în programarea și utilizarea fondurilor UE și să invite autoritățile locale și regionale, organizațiile societății civile, inclusiv organizațiile care lucrează cu și pentru copii, precum și partenerii sociali și economici să participe la pregătirea, revizuirea, punerea în aplicare și monitorizarea programelor pentru fondurile UE pentru perioada 2021-2027.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Strategia abordează, de asemenea, inegalitățile exacerbate de criza provocată de pandemia de COVID-19, care a afectat în mod disproporționat copiii vulnerabili. Ca parte a acestei activități, Comisia va încuraja statele membre să utilizeze pe deplin posibilitățile oferite de NextGenerationEU pentru a atenua impactul disproporționat al crizei și va ajuta statele membre să integreze drepturile copiilor în conceperea și punerea în aplicare a reformelor prin intermediul Instrumentului de sprijin tehnic.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înregistra progrese reale pe teren, prezenta strategie trebuie să fie însoțită de </w:t>
      </w:r>
      <w:r>
        <w:rPr>
          <w:rFonts w:ascii="Times New Roman" w:hAnsi="Times New Roman"/>
          <w:b/>
          <w:noProof/>
          <w:color w:val="000000" w:themeColor="text1"/>
          <w:sz w:val="24"/>
          <w:szCs w:val="24"/>
        </w:rPr>
        <w:t>angajamente și de investiții la nivel național</w:t>
      </w:r>
      <w:r>
        <w:rPr>
          <w:rFonts w:ascii="Times New Roman" w:hAnsi="Times New Roman"/>
          <w:noProof/>
          <w:color w:val="000000" w:themeColor="text1"/>
          <w:sz w:val="24"/>
          <w:szCs w:val="24"/>
        </w:rPr>
        <w:t>. Comisia invită statele membre ale UE să elaboreze, în cazul în care acestea nu sunt încă disponibile, strategii naționale solide și bazate pe date concrete privind drepturile copilului, în cooperare cu toate părțile interesate relevante, inclusiv cu copiii, și în sinergie cu alte strategii și planuri naționale relevante. De asemenea, Comisia invită statele membre să ratifice toate protocoalele opționale ale Convenției cu privire la drepturile copilului și ale Convenției Națiunilor Unite privind drepturile persoanelor cu handicap și să ia în considerare în mod corespunzător observațiile finale ale Comitetului ONU pentru drepturile copilului</w:t>
      </w:r>
      <w:r>
        <w:rPr>
          <w:rStyle w:val="FootnoteReference"/>
          <w:rFonts w:ascii="Times New Roman" w:hAnsi="Times New Roman" w:cs="Times New Roman"/>
          <w:noProof/>
          <w:color w:val="000000" w:themeColor="text1"/>
          <w:sz w:val="24"/>
          <w:szCs w:val="24"/>
        </w:rPr>
        <w:footnoteReference w:id="125"/>
      </w:r>
      <w:r>
        <w:rPr>
          <w:rFonts w:ascii="Times New Roman" w:hAnsi="Times New Roman"/>
          <w:noProof/>
          <w:color w:val="000000" w:themeColor="text1"/>
          <w:sz w:val="24"/>
          <w:szCs w:val="24"/>
        </w:rPr>
        <w:t xml:space="preserve"> și ale Comitetului ONU pentru drepturile persoanelor cu handicap</w:t>
      </w:r>
      <w:r>
        <w:rPr>
          <w:rStyle w:val="FootnoteReference"/>
          <w:rFonts w:ascii="Times New Roman" w:hAnsi="Times New Roman" w:cs="Times New Roman"/>
          <w:noProof/>
          <w:color w:val="000000" w:themeColor="text1"/>
          <w:sz w:val="24"/>
          <w:szCs w:val="24"/>
        </w:rPr>
        <w:footnoteReference w:id="126"/>
      </w:r>
      <w:r>
        <w:rPr>
          <w:rFonts w:ascii="Times New Roman" w:hAnsi="Times New Roman"/>
          <w:noProof/>
          <w:color w:val="000000" w:themeColor="text1"/>
          <w:sz w:val="24"/>
          <w:szCs w:val="24"/>
        </w:rPr>
        <w:t>. De asemenea, Comisia invită statele membre să sprijine toate acțiunile recomandate în prezenta strategie prin resurse financiare adecvate, inclusiv prin finanțare din partea UE.</w:t>
      </w:r>
    </w:p>
    <w:p>
      <w:pPr>
        <w:spacing w:after="120" w:line="240" w:lineRule="auto"/>
        <w:jc w:val="both"/>
        <w:rPr>
          <w:rFonts w:ascii="Times New Roman" w:hAnsi="Times New Roman" w:cs="Times New Roman"/>
          <w:noProof/>
          <w:color w:val="000000" w:themeColor="text1"/>
          <w:sz w:val="24"/>
          <w:szCs w:val="24"/>
        </w:rPr>
      </w:pPr>
    </w:p>
    <w:p>
      <w:pPr>
        <w:pStyle w:val="Heading1"/>
        <w:spacing w:before="0" w:after="120" w:line="240" w:lineRule="auto"/>
        <w:jc w:val="both"/>
        <w:rPr>
          <w:rFonts w:ascii="Times New Roman" w:hAnsi="Times New Roman" w:cs="Times New Roman"/>
          <w:b/>
          <w:noProof/>
          <w:sz w:val="24"/>
          <w:szCs w:val="24"/>
        </w:rPr>
      </w:pPr>
      <w:r>
        <w:rPr>
          <w:rFonts w:ascii="Times New Roman" w:hAnsi="Times New Roman"/>
          <w:b/>
          <w:noProof/>
          <w:sz w:val="24"/>
          <w:szCs w:val="24"/>
        </w:rPr>
        <w:t>Concluzie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Comisia Europeană se angajează ferm să sprijine copiii să își dezvolte potențialul în calitate de cetățeni implicați și responsabili. Pentru a realiza acest obiectiv, participarea la viața democratică trebuie să înceapă încă din copilărie. Toți copiii au dreptul de a-și exprima opinia cu privire la chestiunile care îi privesc și au dreptul ca opinia lor să fie luată în considerare. Pentru a face posibilă participarea lor activă, trebuie, de asemenea, să abordăm problema sărăciei, a inegalităților și a discriminării, pentru a rupe cercul vicios intergenerațional al inegalității sociale.</w:t>
      </w:r>
    </w:p>
    <w:p>
      <w:pPr>
        <w:tabs>
          <w:tab w:val="center" w:pos="4536"/>
        </w:tabs>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Prezenta strategie este incluzivă din momentul conceperii și va fi incluzivă și în punerea sa în aplicare. Comisia va monitoriza punerea în aplicare a strategiei la nivelul UE și la nivel național și va raporta cu privire la progresele înregistrate în cadrul Forumului european anual privind drepturile copilului. Copiii vor participa la monitorizare și evaluare, în special prin intermediul viitoarei platforme de participare a copiilor. Dacă se va dovedi necesar, acțiunile întreprinse în cadrul prezentei strategii vor fi adaptate.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invită Parlamentul European și Consiliul să aprobe prezenta strategie și să contribuie împreună la punerea sa în aplicare. Comisia invită Comitetul Regiunilor și Comitetul Economic și Social European să promoveze dialogul cu autoritățile locale și regionale și cu societatea civilă. </w:t>
      </w:r>
    </w:p>
    <w:p>
      <w:pPr>
        <w:spacing w:after="120" w:line="240" w:lineRule="auto"/>
        <w:jc w:val="both"/>
        <w:rPr>
          <w:rFonts w:ascii="Times New Roman" w:hAnsi="Times New Roman" w:cs="Times New Roman"/>
          <w:noProof/>
          <w:sz w:val="24"/>
          <w:szCs w:val="24"/>
        </w:rPr>
      </w:pPr>
      <w:r>
        <w:rPr>
          <w:rFonts w:ascii="Times New Roman" w:hAnsi="Times New Roman"/>
          <w:b/>
          <w:noProof/>
          <w:color w:val="000000" w:themeColor="text1"/>
          <w:sz w:val="24"/>
          <w:szCs w:val="24"/>
        </w:rPr>
        <w:t>Avem cu toții responsabilitatea de a-i asculta pe copii și de a acționa acum.</w:t>
      </w:r>
      <w:r>
        <w:rPr>
          <w:rFonts w:ascii="Times New Roman" w:hAnsi="Times New Roman"/>
          <w:noProof/>
          <w:color w:val="000000" w:themeColor="text1"/>
          <w:sz w:val="24"/>
          <w:szCs w:val="24"/>
        </w:rPr>
        <w:t xml:space="preserve"> Pentru a-l cita pe unul dintre membrii Consiliului copiilor Eurochild: </w:t>
      </w:r>
      <w:r>
        <w:rPr>
          <w:rFonts w:ascii="Times New Roman" w:hAnsi="Times New Roman"/>
          <w:b/>
          <w:i/>
          <w:noProof/>
          <w:color w:val="000000" w:themeColor="text1"/>
          <w:sz w:val="24"/>
          <w:szCs w:val="24"/>
        </w:rPr>
        <w:t>„Faptele valorează mai mult decât vorbele”.</w:t>
      </w:r>
      <w:r>
        <w:rPr>
          <w:rFonts w:ascii="Times New Roman" w:hAnsi="Times New Roman"/>
          <w:noProof/>
          <w:color w:val="000000" w:themeColor="text1"/>
          <w:sz w:val="24"/>
          <w:szCs w:val="24"/>
        </w:rPr>
        <w:t xml:space="preserve">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28366"/>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Un copil este o persoană cu vârsta sub 18 ani. Date privind populația. </w:t>
      </w:r>
      <w:r>
        <w:rPr>
          <w:rFonts w:ascii="Times New Roman" w:hAnsi="Times New Roman"/>
          <w:sz w:val="18"/>
        </w:rPr>
        <w:t>[</w:t>
      </w:r>
      <w:hyperlink r:id="rId1" w:history="1">
        <w:r>
          <w:rPr>
            <w:rStyle w:val="Hyperlink"/>
            <w:rFonts w:ascii="Times New Roman" w:hAnsi="Times New Roman"/>
            <w:sz w:val="18"/>
          </w:rPr>
          <w:t>yth_demo_010</w:t>
        </w:r>
      </w:hyperlink>
      <w:r>
        <w:rPr>
          <w:rFonts w:ascii="Times New Roman" w:hAnsi="Times New Roman"/>
          <w:sz w:val="18"/>
        </w:rPr>
        <w:t>], [</w:t>
      </w:r>
      <w:hyperlink r:id="rId2" w:history="1">
        <w:r>
          <w:rPr>
            <w:rStyle w:val="Hyperlink"/>
            <w:rFonts w:ascii="Times New Roman" w:hAnsi="Times New Roman"/>
            <w:sz w:val="18"/>
          </w:rPr>
          <w:t>yth_demo_020</w:t>
        </w:r>
      </w:hyperlink>
      <w:r>
        <w:rPr>
          <w:rFonts w:ascii="Times New Roman" w:hAnsi="Times New Roman"/>
          <w:sz w:val="18"/>
        </w:rPr>
        <w:t>], Eurostat, 2020</w:t>
      </w:r>
      <w:r>
        <w:t>.</w:t>
      </w:r>
    </w:p>
  </w:footnote>
  <w:footnote w:id="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Demografie. </w:t>
      </w:r>
      <w:hyperlink r:id="rId3" w:history="1">
        <w:r>
          <w:rPr>
            <w:rStyle w:val="Hyperlink"/>
            <w:rFonts w:ascii="Times New Roman" w:hAnsi="Times New Roman"/>
            <w:sz w:val="18"/>
            <w:szCs w:val="18"/>
          </w:rPr>
          <w:t>Tabele statistice privind situația copiilor la nivel mondial în 2019, UNICEF</w:t>
        </w:r>
      </w:hyperlink>
      <w:r>
        <w:t>.</w:t>
      </w:r>
      <w:r>
        <w:rPr>
          <w:rStyle w:val="Hyperlink"/>
          <w:rFonts w:ascii="Times New Roman" w:hAnsi="Times New Roman"/>
          <w:sz w:val="18"/>
          <w:szCs w:val="18"/>
        </w:rPr>
        <w:t xml:space="preserve"> </w:t>
      </w:r>
    </w:p>
  </w:footnote>
  <w:footnote w:id="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sz w:val="18"/>
          <w:szCs w:val="18"/>
          <w:shd w:val="clear" w:color="auto" w:fill="FFFFFF"/>
        </w:rPr>
        <w:t xml:space="preserve">Articolul 3 alineatul (3) din Tratatul privind Uniunea Europeană (TUE) stabilește pentru UE obiectivul de a promova protecția drepturilor copilului. Articolul 3 alineatul (5) din TUE prevede că, în relațiile sale cu restul lumii, Uniunea contribuie la (...) protecția drepturilor omului și, în special, a drepturilor copilului. </w:t>
      </w:r>
    </w:p>
  </w:footnote>
  <w:footnote w:id="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 w:history="1">
        <w:r>
          <w:rPr>
            <w:rStyle w:val="Hyperlink"/>
            <w:rFonts w:ascii="Times New Roman" w:hAnsi="Times New Roman"/>
            <w:sz w:val="18"/>
            <w:szCs w:val="18"/>
          </w:rPr>
          <w:t>Carta drepturilor fundamentale a UE</w:t>
        </w:r>
      </w:hyperlink>
      <w:r>
        <w:t xml:space="preserve">, </w:t>
      </w:r>
      <w:r>
        <w:rPr>
          <w:rFonts w:ascii="Times New Roman" w:hAnsi="Times New Roman"/>
          <w:sz w:val="18"/>
          <w:szCs w:val="18"/>
        </w:rPr>
        <w:t>2012/C 326/02</w:t>
      </w:r>
      <w:r>
        <w:t>.</w:t>
      </w:r>
    </w:p>
  </w:footnote>
  <w:footnote w:id="6">
    <w:p>
      <w:pPr>
        <w:pStyle w:val="FootnoteText"/>
      </w:pPr>
      <w:r>
        <w:rPr>
          <w:rStyle w:val="FootnoteReference"/>
        </w:rPr>
        <w:footnoteRef/>
      </w:r>
      <w:r>
        <w:t xml:space="preserve"> </w:t>
      </w:r>
      <w:hyperlink r:id="rId5" w:history="1">
        <w:r>
          <w:rPr>
            <w:rStyle w:val="Hyperlink"/>
            <w:rFonts w:ascii="Times New Roman" w:hAnsi="Times New Roman"/>
            <w:i/>
            <w:sz w:val="18"/>
            <w:szCs w:val="18"/>
          </w:rPr>
          <w:t>O Uniune mai ambițioasă.</w:t>
        </w:r>
      </w:hyperlink>
      <w:r>
        <w:rPr>
          <w:rStyle w:val="Hyperlink"/>
          <w:rFonts w:ascii="Times New Roman" w:hAnsi="Times New Roman"/>
          <w:i/>
          <w:sz w:val="18"/>
          <w:szCs w:val="18"/>
        </w:rPr>
        <w:t xml:space="preserve"> </w:t>
      </w:r>
      <w:hyperlink r:id="rId6" w:history="1">
        <w:r>
          <w:rPr>
            <w:rStyle w:val="Hyperlink"/>
            <w:rFonts w:ascii="Times New Roman" w:hAnsi="Times New Roman"/>
            <w:i/>
            <w:sz w:val="18"/>
            <w:szCs w:val="18"/>
          </w:rPr>
          <w:t>Programul meu pentru Europa.</w:t>
        </w:r>
      </w:hyperlink>
      <w:r>
        <w:rPr>
          <w:rStyle w:val="Hyperlink"/>
          <w:rFonts w:ascii="Times New Roman" w:hAnsi="Times New Roman"/>
          <w:i/>
          <w:sz w:val="18"/>
          <w:szCs w:val="18"/>
        </w:rPr>
        <w:t xml:space="preserve"> </w:t>
      </w:r>
      <w:hyperlink r:id="rId7" w:history="1">
        <w:r>
          <w:rPr>
            <w:rStyle w:val="Hyperlink"/>
            <w:rFonts w:ascii="Times New Roman" w:hAnsi="Times New Roman"/>
            <w:sz w:val="18"/>
            <w:szCs w:val="18"/>
          </w:rPr>
          <w:t>Candidata la funcția de președinte al Comisiei Europene, Ursula von der Leyen.</w:t>
        </w:r>
      </w:hyperlink>
      <w:r>
        <w:rPr>
          <w:rStyle w:val="Hyperlink"/>
          <w:rFonts w:ascii="Times New Roman" w:hAnsi="Times New Roman"/>
          <w:sz w:val="18"/>
          <w:szCs w:val="18"/>
        </w:rPr>
        <w:t xml:space="preserve"> </w:t>
      </w:r>
      <w:hyperlink r:id="rId8" w:history="1">
        <w:r>
          <w:rPr>
            <w:rStyle w:val="Hyperlink"/>
            <w:rFonts w:ascii="Times New Roman" w:hAnsi="Times New Roman"/>
            <w:sz w:val="18"/>
            <w:szCs w:val="18"/>
          </w:rPr>
          <w:t>Orientări politice pentru viitoarea Comisie Europeană 2019-2024.</w:t>
        </w:r>
      </w:hyperlink>
    </w:p>
  </w:footnote>
  <w:footnote w:id="7">
    <w:p>
      <w:pPr>
        <w:pStyle w:val="FootnoteText"/>
      </w:pPr>
      <w:r>
        <w:rPr>
          <w:rStyle w:val="FootnoteReference"/>
        </w:rPr>
        <w:footnoteRef/>
      </w:r>
      <w:r>
        <w:t xml:space="preserve"> </w:t>
      </w:r>
      <w:hyperlink r:id="rId9" w:history="1">
        <w:r>
          <w:rPr>
            <w:rStyle w:val="Hyperlink"/>
            <w:rFonts w:ascii="Times New Roman" w:hAnsi="Times New Roman"/>
            <w:sz w:val="18"/>
            <w:szCs w:val="18"/>
          </w:rPr>
          <w:t>Convenția cu privire la drepturile copilului</w:t>
        </w:r>
      </w:hyperlink>
      <w:r>
        <w:rPr>
          <w:rFonts w:ascii="Times New Roman" w:hAnsi="Times New Roman"/>
          <w:sz w:val="18"/>
          <w:szCs w:val="18"/>
        </w:rPr>
        <w:t>, Organizația Națiunilor Unite, 1989</w:t>
      </w:r>
      <w:r>
        <w:t>.</w:t>
      </w:r>
    </w:p>
  </w:footnote>
  <w:footnote w:id="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 w:history="1">
        <w:r>
          <w:rPr>
            <w:rStyle w:val="Hyperlink"/>
            <w:rFonts w:ascii="Times New Roman" w:hAnsi="Times New Roman"/>
            <w:i/>
            <w:sz w:val="18"/>
            <w:szCs w:val="18"/>
          </w:rPr>
          <w:t>How children (10-18) experienced online risks during the COVID-19 lockdown in spring 2020</w:t>
        </w:r>
      </w:hyperlink>
      <w:r>
        <w:t xml:space="preserve"> </w:t>
      </w:r>
      <w:r>
        <w:rPr>
          <w:rFonts w:ascii="Times New Roman" w:hAnsi="Times New Roman"/>
          <w:sz w:val="18"/>
          <w:szCs w:val="18"/>
        </w:rPr>
        <w:t>(Riscuri online la care au fost expuși copiii cu vârsta cuprinsă între 10 și 18 ani în contextul măsurilor de izolare legate de COVID-19 din primăvara anului 2020), JRC, Comisia Europeană, 2020</w:t>
      </w:r>
      <w:r>
        <w:t>.</w:t>
      </w:r>
    </w:p>
  </w:footnote>
  <w:footnote w:id="9">
    <w:p>
      <w:pPr>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1" w:history="1">
        <w:r>
          <w:rPr>
            <w:rStyle w:val="Hyperlink"/>
            <w:rFonts w:ascii="Times New Roman" w:hAnsi="Times New Roman"/>
            <w:i/>
            <w:sz w:val="18"/>
            <w:szCs w:val="18"/>
          </w:rPr>
          <w:t>Exploiting Isolation:</w:t>
        </w:r>
      </w:hyperlink>
      <w:hyperlink r:id="rId12" w:history="1">
        <w:r>
          <w:rPr>
            <w:rStyle w:val="Hyperlink"/>
            <w:rFonts w:ascii="Times New Roman" w:hAnsi="Times New Roman"/>
            <w:i/>
            <w:sz w:val="18"/>
            <w:szCs w:val="18"/>
          </w:rPr>
          <w:t xml:space="preserve"> Offenders and victims of online child sexual abuse during the COVID-19 pandemic</w:t>
        </w:r>
      </w:hyperlink>
      <w:r>
        <w:t xml:space="preserve"> </w:t>
      </w:r>
      <w:r>
        <w:rPr>
          <w:rFonts w:ascii="Times New Roman" w:hAnsi="Times New Roman"/>
          <w:sz w:val="18"/>
          <w:szCs w:val="18"/>
        </w:rPr>
        <w:t>(Exploatarea măsurilor de izolare: infractori și victime ale abuzului sexual online asupra copiilor în timpul pandemiei de COVID-19), Europol, 2020</w:t>
      </w:r>
      <w:r>
        <w:t>.</w:t>
      </w:r>
      <w:r>
        <w:rPr>
          <w:rFonts w:ascii="Times New Roman" w:hAnsi="Times New Roman"/>
          <w:sz w:val="18"/>
          <w:szCs w:val="18"/>
        </w:rPr>
        <w:t xml:space="preserve"> </w:t>
      </w:r>
    </w:p>
  </w:footnote>
  <w:footnote w:id="1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3" w:history="1">
        <w:r>
          <w:rPr>
            <w:rStyle w:val="Hyperlink"/>
            <w:rFonts w:ascii="Times New Roman" w:hAnsi="Times New Roman"/>
            <w:sz w:val="18"/>
            <w:szCs w:val="18"/>
          </w:rPr>
          <w:t>Către o strategie a UE privind drepturile copilului</w:t>
        </w:r>
      </w:hyperlink>
      <w:r>
        <w:rPr>
          <w:rFonts w:ascii="Times New Roman" w:hAnsi="Times New Roman"/>
          <w:sz w:val="18"/>
          <w:szCs w:val="18"/>
        </w:rPr>
        <w:t>, COM(2006)367 și</w:t>
      </w:r>
      <w:r>
        <w:t xml:space="preserve"> </w:t>
      </w:r>
      <w:hyperlink r:id="rId14" w:history="1">
        <w:r>
          <w:rPr>
            <w:rStyle w:val="Hyperlink"/>
            <w:rFonts w:ascii="Times New Roman" w:hAnsi="Times New Roman"/>
            <w:sz w:val="18"/>
            <w:szCs w:val="18"/>
          </w:rPr>
          <w:t>O agendă a UE pentru drepturile copilului</w:t>
        </w:r>
      </w:hyperlink>
      <w:r>
        <w:rPr>
          <w:rFonts w:ascii="Times New Roman" w:hAnsi="Times New Roman"/>
          <w:sz w:val="18"/>
          <w:szCs w:val="18"/>
        </w:rPr>
        <w:t>, COM (2011) 60</w:t>
      </w:r>
      <w:r>
        <w:t>.</w:t>
      </w:r>
      <w:r>
        <w:rPr>
          <w:rFonts w:ascii="Times New Roman" w:hAnsi="Times New Roman"/>
          <w:sz w:val="18"/>
          <w:szCs w:val="18"/>
        </w:rPr>
        <w:t xml:space="preserve"> </w:t>
      </w:r>
    </w:p>
  </w:footnote>
  <w:footnote w:id="11">
    <w:p>
      <w:pPr>
        <w:pStyle w:val="FootnoteText"/>
        <w:jc w:val="both"/>
        <w:rPr>
          <w:rFonts w:ascii="Times New Roman" w:hAnsi="Times New Roman" w:cs="Times New Roman"/>
          <w:color w:val="1F497D"/>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A se vedea anexa 2 – Drepturile copilului – acquis-ul și politicile UE</w:t>
      </w:r>
      <w:r>
        <w:t>.</w:t>
      </w:r>
    </w:p>
  </w:footnote>
  <w:footnote w:id="1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5" w:history="1">
        <w:r>
          <w:rPr>
            <w:rStyle w:val="Hyperlink"/>
            <w:rFonts w:ascii="Times New Roman" w:hAnsi="Times New Roman"/>
            <w:sz w:val="18"/>
            <w:szCs w:val="18"/>
          </w:rPr>
          <w:t>Pilonul european al drepturilor sociale în 20 de principii:</w:t>
        </w:r>
      </w:hyperlink>
    </w:p>
  </w:footnote>
  <w:footnote w:id="1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6" w:history="1">
        <w:r>
          <w:rPr>
            <w:rStyle w:val="Hyperlink"/>
            <w:rFonts w:ascii="Times New Roman" w:hAnsi="Times New Roman"/>
            <w:sz w:val="18"/>
            <w:szCs w:val="18"/>
          </w:rPr>
          <w:t>Convenția privind drepturile persoanelor cu handicap</w:t>
        </w:r>
      </w:hyperlink>
      <w:r>
        <w:rPr>
          <w:rFonts w:ascii="Times New Roman" w:hAnsi="Times New Roman"/>
          <w:sz w:val="18"/>
          <w:szCs w:val="18"/>
        </w:rPr>
        <w:t>, Organizația Națiunilor Unite, 2006</w:t>
      </w:r>
      <w:r>
        <w:t>.</w:t>
      </w:r>
    </w:p>
  </w:footnote>
  <w:footnote w:id="14">
    <w:p>
      <w:pPr>
        <w:pStyle w:val="FootnoteText"/>
        <w:contextualSpacing/>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7" w:history="1">
        <w:r>
          <w:rPr>
            <w:rStyle w:val="Hyperlink"/>
            <w:rFonts w:ascii="Times New Roman" w:hAnsi="Times New Roman"/>
            <w:sz w:val="18"/>
            <w:szCs w:val="18"/>
          </w:rPr>
          <w:t>Obiectivele de dezvoltare durabilă ale ONU:</w:t>
        </w:r>
      </w:hyperlink>
      <w:r>
        <w:rPr>
          <w:rStyle w:val="Hyperlink"/>
          <w:rFonts w:ascii="Times New Roman" w:hAnsi="Times New Roman"/>
          <w:sz w:val="18"/>
          <w:szCs w:val="18"/>
        </w:rPr>
        <w:t xml:space="preserve"> </w:t>
      </w:r>
      <w:hyperlink r:id="rId18" w:history="1">
        <w:r>
          <w:rPr>
            <w:rStyle w:val="Hyperlink"/>
            <w:rFonts w:ascii="Times New Roman" w:hAnsi="Times New Roman"/>
            <w:sz w:val="18"/>
            <w:szCs w:val="18"/>
          </w:rPr>
          <w:t>o agendă pentru 2030</w:t>
        </w:r>
      </w:hyperlink>
      <w:r>
        <w:t>.</w:t>
      </w:r>
      <w:r>
        <w:rPr>
          <w:rFonts w:ascii="Times New Roman" w:hAnsi="Times New Roman"/>
          <w:sz w:val="18"/>
          <w:szCs w:val="18"/>
        </w:rPr>
        <w:t xml:space="preserve"> A se vedea anexa 1: Tabel comparativ care prezintă în detaliu drepturile relevante consacrate în Carta drepturilor fundamentale a UE, în Convenția ONU cu privire la drepturile copilului, precum și în obiectivele de dezvoltare durabilă ale ONU și țintele aferente, protejate și promovate de diferitele componente ale prezentei strategii.</w:t>
      </w:r>
    </w:p>
  </w:footnote>
  <w:footnote w:id="15">
    <w:p>
      <w:pPr>
        <w:pStyle w:val="FootnoteText"/>
        <w:contextualSpacing/>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9" w:history="1">
        <w:r>
          <w:rPr>
            <w:rStyle w:val="Hyperlink"/>
            <w:rFonts w:ascii="Times New Roman" w:hAnsi="Times New Roman"/>
            <w:sz w:val="18"/>
            <w:szCs w:val="18"/>
          </w:rPr>
          <w:t>Strategia Consiliului Europei pentru drepturile copilului</w:t>
        </w:r>
      </w:hyperlink>
      <w:r>
        <w:t xml:space="preserve"> </w:t>
      </w:r>
      <w:r>
        <w:rPr>
          <w:rFonts w:ascii="Times New Roman" w:hAnsi="Times New Roman"/>
          <w:sz w:val="18"/>
          <w:szCs w:val="18"/>
        </w:rPr>
        <w:t>(2016-2021). Consiliul Europei pregătește, la rândul său, viitorul cadru strategic pentru perioada 2022-2027.</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20" w:history="1">
        <w:r>
          <w:rPr>
            <w:rStyle w:val="Hyperlink"/>
            <w:rFonts w:ascii="Times New Roman" w:hAnsi="Times New Roman"/>
            <w:sz w:val="18"/>
            <w:szCs w:val="18"/>
          </w:rPr>
          <w:t>Rezoluția Parlamentului European din 26 noiembrie 2019 referitoare la drepturile copiilor cu ocazia celei de a 30-a aniversări a Convenției ONU cu privire la drepturile copilului</w:t>
        </w:r>
      </w:hyperlink>
      <w:r>
        <w:t xml:space="preserve"> </w:t>
      </w:r>
      <w:r>
        <w:rPr>
          <w:rFonts w:ascii="Times New Roman" w:hAnsi="Times New Roman"/>
          <w:sz w:val="18"/>
          <w:szCs w:val="18"/>
        </w:rPr>
        <w:t xml:space="preserve">[2019/2876(RSP)] – </w:t>
      </w:r>
      <w:hyperlink r:id="rId21" w:history="1">
        <w:r>
          <w:rPr>
            <w:rStyle w:val="Hyperlink"/>
            <w:rFonts w:ascii="Times New Roman" w:hAnsi="Times New Roman"/>
            <w:sz w:val="18"/>
            <w:szCs w:val="18"/>
          </w:rPr>
          <w:t>Rezoluția Parlamentului European din 11 martie 2021 referitoare la drepturile copiilor în perspectiva Strategiei UE privind drepturile copilului</w:t>
        </w:r>
      </w:hyperlink>
      <w:r>
        <w:t xml:space="preserve"> </w:t>
      </w:r>
      <w:r>
        <w:rPr>
          <w:rFonts w:ascii="Times New Roman" w:hAnsi="Times New Roman"/>
          <w:sz w:val="18"/>
          <w:szCs w:val="18"/>
        </w:rPr>
        <w:t>[2021/2523(RSP)]</w:t>
      </w:r>
      <w:r>
        <w:t>.</w:t>
      </w:r>
    </w:p>
  </w:footnote>
  <w:footnote w:id="1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2" w:history="1">
        <w:r>
          <w:rPr>
            <w:rStyle w:val="Hyperlink"/>
            <w:rFonts w:ascii="Times New Roman" w:hAnsi="Times New Roman"/>
            <w:sz w:val="18"/>
            <w:szCs w:val="18"/>
          </w:rPr>
          <w:t>Raport de sinteză privind consultarea publică deschisă referitoare la Strategia UE privind drepturile copilului</w:t>
        </w:r>
      </w:hyperlink>
      <w:r>
        <w:rPr>
          <w:rFonts w:ascii="Times New Roman" w:hAnsi="Times New Roman"/>
          <w:sz w:val="18"/>
          <w:szCs w:val="18"/>
        </w:rPr>
        <w:t>, 2021</w:t>
      </w:r>
      <w:r>
        <w:t>.</w:t>
      </w:r>
    </w:p>
  </w:footnote>
  <w:footnote w:id="1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3" w:history="1">
        <w:r>
          <w:rPr>
            <w:rStyle w:val="Hyperlink"/>
            <w:rFonts w:ascii="Times New Roman" w:hAnsi="Times New Roman"/>
            <w:sz w:val="18"/>
            <w:szCs w:val="18"/>
          </w:rPr>
          <w:t>Al 13-lea Forum european privind drepturile copilului</w:t>
        </w:r>
      </w:hyperlink>
      <w:r>
        <w:rPr>
          <w:rFonts w:ascii="Times New Roman" w:hAnsi="Times New Roman"/>
          <w:sz w:val="18"/>
          <w:szCs w:val="18"/>
        </w:rPr>
        <w:t>, 2020</w:t>
      </w:r>
      <w:r>
        <w:t>.</w:t>
      </w:r>
    </w:p>
  </w:footnote>
  <w:footnote w:id="19">
    <w:p>
      <w:pPr>
        <w:pStyle w:val="CommentText"/>
        <w:spacing w:after="0"/>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UNICEF, Eurochild, Salvați Copiii, Child Fund Alliance, World Vision: </w:t>
      </w:r>
      <w:hyperlink r:id="rId24" w:history="1">
        <w:r>
          <w:rPr>
            <w:rStyle w:val="Hyperlink"/>
            <w:rFonts w:ascii="Times New Roman" w:hAnsi="Times New Roman"/>
            <w:i/>
            <w:sz w:val="18"/>
            <w:szCs w:val="18"/>
          </w:rPr>
          <w:t>Our Europe, Our Rights, Our Future</w:t>
        </w:r>
      </w:hyperlink>
      <w:r>
        <w:t xml:space="preserve"> </w:t>
      </w:r>
      <w:r>
        <w:rPr>
          <w:rFonts w:ascii="Times New Roman" w:hAnsi="Times New Roman" w:cs="Times New Roman"/>
          <w:sz w:val="18"/>
          <w:szCs w:val="18"/>
        </w:rPr>
        <w:t>(Europa noastră, drepturile noastre, viitorul nostru) – SOS</w:t>
      </w:r>
      <w:r>
        <w:rPr>
          <w:rFonts w:ascii="Times New Roman" w:hAnsi="Times New Roman"/>
          <w:sz w:val="18"/>
          <w:szCs w:val="18"/>
        </w:rPr>
        <w:t xml:space="preserve"> Satele Copiilor în consultare cu copiii</w:t>
      </w:r>
      <w:r>
        <w:t xml:space="preserve"> </w:t>
      </w:r>
      <w:hyperlink r:id="rId25" w:history="1">
        <w:r>
          <w:rPr>
            <w:rStyle w:val="Hyperlink"/>
            <w:rFonts w:ascii="Times New Roman" w:hAnsi="Times New Roman"/>
            <w:sz w:val="18"/>
            <w:szCs w:val="18"/>
          </w:rPr>
          <w:t>plasați în instituții</w:t>
        </w:r>
      </w:hyperlink>
      <w:r>
        <w:t xml:space="preserve"> </w:t>
      </w:r>
      <w:r>
        <w:rPr>
          <w:rFonts w:ascii="Times New Roman" w:hAnsi="Times New Roman"/>
          <w:sz w:val="18"/>
          <w:szCs w:val="18"/>
        </w:rPr>
        <w:t>și cu</w:t>
      </w:r>
      <w:r>
        <w:t xml:space="preserve"> </w:t>
      </w:r>
      <w:hyperlink r:id="rId26" w:history="1">
        <w:r>
          <w:rPr>
            <w:rStyle w:val="Hyperlink"/>
            <w:rFonts w:ascii="Times New Roman" w:hAnsi="Times New Roman"/>
            <w:sz w:val="18"/>
            <w:szCs w:val="18"/>
          </w:rPr>
          <w:t>copiii care beneficiază de servicii de consolidare familială</w:t>
        </w:r>
      </w:hyperlink>
      <w:r>
        <w:t xml:space="preserve"> </w:t>
      </w:r>
      <w:r>
        <w:rPr>
          <w:rFonts w:ascii="Times New Roman" w:hAnsi="Times New Roman"/>
          <w:sz w:val="18"/>
          <w:szCs w:val="18"/>
        </w:rPr>
        <w:t>și</w:t>
      </w:r>
      <w:r>
        <w:t xml:space="preserve"> </w:t>
      </w:r>
      <w:hyperlink r:id="rId27" w:history="1">
        <w:r>
          <w:rPr>
            <w:rStyle w:val="Hyperlink"/>
            <w:rFonts w:ascii="Times New Roman" w:hAnsi="Times New Roman"/>
            <w:sz w:val="18"/>
            <w:szCs w:val="18"/>
          </w:rPr>
          <w:t>raportul de sinteză</w:t>
        </w:r>
      </w:hyperlink>
      <w:r>
        <w:rPr>
          <w:rFonts w:ascii="Times New Roman" w:hAnsi="Times New Roman"/>
          <w:sz w:val="18"/>
          <w:szCs w:val="18"/>
        </w:rPr>
        <w:t>, Defence for Children International, Terre des Hommes și partenerii săi.</w:t>
      </w:r>
    </w:p>
  </w:footnote>
  <w:footnote w:id="2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8" w:history="1">
        <w:r>
          <w:rPr>
            <w:rStyle w:val="Hyperlink"/>
            <w:rFonts w:ascii="Times New Roman" w:hAnsi="Times New Roman"/>
            <w:sz w:val="18"/>
            <w:szCs w:val="18"/>
          </w:rPr>
          <w:t>Strategia UE privind drepturile copilului:</w:t>
        </w:r>
      </w:hyperlink>
      <w:r>
        <w:rPr>
          <w:rStyle w:val="Hyperlink"/>
          <w:rFonts w:ascii="Times New Roman" w:hAnsi="Times New Roman"/>
          <w:sz w:val="18"/>
          <w:szCs w:val="18"/>
        </w:rPr>
        <w:t xml:space="preserve"> </w:t>
      </w:r>
      <w:hyperlink r:id="rId29" w:history="1">
        <w:r>
          <w:rPr>
            <w:rStyle w:val="Hyperlink"/>
            <w:rFonts w:ascii="Times New Roman" w:hAnsi="Times New Roman"/>
            <w:sz w:val="18"/>
            <w:szCs w:val="18"/>
          </w:rPr>
          <w:t>versiuni adaptate copiilor</w:t>
        </w:r>
      </w:hyperlink>
    </w:p>
  </w:footnote>
  <w:footnote w:id="21">
    <w:p>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szCs w:val="18"/>
        </w:rPr>
        <w:t xml:space="preserve"> </w:t>
      </w:r>
      <w:hyperlink r:id="rId30" w:history="1">
        <w:r>
          <w:rPr>
            <w:rStyle w:val="Hyperlink"/>
            <w:rFonts w:ascii="Times New Roman" w:hAnsi="Times New Roman"/>
            <w:i/>
            <w:sz w:val="18"/>
            <w:szCs w:val="18"/>
          </w:rPr>
          <w:t>Raportul Zilei de discuții generale din 2018 privind protejarea și capacitarea copiilor ca apărători ai drepturilor omului</w:t>
        </w:r>
      </w:hyperlink>
      <w:r>
        <w:rPr>
          <w:rFonts w:ascii="Times New Roman" w:hAnsi="Times New Roman"/>
          <w:sz w:val="18"/>
          <w:szCs w:val="18"/>
        </w:rPr>
        <w:t xml:space="preserve">, Comitetul ONU pentru drepturile copilului, 2018; </w:t>
      </w:r>
      <w:hyperlink r:id="rId31" w:history="1">
        <w:r>
          <w:rPr>
            <w:rStyle w:val="Hyperlink"/>
            <w:rFonts w:ascii="Times New Roman" w:hAnsi="Times New Roman"/>
            <w:i/>
            <w:sz w:val="18"/>
            <w:szCs w:val="18"/>
          </w:rPr>
          <w:t>Implementation Guide on the Rights of Child Human Rights Defenders</w:t>
        </w:r>
      </w:hyperlink>
      <w:r>
        <w:t xml:space="preserve"> </w:t>
      </w:r>
      <w:r>
        <w:rPr>
          <w:rFonts w:ascii="Times New Roman" w:hAnsi="Times New Roman"/>
          <w:sz w:val="18"/>
          <w:szCs w:val="18"/>
        </w:rPr>
        <w:t>(Ghid de punere în aplicare privind drepturile apărătorilor drepturilor copiilor), Child Rights Connect, 2020</w:t>
      </w:r>
      <w:r>
        <w:t>.</w:t>
      </w:r>
    </w:p>
  </w:footnote>
  <w:footnote w:id="22">
    <w:p>
      <w:pPr>
        <w:pStyle w:val="CommentText"/>
        <w:spacing w:after="0"/>
        <w:contextualSpacing/>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2" w:history="1">
        <w:r>
          <w:rPr>
            <w:rStyle w:val="Hyperlink"/>
            <w:rFonts w:ascii="Times New Roman" w:hAnsi="Times New Roman"/>
            <w:i/>
            <w:sz w:val="18"/>
            <w:szCs w:val="18"/>
          </w:rPr>
          <w:t>Studiu privind participarea copiilor la viața politică și democratică a UE</w:t>
        </w:r>
      </w:hyperlink>
      <w:r>
        <w:rPr>
          <w:rFonts w:ascii="Times New Roman" w:hAnsi="Times New Roman"/>
          <w:sz w:val="18"/>
          <w:szCs w:val="18"/>
        </w:rPr>
        <w:t>, Comisia Europeană, 2021 și</w:t>
      </w:r>
      <w:r>
        <w:t xml:space="preserve"> </w:t>
      </w:r>
      <w:hyperlink r:id="rId33" w:history="1">
        <w:r>
          <w:rPr>
            <w:rStyle w:val="Hyperlink"/>
            <w:rFonts w:ascii="Times New Roman" w:hAnsi="Times New Roman"/>
            <w:sz w:val="18"/>
            <w:szCs w:val="18"/>
          </w:rPr>
          <w:t>versiunea sa accesibilă</w:t>
        </w:r>
      </w:hyperlink>
      <w:r>
        <w:t>.</w:t>
      </w:r>
    </w:p>
  </w:footnote>
  <w:footnote w:id="23">
    <w:p>
      <w:pPr>
        <w:pStyle w:val="FootnoteText"/>
      </w:pPr>
      <w:r>
        <w:rPr>
          <w:rStyle w:val="FootnoteReference"/>
        </w:rPr>
        <w:footnoteRef/>
      </w:r>
      <w:r>
        <w:t xml:space="preserve"> </w:t>
      </w:r>
      <w:hyperlink r:id="rId34" w:history="1">
        <w:r>
          <w:rPr>
            <w:rStyle w:val="Hyperlink"/>
            <w:rFonts w:ascii="Times New Roman" w:hAnsi="Times New Roman"/>
            <w:sz w:val="18"/>
            <w:szCs w:val="18"/>
          </w:rPr>
          <w:t>Dialogurile UE cu tinerii</w:t>
        </w:r>
      </w:hyperlink>
      <w:r>
        <w:t xml:space="preserve"> </w:t>
      </w:r>
      <w:r>
        <w:rPr>
          <w:rFonts w:ascii="Times New Roman" w:hAnsi="Times New Roman"/>
          <w:sz w:val="18"/>
          <w:szCs w:val="18"/>
        </w:rPr>
        <w:t>(16-30 de ani)</w:t>
      </w:r>
      <w:r>
        <w:t>.</w:t>
      </w:r>
    </w:p>
  </w:footnote>
  <w:footnote w:id="24">
    <w:p>
      <w:pPr>
        <w:pStyle w:val="FootnoteText"/>
        <w:contextualSpacing/>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5" w:history="1">
        <w:r>
          <w:rPr>
            <w:rStyle w:val="Hyperlink"/>
            <w:rFonts w:ascii="Times New Roman" w:hAnsi="Times New Roman"/>
            <w:sz w:val="18"/>
            <w:szCs w:val="18"/>
          </w:rPr>
          <w:t>Spațiul învățării</w:t>
        </w:r>
      </w:hyperlink>
      <w:r>
        <w:rPr>
          <w:rFonts w:ascii="Times New Roman" w:hAnsi="Times New Roman"/>
          <w:sz w:val="18"/>
          <w:szCs w:val="18"/>
        </w:rPr>
        <w:t xml:space="preserve"> </w:t>
      </w:r>
    </w:p>
  </w:footnote>
  <w:footnote w:id="25">
    <w:p>
      <w:pPr>
        <w:pStyle w:val="FootnoteText"/>
        <w:jc w:val="both"/>
        <w:rPr>
          <w:rFonts w:ascii="Times New Roman" w:hAnsi="Times New Roman" w:cs="Times New Roman"/>
          <w:sz w:val="18"/>
          <w:szCs w:val="18"/>
        </w:rPr>
      </w:pPr>
      <w:r>
        <w:rPr>
          <w:rFonts w:ascii="Times New Roman" w:hAnsi="Times New Roman"/>
          <w:sz w:val="18"/>
          <w:szCs w:val="18"/>
        </w:rPr>
        <w:t xml:space="preserve"> </w:t>
      </w: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6" w:history="1">
        <w:r>
          <w:rPr>
            <w:rStyle w:val="Hyperlink"/>
            <w:rFonts w:ascii="Times New Roman" w:hAnsi="Times New Roman"/>
            <w:sz w:val="18"/>
            <w:szCs w:val="18"/>
          </w:rPr>
          <w:t xml:space="preserve">Sondajul Europe Kids Want, </w:t>
        </w:r>
        <w:r>
          <w:rPr>
            <w:rStyle w:val="Hyperlink"/>
            <w:rFonts w:ascii="Times New Roman" w:hAnsi="Times New Roman"/>
            <w:i/>
            <w:sz w:val="18"/>
            <w:szCs w:val="18"/>
          </w:rPr>
          <w:t>Sharing the view of children and young people across Europe</w:t>
        </w:r>
      </w:hyperlink>
      <w:r>
        <w:t xml:space="preserve"> </w:t>
      </w:r>
      <w:r>
        <w:rPr>
          <w:rFonts w:ascii="Times New Roman" w:hAnsi="Times New Roman"/>
          <w:sz w:val="18"/>
          <w:szCs w:val="18"/>
        </w:rPr>
        <w:t>(Partajarea opiniilor copiilor și ale tinerilor din întreaga Europă), UNICEF și Eurochild, 2019</w:t>
      </w:r>
      <w:r>
        <w:t>.</w:t>
      </w:r>
    </w:p>
  </w:footnote>
  <w:footnote w:id="2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7" w:history="1">
        <w:r>
          <w:rPr>
            <w:rStyle w:val="Hyperlink"/>
            <w:rFonts w:ascii="Times New Roman" w:hAnsi="Times New Roman"/>
            <w:i/>
            <w:sz w:val="18"/>
            <w:szCs w:val="18"/>
          </w:rPr>
          <w:t>Europa noastră.</w:t>
        </w:r>
      </w:hyperlink>
      <w:hyperlink r:id="rId38" w:history="1">
        <w:r>
          <w:rPr>
            <w:rStyle w:val="Hyperlink"/>
            <w:rFonts w:ascii="Times New Roman" w:hAnsi="Times New Roman"/>
            <w:i/>
            <w:sz w:val="18"/>
            <w:szCs w:val="18"/>
          </w:rPr>
          <w:t xml:space="preserve"> Drepturile noastre.</w:t>
        </w:r>
      </w:hyperlink>
      <w:hyperlink r:id="rId39" w:history="1">
        <w:r>
          <w:rPr>
            <w:rStyle w:val="Hyperlink"/>
            <w:rFonts w:ascii="Times New Roman" w:hAnsi="Times New Roman"/>
            <w:i/>
            <w:sz w:val="18"/>
            <w:szCs w:val="18"/>
          </w:rPr>
          <w:t xml:space="preserve"> Viitorul nostru</w:t>
        </w:r>
      </w:hyperlink>
      <w:r>
        <w:t xml:space="preserve">, </w:t>
      </w:r>
      <w:r>
        <w:rPr>
          <w:rFonts w:ascii="Times New Roman" w:hAnsi="Times New Roman"/>
          <w:i/>
          <w:sz w:val="18"/>
          <w:szCs w:val="18"/>
        </w:rPr>
        <w:t>op. cit.</w:t>
      </w:r>
      <w:r>
        <w:rPr>
          <w:rStyle w:val="Hyperlink"/>
          <w:rFonts w:ascii="Times New Roman" w:hAnsi="Times New Roman"/>
          <w:i/>
          <w:sz w:val="18"/>
          <w:szCs w:val="18"/>
        </w:rPr>
        <w:t xml:space="preserve"> </w:t>
      </w:r>
    </w:p>
  </w:footnote>
  <w:footnote w:id="2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0" w:history="1">
        <w:r>
          <w:rPr>
            <w:rStyle w:val="Hyperlink"/>
            <w:rFonts w:ascii="Times New Roman" w:hAnsi="Times New Roman"/>
            <w:sz w:val="18"/>
            <w:szCs w:val="18"/>
          </w:rPr>
          <w:t>Pactul verde european</w:t>
        </w:r>
      </w:hyperlink>
      <w:r>
        <w:t>.</w:t>
      </w:r>
      <w:r>
        <w:rPr>
          <w:rFonts w:ascii="Times New Roman" w:hAnsi="Times New Roman"/>
          <w:sz w:val="18"/>
          <w:szCs w:val="18"/>
        </w:rPr>
        <w:t xml:space="preserve"> </w:t>
      </w:r>
    </w:p>
  </w:footnote>
  <w:footnote w:id="2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1" w:history="1">
        <w:r>
          <w:rPr>
            <w:rStyle w:val="Hyperlink"/>
            <w:rFonts w:ascii="Times New Roman" w:hAnsi="Times New Roman"/>
            <w:sz w:val="18"/>
            <w:szCs w:val="18"/>
          </w:rPr>
          <w:t>Instrumentul de evaluare a participării copiilor</w:t>
        </w:r>
      </w:hyperlink>
      <w:r>
        <w:rPr>
          <w:rFonts w:ascii="Times New Roman" w:hAnsi="Times New Roman"/>
          <w:sz w:val="18"/>
          <w:szCs w:val="18"/>
        </w:rPr>
        <w:t>, Consiliul Europei</w:t>
      </w:r>
      <w:r>
        <w:t>.</w:t>
      </w:r>
      <w:r>
        <w:rPr>
          <w:rFonts w:ascii="Times New Roman" w:hAnsi="Times New Roman"/>
          <w:sz w:val="18"/>
          <w:szCs w:val="18"/>
        </w:rPr>
        <w:t xml:space="preserve"> </w:t>
      </w:r>
    </w:p>
  </w:footnote>
  <w:footnote w:id="2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2" w:history="1">
        <w:r>
          <w:rPr>
            <w:rStyle w:val="Hyperlink"/>
            <w:rFonts w:ascii="Times New Roman" w:hAnsi="Times New Roman"/>
            <w:sz w:val="18"/>
            <w:szCs w:val="18"/>
          </w:rPr>
          <w:t>Pilonul european al drepturilor sociale în 20 de principii:</w:t>
        </w:r>
      </w:hyperlink>
      <w:r>
        <w:rPr>
          <w:rFonts w:ascii="Times New Roman" w:hAnsi="Times New Roman"/>
          <w:sz w:val="18"/>
          <w:szCs w:val="18"/>
        </w:rPr>
        <w:t xml:space="preserve"> </w:t>
      </w:r>
    </w:p>
  </w:footnote>
  <w:footnote w:id="3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3" w:history="1">
        <w:r>
          <w:rPr>
            <w:rStyle w:val="Hyperlink"/>
            <w:rFonts w:ascii="Times New Roman" w:hAnsi="Times New Roman"/>
            <w:sz w:val="18"/>
            <w:szCs w:val="18"/>
          </w:rPr>
          <w:t>Recomandarea Comisiei intitulată „Investiția în copii:</w:t>
        </w:r>
      </w:hyperlink>
      <w:r>
        <w:rPr>
          <w:rStyle w:val="Hyperlink"/>
          <w:rFonts w:ascii="Times New Roman" w:hAnsi="Times New Roman"/>
          <w:sz w:val="18"/>
          <w:szCs w:val="18"/>
        </w:rPr>
        <w:t xml:space="preserve"> </w:t>
      </w:r>
      <w:hyperlink r:id="rId44" w:history="1">
        <w:r>
          <w:rPr>
            <w:rStyle w:val="Hyperlink"/>
            <w:rFonts w:ascii="Times New Roman" w:hAnsi="Times New Roman"/>
            <w:sz w:val="18"/>
            <w:szCs w:val="18"/>
          </w:rPr>
          <w:t>ruperea cercului vicios al defavorizării</w:t>
        </w:r>
      </w:hyperlink>
      <w:r>
        <w:t xml:space="preserve"> </w:t>
      </w:r>
      <w:r>
        <w:rPr>
          <w:rFonts w:ascii="Times New Roman" w:hAnsi="Times New Roman"/>
          <w:sz w:val="18"/>
          <w:szCs w:val="18"/>
        </w:rPr>
        <w:t>(2013/112/UE)</w:t>
      </w:r>
    </w:p>
  </w:footnote>
  <w:footnote w:id="3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Propunerea Comisiei de raport comun privind ocuparea forței de muncă 2021,</w:t>
      </w:r>
      <w:r>
        <w:t xml:space="preserve"> </w:t>
      </w:r>
      <w:hyperlink r:id="rId45" w:history="1">
        <w:r>
          <w:rPr>
            <w:rStyle w:val="Hyperlink"/>
            <w:rFonts w:ascii="Times New Roman" w:hAnsi="Times New Roman"/>
            <w:sz w:val="18"/>
            <w:szCs w:val="18"/>
          </w:rPr>
          <w:t>Propunerea Comisiei de raport comun privind ocuparea forței de muncă</w:t>
        </w:r>
      </w:hyperlink>
      <w:r>
        <w:rPr>
          <w:rFonts w:ascii="Times New Roman" w:hAnsi="Times New Roman"/>
          <w:sz w:val="18"/>
          <w:szCs w:val="18"/>
        </w:rPr>
        <w:t>, 2021</w:t>
      </w:r>
      <w:r>
        <w:t>.</w:t>
      </w:r>
    </w:p>
  </w:footnote>
  <w:footnote w:id="3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6" w:history="1">
        <w:r>
          <w:rPr>
            <w:rStyle w:val="Hyperlink"/>
            <w:rFonts w:ascii="Times New Roman" w:hAnsi="Times New Roman"/>
            <w:i/>
            <w:sz w:val="18"/>
            <w:szCs w:val="18"/>
          </w:rPr>
          <w:t>Combating child poverty:</w:t>
        </w:r>
      </w:hyperlink>
      <w:hyperlink r:id="rId47" w:history="1">
        <w:r>
          <w:rPr>
            <w:rStyle w:val="Hyperlink"/>
            <w:rFonts w:ascii="Times New Roman" w:hAnsi="Times New Roman"/>
            <w:i/>
            <w:sz w:val="18"/>
            <w:szCs w:val="18"/>
          </w:rPr>
          <w:t xml:space="preserve"> an issue of fundamental rights</w:t>
        </w:r>
      </w:hyperlink>
      <w:r>
        <w:t xml:space="preserve"> </w:t>
      </w:r>
      <w:r>
        <w:rPr>
          <w:rFonts w:ascii="Times New Roman" w:hAnsi="Times New Roman" w:cs="Times New Roman"/>
          <w:sz w:val="18"/>
          <w:szCs w:val="18"/>
        </w:rPr>
        <w:t>(Combaterea sărăciei în rândul copiilor: o chestiune de drepturi fundamentale)</w:t>
      </w:r>
      <w:r>
        <w:t xml:space="preserve"> </w:t>
      </w:r>
      <w:r>
        <w:rPr>
          <w:rStyle w:val="Hyperlink"/>
          <w:rFonts w:ascii="Times New Roman" w:hAnsi="Times New Roman"/>
          <w:sz w:val="18"/>
          <w:szCs w:val="18"/>
          <w:u w:val="none"/>
        </w:rPr>
        <w:t>FRA, 2018</w:t>
      </w:r>
      <w:r>
        <w:t>.</w:t>
      </w:r>
    </w:p>
  </w:footnote>
  <w:footnote w:id="3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8" w:history="1">
        <w:r>
          <w:rPr>
            <w:rStyle w:val="Hyperlink"/>
            <w:rFonts w:ascii="Times New Roman" w:hAnsi="Times New Roman"/>
            <w:sz w:val="18"/>
            <w:szCs w:val="18"/>
          </w:rPr>
          <w:t>Planul de acțiune privind Pilonul european al drepturilor sociale</w:t>
        </w:r>
      </w:hyperlink>
      <w:r>
        <w:t xml:space="preserve">, </w:t>
      </w:r>
      <w:r>
        <w:rPr>
          <w:rFonts w:ascii="Times New Roman" w:hAnsi="Times New Roman"/>
          <w:sz w:val="18"/>
          <w:szCs w:val="18"/>
        </w:rPr>
        <w:t>COM (2021) 102 final</w:t>
      </w:r>
      <w:r>
        <w:t>.</w:t>
      </w:r>
      <w:r>
        <w:rPr>
          <w:rFonts w:ascii="Times New Roman" w:hAnsi="Times New Roman"/>
          <w:sz w:val="18"/>
          <w:szCs w:val="18"/>
        </w:rPr>
        <w:t xml:space="preserve"> </w:t>
      </w:r>
    </w:p>
  </w:footnote>
  <w:footnote w:id="3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Propunere de recomandare a Consiliului de instituire a unei garanții europene pentru copii, COM(2021)137</w:t>
      </w:r>
      <w:r>
        <w:t>.</w:t>
      </w:r>
      <w:r>
        <w:rPr>
          <w:rFonts w:ascii="Times New Roman" w:hAnsi="Times New Roman"/>
          <w:sz w:val="18"/>
          <w:szCs w:val="18"/>
        </w:rPr>
        <w:t xml:space="preserve"> </w:t>
      </w:r>
    </w:p>
  </w:footnote>
  <w:footnote w:id="3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9" w:history="1">
        <w:r>
          <w:rPr>
            <w:rStyle w:val="Hyperlink"/>
            <w:rFonts w:ascii="Times New Roman" w:hAnsi="Times New Roman"/>
            <w:sz w:val="18"/>
            <w:szCs w:val="18"/>
          </w:rPr>
          <w:t>Recomandarea Consiliului intitulată „O punte către locuri de muncă – consolidarea Garanției pentru tineret”</w:t>
        </w:r>
      </w:hyperlink>
      <w:r>
        <w:t xml:space="preserve">, </w:t>
      </w:r>
      <w:r>
        <w:rPr>
          <w:rStyle w:val="Hyperlink"/>
          <w:rFonts w:ascii="Times New Roman" w:hAnsi="Times New Roman"/>
          <w:sz w:val="18"/>
          <w:szCs w:val="18"/>
        </w:rPr>
        <w:t>(2020/C 372/01)</w:t>
      </w:r>
    </w:p>
  </w:footnote>
  <w:footnote w:id="3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Strategia privind drepturile persoanelor cu handicap 2021-2030, COM(2021) 101 final</w:t>
      </w:r>
      <w:r>
        <w:t>.</w:t>
      </w:r>
    </w:p>
  </w:footnote>
  <w:footnote w:id="3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0" w:history="1">
        <w:r>
          <w:rPr>
            <w:rStyle w:val="Hyperlink"/>
            <w:rFonts w:ascii="Times New Roman" w:hAnsi="Times New Roman"/>
            <w:sz w:val="18"/>
            <w:szCs w:val="18"/>
          </w:rPr>
          <w:t>Comunicarea intitulată „Planul european de combatere a cancerului”</w:t>
        </w:r>
      </w:hyperlink>
      <w:r>
        <w:rPr>
          <w:rFonts w:ascii="Times New Roman" w:hAnsi="Times New Roman"/>
          <w:sz w:val="18"/>
          <w:szCs w:val="18"/>
        </w:rPr>
        <w:t>, COM(2021) 44 final</w:t>
      </w:r>
      <w:r>
        <w:t>.</w:t>
      </w:r>
    </w:p>
  </w:footnote>
  <w:footnote w:id="3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1" w:history="1">
        <w:r>
          <w:rPr>
            <w:rStyle w:val="Hyperlink"/>
            <w:rFonts w:ascii="Times New Roman" w:hAnsi="Times New Roman"/>
            <w:sz w:val="18"/>
            <w:szCs w:val="18"/>
          </w:rPr>
          <w:t>Comunicarea intitulată „Strategia farmaceutică pentru Europa”</w:t>
        </w:r>
      </w:hyperlink>
      <w:r>
        <w:t xml:space="preserve"> </w:t>
      </w:r>
      <w:r>
        <w:rPr>
          <w:rFonts w:ascii="Times New Roman" w:hAnsi="Times New Roman"/>
          <w:sz w:val="18"/>
          <w:szCs w:val="18"/>
        </w:rPr>
        <w:t>COM(2020)761 final</w:t>
      </w:r>
      <w:r>
        <w:t>.</w:t>
      </w:r>
    </w:p>
  </w:footnote>
  <w:footnote w:id="3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2" w:tgtFrame="_blank" w:history="1">
        <w:r>
          <w:rPr>
            <w:rStyle w:val="Hyperlink"/>
            <w:rFonts w:ascii="Times New Roman" w:hAnsi="Times New Roman"/>
            <w:sz w:val="18"/>
            <w:szCs w:val="18"/>
          </w:rPr>
          <w:t>Cadrul european de acțiune privind sănătatea mintală și bunăstarea</w:t>
        </w:r>
      </w:hyperlink>
      <w:r>
        <w:rPr>
          <w:color w:val="000000"/>
          <w:shd w:val="clear" w:color="auto" w:fill="FFFFFF"/>
        </w:rPr>
        <w:t xml:space="preserve">, </w:t>
      </w:r>
      <w:r>
        <w:rPr>
          <w:rFonts w:ascii="Times New Roman" w:hAnsi="Times New Roman"/>
          <w:color w:val="000000"/>
          <w:sz w:val="18"/>
          <w:szCs w:val="18"/>
          <w:shd w:val="clear" w:color="auto" w:fill="FFFFFF"/>
        </w:rPr>
        <w:t>Acțiunea comună privind sănătatea mintală și bunăstarea 2013-2016</w:t>
      </w:r>
      <w:r>
        <w:t>.</w:t>
      </w:r>
      <w:r>
        <w:rPr>
          <w:rFonts w:ascii="Times New Roman" w:hAnsi="Times New Roman"/>
          <w:color w:val="000000"/>
          <w:sz w:val="18"/>
          <w:szCs w:val="18"/>
          <w:shd w:val="clear" w:color="auto" w:fill="FFFFFF"/>
        </w:rPr>
        <w:t xml:space="preserve"> </w:t>
      </w:r>
    </w:p>
  </w:footnote>
  <w:footnote w:id="40">
    <w:p>
      <w:pPr>
        <w:spacing w:after="0" w:line="240" w:lineRule="auto"/>
        <w:contextualSpacing/>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3" w:history="1">
        <w:r>
          <w:rPr>
            <w:rStyle w:val="Hyperlink"/>
            <w:rFonts w:ascii="Times New Roman" w:hAnsi="Times New Roman"/>
            <w:sz w:val="18"/>
            <w:szCs w:val="18"/>
          </w:rPr>
          <w:t>Rezoluția Consiliului privind un cadru strategic pentru cooperarea europeană în domeniul educației și formării în perspectiva realizării și dezvoltării în continuare a spațiului european al educației (2021-2030)</w:t>
        </w:r>
      </w:hyperlink>
      <w:r>
        <w:t xml:space="preserve"> </w:t>
      </w:r>
      <w:r>
        <w:rPr>
          <w:rFonts w:ascii="Times New Roman" w:hAnsi="Times New Roman"/>
          <w:sz w:val="18"/>
          <w:szCs w:val="18"/>
        </w:rPr>
        <w:t>(2021/C 66/01)</w:t>
      </w:r>
      <w:r>
        <w:t>.</w:t>
      </w:r>
    </w:p>
  </w:footnote>
  <w:footnote w:id="41">
    <w:p>
      <w:pPr>
        <w:pStyle w:val="FootnoteText"/>
        <w:contextualSpacing/>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4" w:history="1">
        <w:r>
          <w:rPr>
            <w:rStyle w:val="Hyperlink"/>
            <w:rFonts w:ascii="Times New Roman" w:hAnsi="Times New Roman"/>
            <w:i/>
            <w:sz w:val="18"/>
            <w:szCs w:val="18"/>
          </w:rPr>
          <w:t>What is the evidence on the role of the arts in improving health and well-being?</w:t>
        </w:r>
      </w:hyperlink>
      <w:r>
        <w:t xml:space="preserve"> </w:t>
      </w:r>
      <w:r>
        <w:rPr>
          <w:rFonts w:ascii="Times New Roman" w:hAnsi="Times New Roman"/>
          <w:sz w:val="18"/>
          <w:szCs w:val="18"/>
        </w:rPr>
        <w:t>(Care sunt dovezile privind rolul artelor în îmbunătățirea sănătății și a bunăstării?), OMS, 2019</w:t>
      </w:r>
      <w:r>
        <w:t>.</w:t>
      </w:r>
    </w:p>
  </w:footnote>
  <w:footnote w:id="4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5" w:history="1">
        <w:r>
          <w:rPr>
            <w:rStyle w:val="Hyperlink"/>
            <w:rFonts w:ascii="Times New Roman" w:hAnsi="Times New Roman"/>
            <w:i/>
            <w:sz w:val="18"/>
            <w:szCs w:val="18"/>
          </w:rPr>
          <w:t>Roma and Travellers in six countries</w:t>
        </w:r>
      </w:hyperlink>
      <w:r>
        <w:t xml:space="preserve"> </w:t>
      </w:r>
      <w:r>
        <w:rPr>
          <w:rFonts w:ascii="Times New Roman" w:hAnsi="Times New Roman"/>
          <w:sz w:val="18"/>
          <w:szCs w:val="18"/>
        </w:rPr>
        <w:t>(Romii și nomazii din șase țări), FRA, 2020</w:t>
      </w:r>
      <w:r>
        <w:t>.</w:t>
      </w:r>
      <w:r>
        <w:rPr>
          <w:rFonts w:ascii="Times New Roman" w:hAnsi="Times New Roman"/>
          <w:sz w:val="18"/>
          <w:szCs w:val="18"/>
        </w:rPr>
        <w:t xml:space="preserve"> </w:t>
      </w:r>
    </w:p>
  </w:footnote>
  <w:footnote w:id="4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6" w:history="1">
        <w:r>
          <w:rPr>
            <w:rStyle w:val="Hyperlink"/>
            <w:rFonts w:ascii="Times New Roman" w:hAnsi="Times New Roman"/>
            <w:sz w:val="18"/>
            <w:szCs w:val="18"/>
          </w:rPr>
          <w:t>Programul de încurajare a consumului de fructe, legume și lapte în școli</w:t>
        </w:r>
      </w:hyperlink>
      <w:r>
        <w:rPr>
          <w:rFonts w:ascii="Times New Roman" w:hAnsi="Times New Roman"/>
          <w:sz w:val="18"/>
          <w:szCs w:val="18"/>
        </w:rPr>
        <w:t>, Comisia Europeană</w:t>
      </w:r>
      <w:r>
        <w:t>.</w:t>
      </w:r>
      <w:r>
        <w:rPr>
          <w:rFonts w:ascii="Times New Roman" w:hAnsi="Times New Roman"/>
          <w:sz w:val="18"/>
          <w:szCs w:val="18"/>
        </w:rPr>
        <w:t xml:space="preserve"> </w:t>
      </w:r>
    </w:p>
  </w:footnote>
  <w:footnote w:id="4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7" w:history="1">
        <w:r>
          <w:rPr>
            <w:rStyle w:val="Hyperlink"/>
            <w:rFonts w:ascii="Times New Roman" w:hAnsi="Times New Roman"/>
            <w:sz w:val="18"/>
            <w:szCs w:val="18"/>
          </w:rPr>
          <w:t>Planul de acțiune al UE privind obezitatea infantilă pentru perioada 2014-2020</w:t>
        </w:r>
      </w:hyperlink>
      <w:r>
        <w:rPr>
          <w:rFonts w:ascii="Times New Roman" w:hAnsi="Times New Roman"/>
          <w:sz w:val="18"/>
          <w:szCs w:val="18"/>
        </w:rPr>
        <w:t>, Comisia Europeană</w:t>
      </w:r>
      <w:r>
        <w:t>.</w:t>
      </w:r>
      <w:r>
        <w:rPr>
          <w:rFonts w:ascii="Times New Roman" w:hAnsi="Times New Roman"/>
          <w:sz w:val="18"/>
          <w:szCs w:val="18"/>
        </w:rPr>
        <w:t xml:space="preserve"> </w:t>
      </w:r>
    </w:p>
  </w:footnote>
  <w:footnote w:id="4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8" w:history="1">
        <w:r>
          <w:rPr>
            <w:rStyle w:val="Hyperlink"/>
            <w:rFonts w:ascii="Times New Roman" w:hAnsi="Times New Roman"/>
            <w:sz w:val="18"/>
            <w:szCs w:val="18"/>
          </w:rPr>
          <w:t>Strategia „De la fermă la consumator”</w:t>
        </w:r>
      </w:hyperlink>
      <w:r>
        <w:rPr>
          <w:rFonts w:ascii="Times New Roman" w:hAnsi="Times New Roman"/>
          <w:sz w:val="18"/>
          <w:szCs w:val="18"/>
        </w:rPr>
        <w:t xml:space="preserve">, </w:t>
      </w:r>
      <w:hyperlink r:id="rId59" w:history="1">
        <w:r>
          <w:rPr>
            <w:rFonts w:ascii="Times New Roman" w:hAnsi="Times New Roman"/>
            <w:sz w:val="18"/>
            <w:szCs w:val="18"/>
          </w:rPr>
          <w:t>COM(2020) 381 final</w:t>
        </w:r>
      </w:hyperlink>
      <w:r>
        <w:t>.</w:t>
      </w:r>
      <w:r>
        <w:rPr>
          <w:rFonts w:ascii="Times New Roman" w:hAnsi="Times New Roman"/>
          <w:sz w:val="18"/>
          <w:szCs w:val="18"/>
        </w:rPr>
        <w:t xml:space="preserve"> </w:t>
      </w:r>
    </w:p>
  </w:footnote>
  <w:footnote w:id="4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0" w:history="1">
        <w:r>
          <w:rPr>
            <w:rStyle w:val="Hyperlink"/>
            <w:rFonts w:ascii="Times New Roman" w:hAnsi="Times New Roman"/>
            <w:sz w:val="18"/>
            <w:szCs w:val="18"/>
          </w:rPr>
          <w:t>Recomandarea Consiliului privind consolidarea cooperării în combaterea bolilor care pot fi prevenite prin vaccinare</w:t>
        </w:r>
      </w:hyperlink>
      <w:r>
        <w:t xml:space="preserve"> </w:t>
      </w:r>
      <w:r>
        <w:rPr>
          <w:rFonts w:ascii="Times New Roman" w:hAnsi="Times New Roman"/>
          <w:sz w:val="18"/>
          <w:szCs w:val="18"/>
        </w:rPr>
        <w:t>2018/C 466/01</w:t>
      </w:r>
      <w:r>
        <w:t>.</w:t>
      </w:r>
    </w:p>
  </w:footnote>
  <w:footnote w:id="4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1" w:history="1">
        <w:r>
          <w:rPr>
            <w:rStyle w:val="Hyperlink"/>
            <w:rFonts w:ascii="Times New Roman" w:hAnsi="Times New Roman"/>
            <w:i/>
            <w:sz w:val="18"/>
            <w:szCs w:val="18"/>
          </w:rPr>
          <w:t>Best Practice Portal, Public Health</w:t>
        </w:r>
        <w:r>
          <w:rPr>
            <w:rStyle w:val="Hyperlink"/>
            <w:rFonts w:ascii="Times New Roman" w:hAnsi="Times New Roman"/>
            <w:sz w:val="18"/>
            <w:szCs w:val="18"/>
          </w:rPr>
          <w:t xml:space="preserve"> (Portalul de bune practici, sănătatea publică)</w:t>
        </w:r>
      </w:hyperlink>
      <w:r>
        <w:t xml:space="preserve">, </w:t>
      </w:r>
      <w:r>
        <w:rPr>
          <w:rFonts w:ascii="Times New Roman" w:hAnsi="Times New Roman"/>
          <w:sz w:val="18"/>
          <w:szCs w:val="18"/>
        </w:rPr>
        <w:t>Comisia Europeană</w:t>
      </w:r>
      <w:r>
        <w:t>.</w:t>
      </w:r>
    </w:p>
  </w:footnote>
  <w:footnote w:id="4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2" w:history="1">
        <w:r>
          <w:rPr>
            <w:rStyle w:val="Hyperlink"/>
            <w:rFonts w:ascii="Times New Roman" w:hAnsi="Times New Roman"/>
            <w:sz w:val="18"/>
            <w:szCs w:val="18"/>
          </w:rPr>
          <w:t>Cooperarea politică europeană (cadrul ET2020)</w:t>
        </w:r>
      </w:hyperlink>
      <w:r>
        <w:rPr>
          <w:rFonts w:ascii="Times New Roman" w:hAnsi="Times New Roman"/>
          <w:sz w:val="18"/>
          <w:szCs w:val="18"/>
        </w:rPr>
        <w:t>, Educație și formare, Comisia Europeană</w:t>
      </w:r>
      <w:r>
        <w:t>.</w:t>
      </w:r>
    </w:p>
  </w:footnote>
  <w:footnote w:id="49">
    <w:p>
      <w:pPr>
        <w:pStyle w:val="FootnoteText"/>
        <w:jc w:val="both"/>
        <w:rPr>
          <w:rFonts w:ascii="Times New Roman" w:hAnsi="Times New Roman" w:cs="Times New Roman"/>
          <w:i/>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3" w:history="1">
        <w:r>
          <w:rPr>
            <w:rStyle w:val="Hyperlink"/>
            <w:rFonts w:ascii="Times New Roman" w:hAnsi="Times New Roman"/>
            <w:i/>
            <w:sz w:val="18"/>
            <w:szCs w:val="18"/>
          </w:rPr>
          <w:t>Obiectivele de la Barcelona privind dezvoltarea structurilor de îngrijire pentru copiii de vârstă mică în vederea sporirii participării femeilor la piața forței de muncă, a obținerii echilibrului între viața profesională și cea privată pentru părinții care lucrează și a realizării unei creșteri durabile și favorabile incluziunii în Europa („obiectivele de la Barcelona”)</w:t>
        </w:r>
      </w:hyperlink>
      <w:r>
        <w:rPr>
          <w:rFonts w:ascii="Times New Roman" w:hAnsi="Times New Roman"/>
          <w:sz w:val="18"/>
          <w:szCs w:val="18"/>
        </w:rPr>
        <w:t>, Comisia Europeană, 2018</w:t>
      </w:r>
      <w:r>
        <w:t>.</w:t>
      </w:r>
    </w:p>
  </w:footnote>
  <w:footnote w:id="5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4" w:history="1">
        <w:r>
          <w:rPr>
            <w:rStyle w:val="Hyperlink"/>
            <w:rFonts w:ascii="Times New Roman" w:hAnsi="Times New Roman"/>
            <w:i/>
            <w:iCs/>
            <w:sz w:val="18"/>
            <w:szCs w:val="18"/>
          </w:rPr>
          <w:t>Date esențiale privind educația și îngrijirea timpurie în Europa</w:t>
        </w:r>
        <w:r>
          <w:rPr>
            <w:rStyle w:val="Hyperlink"/>
            <w:rFonts w:ascii="Times New Roman" w:hAnsi="Times New Roman"/>
            <w:iCs/>
            <w:sz w:val="18"/>
            <w:szCs w:val="18"/>
          </w:rPr>
          <w:t xml:space="preserve"> - ediția 2019</w:t>
        </w:r>
      </w:hyperlink>
      <w:r>
        <w:rPr>
          <w:rFonts w:ascii="Times New Roman" w:hAnsi="Times New Roman"/>
          <w:sz w:val="18"/>
          <w:szCs w:val="18"/>
        </w:rPr>
        <w:t>, Eurydice, 2019</w:t>
      </w:r>
      <w:r>
        <w:t>.</w:t>
      </w:r>
    </w:p>
  </w:footnote>
  <w:footnote w:id="5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5" w:history="1">
        <w:r>
          <w:rPr>
            <w:rStyle w:val="Hyperlink"/>
            <w:rFonts w:ascii="Times New Roman" w:hAnsi="Times New Roman"/>
            <w:sz w:val="18"/>
            <w:szCs w:val="18"/>
          </w:rPr>
          <w:t>Comunicarea referitoare la Strategia privind egalitatea de gen 2020-2025</w:t>
        </w:r>
      </w:hyperlink>
      <w:r>
        <w:rPr>
          <w:rFonts w:ascii="Times New Roman" w:hAnsi="Times New Roman"/>
          <w:sz w:val="18"/>
          <w:szCs w:val="18"/>
        </w:rPr>
        <w:t xml:space="preserve"> (COM/2020/152 final)</w:t>
      </w:r>
      <w:r>
        <w:t>.</w:t>
      </w:r>
    </w:p>
  </w:footnote>
  <w:footnote w:id="5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6" w:history="1">
        <w:r>
          <w:rPr>
            <w:rStyle w:val="Hyperlink"/>
            <w:rFonts w:ascii="Times New Roman" w:hAnsi="Times New Roman"/>
            <w:sz w:val="18"/>
            <w:szCs w:val="18"/>
          </w:rPr>
          <w:t>Document analitic care însoțește cadrul strategic al UE privind romii, SWD (2020) 530 final, anexa 2 – Situația de referință pentru indicatorii principali ai UE</w:t>
        </w:r>
      </w:hyperlink>
      <w:r>
        <w:rPr>
          <w:rFonts w:ascii="Times New Roman" w:hAnsi="Times New Roman"/>
          <w:sz w:val="18"/>
          <w:szCs w:val="18"/>
        </w:rPr>
        <w:t>, Comisia Europeană</w:t>
      </w:r>
      <w:r>
        <w:t>.</w:t>
      </w:r>
    </w:p>
  </w:footnote>
  <w:footnote w:id="53">
    <w:p>
      <w:pPr>
        <w:pStyle w:val="FootnoteText"/>
      </w:pPr>
      <w:r>
        <w:rPr>
          <w:rStyle w:val="FootnoteReference"/>
          <w:rFonts w:ascii="Times New Roman" w:hAnsi="Times New Roman" w:cs="Times New Roman"/>
          <w:sz w:val="18"/>
          <w:szCs w:val="18"/>
        </w:rPr>
        <w:footnoteRef/>
      </w:r>
      <w:r>
        <w:rPr>
          <w:rFonts w:ascii="Times New Roman" w:hAnsi="Times New Roman"/>
          <w:sz w:val="18"/>
          <w:szCs w:val="18"/>
        </w:rPr>
        <w:t xml:space="preserve"> Rezultatele PISA 2018 </w:t>
      </w:r>
      <w:hyperlink r:id="rId67" w:history="1">
        <w:r>
          <w:rPr>
            <w:rStyle w:val="Hyperlink"/>
            <w:rFonts w:ascii="Times New Roman" w:hAnsi="Times New Roman"/>
            <w:i/>
            <w:sz w:val="18"/>
            <w:szCs w:val="18"/>
          </w:rPr>
          <w:t>What School Life Means for Students’ Lives</w:t>
        </w:r>
      </w:hyperlink>
      <w:r>
        <w:t xml:space="preserve"> </w:t>
      </w:r>
      <w:r>
        <w:rPr>
          <w:rFonts w:ascii="Times New Roman" w:hAnsi="Times New Roman"/>
          <w:sz w:val="18"/>
          <w:szCs w:val="18"/>
        </w:rPr>
        <w:t>(Importanța vieții școlare în viața elevilor), OCDE. Media între țările OCDE.</w:t>
      </w:r>
    </w:p>
  </w:footnote>
  <w:footnote w:id="5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8" w:history="1">
        <w:r>
          <w:rPr>
            <w:rStyle w:val="Hyperlink"/>
            <w:rFonts w:ascii="Times New Roman" w:hAnsi="Times New Roman"/>
            <w:sz w:val="18"/>
            <w:szCs w:val="18"/>
          </w:rPr>
          <w:t>Set de instrumente pentru includerea în educația și îngrijirea timpurie</w:t>
        </w:r>
      </w:hyperlink>
      <w:r>
        <w:rPr>
          <w:rFonts w:ascii="Times New Roman" w:hAnsi="Times New Roman"/>
          <w:color w:val="000000"/>
          <w:sz w:val="18"/>
          <w:szCs w:val="18"/>
          <w:shd w:val="clear" w:color="auto" w:fill="FFFFFF"/>
        </w:rPr>
        <w:t>, Comisia Europeană, 2020</w:t>
      </w:r>
      <w:r>
        <w:t>.</w:t>
      </w:r>
    </w:p>
  </w:footnote>
  <w:footnote w:id="5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9" w:history="1">
        <w:r>
          <w:rPr>
            <w:rStyle w:val="Hyperlink"/>
            <w:rFonts w:ascii="Times New Roman" w:hAnsi="Times New Roman"/>
            <w:sz w:val="18"/>
            <w:szCs w:val="18"/>
          </w:rPr>
          <w:t>„Plan de acțiune privind integrarea și incluziunea pentru perioada 2021-2027”</w:t>
        </w:r>
      </w:hyperlink>
      <w:r>
        <w:t xml:space="preserve"> </w:t>
      </w:r>
      <w:r>
        <w:rPr>
          <w:rFonts w:ascii="Times New Roman" w:hAnsi="Times New Roman"/>
          <w:sz w:val="18"/>
          <w:szCs w:val="18"/>
        </w:rPr>
        <w:t>COM(2020)758 final</w:t>
      </w:r>
      <w:r>
        <w:t>.</w:t>
      </w:r>
    </w:p>
  </w:footnote>
  <w:footnote w:id="56">
    <w:p>
      <w:pPr>
        <w:pStyle w:val="FootnoteText"/>
        <w:jc w:val="both"/>
        <w:rPr>
          <w:rFonts w:ascii="Times New Roman" w:hAnsi="Times New Roman" w:cs="Times New Roman"/>
          <w:sz w:val="18"/>
          <w:szCs w:val="18"/>
        </w:rPr>
      </w:pPr>
      <w:r>
        <w:rPr>
          <w:rStyle w:val="FootnoteReference"/>
          <w:rFonts w:ascii="Times New Roman" w:hAnsi="Times New Roman" w:cs="Times New Roman"/>
          <w:i/>
          <w:sz w:val="18"/>
          <w:szCs w:val="18"/>
        </w:rPr>
        <w:footnoteRef/>
      </w:r>
      <w:r>
        <w:rPr>
          <w:rFonts w:ascii="Times New Roman" w:hAnsi="Times New Roman"/>
          <w:i/>
          <w:sz w:val="18"/>
          <w:szCs w:val="18"/>
        </w:rPr>
        <w:t xml:space="preserve"> </w:t>
      </w:r>
      <w:hyperlink r:id="rId70" w:history="1">
        <w:r>
          <w:rPr>
            <w:rStyle w:val="Hyperlink"/>
            <w:rFonts w:ascii="Times New Roman" w:hAnsi="Times New Roman"/>
            <w:i/>
            <w:sz w:val="18"/>
            <w:szCs w:val="18"/>
          </w:rPr>
          <w:t>Global status report on prevention violence against children</w:t>
        </w:r>
      </w:hyperlink>
      <w:r>
        <w:t xml:space="preserve"> </w:t>
      </w:r>
      <w:r>
        <w:rPr>
          <w:rFonts w:ascii="Times New Roman" w:hAnsi="Times New Roman"/>
          <w:sz w:val="18"/>
          <w:szCs w:val="18"/>
        </w:rPr>
        <w:t>(Raport privind situația globală privind prevenirea actelor de violență împotriva copiilor), UNICEF/OMS, 2020.</w:t>
      </w:r>
    </w:p>
  </w:footnote>
  <w:footnote w:id="5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1" w:history="1">
        <w:r>
          <w:rPr>
            <w:rStyle w:val="Hyperlink"/>
            <w:rFonts w:ascii="Times New Roman" w:hAnsi="Times New Roman"/>
            <w:sz w:val="18"/>
            <w:szCs w:val="18"/>
          </w:rPr>
          <w:t>Campania „One in Five”</w:t>
        </w:r>
      </w:hyperlink>
      <w:r>
        <w:rPr>
          <w:rFonts w:ascii="Times New Roman" w:hAnsi="Times New Roman"/>
          <w:sz w:val="18"/>
          <w:szCs w:val="18"/>
        </w:rPr>
        <w:t>, Consiliul Europei</w:t>
      </w:r>
      <w:r>
        <w:t>.</w:t>
      </w:r>
      <w:r>
        <w:rPr>
          <w:rStyle w:val="Hyperlink"/>
          <w:rFonts w:ascii="Times New Roman" w:hAnsi="Times New Roman"/>
          <w:sz w:val="18"/>
          <w:szCs w:val="18"/>
        </w:rPr>
        <w:t xml:space="preserve"> </w:t>
      </w:r>
    </w:p>
  </w:footnote>
  <w:footnote w:id="58">
    <w:p>
      <w:pPr>
        <w:pStyle w:val="FootnoteText"/>
        <w:jc w:val="both"/>
        <w:rPr>
          <w:rFonts w:ascii="Times New Roman" w:hAnsi="Times New Roman" w:cs="Times New Roman"/>
          <w:i/>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2" w:history="1">
        <w:r>
          <w:rPr>
            <w:rStyle w:val="Hyperlink"/>
            <w:rFonts w:ascii="Times New Roman" w:hAnsi="Times New Roman"/>
            <w:sz w:val="18"/>
            <w:szCs w:val="18"/>
          </w:rPr>
          <w:t>Al treilea raport privind progresele înregistrate cu privire la combaterea traficului de persoane (2020) elaborat în temeiul articolului 20 din Directiva 2011/36/UE privind prevenirea și combaterea traficului de persoane și protejarea victimelor acestuia</w:t>
        </w:r>
      </w:hyperlink>
      <w:r>
        <w:rPr>
          <w:rFonts w:ascii="Times New Roman" w:hAnsi="Times New Roman"/>
          <w:sz w:val="18"/>
          <w:szCs w:val="18"/>
        </w:rPr>
        <w:t>, COM (2020) 661 final, SWD (2020) 226 final.</w:t>
      </w:r>
      <w:r>
        <w:rPr>
          <w:rFonts w:ascii="Times New Roman" w:hAnsi="Times New Roman"/>
          <w:i/>
          <w:sz w:val="18"/>
          <w:szCs w:val="18"/>
        </w:rPr>
        <w:t xml:space="preserve"> </w:t>
      </w:r>
    </w:p>
  </w:footnote>
  <w:footnote w:id="5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3" w:history="1">
        <w:r>
          <w:rPr>
            <w:rStyle w:val="Hyperlink"/>
            <w:rFonts w:ascii="Times New Roman" w:hAnsi="Times New Roman"/>
            <w:i/>
            <w:sz w:val="18"/>
            <w:szCs w:val="18"/>
          </w:rPr>
          <w:t>Female Genital mutilation/cutting:</w:t>
        </w:r>
      </w:hyperlink>
      <w:hyperlink r:id="rId74" w:history="1">
        <w:r>
          <w:rPr>
            <w:rStyle w:val="Hyperlink"/>
            <w:rFonts w:ascii="Times New Roman" w:hAnsi="Times New Roman"/>
            <w:i/>
            <w:sz w:val="18"/>
            <w:szCs w:val="18"/>
          </w:rPr>
          <w:t xml:space="preserve"> a global concern</w:t>
        </w:r>
      </w:hyperlink>
      <w:r>
        <w:rPr>
          <w:rFonts w:ascii="Times New Roman" w:hAnsi="Times New Roman"/>
          <w:sz w:val="18"/>
          <w:szCs w:val="18"/>
        </w:rPr>
        <w:t>(Mutilarea genitală feminină/excizia: o preocupare globală), UNICEF, 2016</w:t>
      </w:r>
      <w:r>
        <w:t>.</w:t>
      </w:r>
      <w:r>
        <w:rPr>
          <w:rFonts w:ascii="Times New Roman" w:hAnsi="Times New Roman"/>
          <w:sz w:val="18"/>
          <w:szCs w:val="18"/>
        </w:rPr>
        <w:t xml:space="preserve"> </w:t>
      </w:r>
    </w:p>
  </w:footnote>
  <w:footnote w:id="6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5" w:history="1">
        <w:r>
          <w:rPr>
            <w:rStyle w:val="Hyperlink"/>
            <w:rFonts w:ascii="Times New Roman" w:hAnsi="Times New Roman"/>
            <w:sz w:val="18"/>
            <w:szCs w:val="18"/>
          </w:rPr>
          <w:t>FGM in Europe</w:t>
        </w:r>
      </w:hyperlink>
      <w:r>
        <w:rPr>
          <w:rFonts w:ascii="Times New Roman" w:hAnsi="Times New Roman"/>
          <w:sz w:val="18"/>
          <w:szCs w:val="18"/>
        </w:rPr>
        <w:t>. Eliminarea mutilării genitale feminine.</w:t>
      </w:r>
    </w:p>
  </w:footnote>
  <w:footnote w:id="61">
    <w:p>
      <w:pPr>
        <w:pStyle w:val="FootnoteText"/>
        <w:jc w:val="both"/>
      </w:pPr>
      <w:r>
        <w:rPr>
          <w:rStyle w:val="FootnoteReference"/>
          <w:rFonts w:ascii="Times New Roman" w:hAnsi="Times New Roman" w:cs="Times New Roman"/>
          <w:sz w:val="18"/>
          <w:szCs w:val="18"/>
        </w:rPr>
        <w:footnoteRef/>
      </w:r>
      <w:r>
        <w:rPr>
          <w:rFonts w:ascii="Times New Roman" w:hAnsi="Times New Roman"/>
          <w:sz w:val="18"/>
          <w:szCs w:val="18"/>
        </w:rPr>
        <w:t>„Persoanele intersexuale” sunt persoane care se nasc cu caracteristici sexuale ce nu corespund definiției tipice a bărbatului sau a femeii</w:t>
      </w:r>
      <w:r>
        <w:t xml:space="preserve">, </w:t>
      </w:r>
      <w:hyperlink r:id="rId76" w:history="1">
        <w:r>
          <w:rPr>
            <w:rStyle w:val="Hyperlink"/>
            <w:rFonts w:ascii="Times New Roman" w:hAnsi="Times New Roman"/>
            <w:sz w:val="18"/>
            <w:szCs w:val="18"/>
          </w:rPr>
          <w:t>Strategia privind egalitatea pentru persoanele LGBTIQ</w:t>
        </w:r>
      </w:hyperlink>
      <w:r>
        <w:t>.</w:t>
      </w:r>
    </w:p>
  </w:footnote>
  <w:footnote w:id="6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7" w:history="1">
        <w:r>
          <w:rPr>
            <w:rStyle w:val="Hyperlink"/>
            <w:rFonts w:ascii="Times New Roman" w:hAnsi="Times New Roman"/>
            <w:i/>
            <w:sz w:val="18"/>
            <w:szCs w:val="18"/>
          </w:rPr>
          <w:t>A long way to go for LGBTI equality</w:t>
        </w:r>
      </w:hyperlink>
      <w:r>
        <w:rPr>
          <w:rFonts w:ascii="Times New Roman" w:hAnsi="Times New Roman"/>
          <w:sz w:val="18"/>
          <w:szCs w:val="18"/>
        </w:rPr>
        <w:t xml:space="preserve"> (O cale lungă de parcurs către egalitate pentru persoanele LGBTI), FRA, 2020</w:t>
      </w:r>
      <w:r>
        <w:t>.</w:t>
      </w:r>
    </w:p>
  </w:footnote>
  <w:footnote w:id="6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8" w:history="1">
        <w:r>
          <w:rPr>
            <w:rStyle w:val="Hyperlink"/>
            <w:rFonts w:ascii="Times New Roman" w:hAnsi="Times New Roman"/>
            <w:sz w:val="18"/>
            <w:szCs w:val="18"/>
          </w:rPr>
          <w:t>Comunicarea intitulată „Protecția copiilor migranți”</w:t>
        </w:r>
      </w:hyperlink>
      <w:r>
        <w:t xml:space="preserve">. </w:t>
      </w:r>
      <w:r>
        <w:rPr>
          <w:rFonts w:ascii="Times New Roman" w:hAnsi="Times New Roman"/>
          <w:sz w:val="18"/>
          <w:szCs w:val="18"/>
        </w:rPr>
        <w:t>COM(2017) 211 final</w:t>
      </w:r>
      <w:r>
        <w:t>.</w:t>
      </w:r>
    </w:p>
  </w:footnote>
  <w:footnote w:id="6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9" w:history="1">
        <w:r>
          <w:rPr>
            <w:rStyle w:val="Hyperlink"/>
            <w:rFonts w:ascii="Times New Roman" w:hAnsi="Times New Roman"/>
            <w:i/>
            <w:sz w:val="18"/>
            <w:szCs w:val="18"/>
          </w:rPr>
          <w:t>Protect t</w:t>
        </w:r>
        <w:r>
          <w:rPr>
            <w:rStyle w:val="Hyperlink"/>
            <w:rFonts w:ascii="Times New Roman" w:hAnsi="Times New Roman"/>
            <w:i/>
            <w:sz w:val="18"/>
            <w:szCs w:val="18"/>
            <w:shd w:val="clear" w:color="auto" w:fill="FFFFFF"/>
          </w:rPr>
          <w:t>he rights of children of foreign fighters stranded in Syria and Iraq</w:t>
        </w:r>
      </w:hyperlink>
      <w:r>
        <w:rPr>
          <w:rFonts w:ascii="Times New Roman" w:hAnsi="Times New Roman"/>
          <w:color w:val="333333"/>
          <w:sz w:val="18"/>
          <w:szCs w:val="18"/>
          <w:shd w:val="clear" w:color="auto" w:fill="FFFFFF"/>
        </w:rPr>
        <w:t xml:space="preserve">, (Protejarea drepturilor copiilor luptătorilor străini blocați în Siria și în Irak) </w:t>
      </w:r>
      <w:r>
        <w:rPr>
          <w:rFonts w:ascii="Times New Roman" w:hAnsi="Times New Roman"/>
          <w:sz w:val="18"/>
          <w:szCs w:val="18"/>
          <w:shd w:val="clear" w:color="auto" w:fill="FFFFFF"/>
        </w:rPr>
        <w:t>UNICEF, 2019</w:t>
      </w:r>
      <w:r>
        <w:t>.</w:t>
      </w:r>
    </w:p>
  </w:footnote>
  <w:footnote w:id="65">
    <w:p>
      <w:pPr>
        <w:pStyle w:val="FootnoteText"/>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0" w:history="1">
        <w:r>
          <w:rPr>
            <w:rStyle w:val="Hyperlink"/>
            <w:rFonts w:ascii="Times New Roman" w:hAnsi="Times New Roman"/>
            <w:sz w:val="18"/>
            <w:szCs w:val="18"/>
          </w:rPr>
          <w:t>Comunicarea intitulată „Protecția copiilor migranți”</w:t>
        </w:r>
      </w:hyperlink>
      <w:r>
        <w:rPr>
          <w:rStyle w:val="Hyperlink"/>
          <w:rFonts w:ascii="Times New Roman" w:hAnsi="Times New Roman"/>
          <w:sz w:val="18"/>
          <w:szCs w:val="18"/>
        </w:rPr>
        <w:t xml:space="preserve">, </w:t>
      </w:r>
      <w:r>
        <w:rPr>
          <w:rStyle w:val="Hyperlink"/>
          <w:rFonts w:ascii="Times New Roman" w:hAnsi="Times New Roman"/>
          <w:i/>
          <w:sz w:val="18"/>
          <w:szCs w:val="18"/>
        </w:rPr>
        <w:t>op. cit.</w:t>
      </w:r>
      <w:r>
        <w:rPr>
          <w:rStyle w:val="Hyperlink"/>
          <w:rFonts w:ascii="Times New Roman" w:hAnsi="Times New Roman"/>
          <w:sz w:val="18"/>
          <w:szCs w:val="18"/>
        </w:rPr>
        <w:t xml:space="preserve"> </w:t>
      </w:r>
    </w:p>
  </w:footnote>
  <w:footnote w:id="6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Programul „Cetățenie, egalitate, drepturi și valori” (2021-2027), Uniunea Europeană</w:t>
      </w:r>
      <w:r>
        <w:t>.</w:t>
      </w:r>
    </w:p>
  </w:footnote>
  <w:footnote w:id="67">
    <w:p>
      <w:pPr>
        <w:spacing w:after="0"/>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1" w:history="1">
        <w:r>
          <w:rPr>
            <w:rStyle w:val="Hyperlink"/>
            <w:rFonts w:ascii="Times New Roman" w:hAnsi="Times New Roman"/>
            <w:sz w:val="18"/>
            <w:szCs w:val="18"/>
          </w:rPr>
          <w:t>Strategia UE pentru combaterea mai eficace a abuzului sexual asupra copiilor</w:t>
        </w:r>
      </w:hyperlink>
      <w:r>
        <w:rPr>
          <w:rFonts w:ascii="Times New Roman" w:hAnsi="Times New Roman"/>
          <w:sz w:val="18"/>
          <w:szCs w:val="18"/>
        </w:rPr>
        <w:t>, COM(2020) 607.</w:t>
      </w:r>
    </w:p>
  </w:footnote>
  <w:footnote w:id="6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2" w:history="1">
        <w:r>
          <w:rPr>
            <w:rStyle w:val="Hyperlink"/>
            <w:rFonts w:ascii="Times New Roman" w:hAnsi="Times New Roman"/>
            <w:sz w:val="18"/>
            <w:szCs w:val="18"/>
          </w:rPr>
          <w:t>Barnahus</w:t>
        </w:r>
      </w:hyperlink>
      <w:r>
        <w:rPr>
          <w:rFonts w:ascii="Times New Roman" w:hAnsi="Times New Roman"/>
          <w:sz w:val="18"/>
          <w:szCs w:val="18"/>
        </w:rPr>
        <w:t xml:space="preserve"> </w:t>
      </w:r>
    </w:p>
  </w:footnote>
  <w:footnote w:id="6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3" w:history="1">
        <w:r>
          <w:rPr>
            <w:rStyle w:val="Hyperlink"/>
            <w:rFonts w:ascii="Times New Roman" w:hAnsi="Times New Roman"/>
            <w:color w:val="000000"/>
            <w:sz w:val="18"/>
            <w:szCs w:val="18"/>
            <w:u w:val="none"/>
          </w:rPr>
          <w:t>Decizia Comisiei privind rezervarea seriei naționale de numere care încep cu 116 ca numere armonizate pentru servicii armonizate cu caracter social (2007/116/CE),</w:t>
        </w:r>
      </w:hyperlink>
      <w:r>
        <w:t xml:space="preserve"> </w:t>
      </w:r>
      <w:r>
        <w:rPr>
          <w:rFonts w:ascii="Times New Roman" w:hAnsi="Times New Roman"/>
          <w:sz w:val="18"/>
          <w:szCs w:val="18"/>
        </w:rPr>
        <w:t>modificată ulterior prin</w:t>
      </w:r>
      <w:r>
        <w:t xml:space="preserve"> </w:t>
      </w:r>
      <w:hyperlink r:id="rId84" w:history="1">
        <w:r>
          <w:rPr>
            <w:rStyle w:val="Hyperlink"/>
            <w:rFonts w:ascii="Times New Roman" w:hAnsi="Times New Roman"/>
            <w:color w:val="000000"/>
            <w:sz w:val="18"/>
            <w:szCs w:val="18"/>
            <w:u w:val="none"/>
          </w:rPr>
          <w:t>Directiva de instituire a Codului european al comunicațiilor electronice</w:t>
        </w:r>
      </w:hyperlink>
      <w:r>
        <w:rPr>
          <w:rStyle w:val="Hyperlink"/>
          <w:rFonts w:ascii="Times New Roman" w:hAnsi="Times New Roman"/>
          <w:color w:val="000000"/>
          <w:sz w:val="18"/>
          <w:szCs w:val="18"/>
          <w:u w:val="none"/>
        </w:rPr>
        <w:t>, 2018/1972/UE, articolul 96 – Liniile telefonice de asistență pentru copii dispăruți și pentru copii</w:t>
      </w:r>
      <w:r>
        <w:t>.</w:t>
      </w:r>
    </w:p>
  </w:footnote>
  <w:footnote w:id="7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5" w:history="1">
        <w:r>
          <w:rPr>
            <w:rStyle w:val="Hyperlink"/>
            <w:rFonts w:ascii="Times New Roman" w:hAnsi="Times New Roman"/>
            <w:sz w:val="18"/>
            <w:szCs w:val="18"/>
          </w:rPr>
          <w:t>Rapoarte privind copiii și justiția</w:t>
        </w:r>
      </w:hyperlink>
      <w:r>
        <w:rPr>
          <w:rFonts w:ascii="Times New Roman" w:hAnsi="Times New Roman"/>
          <w:sz w:val="18"/>
          <w:szCs w:val="18"/>
        </w:rPr>
        <w:t>, FRA</w:t>
      </w:r>
      <w:r>
        <w:t>.</w:t>
      </w:r>
      <w:r>
        <w:rPr>
          <w:rFonts w:ascii="Times New Roman" w:hAnsi="Times New Roman"/>
          <w:sz w:val="18"/>
          <w:szCs w:val="18"/>
        </w:rPr>
        <w:t xml:space="preserve"> </w:t>
      </w:r>
    </w:p>
  </w:footnote>
  <w:footnote w:id="71">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6" w:history="1">
        <w:r>
          <w:rPr>
            <w:rStyle w:val="Hyperlink"/>
            <w:rFonts w:ascii="Times New Roman" w:hAnsi="Times New Roman"/>
            <w:sz w:val="18"/>
            <w:szCs w:val="18"/>
          </w:rPr>
          <w:t>Orientările privind justiția în interesul copilului</w:t>
        </w:r>
      </w:hyperlink>
      <w:r>
        <w:rPr>
          <w:rFonts w:ascii="Times New Roman" w:hAnsi="Times New Roman"/>
          <w:sz w:val="18"/>
          <w:szCs w:val="18"/>
        </w:rPr>
        <w:t>, Consiliul Europei</w:t>
      </w:r>
      <w:r>
        <w:t>.</w:t>
      </w:r>
      <w:r>
        <w:rPr>
          <w:rFonts w:ascii="Times New Roman" w:hAnsi="Times New Roman"/>
          <w:sz w:val="18"/>
          <w:szCs w:val="18"/>
        </w:rPr>
        <w:t xml:space="preserve"> </w:t>
      </w:r>
    </w:p>
  </w:footnote>
  <w:footnote w:id="7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7" w:history="1">
        <w:r>
          <w:rPr>
            <w:rStyle w:val="Hyperlink"/>
            <w:rFonts w:ascii="Times New Roman" w:hAnsi="Times New Roman"/>
            <w:sz w:val="18"/>
            <w:szCs w:val="18"/>
          </w:rPr>
          <w:t>Tabloul de bord privind justiția în UE</w:t>
        </w:r>
      </w:hyperlink>
      <w:r>
        <w:rPr>
          <w:rStyle w:val="Hyperlink"/>
          <w:rFonts w:ascii="Times New Roman" w:hAnsi="Times New Roman"/>
          <w:sz w:val="18"/>
          <w:szCs w:val="18"/>
        </w:rPr>
        <w:t>,</w:t>
      </w:r>
      <w:r>
        <w:rPr>
          <w:rFonts w:ascii="Times New Roman" w:hAnsi="Times New Roman"/>
          <w:sz w:val="18"/>
          <w:szCs w:val="18"/>
        </w:rPr>
        <w:t xml:space="preserve"> justiția în interesul copilului</w:t>
      </w:r>
      <w:r>
        <w:t>.</w:t>
      </w:r>
      <w:r>
        <w:rPr>
          <w:rFonts w:ascii="Times New Roman" w:hAnsi="Times New Roman"/>
          <w:sz w:val="18"/>
          <w:szCs w:val="18"/>
        </w:rPr>
        <w:t xml:space="preserve"> </w:t>
      </w:r>
    </w:p>
  </w:footnote>
  <w:footnote w:id="73">
    <w:p>
      <w:pPr>
        <w:pStyle w:val="FootnoteText"/>
        <w:jc w:val="both"/>
      </w:pPr>
      <w:r>
        <w:rPr>
          <w:rStyle w:val="FootnoteReference"/>
          <w:rFonts w:ascii="Times New Roman" w:hAnsi="Times New Roman" w:cs="Times New Roman"/>
          <w:sz w:val="18"/>
          <w:szCs w:val="18"/>
        </w:rPr>
        <w:footnoteRef/>
      </w:r>
      <w:r>
        <w:rPr>
          <w:rFonts w:ascii="Times New Roman" w:hAnsi="Times New Roman"/>
          <w:bCs/>
          <w:sz w:val="18"/>
          <w:szCs w:val="18"/>
        </w:rPr>
        <w:t xml:space="preserve"> Aceasta include respectarea dreptului copiilor de a menține contactul, după caz, cu părinții sau cu alte rude, în conformitate cu articolul 9 din Convenția ONU cu privire la drepturile copilului.</w:t>
      </w:r>
    </w:p>
  </w:footnote>
  <w:footnote w:id="7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i/>
          <w:iCs/>
          <w:sz w:val="18"/>
          <w:szCs w:val="18"/>
        </w:rPr>
        <w:t>Asylum and first time asylum applicants by citizenship</w:t>
      </w:r>
      <w:r>
        <w:rPr>
          <w:rFonts w:ascii="Times New Roman" w:hAnsi="Times New Roman"/>
          <w:sz w:val="18"/>
          <w:szCs w:val="18"/>
        </w:rPr>
        <w:t xml:space="preserve"> (Solicitanți de azil și solicitanți care cer azil pentru prima dată), [</w:t>
      </w:r>
      <w:hyperlink r:id="rId88" w:history="1">
        <w:r>
          <w:rPr>
            <w:rStyle w:val="Hyperlink"/>
            <w:rFonts w:ascii="Times New Roman" w:hAnsi="Times New Roman"/>
            <w:sz w:val="18"/>
            <w:szCs w:val="18"/>
          </w:rPr>
          <w:t>migr_asyappctza</w:t>
        </w:r>
      </w:hyperlink>
      <w:r>
        <w:rPr>
          <w:rFonts w:ascii="Times New Roman" w:hAnsi="Times New Roman"/>
          <w:sz w:val="18"/>
          <w:szCs w:val="18"/>
        </w:rPr>
        <w:t>], Eurostat, 2020</w:t>
      </w:r>
      <w:r>
        <w:t>.</w:t>
      </w:r>
      <w:r>
        <w:rPr>
          <w:rFonts w:ascii="Times New Roman" w:hAnsi="Times New Roman"/>
          <w:sz w:val="18"/>
          <w:szCs w:val="18"/>
        </w:rPr>
        <w:t xml:space="preserve"> </w:t>
      </w:r>
    </w:p>
  </w:footnote>
  <w:footnote w:id="7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9" w:history="1">
        <w:r>
          <w:rPr>
            <w:rStyle w:val="Hyperlink"/>
            <w:rFonts w:ascii="Times New Roman" w:hAnsi="Times New Roman"/>
            <w:sz w:val="18"/>
            <w:szCs w:val="18"/>
          </w:rPr>
          <w:t>Strategia UE privind drepturile victimelor</w:t>
        </w:r>
      </w:hyperlink>
      <w:r>
        <w:rPr>
          <w:rFonts w:ascii="Times New Roman" w:hAnsi="Times New Roman"/>
          <w:sz w:val="18"/>
          <w:szCs w:val="18"/>
        </w:rPr>
        <w:t xml:space="preserve"> (2020-2025), COM(2020) 258 final</w:t>
      </w:r>
      <w:r>
        <w:t>.</w:t>
      </w:r>
    </w:p>
  </w:footnote>
  <w:footnote w:id="7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0" w:history="1">
        <w:r>
          <w:rPr>
            <w:rStyle w:val="Hyperlink"/>
            <w:rFonts w:ascii="Times New Roman" w:hAnsi="Times New Roman"/>
            <w:sz w:val="18"/>
            <w:szCs w:val="18"/>
          </w:rPr>
          <w:t>Studiul la nivel mondial al ONU privind copiii lipsiți de libertate</w:t>
        </w:r>
      </w:hyperlink>
      <w:r>
        <w:t xml:space="preserve">, </w:t>
      </w:r>
      <w:r>
        <w:rPr>
          <w:rFonts w:ascii="Times New Roman" w:hAnsi="Times New Roman"/>
          <w:sz w:val="18"/>
          <w:szCs w:val="18"/>
        </w:rPr>
        <w:t>Manfred Nowak, 2019.</w:t>
      </w:r>
    </w:p>
  </w:footnote>
  <w:footnote w:id="7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1" w:history="1">
        <w:r>
          <w:rPr>
            <w:rStyle w:val="Hyperlink"/>
            <w:rFonts w:ascii="Times New Roman" w:hAnsi="Times New Roman"/>
            <w:sz w:val="18"/>
            <w:szCs w:val="18"/>
          </w:rPr>
          <w:t>Directiva privind garanțiile procedurale pentru copiii care sunt persoane suspectate sau acuzate în cadrul procedurilor penale</w:t>
        </w:r>
      </w:hyperlink>
      <w:r>
        <w:rPr>
          <w:rStyle w:val="Hyperlink"/>
          <w:rFonts w:ascii="Times New Roman" w:hAnsi="Times New Roman"/>
          <w:sz w:val="18"/>
          <w:szCs w:val="18"/>
          <w:u w:val="none"/>
        </w:rPr>
        <w:t xml:space="preserve">; </w:t>
      </w:r>
      <w:r>
        <w:rPr>
          <w:rFonts w:ascii="Times New Roman" w:hAnsi="Times New Roman"/>
          <w:sz w:val="18"/>
          <w:szCs w:val="18"/>
        </w:rPr>
        <w:t>2016/800/UE</w:t>
      </w:r>
    </w:p>
  </w:footnote>
  <w:footnote w:id="7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2" w:history="1">
        <w:r>
          <w:rPr>
            <w:rStyle w:val="Hyperlink"/>
            <w:rFonts w:ascii="Times New Roman" w:hAnsi="Times New Roman"/>
            <w:sz w:val="18"/>
            <w:szCs w:val="18"/>
          </w:rPr>
          <w:t>Strategia europeană de formare judiciară pentru perioada 2021-2024</w:t>
        </w:r>
      </w:hyperlink>
      <w:r>
        <w:t xml:space="preserve"> </w:t>
      </w:r>
      <w:r>
        <w:rPr>
          <w:rFonts w:ascii="Times New Roman" w:hAnsi="Times New Roman"/>
          <w:sz w:val="18"/>
          <w:szCs w:val="18"/>
        </w:rPr>
        <w:t>COM (2020) 713 final</w:t>
      </w:r>
      <w:r>
        <w:t>.</w:t>
      </w:r>
    </w:p>
  </w:footnote>
  <w:footnote w:id="7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3" w:history="1">
        <w:r>
          <w:rPr>
            <w:rStyle w:val="Hyperlink"/>
            <w:rFonts w:ascii="Times New Roman" w:hAnsi="Times New Roman"/>
            <w:sz w:val="18"/>
            <w:szCs w:val="18"/>
          </w:rPr>
          <w:t>Rețeaua Europeană de Formare Judiciară</w:t>
        </w:r>
      </w:hyperlink>
      <w:r>
        <w:t>.</w:t>
      </w:r>
      <w:r>
        <w:rPr>
          <w:rFonts w:ascii="Times New Roman" w:hAnsi="Times New Roman"/>
          <w:sz w:val="18"/>
          <w:szCs w:val="18"/>
        </w:rPr>
        <w:t xml:space="preserve"> </w:t>
      </w:r>
    </w:p>
  </w:footnote>
  <w:footnote w:id="8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4" w:history="1">
        <w:r>
          <w:rPr>
            <w:rStyle w:val="Hyperlink"/>
            <w:rFonts w:ascii="Times New Roman" w:hAnsi="Times New Roman"/>
            <w:sz w:val="18"/>
            <w:szCs w:val="18"/>
          </w:rPr>
          <w:t>Portalul e-justiție</w:t>
        </w:r>
      </w:hyperlink>
      <w:r>
        <w:rPr>
          <w:rFonts w:ascii="Times New Roman" w:hAnsi="Times New Roman"/>
          <w:sz w:val="18"/>
          <w:szCs w:val="18"/>
        </w:rPr>
        <w:t>, Platforma europeană de formare judiciară</w:t>
      </w:r>
      <w:r>
        <w:t>.</w:t>
      </w:r>
      <w:r>
        <w:rPr>
          <w:rFonts w:ascii="Times New Roman" w:hAnsi="Times New Roman"/>
          <w:sz w:val="18"/>
          <w:szCs w:val="18"/>
        </w:rPr>
        <w:t xml:space="preserve"> </w:t>
      </w:r>
    </w:p>
  </w:footnote>
  <w:footnote w:id="81">
    <w:p>
      <w:pPr>
        <w:pStyle w:val="FootnoteText"/>
      </w:pPr>
      <w:r>
        <w:rPr>
          <w:rStyle w:val="FootnoteReference"/>
          <w:rFonts w:ascii="Times New Roman" w:hAnsi="Times New Roman" w:cs="Times New Roman"/>
          <w:sz w:val="18"/>
          <w:szCs w:val="18"/>
        </w:rPr>
        <w:footnoteRef/>
      </w:r>
      <w:r>
        <w:rPr>
          <w:rFonts w:ascii="Times New Roman" w:hAnsi="Times New Roman"/>
          <w:sz w:val="18"/>
          <w:szCs w:val="18"/>
        </w:rPr>
        <w:t xml:space="preserve"> Care urmează să fie adoptat spre sfârșitul lunii iunie/începutul lunii iulie 2021.</w:t>
      </w:r>
    </w:p>
  </w:footnote>
  <w:footnote w:id="8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5" w:history="1">
        <w:r>
          <w:rPr>
            <w:rStyle w:val="Hyperlink"/>
            <w:rFonts w:ascii="Times New Roman" w:hAnsi="Times New Roman"/>
            <w:sz w:val="18"/>
            <w:szCs w:val="18"/>
          </w:rPr>
          <w:t>Recomandare privind copiii cu părinți deținuți</w:t>
        </w:r>
      </w:hyperlink>
      <w:r>
        <w:rPr>
          <w:rFonts w:ascii="Times New Roman" w:hAnsi="Times New Roman"/>
          <w:sz w:val="18"/>
          <w:szCs w:val="18"/>
        </w:rPr>
        <w:t>, Consiliul Europei, CM/Rec (2018) 5</w:t>
      </w:r>
      <w:r>
        <w:t>.</w:t>
      </w:r>
    </w:p>
  </w:footnote>
  <w:footnote w:id="8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6" w:history="1">
        <w:r>
          <w:rPr>
            <w:rStyle w:val="Hyperlink"/>
            <w:rFonts w:ascii="Times New Roman" w:hAnsi="Times New Roman"/>
            <w:sz w:val="18"/>
            <w:szCs w:val="18"/>
          </w:rPr>
          <w:t>Rețeaua europeană a instituțiilor de tutelă</w:t>
        </w:r>
      </w:hyperlink>
      <w:r>
        <w:t>.</w:t>
      </w:r>
      <w:r>
        <w:rPr>
          <w:rFonts w:ascii="Times New Roman" w:hAnsi="Times New Roman"/>
          <w:sz w:val="18"/>
          <w:szCs w:val="18"/>
        </w:rPr>
        <w:t xml:space="preserve"> </w:t>
      </w:r>
    </w:p>
  </w:footnote>
  <w:footnote w:id="8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w:t>
      </w:r>
      <w:hyperlink r:id="rId97" w:history="1">
        <w:r>
          <w:rPr>
            <w:rStyle w:val="Hyperlink"/>
            <w:rFonts w:ascii="Times New Roman" w:hAnsi="Times New Roman"/>
            <w:sz w:val="18"/>
            <w:szCs w:val="18"/>
          </w:rPr>
          <w:t>Europa noastră.</w:t>
        </w:r>
      </w:hyperlink>
      <w:r>
        <w:rPr>
          <w:rStyle w:val="Hyperlink"/>
          <w:rFonts w:ascii="Times New Roman" w:hAnsi="Times New Roman"/>
          <w:sz w:val="18"/>
          <w:szCs w:val="18"/>
        </w:rPr>
        <w:t xml:space="preserve"> </w:t>
      </w:r>
      <w:hyperlink r:id="rId98" w:history="1">
        <w:r>
          <w:rPr>
            <w:rStyle w:val="Hyperlink"/>
            <w:rFonts w:ascii="Times New Roman" w:hAnsi="Times New Roman"/>
            <w:sz w:val="18"/>
            <w:szCs w:val="18"/>
          </w:rPr>
          <w:t>Drepturile noastre.</w:t>
        </w:r>
      </w:hyperlink>
      <w:r>
        <w:rPr>
          <w:rStyle w:val="Hyperlink"/>
          <w:rFonts w:ascii="Times New Roman" w:hAnsi="Times New Roman"/>
          <w:sz w:val="18"/>
          <w:szCs w:val="18"/>
        </w:rPr>
        <w:t xml:space="preserve"> </w:t>
      </w:r>
      <w:hyperlink r:id="rId99" w:history="1">
        <w:r>
          <w:rPr>
            <w:rStyle w:val="Hyperlink"/>
            <w:rFonts w:ascii="Times New Roman" w:hAnsi="Times New Roman"/>
            <w:sz w:val="18"/>
            <w:szCs w:val="18"/>
          </w:rPr>
          <w:t>Viitorul nostru.”</w:t>
        </w:r>
      </w:hyperlink>
      <w:r>
        <w:rPr>
          <w:rFonts w:ascii="Times New Roman" w:hAnsi="Times New Roman"/>
          <w:sz w:val="18"/>
          <w:szCs w:val="18"/>
        </w:rPr>
        <w:t xml:space="preserve">, </w:t>
      </w:r>
      <w:r>
        <w:rPr>
          <w:rFonts w:ascii="Times New Roman" w:hAnsi="Times New Roman"/>
          <w:i/>
          <w:sz w:val="18"/>
          <w:szCs w:val="18"/>
        </w:rPr>
        <w:t>op. cit.</w:t>
      </w:r>
      <w:r>
        <w:rPr>
          <w:rFonts w:ascii="Times New Roman" w:hAnsi="Times New Roman"/>
          <w:sz w:val="18"/>
          <w:szCs w:val="18"/>
        </w:rPr>
        <w:t xml:space="preserve"> </w:t>
      </w:r>
    </w:p>
  </w:footnote>
  <w:footnote w:id="8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0" w:history="1">
        <w:r>
          <w:rPr>
            <w:rStyle w:val="Hyperlink"/>
            <w:rFonts w:ascii="Times New Roman" w:hAnsi="Times New Roman"/>
            <w:i/>
            <w:sz w:val="18"/>
            <w:szCs w:val="18"/>
          </w:rPr>
          <w:t>A long way to go for LGBTI equality</w:t>
        </w:r>
      </w:hyperlink>
      <w:r>
        <w:rPr>
          <w:rFonts w:ascii="Times New Roman" w:hAnsi="Times New Roman"/>
          <w:sz w:val="18"/>
          <w:szCs w:val="18"/>
        </w:rPr>
        <w:t>(O cale lungă de parcurs către egalitate pentru persoanele LGBTI), FRA, 2020.</w:t>
      </w:r>
    </w:p>
  </w:footnote>
  <w:footnote w:id="8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1" w:history="1">
        <w:r>
          <w:rPr>
            <w:rStyle w:val="Hyperlink"/>
            <w:rFonts w:ascii="Times New Roman" w:hAnsi="Times New Roman"/>
            <w:sz w:val="18"/>
            <w:szCs w:val="18"/>
          </w:rPr>
          <w:t>Cel de al treilea raport privind progresele înregistrate în combaterea traficului de persoane</w:t>
        </w:r>
      </w:hyperlink>
      <w:r>
        <w:rPr>
          <w:rFonts w:ascii="Times New Roman" w:hAnsi="Times New Roman"/>
          <w:sz w:val="18"/>
          <w:szCs w:val="18"/>
        </w:rPr>
        <w:t xml:space="preserve"> COM (2020) 661 final și SWD (2020) 226 final; </w:t>
      </w:r>
      <w:hyperlink r:id="rId102" w:history="1">
        <w:r>
          <w:rPr>
            <w:rStyle w:val="Hyperlink"/>
            <w:rFonts w:ascii="Times New Roman" w:hAnsi="Times New Roman"/>
            <w:i/>
            <w:sz w:val="18"/>
            <w:szCs w:val="18"/>
          </w:rPr>
          <w:t>The challenges of countering human trafficking in the digital era</w:t>
        </w:r>
      </w:hyperlink>
      <w:r>
        <w:t xml:space="preserve"> </w:t>
      </w:r>
      <w:r>
        <w:rPr>
          <w:rFonts w:ascii="Times New Roman" w:hAnsi="Times New Roman"/>
          <w:sz w:val="18"/>
          <w:szCs w:val="18"/>
        </w:rPr>
        <w:t>(Provocările legate de combaterea traficului de persoane în era digitală), Europol, 2020.</w:t>
      </w:r>
    </w:p>
  </w:footnote>
  <w:footnote w:id="87">
    <w:p>
      <w:pPr>
        <w:spacing w:after="0"/>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3" w:history="1">
        <w:r>
          <w:rPr>
            <w:rStyle w:val="Hyperlink"/>
            <w:rFonts w:ascii="Times New Roman" w:hAnsi="Times New Roman"/>
            <w:sz w:val="18"/>
            <w:szCs w:val="18"/>
          </w:rPr>
          <w:t>Strategia UE pentru combaterea mai eficace a abuzului sexual asupra copiilor</w:t>
        </w:r>
      </w:hyperlink>
      <w:r>
        <w:rPr>
          <w:rFonts w:ascii="Times New Roman" w:hAnsi="Times New Roman"/>
          <w:sz w:val="18"/>
          <w:szCs w:val="18"/>
        </w:rPr>
        <w:t xml:space="preserve">, </w:t>
      </w:r>
      <w:r>
        <w:rPr>
          <w:rFonts w:ascii="Times New Roman" w:hAnsi="Times New Roman"/>
          <w:i/>
          <w:sz w:val="18"/>
          <w:szCs w:val="18"/>
        </w:rPr>
        <w:t>op. cit.</w:t>
      </w:r>
    </w:p>
  </w:footnote>
  <w:footnote w:id="88">
    <w:p>
      <w:pPr>
        <w:pStyle w:val="CommentText"/>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4" w:history="1">
        <w:r>
          <w:rPr>
            <w:rStyle w:val="Hyperlink"/>
            <w:rFonts w:ascii="Times New Roman" w:hAnsi="Times New Roman"/>
            <w:i/>
            <w:sz w:val="18"/>
            <w:szCs w:val="18"/>
          </w:rPr>
          <w:t>How families handled emergency remote schooling during the COVID-19 lockdown in spring</w:t>
        </w:r>
        <w:r>
          <w:rPr>
            <w:rStyle w:val="Hyperlink"/>
            <w:rFonts w:ascii="Times New Roman" w:hAnsi="Times New Roman"/>
            <w:sz w:val="18"/>
            <w:szCs w:val="18"/>
          </w:rPr>
          <w:t xml:space="preserve"> </w:t>
        </w:r>
        <w:r>
          <w:rPr>
            <w:rStyle w:val="Hyperlink"/>
            <w:rFonts w:ascii="Times New Roman" w:hAnsi="Times New Roman"/>
            <w:i/>
            <w:sz w:val="18"/>
            <w:szCs w:val="18"/>
          </w:rPr>
          <w:t>2020</w:t>
        </w:r>
      </w:hyperlink>
      <w:r>
        <w:rPr>
          <w:rFonts w:ascii="Times New Roman" w:hAnsi="Times New Roman"/>
          <w:sz w:val="18"/>
          <w:szCs w:val="18"/>
        </w:rPr>
        <w:t xml:space="preserve"> (Cum au gestionat familiile școlarizarea de urgență de la distanță în perioada de izolare impusă din cauza pandemiei de COVID-19 în primăvara anului 2020), 2020, JRC</w:t>
      </w:r>
      <w:r>
        <w:t>.</w:t>
      </w:r>
    </w:p>
  </w:footnote>
  <w:footnote w:id="8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Eurostat. Sondaj privind utilizarea TIC în gospodării și de către persoanele fizice [</w:t>
      </w:r>
      <w:hyperlink r:id="rId105" w:history="1">
        <w:r>
          <w:rPr>
            <w:rStyle w:val="Hyperlink"/>
            <w:rFonts w:ascii="Times New Roman" w:hAnsi="Times New Roman"/>
            <w:sz w:val="18"/>
            <w:szCs w:val="18"/>
          </w:rPr>
          <w:t>isoc_i, ci_in_h</w:t>
        </w:r>
      </w:hyperlink>
      <w:r>
        <w:rPr>
          <w:rFonts w:ascii="Times New Roman" w:hAnsi="Times New Roman"/>
          <w:sz w:val="18"/>
          <w:szCs w:val="18"/>
        </w:rPr>
        <w:t xml:space="preserve">], 2019. </w:t>
      </w:r>
    </w:p>
  </w:footnote>
  <w:footnote w:id="90">
    <w:p>
      <w:pPr>
        <w:pStyle w:val="FootnoteText"/>
        <w:jc w:val="both"/>
        <w:rPr>
          <w:rFonts w:ascii="Times New Roman" w:hAnsi="Times New Roman" w:cs="Times New Roman"/>
        </w:rPr>
      </w:pPr>
      <w:hyperlink r:id="rId106" w:history="1">
        <w:r>
          <w:rPr>
            <w:rStyle w:val="Hyperlink"/>
            <w:rFonts w:ascii="Times New Roman" w:hAnsi="Times New Roman" w:cs="Times New Roman"/>
            <w:vertAlign w:val="superscript"/>
          </w:rPr>
          <w:footnoteRef/>
        </w:r>
        <w:r>
          <w:rPr>
            <w:rStyle w:val="Hyperlink"/>
            <w:rFonts w:ascii="Times New Roman" w:hAnsi="Times New Roman"/>
          </w:rPr>
          <w:t xml:space="preserve"> </w:t>
        </w:r>
        <w:r>
          <w:rPr>
            <w:rStyle w:val="Hyperlink"/>
            <w:rFonts w:ascii="Times New Roman" w:hAnsi="Times New Roman"/>
            <w:sz w:val="18"/>
            <w:szCs w:val="18"/>
          </w:rPr>
          <w:t>Comunicarea Comisiei privind „Busola pentru dimensiunea digitală 2030:</w:t>
        </w:r>
      </w:hyperlink>
      <w:hyperlink r:id="rId107" w:history="1">
        <w:r>
          <w:rPr>
            <w:rStyle w:val="Hyperlink"/>
            <w:rFonts w:ascii="Times New Roman" w:hAnsi="Times New Roman"/>
            <w:sz w:val="18"/>
            <w:szCs w:val="18"/>
          </w:rPr>
          <w:t xml:space="preserve"> modelul european pentru deceniul digital”</w:t>
        </w:r>
      </w:hyperlink>
      <w:r>
        <w:rPr>
          <w:rFonts w:ascii="Times New Roman" w:hAnsi="Times New Roman"/>
          <w:sz w:val="18"/>
          <w:szCs w:val="18"/>
        </w:rPr>
        <w:t>, COM(2021) 118 final</w:t>
      </w:r>
      <w:r>
        <w:t>.</w:t>
      </w:r>
    </w:p>
  </w:footnote>
  <w:footnote w:id="9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8" w:history="1">
        <w:r>
          <w:rPr>
            <w:rStyle w:val="Hyperlink"/>
            <w:rFonts w:ascii="Times New Roman" w:hAnsi="Times New Roman"/>
            <w:sz w:val="18"/>
            <w:szCs w:val="18"/>
          </w:rPr>
          <w:t>Directiva privind combaterea abuzului sexual asupra copiilor, a exploatării sexuale a copiilor și a pornografiei infantile</w:t>
        </w:r>
      </w:hyperlink>
      <w:r>
        <w:rPr>
          <w:rStyle w:val="Hyperlink"/>
          <w:rFonts w:ascii="Times New Roman" w:hAnsi="Times New Roman"/>
          <w:sz w:val="18"/>
          <w:szCs w:val="18"/>
          <w:u w:val="none"/>
        </w:rPr>
        <w:t xml:space="preserve">, </w:t>
      </w:r>
      <w:r>
        <w:rPr>
          <w:rFonts w:ascii="Times New Roman" w:hAnsi="Times New Roman"/>
          <w:sz w:val="18"/>
          <w:szCs w:val="18"/>
        </w:rPr>
        <w:t xml:space="preserve">2011/93/UE; </w:t>
      </w:r>
      <w:hyperlink r:id="rId109" w:history="1">
        <w:r>
          <w:rPr>
            <w:rStyle w:val="Hyperlink"/>
            <w:rFonts w:ascii="Times New Roman" w:hAnsi="Times New Roman"/>
            <w:sz w:val="18"/>
            <w:szCs w:val="18"/>
          </w:rPr>
          <w:t>Decizia-cadru privind combaterea anumitor forme și expresii ale rasismului și xenofobiei</w:t>
        </w:r>
      </w:hyperlink>
      <w:r>
        <w:rPr>
          <w:rStyle w:val="Hyperlink"/>
          <w:rFonts w:ascii="Times New Roman" w:hAnsi="Times New Roman"/>
          <w:sz w:val="18"/>
          <w:szCs w:val="18"/>
          <w:u w:val="none"/>
        </w:rPr>
        <w:t>, 2008/913/JAI</w:t>
      </w:r>
      <w:r>
        <w:rPr>
          <w:rFonts w:ascii="Times New Roman" w:hAnsi="Times New Roman"/>
          <w:sz w:val="18"/>
          <w:szCs w:val="18"/>
        </w:rPr>
        <w:t xml:space="preserve">; </w:t>
      </w:r>
      <w:hyperlink r:id="rId110" w:history="1">
        <w:r>
          <w:rPr>
            <w:rStyle w:val="Hyperlink"/>
            <w:rFonts w:ascii="Times New Roman" w:hAnsi="Times New Roman"/>
            <w:sz w:val="18"/>
            <w:szCs w:val="18"/>
          </w:rPr>
          <w:t>Directiva serviciilor mass-media audiovizuale</w:t>
        </w:r>
      </w:hyperlink>
      <w:r>
        <w:rPr>
          <w:rStyle w:val="Hyperlink"/>
          <w:rFonts w:ascii="Times New Roman" w:hAnsi="Times New Roman"/>
          <w:sz w:val="18"/>
          <w:szCs w:val="18"/>
          <w:u w:val="none"/>
        </w:rPr>
        <w:t>, 2018/1808/UE</w:t>
      </w:r>
      <w:r>
        <w:rPr>
          <w:rFonts w:ascii="Times New Roman" w:hAnsi="Times New Roman"/>
          <w:sz w:val="18"/>
          <w:szCs w:val="18"/>
        </w:rPr>
        <w:t xml:space="preserve">; </w:t>
      </w:r>
      <w:hyperlink r:id="rId111" w:history="1">
        <w:r>
          <w:rPr>
            <w:rStyle w:val="Hyperlink"/>
            <w:rFonts w:ascii="Times New Roman" w:hAnsi="Times New Roman"/>
            <w:sz w:val="18"/>
            <w:szCs w:val="18"/>
          </w:rPr>
          <w:t xml:space="preserve">Regulamentul </w:t>
        </w:r>
        <w:r>
          <w:rPr>
            <w:rStyle w:val="Hyperlink"/>
            <w:rFonts w:ascii="Times New Roman" w:hAnsi="Times New Roman"/>
            <w:sz w:val="18"/>
            <w:szCs w:val="18"/>
            <w:shd w:val="clear" w:color="auto" w:fill="FFFFFF"/>
          </w:rPr>
          <w:t>privind protecția persoanelor fizice în ceea ce privește prelucrarea datelor cu caracter personal și privind libera circulație a acestor date</w:t>
        </w:r>
      </w:hyperlink>
      <w:r>
        <w:rPr>
          <w:rStyle w:val="Hyperlink"/>
          <w:rFonts w:ascii="Times New Roman" w:hAnsi="Times New Roman"/>
          <w:sz w:val="18"/>
          <w:szCs w:val="18"/>
          <w:u w:val="none"/>
          <w:shd w:val="clear" w:color="auto" w:fill="FFFFFF"/>
        </w:rPr>
        <w:t>, 2016/679/UE</w:t>
      </w:r>
      <w:r>
        <w:rPr>
          <w:rFonts w:ascii="Times New Roman" w:hAnsi="Times New Roman"/>
          <w:sz w:val="18"/>
          <w:szCs w:val="18"/>
        </w:rPr>
        <w:t xml:space="preserve">; </w:t>
      </w:r>
      <w:hyperlink r:id="rId112" w:history="1">
        <w:r>
          <w:rPr>
            <w:rStyle w:val="Hyperlink"/>
            <w:rFonts w:ascii="Times New Roman" w:hAnsi="Times New Roman"/>
            <w:sz w:val="18"/>
            <w:szCs w:val="18"/>
          </w:rPr>
          <w:t>Directiva privind practicile comerciale neloiale</w:t>
        </w:r>
      </w:hyperlink>
      <w:r>
        <w:rPr>
          <w:rStyle w:val="Hyperlink"/>
          <w:rFonts w:ascii="Times New Roman" w:hAnsi="Times New Roman"/>
          <w:sz w:val="18"/>
          <w:szCs w:val="18"/>
          <w:u w:val="none"/>
        </w:rPr>
        <w:t>, 2005/29/CE</w:t>
      </w:r>
      <w:r>
        <w:rPr>
          <w:rFonts w:ascii="Times New Roman" w:hAnsi="Times New Roman"/>
          <w:sz w:val="18"/>
          <w:szCs w:val="18"/>
        </w:rPr>
        <w:t xml:space="preserve">; </w:t>
      </w:r>
      <w:hyperlink r:id="rId113" w:history="1">
        <w:r>
          <w:rPr>
            <w:rStyle w:val="Hyperlink"/>
            <w:rFonts w:ascii="Times New Roman" w:hAnsi="Times New Roman"/>
            <w:sz w:val="18"/>
            <w:szCs w:val="18"/>
          </w:rPr>
          <w:t>Comunicarea privind combaterea dezinformării online:</w:t>
        </w:r>
      </w:hyperlink>
      <w:r>
        <w:rPr>
          <w:rStyle w:val="Hyperlink"/>
          <w:rFonts w:ascii="Times New Roman" w:hAnsi="Times New Roman"/>
          <w:sz w:val="18"/>
          <w:szCs w:val="18"/>
        </w:rPr>
        <w:t xml:space="preserve"> </w:t>
      </w:r>
      <w:hyperlink r:id="rId114" w:history="1">
        <w:r>
          <w:rPr>
            <w:rStyle w:val="Hyperlink"/>
            <w:rFonts w:ascii="Times New Roman" w:hAnsi="Times New Roman"/>
            <w:sz w:val="18"/>
            <w:szCs w:val="18"/>
          </w:rPr>
          <w:t>o abordare europeană</w:t>
        </w:r>
      </w:hyperlink>
      <w:r>
        <w:rPr>
          <w:rFonts w:ascii="Times New Roman" w:hAnsi="Times New Roman"/>
          <w:sz w:val="18"/>
          <w:szCs w:val="18"/>
        </w:rPr>
        <w:t xml:space="preserve">, COM(2018) 236; </w:t>
      </w:r>
      <w:hyperlink r:id="rId115" w:history="1">
        <w:r>
          <w:rPr>
            <w:rStyle w:val="Hyperlink"/>
            <w:rFonts w:ascii="Times New Roman" w:hAnsi="Times New Roman"/>
            <w:sz w:val="18"/>
            <w:szCs w:val="18"/>
          </w:rPr>
          <w:t>Strategia europeană pentru un internet mai bun pentru copii</w:t>
        </w:r>
      </w:hyperlink>
      <w:r>
        <w:rPr>
          <w:rFonts w:ascii="Times New Roman" w:hAnsi="Times New Roman"/>
          <w:sz w:val="18"/>
          <w:szCs w:val="18"/>
        </w:rPr>
        <w:t>, COM(2012)196.</w:t>
      </w:r>
    </w:p>
  </w:footnote>
  <w:footnote w:id="9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16" w:history="1">
        <w:r>
          <w:rPr>
            <w:rStyle w:val="Hyperlink"/>
            <w:rFonts w:ascii="Times New Roman" w:hAnsi="Times New Roman"/>
            <w:sz w:val="18"/>
            <w:szCs w:val="18"/>
          </w:rPr>
          <w:t>Propunerea Comisiei de Regulament privind o piață unică pentru serviciile digitale (Actul legislativ privind serviciile digitale)</w:t>
        </w:r>
      </w:hyperlink>
      <w:r>
        <w:rPr>
          <w:rStyle w:val="Hyperlink"/>
          <w:rFonts w:ascii="Times New Roman" w:hAnsi="Times New Roman"/>
          <w:sz w:val="18"/>
          <w:szCs w:val="18"/>
          <w:u w:val="none"/>
        </w:rPr>
        <w:t>,</w:t>
      </w:r>
      <w:r>
        <w:rPr>
          <w:rFonts w:ascii="Times New Roman" w:hAnsi="Times New Roman"/>
          <w:sz w:val="18"/>
          <w:szCs w:val="18"/>
        </w:rPr>
        <w:t xml:space="preserve"> COM/2020/825 final)</w:t>
      </w:r>
      <w:r>
        <w:t>.</w:t>
      </w:r>
    </w:p>
  </w:footnote>
  <w:footnote w:id="9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Codul de bune practici privind dezinformarea include un set de angajamente pe care principalele platforme online și organizații comerciale care reprezintă industria publicității și agenții de publicitate și le-au asumat pentru a limita impactul dezinformării online. Semnatarilor codului li se va solicita să consolideze codul în urma orientărilor pe care Comisia le va publica în primăvara anului 2021.</w:t>
      </w:r>
    </w:p>
  </w:footnote>
  <w:footnote w:id="9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17" w:history="1">
        <w:r>
          <w:rPr>
            <w:rStyle w:val="Hyperlink"/>
            <w:rFonts w:ascii="Times New Roman" w:hAnsi="Times New Roman"/>
            <w:sz w:val="18"/>
            <w:szCs w:val="18"/>
          </w:rPr>
          <w:t>Planul de acțiune pentru educația digitală 2021-2027</w:t>
        </w:r>
      </w:hyperlink>
      <w:r>
        <w:rPr>
          <w:rFonts w:ascii="Times New Roman" w:hAnsi="Times New Roman"/>
          <w:sz w:val="18"/>
          <w:szCs w:val="18"/>
        </w:rPr>
        <w:t xml:space="preserve">, COM(2020)624. </w:t>
      </w:r>
    </w:p>
  </w:footnote>
  <w:footnote w:id="9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18" w:history="1">
        <w:r>
          <w:rPr>
            <w:rStyle w:val="Hyperlink"/>
            <w:rFonts w:ascii="Times New Roman" w:hAnsi="Times New Roman"/>
            <w:i/>
            <w:iCs/>
            <w:sz w:val="18"/>
            <w:szCs w:val="18"/>
          </w:rPr>
          <w:t>General Comment No. 25 (2021) on Rights of children in relation to the digital environment</w:t>
        </w:r>
      </w:hyperlink>
      <w:r>
        <w:rPr>
          <w:rFonts w:ascii="Times New Roman" w:hAnsi="Times New Roman"/>
          <w:sz w:val="18"/>
          <w:szCs w:val="18"/>
        </w:rPr>
        <w:t xml:space="preserve"> [Comentariul general nr. 25 (2021) privind drepturile copiilor în legătură cu mediul digital], Comitetul ONU pentru drepturile copilului</w:t>
      </w:r>
      <w:r>
        <w:t>.</w:t>
      </w:r>
    </w:p>
  </w:footnote>
  <w:footnote w:id="96">
    <w:p>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szCs w:val="18"/>
        </w:rPr>
        <w:t xml:space="preserve"> </w:t>
      </w:r>
      <w:hyperlink r:id="rId119" w:history="1">
        <w:r>
          <w:rPr>
            <w:rStyle w:val="Hyperlink"/>
            <w:rFonts w:ascii="Times New Roman" w:hAnsi="Times New Roman"/>
            <w:sz w:val="18"/>
            <w:szCs w:val="18"/>
          </w:rPr>
          <w:t>Youth Pledge for a Better Internet</w:t>
        </w:r>
      </w:hyperlink>
      <w:r>
        <w:t>.</w:t>
      </w:r>
    </w:p>
  </w:footnote>
  <w:footnote w:id="9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120" w:history="1">
        <w:r>
          <w:rPr>
            <w:rStyle w:val="Hyperlink"/>
            <w:rFonts w:ascii="Times New Roman" w:hAnsi="Times New Roman"/>
            <w:sz w:val="18"/>
            <w:szCs w:val="18"/>
          </w:rPr>
          <w:t xml:space="preserve"> Youth Call for Action</w:t>
        </w:r>
      </w:hyperlink>
      <w:r>
        <w:t>.</w:t>
      </w:r>
    </w:p>
  </w:footnote>
  <w:footnote w:id="9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1" w:history="1">
        <w:r>
          <w:rPr>
            <w:rStyle w:val="Hyperlink"/>
            <w:rFonts w:ascii="Times New Roman" w:hAnsi="Times New Roman"/>
            <w:sz w:val="18"/>
            <w:szCs w:val="18"/>
          </w:rPr>
          <w:t>Un internet mai bun pentru copii</w:t>
        </w:r>
      </w:hyperlink>
      <w:r>
        <w:t>.</w:t>
      </w:r>
    </w:p>
  </w:footnote>
  <w:footnote w:id="9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Anunțată în</w:t>
      </w:r>
      <w:r>
        <w:t xml:space="preserve"> </w:t>
      </w:r>
      <w:hyperlink r:id="rId122" w:history="1">
        <w:r>
          <w:rPr>
            <w:rStyle w:val="Hyperlink"/>
            <w:rFonts w:ascii="Times New Roman" w:hAnsi="Times New Roman"/>
            <w:sz w:val="18"/>
            <w:szCs w:val="18"/>
          </w:rPr>
          <w:t>Comunicarea privind realizarea Spațiului european al educației până în 2025</w:t>
        </w:r>
      </w:hyperlink>
      <w:r>
        <w:t>,</w:t>
      </w:r>
      <w:r>
        <w:rPr>
          <w:rStyle w:val="Hyperlink"/>
          <w:rFonts w:ascii="Times New Roman" w:hAnsi="Times New Roman"/>
          <w:sz w:val="18"/>
          <w:szCs w:val="18"/>
        </w:rPr>
        <w:t xml:space="preserve"> </w:t>
      </w:r>
      <w:r>
        <w:rPr>
          <w:rFonts w:ascii="Times New Roman" w:hAnsi="Times New Roman"/>
          <w:sz w:val="18"/>
          <w:szCs w:val="18"/>
        </w:rPr>
        <w:t>COM(2020) 625 final</w:t>
      </w:r>
      <w:r>
        <w:t>.</w:t>
      </w:r>
    </w:p>
  </w:footnote>
  <w:footnote w:id="10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3" w:history="1">
        <w:r>
          <w:rPr>
            <w:rStyle w:val="Hyperlink"/>
            <w:rFonts w:ascii="Times New Roman" w:hAnsi="Times New Roman"/>
            <w:sz w:val="18"/>
            <w:szCs w:val="18"/>
          </w:rPr>
          <w:t>Programul Erasmus+</w:t>
        </w:r>
      </w:hyperlink>
    </w:p>
  </w:footnote>
  <w:footnote w:id="101">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4" w:history="1">
        <w:r>
          <w:rPr>
            <w:rStyle w:val="Hyperlink"/>
            <w:rFonts w:ascii="Times New Roman" w:hAnsi="Times New Roman"/>
            <w:i/>
            <w:sz w:val="18"/>
            <w:szCs w:val="18"/>
          </w:rPr>
          <w:t>Draft Policy Guidance on AI for Children</w:t>
        </w:r>
      </w:hyperlink>
      <w:r>
        <w:rPr>
          <w:rFonts w:ascii="Times New Roman" w:hAnsi="Times New Roman"/>
          <w:sz w:val="18"/>
          <w:szCs w:val="18"/>
        </w:rPr>
        <w:t xml:space="preserve"> (Proiect de orientări de politică privind IA pentru copii), UNICEF, 2020</w:t>
      </w:r>
      <w:r>
        <w:t>.</w:t>
      </w:r>
    </w:p>
  </w:footnote>
  <w:footnote w:id="10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Pe baza viitoarei propuneri privind un set de principii digitale, astfel cum s-a anunțat în Comunicarea „Deceniul digital”</w:t>
      </w:r>
    </w:p>
  </w:footnote>
  <w:footnote w:id="10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Standarde europene armonizate, </w:t>
      </w:r>
      <w:hyperlink r:id="rId125" w:history="1">
        <w:r>
          <w:rPr>
            <w:rStyle w:val="Hyperlink"/>
            <w:rFonts w:ascii="Times New Roman" w:hAnsi="Times New Roman"/>
            <w:sz w:val="18"/>
            <w:szCs w:val="18"/>
          </w:rPr>
          <w:t>Accessibility requirement for ICT products and services</w:t>
        </w:r>
      </w:hyperlink>
      <w:r>
        <w:rPr>
          <w:rFonts w:ascii="Times New Roman" w:hAnsi="Times New Roman"/>
          <w:sz w:val="18"/>
          <w:szCs w:val="18"/>
        </w:rPr>
        <w:t xml:space="preserve"> (Exigențe în materie de accesibilitate aplicabile produselor și serviciilor TIC), ETSI, 2018</w:t>
      </w:r>
      <w:r>
        <w:t>.</w:t>
      </w:r>
    </w:p>
  </w:footnote>
  <w:footnote w:id="10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6" w:history="1">
        <w:r>
          <w:rPr>
            <w:rStyle w:val="Hyperlink"/>
            <w:rFonts w:ascii="Times New Roman" w:hAnsi="Times New Roman"/>
            <w:sz w:val="18"/>
            <w:szCs w:val="18"/>
          </w:rPr>
          <w:t>Directiva privind cerințele de accesibilitate aplicabile produselor și serviciilor</w:t>
        </w:r>
      </w:hyperlink>
      <w:r>
        <w:rPr>
          <w:rStyle w:val="Hyperlink"/>
          <w:rFonts w:ascii="Times New Roman" w:hAnsi="Times New Roman"/>
          <w:sz w:val="18"/>
          <w:szCs w:val="18"/>
          <w:u w:val="none"/>
        </w:rPr>
        <w:t xml:space="preserve">, </w:t>
      </w:r>
      <w:r>
        <w:rPr>
          <w:rFonts w:ascii="Times New Roman" w:hAnsi="Times New Roman"/>
          <w:sz w:val="18"/>
          <w:szCs w:val="18"/>
        </w:rPr>
        <w:t>2019/882/UE</w:t>
      </w:r>
      <w:r>
        <w:t>.</w:t>
      </w:r>
    </w:p>
  </w:footnote>
  <w:footnote w:id="10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7" w:history="1">
        <w:r>
          <w:rPr>
            <w:rStyle w:val="Hyperlink"/>
            <w:rFonts w:ascii="Times New Roman" w:hAnsi="Times New Roman"/>
            <w:sz w:val="18"/>
            <w:szCs w:val="18"/>
          </w:rPr>
          <w:t>Cadrul competențelor digitale 2.0</w:t>
        </w:r>
      </w:hyperlink>
      <w:r>
        <w:rPr>
          <w:rFonts w:ascii="Times New Roman" w:hAnsi="Times New Roman"/>
          <w:sz w:val="18"/>
          <w:szCs w:val="18"/>
        </w:rPr>
        <w:t xml:space="preserve"> EU Science Hub (Platforma științifică europeană), Comisia Europeană.</w:t>
      </w:r>
    </w:p>
  </w:footnote>
  <w:footnote w:id="10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8" w:history="1">
        <w:r>
          <w:rPr>
            <w:rStyle w:val="Hyperlink"/>
            <w:rFonts w:ascii="Times New Roman" w:hAnsi="Times New Roman"/>
            <w:i/>
            <w:sz w:val="18"/>
            <w:szCs w:val="18"/>
          </w:rPr>
          <w:t>Children affected by armed conflict,</w:t>
        </w:r>
        <w:r>
          <w:rPr>
            <w:rStyle w:val="Hyperlink"/>
            <w:rFonts w:ascii="Times New Roman" w:hAnsi="Times New Roman"/>
            <w:sz w:val="18"/>
            <w:szCs w:val="18"/>
          </w:rPr>
          <w:t xml:space="preserve"> 1990-2019</w:t>
        </w:r>
      </w:hyperlink>
      <w:r>
        <w:rPr>
          <w:rFonts w:ascii="Times New Roman" w:hAnsi="Times New Roman"/>
          <w:sz w:val="18"/>
          <w:szCs w:val="18"/>
        </w:rPr>
        <w:t>, Peace Research Institute Oslo, Conflict trends, 2020</w:t>
      </w:r>
      <w:r>
        <w:t>.</w:t>
      </w:r>
    </w:p>
  </w:footnote>
  <w:footnote w:id="107">
    <w:p>
      <w:pPr>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szCs w:val="18"/>
        </w:rPr>
        <w:t xml:space="preserve"> </w:t>
      </w:r>
      <w:hyperlink r:id="rId129" w:history="1">
        <w:r>
          <w:rPr>
            <w:rStyle w:val="Hyperlink"/>
            <w:rFonts w:ascii="Times New Roman" w:hAnsi="Times New Roman"/>
            <w:sz w:val="18"/>
            <w:szCs w:val="18"/>
          </w:rPr>
          <w:t>Rețeaua interagenții pentru educație în situații de urgență</w:t>
        </w:r>
      </w:hyperlink>
      <w:r>
        <w:rPr>
          <w:rFonts w:ascii="Times New Roman" w:hAnsi="Times New Roman"/>
          <w:sz w:val="18"/>
          <w:szCs w:val="18"/>
        </w:rPr>
        <w:t>, 2020</w:t>
      </w:r>
      <w:r>
        <w:t>.</w:t>
      </w:r>
    </w:p>
  </w:footnote>
  <w:footnote w:id="108">
    <w:p>
      <w:pPr>
        <w:pStyle w:val="Heading1"/>
        <w:spacing w:before="0" w:line="240" w:lineRule="auto"/>
      </w:pPr>
      <w:r>
        <w:rPr>
          <w:rStyle w:val="FootnoteReference"/>
          <w:rFonts w:ascii="Times New Roman" w:hAnsi="Times New Roman" w:cs="Times New Roman"/>
          <w:color w:val="auto"/>
          <w:sz w:val="18"/>
          <w:szCs w:val="18"/>
        </w:rPr>
        <w:footnoteRef/>
      </w:r>
      <w:r>
        <w:rPr>
          <w:rFonts w:ascii="Times New Roman" w:hAnsi="Times New Roman"/>
          <w:sz w:val="18"/>
          <w:szCs w:val="18"/>
        </w:rPr>
        <w:t xml:space="preserve"> </w:t>
      </w:r>
      <w:hyperlink r:id="rId130" w:history="1">
        <w:r>
          <w:rPr>
            <w:rStyle w:val="Hyperlink"/>
            <w:rFonts w:ascii="Times New Roman" w:hAnsi="Times New Roman"/>
            <w:sz w:val="18"/>
            <w:szCs w:val="18"/>
          </w:rPr>
          <w:t>Copiii:</w:t>
        </w:r>
      </w:hyperlink>
      <w:hyperlink r:id="rId131" w:history="1">
        <w:r>
          <w:rPr>
            <w:rStyle w:val="Hyperlink"/>
            <w:rFonts w:ascii="Times New Roman" w:hAnsi="Times New Roman"/>
            <w:sz w:val="18"/>
            <w:szCs w:val="18"/>
          </w:rPr>
          <w:t xml:space="preserve"> îmbunătățirea supraviețuirii și a bunăstării lor</w:t>
        </w:r>
      </w:hyperlink>
      <w:r>
        <w:rPr>
          <w:rFonts w:ascii="Times New Roman" w:hAnsi="Times New Roman"/>
          <w:sz w:val="18"/>
          <w:szCs w:val="18"/>
        </w:rPr>
        <w:t xml:space="preserve">, </w:t>
      </w:r>
      <w:r>
        <w:rPr>
          <w:rFonts w:ascii="Times New Roman" w:hAnsi="Times New Roman"/>
          <w:color w:val="auto"/>
          <w:sz w:val="18"/>
          <w:szCs w:val="18"/>
        </w:rPr>
        <w:t>Organizația Mondială a Sănătății, 2019</w:t>
      </w:r>
      <w:r>
        <w:t>.</w:t>
      </w:r>
    </w:p>
  </w:footnote>
  <w:footnote w:id="10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32" w:history="1">
        <w:r>
          <w:rPr>
            <w:rStyle w:val="Hyperlink"/>
            <w:rFonts w:ascii="Times New Roman" w:hAnsi="Times New Roman"/>
            <w:i/>
            <w:sz w:val="18"/>
            <w:szCs w:val="18"/>
          </w:rPr>
          <w:t>Policy Brief:</w:t>
        </w:r>
      </w:hyperlink>
      <w:hyperlink r:id="rId133" w:history="1">
        <w:r>
          <w:rPr>
            <w:rStyle w:val="Hyperlink"/>
            <w:rFonts w:ascii="Times New Roman" w:hAnsi="Times New Roman"/>
            <w:i/>
            <w:sz w:val="18"/>
            <w:szCs w:val="18"/>
          </w:rPr>
          <w:t xml:space="preserve"> Education during COVID-19 and beyond</w:t>
        </w:r>
      </w:hyperlink>
      <w:r>
        <w:rPr>
          <w:rFonts w:ascii="Times New Roman" w:hAnsi="Times New Roman"/>
          <w:sz w:val="18"/>
          <w:szCs w:val="18"/>
        </w:rPr>
        <w:t xml:space="preserve"> (Sinteză politică: Educație în timpul pandemiei de COVID-19 și ulterior), Organizația Națiunilor Unite, august 2020.</w:t>
      </w:r>
    </w:p>
  </w:footnote>
  <w:footnote w:id="110">
    <w:p>
      <w:pPr>
        <w:pStyle w:val="FootnoteText"/>
      </w:pPr>
      <w:r>
        <w:rPr>
          <w:rStyle w:val="FootnoteReference"/>
        </w:rPr>
        <w:footnoteRef/>
      </w:r>
      <w:r>
        <w:t xml:space="preserve"> </w:t>
      </w:r>
      <w:r>
        <w:rPr>
          <w:rFonts w:ascii="Times New Roman" w:hAnsi="Times New Roman"/>
          <w:sz w:val="18"/>
          <w:szCs w:val="18"/>
        </w:rPr>
        <w:t xml:space="preserve">Comunicarea comună intitulată </w:t>
      </w:r>
      <w:hyperlink r:id="rId134" w:history="1">
        <w:r>
          <w:rPr>
            <w:rStyle w:val="Hyperlink"/>
            <w:rFonts w:ascii="Times New Roman" w:hAnsi="Times New Roman"/>
            <w:sz w:val="18"/>
            <w:szCs w:val="18"/>
          </w:rPr>
          <w:t>„Planul de acțiune al UE privind drepturile omului și democrația 2020-2024”</w:t>
        </w:r>
      </w:hyperlink>
      <w:r>
        <w:rPr>
          <w:rFonts w:ascii="Times New Roman" w:hAnsi="Times New Roman"/>
          <w:sz w:val="18"/>
          <w:szCs w:val="18"/>
        </w:rPr>
        <w:t xml:space="preserve"> (JOIN/2020/5 final)</w:t>
      </w:r>
      <w:r>
        <w:t>.</w:t>
      </w:r>
    </w:p>
  </w:footnote>
  <w:footnote w:id="111">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35" w:history="1">
        <w:r>
          <w:rPr>
            <w:rStyle w:val="Hyperlink"/>
            <w:rFonts w:ascii="Times New Roman" w:hAnsi="Times New Roman"/>
            <w:sz w:val="18"/>
            <w:szCs w:val="18"/>
          </w:rPr>
          <w:t>Orientări privind promovarea și protecția drepturilor copilului</w:t>
        </w:r>
      </w:hyperlink>
      <w:r>
        <w:rPr>
          <w:rFonts w:ascii="Times New Roman" w:hAnsi="Times New Roman"/>
          <w:sz w:val="18"/>
          <w:szCs w:val="18"/>
        </w:rPr>
        <w:t>, 2017</w:t>
      </w:r>
      <w:r>
        <w:t>.</w:t>
      </w:r>
    </w:p>
  </w:footnote>
  <w:footnote w:id="11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36" w:history="1">
        <w:r>
          <w:rPr>
            <w:rStyle w:val="Hyperlink"/>
            <w:rFonts w:ascii="Times New Roman" w:hAnsi="Times New Roman"/>
            <w:sz w:val="18"/>
            <w:szCs w:val="18"/>
          </w:rPr>
          <w:t>Orientările UE privind copiii în conflictele armate</w:t>
        </w:r>
      </w:hyperlink>
      <w:r>
        <w:rPr>
          <w:rStyle w:val="Hyperlink"/>
          <w:rFonts w:ascii="Times New Roman" w:hAnsi="Times New Roman"/>
          <w:sz w:val="18"/>
          <w:szCs w:val="18"/>
          <w:u w:val="none"/>
        </w:rPr>
        <w:t>, 2008</w:t>
      </w:r>
      <w:r>
        <w:t>.</w:t>
      </w:r>
    </w:p>
  </w:footnote>
  <w:footnote w:id="11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37" w:history="1">
        <w:r>
          <w:rPr>
            <w:rStyle w:val="Hyperlink"/>
            <w:rFonts w:ascii="Times New Roman" w:hAnsi="Times New Roman"/>
            <w:sz w:val="18"/>
            <w:szCs w:val="18"/>
          </w:rPr>
          <w:t xml:space="preserve">Planul de acțiune al UE pentru egalitatea de gen în acțiunile externe </w:t>
        </w:r>
      </w:hyperlink>
      <w:r>
        <w:rPr>
          <w:rFonts w:ascii="Times New Roman" w:hAnsi="Times New Roman"/>
          <w:sz w:val="18"/>
          <w:szCs w:val="18"/>
        </w:rPr>
        <w:t>(2021-2025)</w:t>
      </w:r>
      <w:r>
        <w:t>.</w:t>
      </w:r>
      <w:r>
        <w:rPr>
          <w:rFonts w:ascii="Times New Roman" w:hAnsi="Times New Roman"/>
          <w:sz w:val="18"/>
          <w:szCs w:val="18"/>
        </w:rPr>
        <w:t xml:space="preserve"> </w:t>
      </w:r>
    </w:p>
  </w:footnote>
  <w:footnote w:id="114">
    <w:p>
      <w:pPr>
        <w:pStyle w:val="FootnoteText"/>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38" w:history="1">
        <w:r>
          <w:rPr>
            <w:rStyle w:val="Hyperlink"/>
            <w:rFonts w:ascii="Times New Roman" w:hAnsi="Times New Roman"/>
            <w:sz w:val="18"/>
            <w:szCs w:val="18"/>
          </w:rPr>
          <w:t>Setul de instrumente privind drepturile copilului</w:t>
        </w:r>
      </w:hyperlink>
      <w:r>
        <w:t xml:space="preserve">. </w:t>
      </w:r>
      <w:hyperlink r:id="rId139" w:history="1">
        <w:r>
          <w:rPr>
            <w:rStyle w:val="Hyperlink"/>
            <w:rFonts w:ascii="Times New Roman" w:hAnsi="Times New Roman"/>
            <w:sz w:val="18"/>
            <w:szCs w:val="18"/>
          </w:rPr>
          <w:t>Integrarea drepturilor copilului în cooperarea pentru dezvoltare</w:t>
        </w:r>
      </w:hyperlink>
      <w:r>
        <w:t>.</w:t>
      </w:r>
    </w:p>
  </w:footnote>
  <w:footnote w:id="11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40" w:history="1">
        <w:r>
          <w:rPr>
            <w:rStyle w:val="Hyperlink"/>
            <w:rFonts w:ascii="Times New Roman" w:hAnsi="Times New Roman"/>
            <w:i/>
            <w:sz w:val="18"/>
            <w:szCs w:val="18"/>
          </w:rPr>
          <w:t>Global estimates of child labour</w:t>
        </w:r>
      </w:hyperlink>
      <w:r>
        <w:rPr>
          <w:rFonts w:ascii="Times New Roman" w:hAnsi="Times New Roman"/>
          <w:sz w:val="18"/>
          <w:szCs w:val="18"/>
        </w:rPr>
        <w:t xml:space="preserve"> (Estimări globale privind munca copiilor), Organizația Internațională a Muncii, 2017</w:t>
      </w:r>
      <w:r>
        <w:t>.</w:t>
      </w:r>
      <w:r>
        <w:rPr>
          <w:rFonts w:ascii="Times New Roman" w:hAnsi="Times New Roman"/>
          <w:sz w:val="18"/>
          <w:szCs w:val="18"/>
        </w:rPr>
        <w:t xml:space="preserve"> </w:t>
      </w:r>
    </w:p>
  </w:footnote>
  <w:footnote w:id="116">
    <w:p>
      <w:pPr>
        <w:pStyle w:val="FootnoteText"/>
      </w:pPr>
      <w:r>
        <w:rPr>
          <w:rStyle w:val="FootnoteReference"/>
        </w:rPr>
        <w:footnoteRef/>
      </w:r>
      <w:r>
        <w:t xml:space="preserve"> </w:t>
      </w:r>
      <w:hyperlink r:id="rId141" w:history="1">
        <w:r>
          <w:rPr>
            <w:rStyle w:val="Hyperlink"/>
            <w:rFonts w:ascii="Times New Roman" w:hAnsi="Times New Roman"/>
            <w:sz w:val="18"/>
            <w:szCs w:val="18"/>
          </w:rPr>
          <w:t>Organizația Internațională a Muncii</w:t>
        </w:r>
      </w:hyperlink>
      <w:r>
        <w:t>.</w:t>
      </w:r>
      <w:r>
        <w:rPr>
          <w:rStyle w:val="Hyperlink"/>
          <w:rFonts w:ascii="Times New Roman" w:hAnsi="Times New Roman"/>
          <w:sz w:val="18"/>
          <w:szCs w:val="18"/>
        </w:rPr>
        <w:t xml:space="preserve"> </w:t>
      </w:r>
    </w:p>
  </w:footnote>
  <w:footnote w:id="117">
    <w:p>
      <w:pPr>
        <w:pStyle w:val="FootnoteText"/>
        <w:rPr>
          <w:i/>
        </w:rPr>
      </w:pPr>
      <w:r>
        <w:rPr>
          <w:rStyle w:val="FootnoteReference"/>
        </w:rPr>
        <w:footnoteRef/>
      </w:r>
      <w:r>
        <w:t xml:space="preserve"> </w:t>
      </w:r>
      <w:hyperlink r:id="rId142" w:history="1">
        <w:r>
          <w:rPr>
            <w:rStyle w:val="Hyperlink"/>
            <w:rFonts w:ascii="Times New Roman" w:hAnsi="Times New Roman"/>
            <w:sz w:val="18"/>
            <w:szCs w:val="18"/>
          </w:rPr>
          <w:t>Planul de acțiune al UE privind drepturile omului și democrația 2020-2024</w:t>
        </w:r>
      </w:hyperlink>
      <w:r>
        <w:rPr>
          <w:rFonts w:ascii="Times New Roman" w:hAnsi="Times New Roman"/>
          <w:sz w:val="18"/>
          <w:szCs w:val="18"/>
        </w:rPr>
        <w:t xml:space="preserve">, </w:t>
      </w:r>
      <w:r>
        <w:rPr>
          <w:rFonts w:ascii="Times New Roman" w:hAnsi="Times New Roman"/>
          <w:i/>
          <w:sz w:val="18"/>
          <w:szCs w:val="18"/>
        </w:rPr>
        <w:t>op.cit.</w:t>
      </w:r>
    </w:p>
  </w:footnote>
  <w:footnote w:id="11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 se vedea anexa 2.</w:t>
      </w:r>
    </w:p>
  </w:footnote>
  <w:footnote w:id="11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43" w:history="1">
        <w:r>
          <w:rPr>
            <w:rStyle w:val="Hyperlink"/>
            <w:rFonts w:ascii="Times New Roman" w:hAnsi="Times New Roman"/>
            <w:sz w:val="18"/>
            <w:szCs w:val="18"/>
          </w:rPr>
          <w:t>Orizont Europa</w:t>
        </w:r>
      </w:hyperlink>
      <w:r>
        <w:t>.</w:t>
      </w:r>
    </w:p>
  </w:footnote>
  <w:footnote w:id="12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44" w:history="1">
        <w:r>
          <w:rPr>
            <w:rStyle w:val="Hyperlink"/>
            <w:rFonts w:ascii="Times New Roman" w:hAnsi="Times New Roman"/>
            <w:sz w:val="18"/>
            <w:szCs w:val="18"/>
          </w:rPr>
          <w:t>Grupul informal de experți privind drepturile copilului</w:t>
        </w:r>
      </w:hyperlink>
      <w:r>
        <w:t xml:space="preserve">, </w:t>
      </w:r>
      <w:r>
        <w:rPr>
          <w:rFonts w:ascii="Times New Roman" w:hAnsi="Times New Roman"/>
          <w:sz w:val="18"/>
          <w:szCs w:val="18"/>
        </w:rPr>
        <w:t>Comisia Europeană</w:t>
      </w:r>
      <w:r>
        <w:t>.</w:t>
      </w:r>
    </w:p>
  </w:footnote>
  <w:footnote w:id="12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45" w:history="1">
        <w:r>
          <w:rPr>
            <w:rStyle w:val="Hyperlink"/>
            <w:rFonts w:ascii="Times New Roman" w:hAnsi="Times New Roman"/>
            <w:sz w:val="18"/>
            <w:szCs w:val="18"/>
          </w:rPr>
          <w:t>Comunicarea privind protecția copiilor migranți</w:t>
        </w:r>
      </w:hyperlink>
      <w:r>
        <w:rPr>
          <w:rStyle w:val="Hyperlink"/>
          <w:rFonts w:ascii="Times New Roman" w:hAnsi="Times New Roman"/>
          <w:sz w:val="18"/>
          <w:szCs w:val="18"/>
        </w:rPr>
        <w:t>,</w:t>
      </w:r>
      <w:r>
        <w:rPr>
          <w:rFonts w:ascii="Times New Roman" w:hAnsi="Times New Roman"/>
          <w:sz w:val="18"/>
          <w:szCs w:val="18"/>
        </w:rPr>
        <w:t xml:space="preserve"> COM(2017)211 final; </w:t>
      </w:r>
      <w:hyperlink r:id="rId146" w:history="1">
        <w:r>
          <w:rPr>
            <w:rStyle w:val="Hyperlink"/>
            <w:rFonts w:ascii="Times New Roman" w:hAnsi="Times New Roman"/>
            <w:sz w:val="18"/>
            <w:szCs w:val="18"/>
          </w:rPr>
          <w:t>Comunicarea „Strategia privind egalitatea de gen 2020-2025”</w:t>
        </w:r>
      </w:hyperlink>
      <w:r>
        <w:rPr>
          <w:rStyle w:val="Hyperlink"/>
          <w:rFonts w:ascii="Times New Roman" w:hAnsi="Times New Roman"/>
          <w:sz w:val="18"/>
          <w:szCs w:val="18"/>
        </w:rPr>
        <w:t>,</w:t>
      </w:r>
      <w:r>
        <w:rPr>
          <w:rFonts w:ascii="Times New Roman" w:hAnsi="Times New Roman"/>
          <w:sz w:val="18"/>
          <w:szCs w:val="18"/>
        </w:rPr>
        <w:t xml:space="preserve"> COM/2020/152 final; </w:t>
      </w:r>
      <w:hyperlink r:id="rId147" w:history="1">
        <w:r>
          <w:rPr>
            <w:rStyle w:val="Hyperlink"/>
            <w:rFonts w:ascii="Times New Roman" w:hAnsi="Times New Roman"/>
            <w:sz w:val="18"/>
            <w:szCs w:val="18"/>
          </w:rPr>
          <w:t>Comunicarea privind Cadrul strategic al UE pentru egalitatea, incluziunea și participarea romilor</w:t>
        </w:r>
      </w:hyperlink>
      <w:r>
        <w:rPr>
          <w:rStyle w:val="Hyperlink"/>
          <w:rFonts w:ascii="Times New Roman" w:hAnsi="Times New Roman"/>
          <w:sz w:val="18"/>
          <w:szCs w:val="18"/>
        </w:rPr>
        <w:t>,</w:t>
      </w:r>
      <w:r>
        <w:rPr>
          <w:rFonts w:ascii="Times New Roman" w:hAnsi="Times New Roman"/>
          <w:sz w:val="18"/>
          <w:szCs w:val="18"/>
        </w:rPr>
        <w:t xml:space="preserve"> COM/2020/620 final și </w:t>
      </w:r>
      <w:hyperlink r:id="rId148" w:history="1">
        <w:r>
          <w:rPr>
            <w:rStyle w:val="Hyperlink"/>
            <w:rFonts w:ascii="Times New Roman" w:hAnsi="Times New Roman"/>
            <w:sz w:val="18"/>
            <w:szCs w:val="18"/>
          </w:rPr>
          <w:t>Recomandarea Consiliului privind</w:t>
        </w:r>
        <w:r>
          <w:rPr>
            <w:rStyle w:val="Hyperlink"/>
            <w:rFonts w:ascii="Times New Roman" w:hAnsi="Times New Roman"/>
            <w:bCs/>
            <w:sz w:val="18"/>
            <w:szCs w:val="18"/>
          </w:rPr>
          <w:t xml:space="preserve"> egalitatea, incluziunea și participarea romilor</w:t>
        </w:r>
      </w:hyperlink>
      <w:r>
        <w:rPr>
          <w:rFonts w:ascii="Times New Roman" w:hAnsi="Times New Roman"/>
          <w:bCs/>
          <w:sz w:val="18"/>
          <w:szCs w:val="18"/>
        </w:rPr>
        <w:t xml:space="preserve"> (2021/C 93/01);</w:t>
      </w:r>
      <w:r>
        <w:t xml:space="preserve"> </w:t>
      </w:r>
      <w:hyperlink r:id="rId149" w:history="1">
        <w:r>
          <w:rPr>
            <w:rStyle w:val="Hyperlink"/>
            <w:rFonts w:ascii="Times New Roman" w:hAnsi="Times New Roman"/>
            <w:sz w:val="18"/>
            <w:szCs w:val="18"/>
          </w:rPr>
          <w:t>Comunicarea „Strategia privind egalitatea pentru persoanele LGBTIQ 2020-2025”</w:t>
        </w:r>
      </w:hyperlink>
      <w:r>
        <w:rPr>
          <w:rStyle w:val="Hyperlink"/>
          <w:rFonts w:ascii="Times New Roman" w:hAnsi="Times New Roman"/>
          <w:sz w:val="18"/>
          <w:szCs w:val="18"/>
        </w:rPr>
        <w:t>,</w:t>
      </w:r>
      <w:r>
        <w:rPr>
          <w:rStyle w:val="Hyperlink"/>
          <w:rFonts w:ascii="Times New Roman" w:hAnsi="Times New Roman"/>
          <w:color w:val="auto"/>
          <w:sz w:val="18"/>
          <w:szCs w:val="18"/>
          <w:u w:val="none"/>
        </w:rPr>
        <w:t xml:space="preserve"> COM/2020/698 final</w:t>
      </w:r>
      <w:r>
        <w:rPr>
          <w:rFonts w:ascii="Times New Roman" w:hAnsi="Times New Roman"/>
          <w:sz w:val="18"/>
          <w:szCs w:val="18"/>
        </w:rPr>
        <w:t xml:space="preserve">, </w:t>
      </w:r>
      <w:hyperlink r:id="rId150" w:history="1">
        <w:r>
          <w:rPr>
            <w:rStyle w:val="Hyperlink"/>
            <w:rFonts w:ascii="Times New Roman" w:hAnsi="Times New Roman"/>
            <w:sz w:val="18"/>
            <w:szCs w:val="18"/>
          </w:rPr>
          <w:t>Planul de acțiune privind integrarea și incluziunea pentru perioada 2021-2027</w:t>
        </w:r>
      </w:hyperlink>
      <w:r>
        <w:rPr>
          <w:rStyle w:val="Hyperlink"/>
          <w:rFonts w:ascii="Times New Roman" w:hAnsi="Times New Roman"/>
          <w:sz w:val="18"/>
          <w:szCs w:val="18"/>
        </w:rPr>
        <w:t>,</w:t>
      </w:r>
      <w:r>
        <w:rPr>
          <w:rFonts w:ascii="Times New Roman" w:hAnsi="Times New Roman"/>
          <w:sz w:val="18"/>
          <w:szCs w:val="18"/>
        </w:rPr>
        <w:t xml:space="preserve"> COM(2020)758 final și Strategia privind drepturile persoanelor cu handicap; </w:t>
      </w:r>
      <w:hyperlink r:id="rId151" w:history="1">
        <w:r>
          <w:rPr>
            <w:rStyle w:val="Hyperlink"/>
            <w:rFonts w:ascii="Times New Roman" w:hAnsi="Times New Roman"/>
            <w:sz w:val="18"/>
            <w:szCs w:val="18"/>
          </w:rPr>
          <w:t>Comunicarea privind Planul de acțiune al UE de combatere a rasismului</w:t>
        </w:r>
      </w:hyperlink>
      <w:r>
        <w:rPr>
          <w:rStyle w:val="Hyperlink"/>
          <w:rFonts w:ascii="Times New Roman" w:hAnsi="Times New Roman"/>
          <w:color w:val="auto"/>
          <w:sz w:val="18"/>
          <w:szCs w:val="18"/>
          <w:u w:val="none"/>
        </w:rPr>
        <w:t xml:space="preserve"> pentru perioada 2020-2025, COM/2020/565 final,</w:t>
      </w:r>
      <w:r>
        <w:rPr>
          <w:rFonts w:ascii="Times New Roman" w:hAnsi="Times New Roman"/>
          <w:sz w:val="18"/>
          <w:szCs w:val="18"/>
        </w:rPr>
        <w:t xml:space="preserve"> </w:t>
      </w:r>
      <w:r>
        <w:rPr>
          <w:rStyle w:val="Hyperlink"/>
          <w:rFonts w:ascii="Times New Roman" w:hAnsi="Times New Roman"/>
          <w:color w:val="auto"/>
          <w:sz w:val="18"/>
          <w:szCs w:val="18"/>
          <w:u w:val="none"/>
        </w:rPr>
        <w:t xml:space="preserve">și viitoarea strategie de combatere a antisemitismului, planificată pentru 2021; </w:t>
      </w:r>
      <w:hyperlink r:id="rId152" w:history="1">
        <w:r>
          <w:rPr>
            <w:rStyle w:val="Hyperlink"/>
            <w:rFonts w:ascii="Times New Roman" w:hAnsi="Times New Roman"/>
            <w:sz w:val="18"/>
            <w:szCs w:val="18"/>
          </w:rPr>
          <w:t>Raportul din 2020 privind cetățenia Uniunii: Capacitarea cetățenilor și protejarea drepturilor acestora</w:t>
        </w:r>
      </w:hyperlink>
      <w:r>
        <w:rPr>
          <w:rFonts w:ascii="Times New Roman" w:hAnsi="Times New Roman"/>
          <w:sz w:val="18"/>
          <w:szCs w:val="18"/>
        </w:rPr>
        <w:t xml:space="preserve">, COM/2020/730 final, </w:t>
      </w:r>
      <w:hyperlink r:id="rId153" w:history="1">
        <w:r>
          <w:rPr>
            <w:rStyle w:val="Hyperlink"/>
            <w:rFonts w:ascii="Times New Roman" w:hAnsi="Times New Roman"/>
            <w:sz w:val="18"/>
            <w:szCs w:val="18"/>
          </w:rPr>
          <w:t>Strategia UE privind drepturile victimelor (2020-2025)</w:t>
        </w:r>
      </w:hyperlink>
      <w:r>
        <w:rPr>
          <w:rFonts w:ascii="Times New Roman" w:hAnsi="Times New Roman"/>
          <w:sz w:val="18"/>
          <w:szCs w:val="18"/>
        </w:rPr>
        <w:t xml:space="preserve">, COM(2020)258, </w:t>
      </w:r>
      <w:hyperlink r:id="rId154" w:history="1">
        <w:r>
          <w:rPr>
            <w:rStyle w:val="Hyperlink"/>
            <w:rFonts w:ascii="Times New Roman" w:hAnsi="Times New Roman"/>
            <w:sz w:val="18"/>
            <w:szCs w:val="18"/>
          </w:rPr>
          <w:t>Strategia UE pentru combaterea mai eficace a abuzului sexual asupra copiilor</w:t>
        </w:r>
      </w:hyperlink>
      <w:r>
        <w:rPr>
          <w:rFonts w:ascii="Times New Roman" w:hAnsi="Times New Roman"/>
          <w:sz w:val="18"/>
          <w:szCs w:val="18"/>
        </w:rPr>
        <w:t>, COM(2020)607</w:t>
      </w:r>
      <w:r>
        <w:t>.</w:t>
      </w:r>
    </w:p>
  </w:footnote>
  <w:footnote w:id="12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hyperlink r:id="rId155" w:history="1">
        <w:r>
          <w:rPr>
            <w:rStyle w:val="Hyperlink"/>
            <w:rFonts w:ascii="Times New Roman" w:hAnsi="Times New Roman"/>
            <w:sz w:val="18"/>
            <w:szCs w:val="18"/>
            <w:shd w:val="clear" w:color="auto" w:fill="FFFFFF"/>
          </w:rPr>
          <w:t>Recomandarea Comisiei intitulată „Investiția în copii:</w:t>
        </w:r>
      </w:hyperlink>
      <w:hyperlink r:id="rId156" w:history="1">
        <w:r>
          <w:rPr>
            <w:rStyle w:val="Hyperlink"/>
            <w:rFonts w:ascii="Times New Roman" w:hAnsi="Times New Roman"/>
            <w:sz w:val="18"/>
            <w:szCs w:val="18"/>
            <w:shd w:val="clear" w:color="auto" w:fill="FFFFFF"/>
          </w:rPr>
          <w:t>ruperea cercului vicios al defavorizării”</w:t>
        </w:r>
      </w:hyperlink>
      <w:r>
        <w:rPr>
          <w:rFonts w:ascii="Times New Roman" w:hAnsi="Times New Roman"/>
          <w:sz w:val="18"/>
          <w:szCs w:val="18"/>
          <w:shd w:val="clear" w:color="auto" w:fill="FFFFFF"/>
        </w:rPr>
        <w:t xml:space="preserve"> (2013/112/UE); </w:t>
      </w:r>
      <w:hyperlink r:id="rId157" w:history="1">
        <w:r>
          <w:rPr>
            <w:rStyle w:val="Hyperlink"/>
            <w:rFonts w:ascii="Times New Roman" w:hAnsi="Times New Roman"/>
            <w:sz w:val="18"/>
            <w:szCs w:val="18"/>
          </w:rPr>
          <w:t>Pilonul european al drepturilor sociale</w:t>
        </w:r>
      </w:hyperlink>
      <w:r>
        <w:rPr>
          <w:rFonts w:ascii="Times New Roman" w:hAnsi="Times New Roman"/>
          <w:sz w:val="18"/>
          <w:szCs w:val="18"/>
        </w:rPr>
        <w:t xml:space="preserve">; </w:t>
      </w:r>
      <w:hyperlink r:id="rId158" w:history="1">
        <w:r>
          <w:rPr>
            <w:rStyle w:val="Hyperlink"/>
            <w:rFonts w:ascii="Times New Roman" w:hAnsi="Times New Roman"/>
            <w:sz w:val="18"/>
            <w:szCs w:val="18"/>
          </w:rPr>
          <w:t>Planul de acțiune privind Pilonul european al drepturilor sociale</w:t>
        </w:r>
      </w:hyperlink>
      <w:r>
        <w:rPr>
          <w:rFonts w:ascii="Times New Roman" w:hAnsi="Times New Roman"/>
          <w:sz w:val="18"/>
          <w:szCs w:val="18"/>
        </w:rPr>
        <w:t>, COM (2021) 102 final</w:t>
      </w:r>
      <w:r>
        <w:t>.</w:t>
      </w:r>
      <w:r>
        <w:rPr>
          <w:rFonts w:ascii="Times New Roman" w:hAnsi="Times New Roman"/>
          <w:sz w:val="18"/>
          <w:szCs w:val="18"/>
        </w:rPr>
        <w:t xml:space="preserve"> Propunere de recomandare a Consiliului privind înființarea unei Garanții europene pentru copii, COM(2021) 137; </w:t>
      </w:r>
      <w:hyperlink r:id="rId159" w:history="1">
        <w:r>
          <w:rPr>
            <w:rStyle w:val="Hyperlink"/>
            <w:rFonts w:ascii="Times New Roman" w:hAnsi="Times New Roman"/>
            <w:sz w:val="18"/>
            <w:szCs w:val="18"/>
          </w:rPr>
          <w:t>Comunicarea privind realizarea Spațiului european al educației până în 2025</w:t>
        </w:r>
      </w:hyperlink>
      <w:r>
        <w:t>,</w:t>
      </w:r>
      <w:r>
        <w:rPr>
          <w:rFonts w:ascii="Times New Roman" w:hAnsi="Times New Roman"/>
          <w:sz w:val="18"/>
          <w:szCs w:val="18"/>
        </w:rPr>
        <w:t xml:space="preserve"> COM(2020) 625 final și</w:t>
      </w:r>
      <w:r>
        <w:t xml:space="preserve"> </w:t>
      </w:r>
      <w:hyperlink r:id="rId160" w:history="1">
        <w:r>
          <w:rPr>
            <w:rStyle w:val="Hyperlink"/>
            <w:rFonts w:ascii="Times New Roman" w:hAnsi="Times New Roman"/>
            <w:sz w:val="18"/>
            <w:szCs w:val="18"/>
          </w:rPr>
          <w:t>Planul de acțiune pentru educația digitală 2021-2027</w:t>
        </w:r>
      </w:hyperlink>
      <w:r>
        <w:rPr>
          <w:rFonts w:ascii="Times New Roman" w:hAnsi="Times New Roman"/>
          <w:sz w:val="18"/>
          <w:szCs w:val="18"/>
        </w:rPr>
        <w:t xml:space="preserve">, COM(2020)624. </w:t>
      </w:r>
    </w:p>
  </w:footnote>
  <w:footnote w:id="123">
    <w:p>
      <w:pPr>
        <w:keepNext/>
        <w:tabs>
          <w:tab w:val="num" w:pos="4547"/>
        </w:tabs>
        <w:spacing w:after="0" w:line="240" w:lineRule="auto"/>
        <w:jc w:val="both"/>
        <w:outlineLvl w:val="1"/>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61" w:history="1">
        <w:r>
          <w:rPr>
            <w:rStyle w:val="Hyperlink"/>
            <w:rFonts w:ascii="Times New Roman" w:hAnsi="Times New Roman"/>
            <w:sz w:val="18"/>
            <w:szCs w:val="18"/>
          </w:rPr>
          <w:t>Planul de acțiune al UE privind drepturile omului și democrația 2020-2024</w:t>
        </w:r>
      </w:hyperlink>
      <w:r>
        <w:rPr>
          <w:rFonts w:ascii="Times New Roman" w:hAnsi="Times New Roman"/>
          <w:sz w:val="18"/>
          <w:szCs w:val="18"/>
        </w:rPr>
        <w:t>, JOIN(2020) 5 final</w:t>
      </w:r>
      <w:r>
        <w:rPr>
          <w:rFonts w:ascii="Times New Roman" w:hAnsi="Times New Roman"/>
          <w:i/>
          <w:sz w:val="18"/>
          <w:szCs w:val="18"/>
        </w:rPr>
        <w:t>.</w:t>
      </w:r>
    </w:p>
  </w:footnote>
  <w:footnote w:id="12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62" w:history="1">
        <w:r>
          <w:rPr>
            <w:rStyle w:val="Hyperlink"/>
            <w:rFonts w:ascii="Times New Roman" w:hAnsi="Times New Roman"/>
            <w:sz w:val="18"/>
            <w:szCs w:val="18"/>
            <w:shd w:val="clear" w:color="auto" w:fill="FFFFFF"/>
          </w:rPr>
          <w:t>Strategia</w:t>
        </w:r>
        <w:r>
          <w:rPr>
            <w:rStyle w:val="Hyperlink"/>
            <w:rFonts w:ascii="Times New Roman" w:hAnsi="Times New Roman"/>
            <w:sz w:val="18"/>
            <w:szCs w:val="18"/>
          </w:rPr>
          <w:t xml:space="preserve"> macroregională</w:t>
        </w:r>
      </w:hyperlink>
      <w:r>
        <w:rPr>
          <w:rFonts w:ascii="Times New Roman" w:hAnsi="Times New Roman"/>
          <w:color w:val="111111"/>
          <w:sz w:val="18"/>
          <w:szCs w:val="18"/>
          <w:shd w:val="clear" w:color="auto" w:fill="FFFFFF"/>
        </w:rPr>
        <w:t>, Comisia Europeană.</w:t>
      </w:r>
    </w:p>
  </w:footnote>
  <w:footnote w:id="12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63" w:history="1">
        <w:r>
          <w:rPr>
            <w:rStyle w:val="Hyperlink"/>
            <w:rFonts w:ascii="Times New Roman" w:hAnsi="Times New Roman"/>
            <w:sz w:val="18"/>
            <w:szCs w:val="18"/>
          </w:rPr>
          <w:t>Comitetul ONU pentru drepturile copilului</w:t>
        </w:r>
      </w:hyperlink>
      <w:r>
        <w:rPr>
          <w:rFonts w:ascii="Times New Roman" w:hAnsi="Times New Roman"/>
          <w:sz w:val="18"/>
          <w:szCs w:val="18"/>
        </w:rPr>
        <w:t>, observații finale.</w:t>
      </w:r>
    </w:p>
  </w:footnote>
  <w:footnote w:id="12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64" w:history="1">
        <w:r>
          <w:rPr>
            <w:rStyle w:val="Hyperlink"/>
            <w:rFonts w:ascii="Times New Roman" w:hAnsi="Times New Roman"/>
            <w:sz w:val="18"/>
            <w:szCs w:val="18"/>
          </w:rPr>
          <w:t>Comitetul ONU pentru drepturile persoanelor cu handicap</w:t>
        </w:r>
      </w:hyperlink>
      <w:r>
        <w:rPr>
          <w:rFonts w:ascii="Times New Roman" w:hAnsi="Times New Roman"/>
          <w:sz w:val="18"/>
          <w:szCs w:val="18"/>
        </w:rPr>
        <w:t>, observații finale.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084F"/>
    <w:multiLevelType w:val="hybridMultilevel"/>
    <w:tmpl w:val="6BB6BDDE"/>
    <w:lvl w:ilvl="0" w:tplc="9D6A8034">
      <w:start w:val="1"/>
      <w:numFmt w:val="bullet"/>
      <w:lvlText w:val=""/>
      <w:lvlJc w:val="left"/>
      <w:pPr>
        <w:ind w:left="360" w:hanging="360"/>
      </w:pPr>
      <w:rPr>
        <w:rFonts w:ascii="Wingdings" w:hAnsi="Wingdings"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B1F4E0D"/>
    <w:multiLevelType w:val="hybridMultilevel"/>
    <w:tmpl w:val="383E13E0"/>
    <w:lvl w:ilvl="0" w:tplc="080C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18372B4C"/>
    <w:multiLevelType w:val="hybridMultilevel"/>
    <w:tmpl w:val="624C7840"/>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nsid w:val="18F35FC2"/>
    <w:multiLevelType w:val="hybridMultilevel"/>
    <w:tmpl w:val="CFF461F6"/>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2B9120DE"/>
    <w:multiLevelType w:val="hybridMultilevel"/>
    <w:tmpl w:val="3208A466"/>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nsid w:val="2DC22095"/>
    <w:multiLevelType w:val="hybridMultilevel"/>
    <w:tmpl w:val="6A386A82"/>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nsid w:val="32645AC2"/>
    <w:multiLevelType w:val="hybridMultilevel"/>
    <w:tmpl w:val="496AC308"/>
    <w:lvl w:ilvl="0" w:tplc="DAFA47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6D95FE7"/>
    <w:multiLevelType w:val="multilevel"/>
    <w:tmpl w:val="C5FE43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B208B2"/>
    <w:multiLevelType w:val="hybridMultilevel"/>
    <w:tmpl w:val="E4E81AD4"/>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nsid w:val="3AB73EC9"/>
    <w:multiLevelType w:val="hybridMultilevel"/>
    <w:tmpl w:val="DC96203A"/>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nsid w:val="3AB86382"/>
    <w:multiLevelType w:val="hybridMultilevel"/>
    <w:tmpl w:val="6A9A2250"/>
    <w:lvl w:ilvl="0" w:tplc="DAFA479E">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3AD115EF"/>
    <w:multiLevelType w:val="hybridMultilevel"/>
    <w:tmpl w:val="62361802"/>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nsid w:val="3B8819F5"/>
    <w:multiLevelType w:val="hybridMultilevel"/>
    <w:tmpl w:val="F68CF4FA"/>
    <w:lvl w:ilvl="0" w:tplc="040A0001">
      <w:start w:val="1"/>
      <w:numFmt w:val="bullet"/>
      <w:lvlText w:val=""/>
      <w:lvlJc w:val="left"/>
      <w:pPr>
        <w:ind w:left="872" w:hanging="360"/>
      </w:pPr>
      <w:rPr>
        <w:rFonts w:ascii="Symbol" w:hAnsi="Symbol" w:hint="default"/>
      </w:rPr>
    </w:lvl>
    <w:lvl w:ilvl="1" w:tplc="040A0003" w:tentative="1">
      <w:start w:val="1"/>
      <w:numFmt w:val="bullet"/>
      <w:lvlText w:val="o"/>
      <w:lvlJc w:val="left"/>
      <w:pPr>
        <w:ind w:left="1592" w:hanging="360"/>
      </w:pPr>
      <w:rPr>
        <w:rFonts w:ascii="Courier New" w:hAnsi="Courier New" w:cs="Courier New" w:hint="default"/>
      </w:rPr>
    </w:lvl>
    <w:lvl w:ilvl="2" w:tplc="040A0005" w:tentative="1">
      <w:start w:val="1"/>
      <w:numFmt w:val="bullet"/>
      <w:lvlText w:val=""/>
      <w:lvlJc w:val="left"/>
      <w:pPr>
        <w:ind w:left="2312" w:hanging="360"/>
      </w:pPr>
      <w:rPr>
        <w:rFonts w:ascii="Wingdings" w:hAnsi="Wingdings" w:hint="default"/>
      </w:rPr>
    </w:lvl>
    <w:lvl w:ilvl="3" w:tplc="040A0001" w:tentative="1">
      <w:start w:val="1"/>
      <w:numFmt w:val="bullet"/>
      <w:lvlText w:val=""/>
      <w:lvlJc w:val="left"/>
      <w:pPr>
        <w:ind w:left="3032" w:hanging="360"/>
      </w:pPr>
      <w:rPr>
        <w:rFonts w:ascii="Symbol" w:hAnsi="Symbol" w:hint="default"/>
      </w:rPr>
    </w:lvl>
    <w:lvl w:ilvl="4" w:tplc="040A0003" w:tentative="1">
      <w:start w:val="1"/>
      <w:numFmt w:val="bullet"/>
      <w:lvlText w:val="o"/>
      <w:lvlJc w:val="left"/>
      <w:pPr>
        <w:ind w:left="3752" w:hanging="360"/>
      </w:pPr>
      <w:rPr>
        <w:rFonts w:ascii="Courier New" w:hAnsi="Courier New" w:cs="Courier New" w:hint="default"/>
      </w:rPr>
    </w:lvl>
    <w:lvl w:ilvl="5" w:tplc="040A0005" w:tentative="1">
      <w:start w:val="1"/>
      <w:numFmt w:val="bullet"/>
      <w:lvlText w:val=""/>
      <w:lvlJc w:val="left"/>
      <w:pPr>
        <w:ind w:left="4472" w:hanging="360"/>
      </w:pPr>
      <w:rPr>
        <w:rFonts w:ascii="Wingdings" w:hAnsi="Wingdings" w:hint="default"/>
      </w:rPr>
    </w:lvl>
    <w:lvl w:ilvl="6" w:tplc="040A0001" w:tentative="1">
      <w:start w:val="1"/>
      <w:numFmt w:val="bullet"/>
      <w:lvlText w:val=""/>
      <w:lvlJc w:val="left"/>
      <w:pPr>
        <w:ind w:left="5192" w:hanging="360"/>
      </w:pPr>
      <w:rPr>
        <w:rFonts w:ascii="Symbol" w:hAnsi="Symbol" w:hint="default"/>
      </w:rPr>
    </w:lvl>
    <w:lvl w:ilvl="7" w:tplc="040A0003" w:tentative="1">
      <w:start w:val="1"/>
      <w:numFmt w:val="bullet"/>
      <w:lvlText w:val="o"/>
      <w:lvlJc w:val="left"/>
      <w:pPr>
        <w:ind w:left="5912" w:hanging="360"/>
      </w:pPr>
      <w:rPr>
        <w:rFonts w:ascii="Courier New" w:hAnsi="Courier New" w:cs="Courier New" w:hint="default"/>
      </w:rPr>
    </w:lvl>
    <w:lvl w:ilvl="8" w:tplc="040A0005" w:tentative="1">
      <w:start w:val="1"/>
      <w:numFmt w:val="bullet"/>
      <w:lvlText w:val=""/>
      <w:lvlJc w:val="left"/>
      <w:pPr>
        <w:ind w:left="6632" w:hanging="360"/>
      </w:pPr>
      <w:rPr>
        <w:rFonts w:ascii="Wingdings" w:hAnsi="Wingdings" w:hint="default"/>
      </w:rPr>
    </w:lvl>
  </w:abstractNum>
  <w:abstractNum w:abstractNumId="13">
    <w:nsid w:val="3BCF38A0"/>
    <w:multiLevelType w:val="hybridMultilevel"/>
    <w:tmpl w:val="199A9E26"/>
    <w:lvl w:ilvl="0" w:tplc="0C0A0003">
      <w:start w:val="1"/>
      <w:numFmt w:val="bullet"/>
      <w:lvlText w:val="o"/>
      <w:lvlJc w:val="left"/>
      <w:pPr>
        <w:ind w:left="360" w:hanging="360"/>
      </w:pPr>
      <w:rPr>
        <w:rFonts w:ascii="Courier New" w:hAnsi="Courier New" w:cs="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3CB061AB"/>
    <w:multiLevelType w:val="singleLevel"/>
    <w:tmpl w:val="66CAD4CC"/>
    <w:lvl w:ilvl="0">
      <w:start w:val="1"/>
      <w:numFmt w:val="decimal"/>
      <w:pStyle w:val="ParaNo"/>
      <w:lvlText w:val="%1."/>
      <w:lvlJc w:val="left"/>
      <w:pPr>
        <w:tabs>
          <w:tab w:val="num" w:pos="360"/>
        </w:tabs>
        <w:ind w:left="-1" w:firstLine="1"/>
      </w:pPr>
    </w:lvl>
  </w:abstractNum>
  <w:abstractNum w:abstractNumId="15">
    <w:nsid w:val="3E592005"/>
    <w:multiLevelType w:val="hybridMultilevel"/>
    <w:tmpl w:val="121E9116"/>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nsid w:val="4285285F"/>
    <w:multiLevelType w:val="hybridMultilevel"/>
    <w:tmpl w:val="C86214BC"/>
    <w:lvl w:ilvl="0" w:tplc="9B045D96">
      <w:start w:val="10"/>
      <w:numFmt w:val="bullet"/>
      <w:lvlText w:val="-"/>
      <w:lvlJc w:val="left"/>
      <w:pPr>
        <w:ind w:left="720" w:hanging="360"/>
      </w:pPr>
      <w:rPr>
        <w:rFonts w:ascii="Times New Roman" w:eastAsia="Calibri"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453D0959"/>
    <w:multiLevelType w:val="multilevel"/>
    <w:tmpl w:val="F28ED0D8"/>
    <w:lvl w:ilvl="0">
      <w:start w:val="1"/>
      <w:numFmt w:val="decimal"/>
      <w:lvlText w:val="%1."/>
      <w:lvlJc w:val="left"/>
      <w:pPr>
        <w:ind w:left="360" w:hanging="360"/>
      </w:pPr>
      <w:rPr>
        <w:rFonts w:ascii="Times New Roman" w:hAnsi="Times New Roman" w:cs="Times New Roman" w:hint="default"/>
        <w:b/>
        <w:i w:val="0"/>
        <w:color w:val="4F81BD" w:themeColor="accent1"/>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47F65997"/>
    <w:multiLevelType w:val="hybridMultilevel"/>
    <w:tmpl w:val="98CC3F3C"/>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4AE57726"/>
    <w:multiLevelType w:val="hybridMultilevel"/>
    <w:tmpl w:val="379A6F8C"/>
    <w:lvl w:ilvl="0" w:tplc="DAFA479E">
      <w:start w:val="1"/>
      <w:numFmt w:val="bullet"/>
      <w:lvlText w:val=""/>
      <w:lvlJc w:val="left"/>
      <w:pPr>
        <w:ind w:left="337" w:hanging="360"/>
      </w:pPr>
      <w:rPr>
        <w:rFonts w:ascii="Symbol" w:hAnsi="Symbol" w:hint="default"/>
      </w:rPr>
    </w:lvl>
    <w:lvl w:ilvl="1" w:tplc="080C0003" w:tentative="1">
      <w:start w:val="1"/>
      <w:numFmt w:val="bullet"/>
      <w:lvlText w:val="o"/>
      <w:lvlJc w:val="left"/>
      <w:pPr>
        <w:ind w:left="1057" w:hanging="360"/>
      </w:pPr>
      <w:rPr>
        <w:rFonts w:ascii="Courier New" w:hAnsi="Courier New" w:cs="Courier New" w:hint="default"/>
      </w:rPr>
    </w:lvl>
    <w:lvl w:ilvl="2" w:tplc="080C0005" w:tentative="1">
      <w:start w:val="1"/>
      <w:numFmt w:val="bullet"/>
      <w:lvlText w:val=""/>
      <w:lvlJc w:val="left"/>
      <w:pPr>
        <w:ind w:left="1777" w:hanging="360"/>
      </w:pPr>
      <w:rPr>
        <w:rFonts w:ascii="Wingdings" w:hAnsi="Wingdings" w:hint="default"/>
      </w:rPr>
    </w:lvl>
    <w:lvl w:ilvl="3" w:tplc="080C0001" w:tentative="1">
      <w:start w:val="1"/>
      <w:numFmt w:val="bullet"/>
      <w:lvlText w:val=""/>
      <w:lvlJc w:val="left"/>
      <w:pPr>
        <w:ind w:left="2497" w:hanging="360"/>
      </w:pPr>
      <w:rPr>
        <w:rFonts w:ascii="Symbol" w:hAnsi="Symbol" w:hint="default"/>
      </w:rPr>
    </w:lvl>
    <w:lvl w:ilvl="4" w:tplc="080C0003" w:tentative="1">
      <w:start w:val="1"/>
      <w:numFmt w:val="bullet"/>
      <w:lvlText w:val="o"/>
      <w:lvlJc w:val="left"/>
      <w:pPr>
        <w:ind w:left="3217" w:hanging="360"/>
      </w:pPr>
      <w:rPr>
        <w:rFonts w:ascii="Courier New" w:hAnsi="Courier New" w:cs="Courier New" w:hint="default"/>
      </w:rPr>
    </w:lvl>
    <w:lvl w:ilvl="5" w:tplc="080C0005" w:tentative="1">
      <w:start w:val="1"/>
      <w:numFmt w:val="bullet"/>
      <w:lvlText w:val=""/>
      <w:lvlJc w:val="left"/>
      <w:pPr>
        <w:ind w:left="3937" w:hanging="360"/>
      </w:pPr>
      <w:rPr>
        <w:rFonts w:ascii="Wingdings" w:hAnsi="Wingdings" w:hint="default"/>
      </w:rPr>
    </w:lvl>
    <w:lvl w:ilvl="6" w:tplc="080C0001" w:tentative="1">
      <w:start w:val="1"/>
      <w:numFmt w:val="bullet"/>
      <w:lvlText w:val=""/>
      <w:lvlJc w:val="left"/>
      <w:pPr>
        <w:ind w:left="4657" w:hanging="360"/>
      </w:pPr>
      <w:rPr>
        <w:rFonts w:ascii="Symbol" w:hAnsi="Symbol" w:hint="default"/>
      </w:rPr>
    </w:lvl>
    <w:lvl w:ilvl="7" w:tplc="080C0003" w:tentative="1">
      <w:start w:val="1"/>
      <w:numFmt w:val="bullet"/>
      <w:lvlText w:val="o"/>
      <w:lvlJc w:val="left"/>
      <w:pPr>
        <w:ind w:left="5377" w:hanging="360"/>
      </w:pPr>
      <w:rPr>
        <w:rFonts w:ascii="Courier New" w:hAnsi="Courier New" w:cs="Courier New" w:hint="default"/>
      </w:rPr>
    </w:lvl>
    <w:lvl w:ilvl="8" w:tplc="080C0005" w:tentative="1">
      <w:start w:val="1"/>
      <w:numFmt w:val="bullet"/>
      <w:lvlText w:val=""/>
      <w:lvlJc w:val="left"/>
      <w:pPr>
        <w:ind w:left="6097" w:hanging="360"/>
      </w:pPr>
      <w:rPr>
        <w:rFonts w:ascii="Wingdings" w:hAnsi="Wingdings" w:hint="default"/>
      </w:rPr>
    </w:lvl>
  </w:abstractNum>
  <w:abstractNum w:abstractNumId="20">
    <w:nsid w:val="4C38464F"/>
    <w:multiLevelType w:val="hybridMultilevel"/>
    <w:tmpl w:val="DFE25D70"/>
    <w:lvl w:ilvl="0" w:tplc="DAFA479E">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nsid w:val="4CF2357F"/>
    <w:multiLevelType w:val="hybridMultilevel"/>
    <w:tmpl w:val="8DE02F80"/>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2">
    <w:nsid w:val="583C4450"/>
    <w:multiLevelType w:val="hybridMultilevel"/>
    <w:tmpl w:val="A4F86B60"/>
    <w:lvl w:ilvl="0" w:tplc="DAFA479E">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AF647DE"/>
    <w:multiLevelType w:val="hybridMultilevel"/>
    <w:tmpl w:val="5044B8E8"/>
    <w:lvl w:ilvl="0" w:tplc="DAFA479E">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nsid w:val="5D780CD4"/>
    <w:multiLevelType w:val="hybridMultilevel"/>
    <w:tmpl w:val="354C2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765ED2"/>
    <w:multiLevelType w:val="hybridMultilevel"/>
    <w:tmpl w:val="CAE8C3D4"/>
    <w:lvl w:ilvl="0" w:tplc="B464CC88">
      <w:start w:val="1"/>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60DE7F05"/>
    <w:multiLevelType w:val="hybridMultilevel"/>
    <w:tmpl w:val="90C0ABDC"/>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7">
    <w:nsid w:val="60E324F7"/>
    <w:multiLevelType w:val="hybridMultilevel"/>
    <w:tmpl w:val="8DBAB0C2"/>
    <w:lvl w:ilvl="0" w:tplc="080C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61D150B4"/>
    <w:multiLevelType w:val="hybridMultilevel"/>
    <w:tmpl w:val="B968609C"/>
    <w:lvl w:ilvl="0" w:tplc="DAFA479E">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9250298"/>
    <w:multiLevelType w:val="hybridMultilevel"/>
    <w:tmpl w:val="434622EE"/>
    <w:lvl w:ilvl="0" w:tplc="DAFA47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B487483"/>
    <w:multiLevelType w:val="hybridMultilevel"/>
    <w:tmpl w:val="2BFCDFF0"/>
    <w:lvl w:ilvl="0" w:tplc="DAFA479E">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nsid w:val="6D785A1F"/>
    <w:multiLevelType w:val="hybridMultilevel"/>
    <w:tmpl w:val="4D4EFE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nsid w:val="6DEC4EF0"/>
    <w:multiLevelType w:val="hybridMultilevel"/>
    <w:tmpl w:val="177C6438"/>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nsid w:val="7011184D"/>
    <w:multiLevelType w:val="hybridMultilevel"/>
    <w:tmpl w:val="EC1A54AE"/>
    <w:lvl w:ilvl="0" w:tplc="B464CC88">
      <w:start w:val="1"/>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nsid w:val="74E55087"/>
    <w:multiLevelType w:val="hybridMultilevel"/>
    <w:tmpl w:val="01207934"/>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nsid w:val="7D113960"/>
    <w:multiLevelType w:val="hybridMultilevel"/>
    <w:tmpl w:val="E6DC2760"/>
    <w:lvl w:ilvl="0" w:tplc="C18E0EE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7D9D5503"/>
    <w:multiLevelType w:val="hybridMultilevel"/>
    <w:tmpl w:val="568254BC"/>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2"/>
  </w:num>
  <w:num w:numId="2">
    <w:abstractNumId w:val="23"/>
  </w:num>
  <w:num w:numId="3">
    <w:abstractNumId w:val="17"/>
  </w:num>
  <w:num w:numId="4">
    <w:abstractNumId w:val="8"/>
  </w:num>
  <w:num w:numId="5">
    <w:abstractNumId w:val="5"/>
  </w:num>
  <w:num w:numId="6">
    <w:abstractNumId w:val="32"/>
  </w:num>
  <w:num w:numId="7">
    <w:abstractNumId w:val="14"/>
    <w:lvlOverride w:ilvl="0">
      <w:startOverride w:val="1"/>
    </w:lvlOverride>
  </w:num>
  <w:num w:numId="8">
    <w:abstractNumId w:val="21"/>
  </w:num>
  <w:num w:numId="9">
    <w:abstractNumId w:val="30"/>
  </w:num>
  <w:num w:numId="10">
    <w:abstractNumId w:val="27"/>
  </w:num>
  <w:num w:numId="11">
    <w:abstractNumId w:val="15"/>
  </w:num>
  <w:num w:numId="12">
    <w:abstractNumId w:val="36"/>
  </w:num>
  <w:num w:numId="13">
    <w:abstractNumId w:val="26"/>
  </w:num>
  <w:num w:numId="14">
    <w:abstractNumId w:val="9"/>
  </w:num>
  <w:num w:numId="15">
    <w:abstractNumId w:val="19"/>
  </w:num>
  <w:num w:numId="16">
    <w:abstractNumId w:val="29"/>
  </w:num>
  <w:num w:numId="17">
    <w:abstractNumId w:val="10"/>
  </w:num>
  <w:num w:numId="18">
    <w:abstractNumId w:val="18"/>
  </w:num>
  <w:num w:numId="19">
    <w:abstractNumId w:val="22"/>
  </w:num>
  <w:num w:numId="20">
    <w:abstractNumId w:val="34"/>
  </w:num>
  <w:num w:numId="21">
    <w:abstractNumId w:val="4"/>
  </w:num>
  <w:num w:numId="22">
    <w:abstractNumId w:val="20"/>
  </w:num>
  <w:num w:numId="23">
    <w:abstractNumId w:val="11"/>
  </w:num>
  <w:num w:numId="24">
    <w:abstractNumId w:val="3"/>
  </w:num>
  <w:num w:numId="25">
    <w:abstractNumId w:val="13"/>
  </w:num>
  <w:num w:numId="26">
    <w:abstractNumId w:val="12"/>
  </w:num>
  <w:num w:numId="27">
    <w:abstractNumId w:val="35"/>
  </w:num>
  <w:num w:numId="28">
    <w:abstractNumId w:val="28"/>
  </w:num>
  <w:num w:numId="29">
    <w:abstractNumId w:val="6"/>
  </w:num>
  <w:num w:numId="30">
    <w:abstractNumId w:val="19"/>
  </w:num>
  <w:num w:numId="31">
    <w:abstractNumId w:val="30"/>
  </w:num>
  <w:num w:numId="32">
    <w:abstractNumId w:val="24"/>
  </w:num>
  <w:num w:numId="33">
    <w:abstractNumId w:val="25"/>
  </w:num>
  <w:num w:numId="34">
    <w:abstractNumId w:val="18"/>
  </w:num>
  <w:num w:numId="35">
    <w:abstractNumId w:val="31"/>
  </w:num>
  <w:num w:numId="36">
    <w:abstractNumId w:val="16"/>
  </w:num>
  <w:num w:numId="37">
    <w:abstractNumId w:val="7"/>
  </w:num>
  <w:num w:numId="38">
    <w:abstractNumId w:val="1"/>
  </w:num>
  <w:num w:numId="39">
    <w:abstractNumId w:val="33"/>
  </w:num>
  <w:num w:numId="40">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hideSpellingErrors/>
  <w:hideGrammaticalErrors/>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245051B-1876-427C-8D58-3C87A71117E0"/>
    <w:docVar w:name="LW_COVERPAGE_TYPE" w:val="1"/>
    <w:docVar w:name="LW_CROSSREFERENCE" w:val="&lt;UNUSED&gt;"/>
    <w:docVar w:name="LW_DocType" w:val="NORMAL"/>
    <w:docVar w:name="LW_EMISSION" w:val="24.3.2021"/>
    <w:docVar w:name="LW_EMISSION_ISODATE" w:val="2021-03-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14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rivind drepturile copilului_x000b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4_G,ftref Zchn Zchn Zchn Zchn Zchn Zchn,BVI fnr Zchn Zchn Zchn Zchn Zchn Zchn,ESPON Footnote No Zchn Zchn Zchn Zchn Zchn Zchn,Footnote text Zchn Zchn Zchn Zchn Zchn Zchn,ftref Char Char Char Char Zchn Zchn Zchn Zchn Zchn Zchn Zchn,FR"/>
    <w:basedOn w:val="DefaultParagraphFont"/>
    <w:link w:val="ftrefZchnZchnZchnZchnZchn"/>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Normal1">
    <w:name w:val="Normal1"/>
    <w:pPr>
      <w:spacing w:after="160" w:line="259" w:lineRule="auto"/>
    </w:pPr>
    <w:rPr>
      <w:rFonts w:ascii="Calibri" w:eastAsia="Calibri" w:hAnsi="Calibri" w:cs="Calibri"/>
    </w:rPr>
  </w:style>
  <w:style w:type="paragraph" w:styleId="Title">
    <w:name w:val="Title"/>
    <w:basedOn w:val="Normal1"/>
    <w:next w:val="Normal1"/>
    <w:link w:val="TitleChar"/>
    <w:pPr>
      <w:spacing w:after="0" w:line="240" w:lineRule="auto"/>
    </w:pPr>
    <w:rPr>
      <w:sz w:val="56"/>
      <w:szCs w:val="56"/>
    </w:rPr>
  </w:style>
  <w:style w:type="character" w:customStyle="1" w:styleId="TitleChar">
    <w:name w:val="Title Char"/>
    <w:basedOn w:val="DefaultParagraphFont"/>
    <w:link w:val="Title"/>
    <w:rPr>
      <w:rFonts w:ascii="Calibri" w:eastAsia="Calibri" w:hAnsi="Calibri" w:cs="Calibri"/>
      <w:sz w:val="56"/>
      <w:szCs w:val="56"/>
      <w:lang w:val="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No">
    <w:name w:val="ParaNo."/>
    <w:basedOn w:val="Normal"/>
    <w:pPr>
      <w:numPr>
        <w:numId w:val="7"/>
      </w:numPr>
      <w:tabs>
        <w:tab w:val="left" w:pos="737"/>
      </w:tabs>
      <w:spacing w:after="24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pPr>
      <w:spacing w:after="0" w:line="240" w:lineRule="auto"/>
    </w:pPr>
  </w:style>
  <w:style w:type="paragraph" w:customStyle="1" w:styleId="HMG">
    <w:name w:val="_ H __M_G"/>
    <w:basedOn w:val="Normal"/>
    <w:next w:val="Normal"/>
    <w:pPr>
      <w:keepNext/>
      <w:keepLines/>
      <w:tabs>
        <w:tab w:val="right" w:pos="851"/>
      </w:tabs>
      <w:suppressAutoHyphens/>
      <w:spacing w:before="240" w:after="240" w:line="360" w:lineRule="exact"/>
      <w:ind w:left="1134" w:right="1134" w:hanging="1134"/>
    </w:pPr>
    <w:rPr>
      <w:rFonts w:ascii="Times New Roman" w:eastAsia="Times New Roman" w:hAnsi="Times New Roman" w:cs="Times New Roman"/>
      <w:b/>
      <w:sz w:val="34"/>
      <w:szCs w:val="20"/>
    </w:rPr>
  </w:style>
  <w:style w:type="paragraph" w:customStyle="1" w:styleId="HChG">
    <w:name w:val="_ H _Ch_G"/>
    <w:basedOn w:val="Normal"/>
    <w:next w:val="Normal"/>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
    <w:link w:val="FootnoteReference"/>
    <w:pPr>
      <w:spacing w:after="160" w:line="240" w:lineRule="exact"/>
    </w:pPr>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customStyle="1" w:styleId="normaltextrun">
    <w:name w:val="normaltextrun"/>
    <w:basedOn w:val="DefaultParagraphFont"/>
  </w:style>
  <w:style w:type="paragraph" w:customStyle="1" w:styleId="Body">
    <w:name w:val="Body"/>
    <w:link w:val="BodyTegn"/>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character" w:customStyle="1" w:styleId="BodyTegn">
    <w:name w:val="Body Tegn"/>
    <w:basedOn w:val="DefaultParagraphFont"/>
    <w:link w:val="Body"/>
    <w:rPr>
      <w:rFonts w:ascii="Times New Roman" w:eastAsia="Arial Unicode MS" w:hAnsi="Times New Roman" w:cs="Arial Unicode MS"/>
      <w:color w:val="000000"/>
      <w:sz w:val="24"/>
      <w:szCs w:val="24"/>
      <w:u w:color="000000"/>
      <w:bdr w:val="nil"/>
      <w:lang w:val="ro-RO"/>
      <w14:textOutline w14:w="0" w14:cap="flat" w14:cmpd="sng" w14:algn="ctr">
        <w14:noFill/>
        <w14:prstDash w14:val="solid"/>
        <w14:bevel/>
      </w14:textOutlin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character" w:styleId="Strong">
    <w:name w:val="Strong"/>
    <w:basedOn w:val="DefaultParagraphFont"/>
    <w:uiPriority w:val="22"/>
    <w:qFormat/>
    <w:rPr>
      <w:b/>
      <w:bCs/>
    </w:rPr>
  </w:style>
  <w:style w:type="character" w:customStyle="1" w:styleId="None">
    <w:name w:val="None"/>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360" w:line="266" w:lineRule="exact"/>
      <w:ind w:hanging="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4_G,ftref Zchn Zchn Zchn Zchn Zchn Zchn,BVI fnr Zchn Zchn Zchn Zchn Zchn Zchn,ESPON Footnote No Zchn Zchn Zchn Zchn Zchn Zchn,Footnote text Zchn Zchn Zchn Zchn Zchn Zchn,ftref Char Char Char Char Zchn Zchn Zchn Zchn Zchn Zchn Zchn,FR"/>
    <w:basedOn w:val="DefaultParagraphFont"/>
    <w:link w:val="ftrefZchnZchnZchnZchnZchn"/>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Normal1">
    <w:name w:val="Normal1"/>
    <w:pPr>
      <w:spacing w:after="160" w:line="259" w:lineRule="auto"/>
    </w:pPr>
    <w:rPr>
      <w:rFonts w:ascii="Calibri" w:eastAsia="Calibri" w:hAnsi="Calibri" w:cs="Calibri"/>
    </w:rPr>
  </w:style>
  <w:style w:type="paragraph" w:styleId="Title">
    <w:name w:val="Title"/>
    <w:basedOn w:val="Normal1"/>
    <w:next w:val="Normal1"/>
    <w:link w:val="TitleChar"/>
    <w:pPr>
      <w:spacing w:after="0" w:line="240" w:lineRule="auto"/>
    </w:pPr>
    <w:rPr>
      <w:sz w:val="56"/>
      <w:szCs w:val="56"/>
    </w:rPr>
  </w:style>
  <w:style w:type="character" w:customStyle="1" w:styleId="TitleChar">
    <w:name w:val="Title Char"/>
    <w:basedOn w:val="DefaultParagraphFont"/>
    <w:link w:val="Title"/>
    <w:rPr>
      <w:rFonts w:ascii="Calibri" w:eastAsia="Calibri" w:hAnsi="Calibri" w:cs="Calibri"/>
      <w:sz w:val="56"/>
      <w:szCs w:val="56"/>
      <w:lang w:val="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No">
    <w:name w:val="ParaNo."/>
    <w:basedOn w:val="Normal"/>
    <w:pPr>
      <w:numPr>
        <w:numId w:val="7"/>
      </w:numPr>
      <w:tabs>
        <w:tab w:val="left" w:pos="737"/>
      </w:tabs>
      <w:spacing w:after="24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pPr>
      <w:spacing w:after="0" w:line="240" w:lineRule="auto"/>
    </w:pPr>
  </w:style>
  <w:style w:type="paragraph" w:customStyle="1" w:styleId="HMG">
    <w:name w:val="_ H __M_G"/>
    <w:basedOn w:val="Normal"/>
    <w:next w:val="Normal"/>
    <w:pPr>
      <w:keepNext/>
      <w:keepLines/>
      <w:tabs>
        <w:tab w:val="right" w:pos="851"/>
      </w:tabs>
      <w:suppressAutoHyphens/>
      <w:spacing w:before="240" w:after="240" w:line="360" w:lineRule="exact"/>
      <w:ind w:left="1134" w:right="1134" w:hanging="1134"/>
    </w:pPr>
    <w:rPr>
      <w:rFonts w:ascii="Times New Roman" w:eastAsia="Times New Roman" w:hAnsi="Times New Roman" w:cs="Times New Roman"/>
      <w:b/>
      <w:sz w:val="34"/>
      <w:szCs w:val="20"/>
    </w:rPr>
  </w:style>
  <w:style w:type="paragraph" w:customStyle="1" w:styleId="HChG">
    <w:name w:val="_ H _Ch_G"/>
    <w:basedOn w:val="Normal"/>
    <w:next w:val="Normal"/>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
    <w:link w:val="FootnoteReference"/>
    <w:pPr>
      <w:spacing w:after="160" w:line="240" w:lineRule="exact"/>
    </w:pPr>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customStyle="1" w:styleId="normaltextrun">
    <w:name w:val="normaltextrun"/>
    <w:basedOn w:val="DefaultParagraphFont"/>
  </w:style>
  <w:style w:type="paragraph" w:customStyle="1" w:styleId="Body">
    <w:name w:val="Body"/>
    <w:link w:val="BodyTegn"/>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character" w:customStyle="1" w:styleId="BodyTegn">
    <w:name w:val="Body Tegn"/>
    <w:basedOn w:val="DefaultParagraphFont"/>
    <w:link w:val="Body"/>
    <w:rPr>
      <w:rFonts w:ascii="Times New Roman" w:eastAsia="Arial Unicode MS" w:hAnsi="Times New Roman" w:cs="Arial Unicode MS"/>
      <w:color w:val="000000"/>
      <w:sz w:val="24"/>
      <w:szCs w:val="24"/>
      <w:u w:color="000000"/>
      <w:bdr w:val="nil"/>
      <w:lang w:val="ro-RO"/>
      <w14:textOutline w14:w="0" w14:cap="flat" w14:cmpd="sng" w14:algn="ctr">
        <w14:noFill/>
        <w14:prstDash w14:val="solid"/>
        <w14:bevel/>
      </w14:textOutlin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character" w:styleId="Strong">
    <w:name w:val="Strong"/>
    <w:basedOn w:val="DefaultParagraphFont"/>
    <w:uiPriority w:val="22"/>
    <w:qFormat/>
    <w:rPr>
      <w:b/>
      <w:bCs/>
    </w:rPr>
  </w:style>
  <w:style w:type="character" w:customStyle="1" w:styleId="None">
    <w:name w:val="None"/>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360" w:line="266" w:lineRule="exact"/>
      <w:ind w:hanging="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8558">
      <w:bodyDiv w:val="1"/>
      <w:marLeft w:val="0"/>
      <w:marRight w:val="0"/>
      <w:marTop w:val="0"/>
      <w:marBottom w:val="0"/>
      <w:divBdr>
        <w:top w:val="none" w:sz="0" w:space="0" w:color="auto"/>
        <w:left w:val="none" w:sz="0" w:space="0" w:color="auto"/>
        <w:bottom w:val="none" w:sz="0" w:space="0" w:color="auto"/>
        <w:right w:val="none" w:sz="0" w:space="0" w:color="auto"/>
      </w:divBdr>
    </w:div>
    <w:div w:id="23599850">
      <w:bodyDiv w:val="1"/>
      <w:marLeft w:val="0"/>
      <w:marRight w:val="0"/>
      <w:marTop w:val="0"/>
      <w:marBottom w:val="0"/>
      <w:divBdr>
        <w:top w:val="none" w:sz="0" w:space="0" w:color="auto"/>
        <w:left w:val="none" w:sz="0" w:space="0" w:color="auto"/>
        <w:bottom w:val="none" w:sz="0" w:space="0" w:color="auto"/>
        <w:right w:val="none" w:sz="0" w:space="0" w:color="auto"/>
      </w:divBdr>
    </w:div>
    <w:div w:id="23748381">
      <w:bodyDiv w:val="1"/>
      <w:marLeft w:val="0"/>
      <w:marRight w:val="0"/>
      <w:marTop w:val="0"/>
      <w:marBottom w:val="0"/>
      <w:divBdr>
        <w:top w:val="none" w:sz="0" w:space="0" w:color="auto"/>
        <w:left w:val="none" w:sz="0" w:space="0" w:color="auto"/>
        <w:bottom w:val="none" w:sz="0" w:space="0" w:color="auto"/>
        <w:right w:val="none" w:sz="0" w:space="0" w:color="auto"/>
      </w:divBdr>
    </w:div>
    <w:div w:id="179902639">
      <w:bodyDiv w:val="1"/>
      <w:marLeft w:val="0"/>
      <w:marRight w:val="0"/>
      <w:marTop w:val="0"/>
      <w:marBottom w:val="0"/>
      <w:divBdr>
        <w:top w:val="none" w:sz="0" w:space="0" w:color="auto"/>
        <w:left w:val="none" w:sz="0" w:space="0" w:color="auto"/>
        <w:bottom w:val="none" w:sz="0" w:space="0" w:color="auto"/>
        <w:right w:val="none" w:sz="0" w:space="0" w:color="auto"/>
      </w:divBdr>
    </w:div>
    <w:div w:id="203641356">
      <w:bodyDiv w:val="1"/>
      <w:marLeft w:val="0"/>
      <w:marRight w:val="0"/>
      <w:marTop w:val="0"/>
      <w:marBottom w:val="0"/>
      <w:divBdr>
        <w:top w:val="none" w:sz="0" w:space="0" w:color="auto"/>
        <w:left w:val="none" w:sz="0" w:space="0" w:color="auto"/>
        <w:bottom w:val="none" w:sz="0" w:space="0" w:color="auto"/>
        <w:right w:val="none" w:sz="0" w:space="0" w:color="auto"/>
      </w:divBdr>
    </w:div>
    <w:div w:id="221331311">
      <w:bodyDiv w:val="1"/>
      <w:marLeft w:val="0"/>
      <w:marRight w:val="0"/>
      <w:marTop w:val="0"/>
      <w:marBottom w:val="0"/>
      <w:divBdr>
        <w:top w:val="none" w:sz="0" w:space="0" w:color="auto"/>
        <w:left w:val="none" w:sz="0" w:space="0" w:color="auto"/>
        <w:bottom w:val="none" w:sz="0" w:space="0" w:color="auto"/>
        <w:right w:val="none" w:sz="0" w:space="0" w:color="auto"/>
      </w:divBdr>
    </w:div>
    <w:div w:id="229655705">
      <w:bodyDiv w:val="1"/>
      <w:marLeft w:val="0"/>
      <w:marRight w:val="0"/>
      <w:marTop w:val="0"/>
      <w:marBottom w:val="0"/>
      <w:divBdr>
        <w:top w:val="none" w:sz="0" w:space="0" w:color="auto"/>
        <w:left w:val="none" w:sz="0" w:space="0" w:color="auto"/>
        <w:bottom w:val="none" w:sz="0" w:space="0" w:color="auto"/>
        <w:right w:val="none" w:sz="0" w:space="0" w:color="auto"/>
      </w:divBdr>
    </w:div>
    <w:div w:id="258611494">
      <w:bodyDiv w:val="1"/>
      <w:marLeft w:val="0"/>
      <w:marRight w:val="0"/>
      <w:marTop w:val="0"/>
      <w:marBottom w:val="0"/>
      <w:divBdr>
        <w:top w:val="none" w:sz="0" w:space="0" w:color="auto"/>
        <w:left w:val="none" w:sz="0" w:space="0" w:color="auto"/>
        <w:bottom w:val="none" w:sz="0" w:space="0" w:color="auto"/>
        <w:right w:val="none" w:sz="0" w:space="0" w:color="auto"/>
      </w:divBdr>
    </w:div>
    <w:div w:id="341902293">
      <w:bodyDiv w:val="1"/>
      <w:marLeft w:val="0"/>
      <w:marRight w:val="0"/>
      <w:marTop w:val="0"/>
      <w:marBottom w:val="0"/>
      <w:divBdr>
        <w:top w:val="none" w:sz="0" w:space="0" w:color="auto"/>
        <w:left w:val="none" w:sz="0" w:space="0" w:color="auto"/>
        <w:bottom w:val="none" w:sz="0" w:space="0" w:color="auto"/>
        <w:right w:val="none" w:sz="0" w:space="0" w:color="auto"/>
      </w:divBdr>
    </w:div>
    <w:div w:id="392387833">
      <w:bodyDiv w:val="1"/>
      <w:marLeft w:val="0"/>
      <w:marRight w:val="0"/>
      <w:marTop w:val="0"/>
      <w:marBottom w:val="0"/>
      <w:divBdr>
        <w:top w:val="none" w:sz="0" w:space="0" w:color="auto"/>
        <w:left w:val="none" w:sz="0" w:space="0" w:color="auto"/>
        <w:bottom w:val="none" w:sz="0" w:space="0" w:color="auto"/>
        <w:right w:val="none" w:sz="0" w:space="0" w:color="auto"/>
      </w:divBdr>
    </w:div>
    <w:div w:id="399135635">
      <w:bodyDiv w:val="1"/>
      <w:marLeft w:val="0"/>
      <w:marRight w:val="0"/>
      <w:marTop w:val="0"/>
      <w:marBottom w:val="0"/>
      <w:divBdr>
        <w:top w:val="none" w:sz="0" w:space="0" w:color="auto"/>
        <w:left w:val="none" w:sz="0" w:space="0" w:color="auto"/>
        <w:bottom w:val="none" w:sz="0" w:space="0" w:color="auto"/>
        <w:right w:val="none" w:sz="0" w:space="0" w:color="auto"/>
      </w:divBdr>
    </w:div>
    <w:div w:id="403646897">
      <w:bodyDiv w:val="1"/>
      <w:marLeft w:val="0"/>
      <w:marRight w:val="0"/>
      <w:marTop w:val="0"/>
      <w:marBottom w:val="0"/>
      <w:divBdr>
        <w:top w:val="none" w:sz="0" w:space="0" w:color="auto"/>
        <w:left w:val="none" w:sz="0" w:space="0" w:color="auto"/>
        <w:bottom w:val="none" w:sz="0" w:space="0" w:color="auto"/>
        <w:right w:val="none" w:sz="0" w:space="0" w:color="auto"/>
      </w:divBdr>
    </w:div>
    <w:div w:id="452091313">
      <w:bodyDiv w:val="1"/>
      <w:marLeft w:val="0"/>
      <w:marRight w:val="0"/>
      <w:marTop w:val="0"/>
      <w:marBottom w:val="0"/>
      <w:divBdr>
        <w:top w:val="none" w:sz="0" w:space="0" w:color="auto"/>
        <w:left w:val="none" w:sz="0" w:space="0" w:color="auto"/>
        <w:bottom w:val="none" w:sz="0" w:space="0" w:color="auto"/>
        <w:right w:val="none" w:sz="0" w:space="0" w:color="auto"/>
      </w:divBdr>
    </w:div>
    <w:div w:id="501165327">
      <w:bodyDiv w:val="1"/>
      <w:marLeft w:val="0"/>
      <w:marRight w:val="0"/>
      <w:marTop w:val="0"/>
      <w:marBottom w:val="0"/>
      <w:divBdr>
        <w:top w:val="none" w:sz="0" w:space="0" w:color="auto"/>
        <w:left w:val="none" w:sz="0" w:space="0" w:color="auto"/>
        <w:bottom w:val="none" w:sz="0" w:space="0" w:color="auto"/>
        <w:right w:val="none" w:sz="0" w:space="0" w:color="auto"/>
      </w:divBdr>
    </w:div>
    <w:div w:id="516193640">
      <w:bodyDiv w:val="1"/>
      <w:marLeft w:val="0"/>
      <w:marRight w:val="0"/>
      <w:marTop w:val="0"/>
      <w:marBottom w:val="0"/>
      <w:divBdr>
        <w:top w:val="none" w:sz="0" w:space="0" w:color="auto"/>
        <w:left w:val="none" w:sz="0" w:space="0" w:color="auto"/>
        <w:bottom w:val="none" w:sz="0" w:space="0" w:color="auto"/>
        <w:right w:val="none" w:sz="0" w:space="0" w:color="auto"/>
      </w:divBdr>
    </w:div>
    <w:div w:id="519392245">
      <w:bodyDiv w:val="1"/>
      <w:marLeft w:val="0"/>
      <w:marRight w:val="0"/>
      <w:marTop w:val="0"/>
      <w:marBottom w:val="0"/>
      <w:divBdr>
        <w:top w:val="none" w:sz="0" w:space="0" w:color="auto"/>
        <w:left w:val="none" w:sz="0" w:space="0" w:color="auto"/>
        <w:bottom w:val="none" w:sz="0" w:space="0" w:color="auto"/>
        <w:right w:val="none" w:sz="0" w:space="0" w:color="auto"/>
      </w:divBdr>
    </w:div>
    <w:div w:id="524100336">
      <w:bodyDiv w:val="1"/>
      <w:marLeft w:val="0"/>
      <w:marRight w:val="0"/>
      <w:marTop w:val="0"/>
      <w:marBottom w:val="0"/>
      <w:divBdr>
        <w:top w:val="none" w:sz="0" w:space="0" w:color="auto"/>
        <w:left w:val="none" w:sz="0" w:space="0" w:color="auto"/>
        <w:bottom w:val="none" w:sz="0" w:space="0" w:color="auto"/>
        <w:right w:val="none" w:sz="0" w:space="0" w:color="auto"/>
      </w:divBdr>
      <w:divsChild>
        <w:div w:id="310789079">
          <w:marLeft w:val="0"/>
          <w:marRight w:val="0"/>
          <w:marTop w:val="0"/>
          <w:marBottom w:val="0"/>
          <w:divBdr>
            <w:top w:val="none" w:sz="0" w:space="0" w:color="auto"/>
            <w:left w:val="none" w:sz="0" w:space="0" w:color="auto"/>
            <w:bottom w:val="none" w:sz="0" w:space="0" w:color="auto"/>
            <w:right w:val="none" w:sz="0" w:space="0" w:color="auto"/>
          </w:divBdr>
          <w:divsChild>
            <w:div w:id="16683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85285">
      <w:bodyDiv w:val="1"/>
      <w:marLeft w:val="0"/>
      <w:marRight w:val="0"/>
      <w:marTop w:val="0"/>
      <w:marBottom w:val="0"/>
      <w:divBdr>
        <w:top w:val="none" w:sz="0" w:space="0" w:color="auto"/>
        <w:left w:val="none" w:sz="0" w:space="0" w:color="auto"/>
        <w:bottom w:val="none" w:sz="0" w:space="0" w:color="auto"/>
        <w:right w:val="none" w:sz="0" w:space="0" w:color="auto"/>
      </w:divBdr>
    </w:div>
    <w:div w:id="554976051">
      <w:bodyDiv w:val="1"/>
      <w:marLeft w:val="0"/>
      <w:marRight w:val="0"/>
      <w:marTop w:val="0"/>
      <w:marBottom w:val="0"/>
      <w:divBdr>
        <w:top w:val="none" w:sz="0" w:space="0" w:color="auto"/>
        <w:left w:val="none" w:sz="0" w:space="0" w:color="auto"/>
        <w:bottom w:val="none" w:sz="0" w:space="0" w:color="auto"/>
        <w:right w:val="none" w:sz="0" w:space="0" w:color="auto"/>
      </w:divBdr>
    </w:div>
    <w:div w:id="625738262">
      <w:bodyDiv w:val="1"/>
      <w:marLeft w:val="0"/>
      <w:marRight w:val="0"/>
      <w:marTop w:val="0"/>
      <w:marBottom w:val="0"/>
      <w:divBdr>
        <w:top w:val="none" w:sz="0" w:space="0" w:color="auto"/>
        <w:left w:val="none" w:sz="0" w:space="0" w:color="auto"/>
        <w:bottom w:val="none" w:sz="0" w:space="0" w:color="auto"/>
        <w:right w:val="none" w:sz="0" w:space="0" w:color="auto"/>
      </w:divBdr>
    </w:div>
    <w:div w:id="660542173">
      <w:bodyDiv w:val="1"/>
      <w:marLeft w:val="0"/>
      <w:marRight w:val="0"/>
      <w:marTop w:val="0"/>
      <w:marBottom w:val="0"/>
      <w:divBdr>
        <w:top w:val="none" w:sz="0" w:space="0" w:color="auto"/>
        <w:left w:val="none" w:sz="0" w:space="0" w:color="auto"/>
        <w:bottom w:val="none" w:sz="0" w:space="0" w:color="auto"/>
        <w:right w:val="none" w:sz="0" w:space="0" w:color="auto"/>
      </w:divBdr>
    </w:div>
    <w:div w:id="715200676">
      <w:bodyDiv w:val="1"/>
      <w:marLeft w:val="0"/>
      <w:marRight w:val="0"/>
      <w:marTop w:val="0"/>
      <w:marBottom w:val="0"/>
      <w:divBdr>
        <w:top w:val="none" w:sz="0" w:space="0" w:color="auto"/>
        <w:left w:val="none" w:sz="0" w:space="0" w:color="auto"/>
        <w:bottom w:val="none" w:sz="0" w:space="0" w:color="auto"/>
        <w:right w:val="none" w:sz="0" w:space="0" w:color="auto"/>
      </w:divBdr>
    </w:div>
    <w:div w:id="728187241">
      <w:bodyDiv w:val="1"/>
      <w:marLeft w:val="0"/>
      <w:marRight w:val="0"/>
      <w:marTop w:val="0"/>
      <w:marBottom w:val="0"/>
      <w:divBdr>
        <w:top w:val="none" w:sz="0" w:space="0" w:color="auto"/>
        <w:left w:val="none" w:sz="0" w:space="0" w:color="auto"/>
        <w:bottom w:val="none" w:sz="0" w:space="0" w:color="auto"/>
        <w:right w:val="none" w:sz="0" w:space="0" w:color="auto"/>
      </w:divBdr>
    </w:div>
    <w:div w:id="758673594">
      <w:bodyDiv w:val="1"/>
      <w:marLeft w:val="0"/>
      <w:marRight w:val="0"/>
      <w:marTop w:val="0"/>
      <w:marBottom w:val="0"/>
      <w:divBdr>
        <w:top w:val="none" w:sz="0" w:space="0" w:color="auto"/>
        <w:left w:val="none" w:sz="0" w:space="0" w:color="auto"/>
        <w:bottom w:val="none" w:sz="0" w:space="0" w:color="auto"/>
        <w:right w:val="none" w:sz="0" w:space="0" w:color="auto"/>
      </w:divBdr>
    </w:div>
    <w:div w:id="811488659">
      <w:bodyDiv w:val="1"/>
      <w:marLeft w:val="0"/>
      <w:marRight w:val="0"/>
      <w:marTop w:val="0"/>
      <w:marBottom w:val="0"/>
      <w:divBdr>
        <w:top w:val="none" w:sz="0" w:space="0" w:color="auto"/>
        <w:left w:val="none" w:sz="0" w:space="0" w:color="auto"/>
        <w:bottom w:val="none" w:sz="0" w:space="0" w:color="auto"/>
        <w:right w:val="none" w:sz="0" w:space="0" w:color="auto"/>
      </w:divBdr>
    </w:div>
    <w:div w:id="884175939">
      <w:bodyDiv w:val="1"/>
      <w:marLeft w:val="0"/>
      <w:marRight w:val="0"/>
      <w:marTop w:val="0"/>
      <w:marBottom w:val="0"/>
      <w:divBdr>
        <w:top w:val="none" w:sz="0" w:space="0" w:color="auto"/>
        <w:left w:val="none" w:sz="0" w:space="0" w:color="auto"/>
        <w:bottom w:val="none" w:sz="0" w:space="0" w:color="auto"/>
        <w:right w:val="none" w:sz="0" w:space="0" w:color="auto"/>
      </w:divBdr>
    </w:div>
    <w:div w:id="936059034">
      <w:bodyDiv w:val="1"/>
      <w:marLeft w:val="0"/>
      <w:marRight w:val="0"/>
      <w:marTop w:val="0"/>
      <w:marBottom w:val="0"/>
      <w:divBdr>
        <w:top w:val="none" w:sz="0" w:space="0" w:color="auto"/>
        <w:left w:val="none" w:sz="0" w:space="0" w:color="auto"/>
        <w:bottom w:val="none" w:sz="0" w:space="0" w:color="auto"/>
        <w:right w:val="none" w:sz="0" w:space="0" w:color="auto"/>
      </w:divBdr>
    </w:div>
    <w:div w:id="942298278">
      <w:bodyDiv w:val="1"/>
      <w:marLeft w:val="0"/>
      <w:marRight w:val="0"/>
      <w:marTop w:val="0"/>
      <w:marBottom w:val="0"/>
      <w:divBdr>
        <w:top w:val="none" w:sz="0" w:space="0" w:color="auto"/>
        <w:left w:val="none" w:sz="0" w:space="0" w:color="auto"/>
        <w:bottom w:val="none" w:sz="0" w:space="0" w:color="auto"/>
        <w:right w:val="none" w:sz="0" w:space="0" w:color="auto"/>
      </w:divBdr>
    </w:div>
    <w:div w:id="1000961183">
      <w:bodyDiv w:val="1"/>
      <w:marLeft w:val="0"/>
      <w:marRight w:val="0"/>
      <w:marTop w:val="0"/>
      <w:marBottom w:val="0"/>
      <w:divBdr>
        <w:top w:val="none" w:sz="0" w:space="0" w:color="auto"/>
        <w:left w:val="none" w:sz="0" w:space="0" w:color="auto"/>
        <w:bottom w:val="none" w:sz="0" w:space="0" w:color="auto"/>
        <w:right w:val="none" w:sz="0" w:space="0" w:color="auto"/>
      </w:divBdr>
    </w:div>
    <w:div w:id="1021053410">
      <w:bodyDiv w:val="1"/>
      <w:marLeft w:val="0"/>
      <w:marRight w:val="0"/>
      <w:marTop w:val="0"/>
      <w:marBottom w:val="0"/>
      <w:divBdr>
        <w:top w:val="none" w:sz="0" w:space="0" w:color="auto"/>
        <w:left w:val="none" w:sz="0" w:space="0" w:color="auto"/>
        <w:bottom w:val="none" w:sz="0" w:space="0" w:color="auto"/>
        <w:right w:val="none" w:sz="0" w:space="0" w:color="auto"/>
      </w:divBdr>
    </w:div>
    <w:div w:id="1042366482">
      <w:bodyDiv w:val="1"/>
      <w:marLeft w:val="0"/>
      <w:marRight w:val="0"/>
      <w:marTop w:val="0"/>
      <w:marBottom w:val="0"/>
      <w:divBdr>
        <w:top w:val="none" w:sz="0" w:space="0" w:color="auto"/>
        <w:left w:val="none" w:sz="0" w:space="0" w:color="auto"/>
        <w:bottom w:val="none" w:sz="0" w:space="0" w:color="auto"/>
        <w:right w:val="none" w:sz="0" w:space="0" w:color="auto"/>
      </w:divBdr>
    </w:div>
    <w:div w:id="1058549564">
      <w:bodyDiv w:val="1"/>
      <w:marLeft w:val="0"/>
      <w:marRight w:val="0"/>
      <w:marTop w:val="0"/>
      <w:marBottom w:val="0"/>
      <w:divBdr>
        <w:top w:val="none" w:sz="0" w:space="0" w:color="auto"/>
        <w:left w:val="none" w:sz="0" w:space="0" w:color="auto"/>
        <w:bottom w:val="none" w:sz="0" w:space="0" w:color="auto"/>
        <w:right w:val="none" w:sz="0" w:space="0" w:color="auto"/>
      </w:divBdr>
    </w:div>
    <w:div w:id="1073088719">
      <w:bodyDiv w:val="1"/>
      <w:marLeft w:val="0"/>
      <w:marRight w:val="0"/>
      <w:marTop w:val="0"/>
      <w:marBottom w:val="0"/>
      <w:divBdr>
        <w:top w:val="none" w:sz="0" w:space="0" w:color="auto"/>
        <w:left w:val="none" w:sz="0" w:space="0" w:color="auto"/>
        <w:bottom w:val="none" w:sz="0" w:space="0" w:color="auto"/>
        <w:right w:val="none" w:sz="0" w:space="0" w:color="auto"/>
      </w:divBdr>
    </w:div>
    <w:div w:id="1177386056">
      <w:bodyDiv w:val="1"/>
      <w:marLeft w:val="0"/>
      <w:marRight w:val="0"/>
      <w:marTop w:val="0"/>
      <w:marBottom w:val="0"/>
      <w:divBdr>
        <w:top w:val="none" w:sz="0" w:space="0" w:color="auto"/>
        <w:left w:val="none" w:sz="0" w:space="0" w:color="auto"/>
        <w:bottom w:val="none" w:sz="0" w:space="0" w:color="auto"/>
        <w:right w:val="none" w:sz="0" w:space="0" w:color="auto"/>
      </w:divBdr>
    </w:div>
    <w:div w:id="1177959737">
      <w:bodyDiv w:val="1"/>
      <w:marLeft w:val="0"/>
      <w:marRight w:val="0"/>
      <w:marTop w:val="0"/>
      <w:marBottom w:val="0"/>
      <w:divBdr>
        <w:top w:val="none" w:sz="0" w:space="0" w:color="auto"/>
        <w:left w:val="none" w:sz="0" w:space="0" w:color="auto"/>
        <w:bottom w:val="none" w:sz="0" w:space="0" w:color="auto"/>
        <w:right w:val="none" w:sz="0" w:space="0" w:color="auto"/>
      </w:divBdr>
    </w:div>
    <w:div w:id="1224102277">
      <w:bodyDiv w:val="1"/>
      <w:marLeft w:val="0"/>
      <w:marRight w:val="0"/>
      <w:marTop w:val="0"/>
      <w:marBottom w:val="0"/>
      <w:divBdr>
        <w:top w:val="none" w:sz="0" w:space="0" w:color="auto"/>
        <w:left w:val="none" w:sz="0" w:space="0" w:color="auto"/>
        <w:bottom w:val="none" w:sz="0" w:space="0" w:color="auto"/>
        <w:right w:val="none" w:sz="0" w:space="0" w:color="auto"/>
      </w:divBdr>
    </w:div>
    <w:div w:id="1284506290">
      <w:bodyDiv w:val="1"/>
      <w:marLeft w:val="0"/>
      <w:marRight w:val="0"/>
      <w:marTop w:val="0"/>
      <w:marBottom w:val="0"/>
      <w:divBdr>
        <w:top w:val="none" w:sz="0" w:space="0" w:color="auto"/>
        <w:left w:val="none" w:sz="0" w:space="0" w:color="auto"/>
        <w:bottom w:val="none" w:sz="0" w:space="0" w:color="auto"/>
        <w:right w:val="none" w:sz="0" w:space="0" w:color="auto"/>
      </w:divBdr>
    </w:div>
    <w:div w:id="1285842504">
      <w:bodyDiv w:val="1"/>
      <w:marLeft w:val="0"/>
      <w:marRight w:val="0"/>
      <w:marTop w:val="0"/>
      <w:marBottom w:val="0"/>
      <w:divBdr>
        <w:top w:val="none" w:sz="0" w:space="0" w:color="auto"/>
        <w:left w:val="none" w:sz="0" w:space="0" w:color="auto"/>
        <w:bottom w:val="none" w:sz="0" w:space="0" w:color="auto"/>
        <w:right w:val="none" w:sz="0" w:space="0" w:color="auto"/>
      </w:divBdr>
    </w:div>
    <w:div w:id="1303730477">
      <w:bodyDiv w:val="1"/>
      <w:marLeft w:val="0"/>
      <w:marRight w:val="0"/>
      <w:marTop w:val="0"/>
      <w:marBottom w:val="0"/>
      <w:divBdr>
        <w:top w:val="none" w:sz="0" w:space="0" w:color="auto"/>
        <w:left w:val="none" w:sz="0" w:space="0" w:color="auto"/>
        <w:bottom w:val="none" w:sz="0" w:space="0" w:color="auto"/>
        <w:right w:val="none" w:sz="0" w:space="0" w:color="auto"/>
      </w:divBdr>
    </w:div>
    <w:div w:id="1317420388">
      <w:bodyDiv w:val="1"/>
      <w:marLeft w:val="0"/>
      <w:marRight w:val="0"/>
      <w:marTop w:val="0"/>
      <w:marBottom w:val="0"/>
      <w:divBdr>
        <w:top w:val="none" w:sz="0" w:space="0" w:color="auto"/>
        <w:left w:val="none" w:sz="0" w:space="0" w:color="auto"/>
        <w:bottom w:val="none" w:sz="0" w:space="0" w:color="auto"/>
        <w:right w:val="none" w:sz="0" w:space="0" w:color="auto"/>
      </w:divBdr>
    </w:div>
    <w:div w:id="1406221802">
      <w:bodyDiv w:val="1"/>
      <w:marLeft w:val="0"/>
      <w:marRight w:val="0"/>
      <w:marTop w:val="0"/>
      <w:marBottom w:val="0"/>
      <w:divBdr>
        <w:top w:val="none" w:sz="0" w:space="0" w:color="auto"/>
        <w:left w:val="none" w:sz="0" w:space="0" w:color="auto"/>
        <w:bottom w:val="none" w:sz="0" w:space="0" w:color="auto"/>
        <w:right w:val="none" w:sz="0" w:space="0" w:color="auto"/>
      </w:divBdr>
    </w:div>
    <w:div w:id="1452626137">
      <w:bodyDiv w:val="1"/>
      <w:marLeft w:val="0"/>
      <w:marRight w:val="0"/>
      <w:marTop w:val="0"/>
      <w:marBottom w:val="0"/>
      <w:divBdr>
        <w:top w:val="none" w:sz="0" w:space="0" w:color="auto"/>
        <w:left w:val="none" w:sz="0" w:space="0" w:color="auto"/>
        <w:bottom w:val="none" w:sz="0" w:space="0" w:color="auto"/>
        <w:right w:val="none" w:sz="0" w:space="0" w:color="auto"/>
      </w:divBdr>
    </w:div>
    <w:div w:id="1458180192">
      <w:bodyDiv w:val="1"/>
      <w:marLeft w:val="0"/>
      <w:marRight w:val="0"/>
      <w:marTop w:val="0"/>
      <w:marBottom w:val="0"/>
      <w:divBdr>
        <w:top w:val="none" w:sz="0" w:space="0" w:color="auto"/>
        <w:left w:val="none" w:sz="0" w:space="0" w:color="auto"/>
        <w:bottom w:val="none" w:sz="0" w:space="0" w:color="auto"/>
        <w:right w:val="none" w:sz="0" w:space="0" w:color="auto"/>
      </w:divBdr>
    </w:div>
    <w:div w:id="1465152323">
      <w:bodyDiv w:val="1"/>
      <w:marLeft w:val="0"/>
      <w:marRight w:val="0"/>
      <w:marTop w:val="0"/>
      <w:marBottom w:val="0"/>
      <w:divBdr>
        <w:top w:val="none" w:sz="0" w:space="0" w:color="auto"/>
        <w:left w:val="none" w:sz="0" w:space="0" w:color="auto"/>
        <w:bottom w:val="none" w:sz="0" w:space="0" w:color="auto"/>
        <w:right w:val="none" w:sz="0" w:space="0" w:color="auto"/>
      </w:divBdr>
    </w:div>
    <w:div w:id="1656833655">
      <w:bodyDiv w:val="1"/>
      <w:marLeft w:val="0"/>
      <w:marRight w:val="0"/>
      <w:marTop w:val="0"/>
      <w:marBottom w:val="0"/>
      <w:divBdr>
        <w:top w:val="none" w:sz="0" w:space="0" w:color="auto"/>
        <w:left w:val="none" w:sz="0" w:space="0" w:color="auto"/>
        <w:bottom w:val="none" w:sz="0" w:space="0" w:color="auto"/>
        <w:right w:val="none" w:sz="0" w:space="0" w:color="auto"/>
      </w:divBdr>
    </w:div>
    <w:div w:id="1716277372">
      <w:bodyDiv w:val="1"/>
      <w:marLeft w:val="0"/>
      <w:marRight w:val="0"/>
      <w:marTop w:val="0"/>
      <w:marBottom w:val="0"/>
      <w:divBdr>
        <w:top w:val="none" w:sz="0" w:space="0" w:color="auto"/>
        <w:left w:val="none" w:sz="0" w:space="0" w:color="auto"/>
        <w:bottom w:val="none" w:sz="0" w:space="0" w:color="auto"/>
        <w:right w:val="none" w:sz="0" w:space="0" w:color="auto"/>
      </w:divBdr>
    </w:div>
    <w:div w:id="1758944124">
      <w:bodyDiv w:val="1"/>
      <w:marLeft w:val="0"/>
      <w:marRight w:val="0"/>
      <w:marTop w:val="0"/>
      <w:marBottom w:val="0"/>
      <w:divBdr>
        <w:top w:val="none" w:sz="0" w:space="0" w:color="auto"/>
        <w:left w:val="none" w:sz="0" w:space="0" w:color="auto"/>
        <w:bottom w:val="none" w:sz="0" w:space="0" w:color="auto"/>
        <w:right w:val="none" w:sz="0" w:space="0" w:color="auto"/>
      </w:divBdr>
    </w:div>
    <w:div w:id="1761367705">
      <w:bodyDiv w:val="1"/>
      <w:marLeft w:val="0"/>
      <w:marRight w:val="0"/>
      <w:marTop w:val="0"/>
      <w:marBottom w:val="0"/>
      <w:divBdr>
        <w:top w:val="none" w:sz="0" w:space="0" w:color="auto"/>
        <w:left w:val="none" w:sz="0" w:space="0" w:color="auto"/>
        <w:bottom w:val="none" w:sz="0" w:space="0" w:color="auto"/>
        <w:right w:val="none" w:sz="0" w:space="0" w:color="auto"/>
      </w:divBdr>
    </w:div>
    <w:div w:id="1772623251">
      <w:bodyDiv w:val="1"/>
      <w:marLeft w:val="0"/>
      <w:marRight w:val="0"/>
      <w:marTop w:val="0"/>
      <w:marBottom w:val="0"/>
      <w:divBdr>
        <w:top w:val="none" w:sz="0" w:space="0" w:color="auto"/>
        <w:left w:val="none" w:sz="0" w:space="0" w:color="auto"/>
        <w:bottom w:val="none" w:sz="0" w:space="0" w:color="auto"/>
        <w:right w:val="none" w:sz="0" w:space="0" w:color="auto"/>
      </w:divBdr>
    </w:div>
    <w:div w:id="2003853580">
      <w:bodyDiv w:val="1"/>
      <w:marLeft w:val="0"/>
      <w:marRight w:val="0"/>
      <w:marTop w:val="0"/>
      <w:marBottom w:val="0"/>
      <w:divBdr>
        <w:top w:val="none" w:sz="0" w:space="0" w:color="auto"/>
        <w:left w:val="none" w:sz="0" w:space="0" w:color="auto"/>
        <w:bottom w:val="none" w:sz="0" w:space="0" w:color="auto"/>
        <w:right w:val="none" w:sz="0" w:space="0" w:color="auto"/>
      </w:divBdr>
    </w:div>
    <w:div w:id="2029482893">
      <w:bodyDiv w:val="1"/>
      <w:marLeft w:val="0"/>
      <w:marRight w:val="0"/>
      <w:marTop w:val="0"/>
      <w:marBottom w:val="0"/>
      <w:divBdr>
        <w:top w:val="none" w:sz="0" w:space="0" w:color="auto"/>
        <w:left w:val="none" w:sz="0" w:space="0" w:color="auto"/>
        <w:bottom w:val="none" w:sz="0" w:space="0" w:color="auto"/>
        <w:right w:val="none" w:sz="0" w:space="0" w:color="auto"/>
      </w:divBdr>
    </w:div>
    <w:div w:id="2033652139">
      <w:bodyDiv w:val="1"/>
      <w:marLeft w:val="0"/>
      <w:marRight w:val="0"/>
      <w:marTop w:val="0"/>
      <w:marBottom w:val="0"/>
      <w:divBdr>
        <w:top w:val="none" w:sz="0" w:space="0" w:color="auto"/>
        <w:left w:val="none" w:sz="0" w:space="0" w:color="auto"/>
        <w:bottom w:val="none" w:sz="0" w:space="0" w:color="auto"/>
        <w:right w:val="none" w:sz="0" w:space="0" w:color="auto"/>
      </w:divBdr>
    </w:div>
    <w:div w:id="2036929723">
      <w:bodyDiv w:val="1"/>
      <w:marLeft w:val="0"/>
      <w:marRight w:val="0"/>
      <w:marTop w:val="0"/>
      <w:marBottom w:val="0"/>
      <w:divBdr>
        <w:top w:val="none" w:sz="0" w:space="0" w:color="auto"/>
        <w:left w:val="none" w:sz="0" w:space="0" w:color="auto"/>
        <w:bottom w:val="none" w:sz="0" w:space="0" w:color="auto"/>
        <w:right w:val="none" w:sz="0" w:space="0" w:color="auto"/>
      </w:divBdr>
    </w:div>
    <w:div w:id="2073655172">
      <w:bodyDiv w:val="1"/>
      <w:marLeft w:val="0"/>
      <w:marRight w:val="0"/>
      <w:marTop w:val="0"/>
      <w:marBottom w:val="0"/>
      <w:divBdr>
        <w:top w:val="none" w:sz="0" w:space="0" w:color="auto"/>
        <w:left w:val="none" w:sz="0" w:space="0" w:color="auto"/>
        <w:bottom w:val="none" w:sz="0" w:space="0" w:color="auto"/>
        <w:right w:val="none" w:sz="0" w:space="0" w:color="auto"/>
      </w:divBdr>
    </w:div>
    <w:div w:id="2097895704">
      <w:bodyDiv w:val="1"/>
      <w:marLeft w:val="0"/>
      <w:marRight w:val="0"/>
      <w:marTop w:val="0"/>
      <w:marBottom w:val="0"/>
      <w:divBdr>
        <w:top w:val="none" w:sz="0" w:space="0" w:color="auto"/>
        <w:left w:val="none" w:sz="0" w:space="0" w:color="auto"/>
        <w:bottom w:val="none" w:sz="0" w:space="0" w:color="auto"/>
        <w:right w:val="none" w:sz="0" w:space="0" w:color="auto"/>
      </w:divBdr>
    </w:div>
    <w:div w:id="2102411420">
      <w:bodyDiv w:val="1"/>
      <w:marLeft w:val="0"/>
      <w:marRight w:val="0"/>
      <w:marTop w:val="0"/>
      <w:marBottom w:val="0"/>
      <w:divBdr>
        <w:top w:val="none" w:sz="0" w:space="0" w:color="auto"/>
        <w:left w:val="none" w:sz="0" w:space="0" w:color="auto"/>
        <w:bottom w:val="none" w:sz="0" w:space="0" w:color="auto"/>
        <w:right w:val="none" w:sz="0" w:space="0" w:color="auto"/>
      </w:divBdr>
    </w:div>
    <w:div w:id="212638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sos-childrensvillages.org/getmedia/11d1dfe1-dce5-43fa-ab5e-74fa3c89a8a8/SOS-CVI-Detailed-Report-of-Children-in-Family-Strengthening-for-the-European-Commission.pdf" TargetMode="External"/><Relationship Id="rId117" Type="http://schemas.openxmlformats.org/officeDocument/2006/relationships/hyperlink" Target="https://eur-lex.europa.eu/legal-content/RO/TXT/?uri=CELEX:52020DC0624" TargetMode="External"/><Relationship Id="rId21" Type="http://schemas.openxmlformats.org/officeDocument/2006/relationships/hyperlink" Target="https://www.europarl.europa.eu/doceo/document/TA-9-2021-0090_RO.html" TargetMode="External"/><Relationship Id="rId42" Type="http://schemas.openxmlformats.org/officeDocument/2006/relationships/hyperlink" Target="https://ec.europa.eu/info/strategy/priorities-2019-2024/economy-works-people/jobs-growth-and-investment/european-pillar-social-rights/european-pillar-social-rights-20-principles_ro" TargetMode="External"/><Relationship Id="rId47" Type="http://schemas.openxmlformats.org/officeDocument/2006/relationships/hyperlink" Target="https://fra.europa.eu/sites/default/files/fra_uploads/fra-2018-combating-child-poverty_en.pdf" TargetMode="External"/><Relationship Id="rId63" Type="http://schemas.openxmlformats.org/officeDocument/2006/relationships/hyperlink" Target="https://ec.europa.eu/info/sites/info/files/bcn_objectives-report2018_web_en.pdf" TargetMode="External"/><Relationship Id="rId68" Type="http://schemas.openxmlformats.org/officeDocument/2006/relationships/hyperlink" Target="https://op.europa.eu/fr/publication-detail/-/publication/4c526047-6f3c-11eb-aeb5-01aa75ed71a1/language-en/format-PDF/source-191896644" TargetMode="External"/><Relationship Id="rId84" Type="http://schemas.openxmlformats.org/officeDocument/2006/relationships/hyperlink" Target="https://eur-lex.europa.eu/legal-content/RO/TXT/PDF/?uri=CELEX:32018L1972&amp;from=RO" TargetMode="External"/><Relationship Id="rId89" Type="http://schemas.openxmlformats.org/officeDocument/2006/relationships/hyperlink" Target="https://eur-lex.europa.eu/legal-content/RO/TXT/PDF/?uri=CELEX:52020DC0258&amp;from=RO" TargetMode="External"/><Relationship Id="rId112" Type="http://schemas.openxmlformats.org/officeDocument/2006/relationships/hyperlink" Target="https://eur-lex.europa.eu/legal-content/RO/TXT/?uri=celex:32005L0029" TargetMode="External"/><Relationship Id="rId133" Type="http://schemas.openxmlformats.org/officeDocument/2006/relationships/hyperlink" Target="https://www.un.org/sites/un2.un.org/files/sg_policy_brief_covid-19_and_education_august_2020.pdf" TargetMode="External"/><Relationship Id="rId138" Type="http://schemas.openxmlformats.org/officeDocument/2006/relationships/hyperlink" Target="http://www.childrightstoolkit.com/" TargetMode="External"/><Relationship Id="rId154" Type="http://schemas.openxmlformats.org/officeDocument/2006/relationships/hyperlink" Target="https://eur-lex.europa.eu/legal-content/RO/TXT/?uri=CELEX:52020DC0607" TargetMode="External"/><Relationship Id="rId159" Type="http://schemas.openxmlformats.org/officeDocument/2006/relationships/hyperlink" Target="https://ec.europa.eu/education/resources-and-tools/document-library/eea-communication-sept2020_en" TargetMode="External"/><Relationship Id="rId16" Type="http://schemas.openxmlformats.org/officeDocument/2006/relationships/hyperlink" Target="https://www.ohchr.org/EN/HRBodies/CRPD/Pages/ConventionRightsPersonsWithDisabilities.aspx" TargetMode="External"/><Relationship Id="rId107" Type="http://schemas.openxmlformats.org/officeDocument/2006/relationships/hyperlink" Target="https://eur-lex.europa.eu/legal-content/fi/TXT/?uri=CELEX:52021DC0118" TargetMode="External"/><Relationship Id="rId11" Type="http://schemas.openxmlformats.org/officeDocument/2006/relationships/hyperlink" Target="https://www.europol.europa.eu/publications-documents/exploiting-isolation-offenders-and-victims-of-online-child-sexual-abuse-during-covid-19-pandemic" TargetMode="External"/><Relationship Id="rId32" Type="http://schemas.openxmlformats.org/officeDocument/2006/relationships/hyperlink" Target="https://ec.europa.eu/info/files/report-child-participation-eu-political-and-democratic-life_en" TargetMode="External"/><Relationship Id="rId37" Type="http://schemas.openxmlformats.org/officeDocument/2006/relationships/hyperlink" Target="https://www.unicef.org/eu/media/1276/file/Report%20%22Our%20Europe,%20Our%20Rights,%20Our%20Future%22.pdf" TargetMode="External"/><Relationship Id="rId53" Type="http://schemas.openxmlformats.org/officeDocument/2006/relationships/hyperlink" Target="https://eur-lex.europa.eu/legal-content/RO/TXT/PDF/?uri=CELEX:32021G0226(01)" TargetMode="External"/><Relationship Id="rId58" Type="http://schemas.openxmlformats.org/officeDocument/2006/relationships/hyperlink" Target="https://eur-lex.europa.eu/legal-content/RO/TXT/?uri=CELEX:52020DC0381" TargetMode="External"/><Relationship Id="rId74" Type="http://schemas.openxmlformats.org/officeDocument/2006/relationships/hyperlink" Target="https://www.unicef.org/media/files/FGMC_2016_brochure_final_UNICEF_SPREAD.pdf" TargetMode="External"/><Relationship Id="rId79" Type="http://schemas.openxmlformats.org/officeDocument/2006/relationships/hyperlink" Target="https://www.unicef.org/press-releases/protect-rights-children-foreign-fighters-stranded-syria-and-iraq" TargetMode="External"/><Relationship Id="rId102" Type="http://schemas.openxmlformats.org/officeDocument/2006/relationships/hyperlink" Target="https://www.europol.europa.eu/publications-documents/challenges-of-countering-human-trafficking-in-digital-era" TargetMode="External"/><Relationship Id="rId123" Type="http://schemas.openxmlformats.org/officeDocument/2006/relationships/hyperlink" Target="https://ec.europa.eu/programmes/erasmus-plus/node_ro" TargetMode="External"/><Relationship Id="rId128" Type="http://schemas.openxmlformats.org/officeDocument/2006/relationships/hyperlink" Target="https://resourcecentre.savethechildren.net/node/18503/pdf/ostby_rustad_tollefsen_-_children_affected_by_armed_conflict_1990-2019_-_conflict_trends_6-2020.pdf" TargetMode="External"/><Relationship Id="rId144" Type="http://schemas.openxmlformats.org/officeDocument/2006/relationships/hyperlink" Target="https://ec.europa.eu/transparency/regexpert/index.cfm?do=groupDetail.groupDetail&amp;groupID=2884" TargetMode="External"/><Relationship Id="rId149" Type="http://schemas.openxmlformats.org/officeDocument/2006/relationships/hyperlink" Target="https://eur-lex.europa.eu/legal-content/RO/TXT/PDF/?uri=CELEX:52020DC0698&amp;from=RO" TargetMode="External"/><Relationship Id="rId5" Type="http://schemas.openxmlformats.org/officeDocument/2006/relationships/hyperlink" Target="https://ec.europa.eu/info/sites/info/files/political-guidelines-next-commission_ro.pdf" TargetMode="External"/><Relationship Id="rId90" Type="http://schemas.openxmlformats.org/officeDocument/2006/relationships/hyperlink" Target="https://childrendeprivedofliberty.info/wp-content/uploads/2020/09/Full-Global-Study_Revised-Version.pdf" TargetMode="External"/><Relationship Id="rId95" Type="http://schemas.openxmlformats.org/officeDocument/2006/relationships/hyperlink" Target="https://rm.coe.int/cm-recommendation-2018-5-concerning-children-with-imprisoned-parents-e/16807b3438" TargetMode="External"/><Relationship Id="rId160" Type="http://schemas.openxmlformats.org/officeDocument/2006/relationships/hyperlink" Target="https://eur-lex.europa.eu/legal-content/RO/TXT/?uri=CELEX:52020DC0624" TargetMode="External"/><Relationship Id="rId22" Type="http://schemas.openxmlformats.org/officeDocument/2006/relationships/hyperlink" Target="https://ec.europa.eu/info/law/better-regulation/have-your-say/initiatives/12454-Delivering-for-children-an-EU-strategy-on-the-rights-of-the-child/public-consultation" TargetMode="External"/><Relationship Id="rId27" Type="http://schemas.openxmlformats.org/officeDocument/2006/relationships/hyperlink" Target="https://www.sos-childrensvillages.org/getmedia/472cb70e-fd21-4cc8-b318-605958ffdf99/Consultation-with-children_FINAL.pdf" TargetMode="External"/><Relationship Id="rId43" Type="http://schemas.openxmlformats.org/officeDocument/2006/relationships/hyperlink" Target="https://eur-lex.europa.eu/legal-content/RO/ALL/?uri=CELEX:32013H0112" TargetMode="External"/><Relationship Id="rId48" Type="http://schemas.openxmlformats.org/officeDocument/2006/relationships/hyperlink" Target="https://eur-lex.europa.eu/legal-content/RO/ALL/?uri=COM:2021:102:FIN" TargetMode="External"/><Relationship Id="rId64" Type="http://schemas.openxmlformats.org/officeDocument/2006/relationships/hyperlink" Target="http://dx.doi.org/10.2797/894279" TargetMode="External"/><Relationship Id="rId69" Type="http://schemas.openxmlformats.org/officeDocument/2006/relationships/hyperlink" Target="https://eur-lex.europa.eu/legal-content/RO/ALL/?uri=COM:2020:758:FIN" TargetMode="External"/><Relationship Id="rId113" Type="http://schemas.openxmlformats.org/officeDocument/2006/relationships/hyperlink" Target="https://eur-lex.europa.eu/legal-content/RO/TXT/?uri=CELEX:52018DC0236" TargetMode="External"/><Relationship Id="rId118" Type="http://schemas.openxmlformats.org/officeDocument/2006/relationships/hyperlink" Target="https://tbinternet.ohchr.org/_layouts/15/treatybodyexternal/TBSearch.aspx?Lang=en&amp;TreatyID=5&amp;DocTypeID=11" TargetMode="External"/><Relationship Id="rId134" Type="http://schemas.openxmlformats.org/officeDocument/2006/relationships/hyperlink" Target="https://eur-lex.europa.eu/legal-content/RO/TXT/?uri=CELEX:52020JC0005" TargetMode="External"/><Relationship Id="rId139" Type="http://schemas.openxmlformats.org/officeDocument/2006/relationships/hyperlink" Target="http://www.childrightstoolkit.com/" TargetMode="External"/><Relationship Id="rId80" Type="http://schemas.openxmlformats.org/officeDocument/2006/relationships/hyperlink" Target="https://eur-lex.europa.eu/legal-content/ro/ALL/?uri=CELEX:52017DC0211" TargetMode="External"/><Relationship Id="rId85" Type="http://schemas.openxmlformats.org/officeDocument/2006/relationships/hyperlink" Target="https://fra.europa.eu/en/project/2012/children-and-justice" TargetMode="External"/><Relationship Id="rId150" Type="http://schemas.openxmlformats.org/officeDocument/2006/relationships/hyperlink" Target="https://eur-lex.europa.eu/legal-content/RO/TXT/PDF/?uri=CELEX:52020DC0758&amp;qid=1616593240325&amp;from=RO" TargetMode="External"/><Relationship Id="rId155" Type="http://schemas.openxmlformats.org/officeDocument/2006/relationships/hyperlink" Target="https://eur-lex.europa.eu/LexUriServ/LexUriServ.do?uri=OJ:L:2013:059:0005:0016:RO:PDF" TargetMode="External"/><Relationship Id="rId12" Type="http://schemas.openxmlformats.org/officeDocument/2006/relationships/hyperlink" Target="https://www.europol.europa.eu/publications-documents/exploiting-isolation-offenders-and-victims-of-online-child-sexual-abuse-during-covid-19-pandemic" TargetMode="External"/><Relationship Id="rId17" Type="http://schemas.openxmlformats.org/officeDocument/2006/relationships/hyperlink" Target="https://sdgs.un.org/goals" TargetMode="External"/><Relationship Id="rId33" Type="http://schemas.openxmlformats.org/officeDocument/2006/relationships/hyperlink" Target="https://ec.europa.eu/info/files/accessible-version-report-child-participation-eu-political-and-democratic-life_en" TargetMode="External"/><Relationship Id="rId38" Type="http://schemas.openxmlformats.org/officeDocument/2006/relationships/hyperlink" Target="https://www.unicef.org/eu/media/1276/file/Report%20%22Our%20Europe,%20Our%20Rights,%20Our%20Future%22.pdf" TargetMode="External"/><Relationship Id="rId59" Type="http://schemas.openxmlformats.org/officeDocument/2006/relationships/hyperlink" Target="https://eur-lex.europa.eu/legal-content/RO/TXT/?uri=CELEX:52020DC0381" TargetMode="External"/><Relationship Id="rId103" Type="http://schemas.openxmlformats.org/officeDocument/2006/relationships/hyperlink" Target="https://eur-lex.europa.eu/legal-content/RO/TXT/?uri=CELEX:52020DC0607" TargetMode="External"/><Relationship Id="rId108" Type="http://schemas.openxmlformats.org/officeDocument/2006/relationships/hyperlink" Target="https://eur-lex.europa.eu/legal-content/RO/TXT/?uri=celex:32011L0093" TargetMode="External"/><Relationship Id="rId124" Type="http://schemas.openxmlformats.org/officeDocument/2006/relationships/hyperlink" Target="https://www.unicef.org/globalinsight/reports/policy-guidance-ai-children" TargetMode="External"/><Relationship Id="rId129" Type="http://schemas.openxmlformats.org/officeDocument/2006/relationships/hyperlink" Target="https://inee.org/" TargetMode="External"/><Relationship Id="rId54" Type="http://schemas.openxmlformats.org/officeDocument/2006/relationships/hyperlink" Target="https://apps.who.int/iris/bitstream/handle/10665/329834/9789289054553-eng.pdf" TargetMode="External"/><Relationship Id="rId70" Type="http://schemas.openxmlformats.org/officeDocument/2006/relationships/hyperlink" Target="https://www.unicef.org/sites/default/files/2020-06/Global-status-report-on-preventing-violence-against-children-2020.pdf" TargetMode="External"/><Relationship Id="rId75" Type="http://schemas.openxmlformats.org/officeDocument/2006/relationships/hyperlink" Target="https://www.endfgm.eu/female-genital-mutilation/fgm-in-europe/" TargetMode="External"/><Relationship Id="rId91" Type="http://schemas.openxmlformats.org/officeDocument/2006/relationships/hyperlink" Target="https://eur-lex.europa.eu/legal-content/RO/TXT/?uri=CELEX:32016L0800" TargetMode="External"/><Relationship Id="rId96" Type="http://schemas.openxmlformats.org/officeDocument/2006/relationships/hyperlink" Target="https://www.egnetwork.eu/" TargetMode="External"/><Relationship Id="rId140" Type="http://schemas.openxmlformats.org/officeDocument/2006/relationships/hyperlink" Target="https://www.ilo.org/global/publications/books/WCMS_575499/lang--en/index.htm" TargetMode="External"/><Relationship Id="rId145" Type="http://schemas.openxmlformats.org/officeDocument/2006/relationships/hyperlink" Target="https://eur-lex.europa.eu/legal-content/ro/ALL/?uri=CELEX:52017DC0211" TargetMode="External"/><Relationship Id="rId161" Type="http://schemas.openxmlformats.org/officeDocument/2006/relationships/hyperlink" Target="https://eur-lex.europa.eu/legal-content/RO/TXT/?uri=CELEX:52020JC0005" TargetMode="External"/><Relationship Id="rId1" Type="http://schemas.openxmlformats.org/officeDocument/2006/relationships/hyperlink" Target="https://appsso.eurostat.ec.europa.eu/nui/show.do?dataset=yth_demo_010&amp;lang=en" TargetMode="External"/><Relationship Id="rId6" Type="http://schemas.openxmlformats.org/officeDocument/2006/relationships/hyperlink" Target="https://ec.europa.eu/info/sites/info/files/political-guidelines-next-commission_ro.pdf" TargetMode="External"/><Relationship Id="rId15" Type="http://schemas.openxmlformats.org/officeDocument/2006/relationships/hyperlink" Target="https://ec.europa.eu/info/strategy/priorities-2019-2024/economy-works-people/jobs-growth-and-investment/european-pillar-social-rights/european-pillar-social-rights-20-principles_ro" TargetMode="External"/><Relationship Id="rId23" Type="http://schemas.openxmlformats.org/officeDocument/2006/relationships/hyperlink" Target="https://ec.europa.eu/info/events/13th-european-forum-rights-child-towards-eu-strategy-rights-child-2020-sep-29_en" TargetMode="External"/><Relationship Id="rId28" Type="http://schemas.openxmlformats.org/officeDocument/2006/relationships/hyperlink" Target="https://ec.europa.eu/info/policies/justice-and-fundamental-rights/rights-child/eu-strategy-rights-child-and-eu-child-guarantee_en" TargetMode="External"/><Relationship Id="rId36" Type="http://schemas.openxmlformats.org/officeDocument/2006/relationships/hyperlink" Target="https://eurochild.org/uploads/2020/11/Euro_Kids_Want_Brochure_Nov2019.pdf" TargetMode="External"/><Relationship Id="rId49" Type="http://schemas.openxmlformats.org/officeDocument/2006/relationships/hyperlink" Target="https://eur-lex.europa.eu/legal-content/RO/TXT/?uri=CELEX:32020H1104(01)" TargetMode="External"/><Relationship Id="rId57" Type="http://schemas.openxmlformats.org/officeDocument/2006/relationships/hyperlink" Target="https://ec.europa.eu/health/sites/health/files/nutrition_physical_activity/docs/childhoodobesity_actionplan_2014_2020_en.pdf" TargetMode="External"/><Relationship Id="rId106" Type="http://schemas.openxmlformats.org/officeDocument/2006/relationships/hyperlink" Target="https://eur-lex.europa.eu/legal-content/fi/TXT/?uri=CELEX:52021DC0118" TargetMode="External"/><Relationship Id="rId114" Type="http://schemas.openxmlformats.org/officeDocument/2006/relationships/hyperlink" Target="https://eur-lex.europa.eu/legal-content/RO/TXT/?uri=CELEX:52018DC0236" TargetMode="External"/><Relationship Id="rId119" Type="http://schemas.openxmlformats.org/officeDocument/2006/relationships/hyperlink" Target="https://www.betterinternetforkids.eu/en/policy/youth-pledge-for-a-better-internet" TargetMode="External"/><Relationship Id="rId127" Type="http://schemas.openxmlformats.org/officeDocument/2006/relationships/hyperlink" Target="https://ec.europa.eu/jrc/en/digcomp/digital-competence-framework" TargetMode="External"/><Relationship Id="rId10" Type="http://schemas.openxmlformats.org/officeDocument/2006/relationships/hyperlink" Target="https://publications.jrc.ec.europa.eu/repository/bitstream/JRC124034/kidicoti_online_risks_tech_report_20210209_final_1.pdf" TargetMode="External"/><Relationship Id="rId31" Type="http://schemas.openxmlformats.org/officeDocument/2006/relationships/hyperlink" Target="https://www.childrightsconnect.org/wp-content/uploads/2020/12/final-implementation-guide-the-rights-of-child-human-rights-defenders-forweb.pdf." TargetMode="External"/><Relationship Id="rId44" Type="http://schemas.openxmlformats.org/officeDocument/2006/relationships/hyperlink" Target="https://eur-lex.europa.eu/legal-content/RO/ALL/?uri=CELEX:32013H0112" TargetMode="External"/><Relationship Id="rId52" Type="http://schemas.openxmlformats.org/officeDocument/2006/relationships/hyperlink" Target="http://www.mentalhealthandwellbeing.eu/assets/docs/publications/Framework%20for%20action_19jan%20(1)-20160119192639.pdf" TargetMode="External"/><Relationship Id="rId60" Type="http://schemas.openxmlformats.org/officeDocument/2006/relationships/hyperlink" Target="https://eur-lex.europa.eu/legal-content/RO/TXT/?uri=OJ:JOC_2018_466_R_0001" TargetMode="External"/><Relationship Id="rId65" Type="http://schemas.openxmlformats.org/officeDocument/2006/relationships/hyperlink" Target="https://eur-lex.europa.eu/legal-content/RO/TXT/?uri=CELEX:52020DC0152" TargetMode="External"/><Relationship Id="rId73" Type="http://schemas.openxmlformats.org/officeDocument/2006/relationships/hyperlink" Target="https://www.unicef.org/media/files/FGMC_2016_brochure_final_UNICEF_SPREAD.pdf" TargetMode="External"/><Relationship Id="rId78" Type="http://schemas.openxmlformats.org/officeDocument/2006/relationships/hyperlink" Target="https://eur-lex.europa.eu/legal-content/ro/ALL/?uri=CELEX:52017DC0211" TargetMode="External"/><Relationship Id="rId81" Type="http://schemas.openxmlformats.org/officeDocument/2006/relationships/hyperlink" Target="https://eur-lex.europa.eu/legal-content/RO/TXT/?uri=CELEX:52020DC0607" TargetMode="External"/><Relationship Id="rId86" Type="http://schemas.openxmlformats.org/officeDocument/2006/relationships/hyperlink" Target="https://search.coe.int/cm/Pages/result_details.aspx?ObjectId=09000016804cda4b" TargetMode="External"/><Relationship Id="rId94" Type="http://schemas.openxmlformats.org/officeDocument/2006/relationships/hyperlink" Target="https://e-justice.europa.eu/content_european_training_platform-37158-ro.do?init=true" TargetMode="External"/><Relationship Id="rId99" Type="http://schemas.openxmlformats.org/officeDocument/2006/relationships/hyperlink" Target="https://www.unicef.org/eu/reports/report-our-europe-our-rights-our-future" TargetMode="External"/><Relationship Id="rId101" Type="http://schemas.openxmlformats.org/officeDocument/2006/relationships/hyperlink" Target="https://ec.europa.eu/anti-trafficking/sites/default/files/third_progress_report.pdf" TargetMode="External"/><Relationship Id="rId122" Type="http://schemas.openxmlformats.org/officeDocument/2006/relationships/hyperlink" Target="https://eur-lex.europa.eu/legal-content/RO/TXT/?uri=CELEX:52020DC0625" TargetMode="External"/><Relationship Id="rId130" Type="http://schemas.openxmlformats.org/officeDocument/2006/relationships/hyperlink" Target="https://www.who.int/news-room/fact-sheets/detail/children-reducing-mortality" TargetMode="External"/><Relationship Id="rId135" Type="http://schemas.openxmlformats.org/officeDocument/2006/relationships/hyperlink" Target="https://eeas.europa.eu/sites/default/files/10_hr_guidelines_protection_en.pdf" TargetMode="External"/><Relationship Id="rId143" Type="http://schemas.openxmlformats.org/officeDocument/2006/relationships/hyperlink" Target="https://ec.europa.eu/info/horizon-europe_en" TargetMode="External"/><Relationship Id="rId148" Type="http://schemas.openxmlformats.org/officeDocument/2006/relationships/hyperlink" Target="https://eur-lex.europa.eu/legal-content/RO/TXT/?uri=OJ:JOC_2021_093_R_0001&amp;qid=1616142185824" TargetMode="External"/><Relationship Id="rId151" Type="http://schemas.openxmlformats.org/officeDocument/2006/relationships/hyperlink" Target="https://eur-lex.europa.eu/legal-content/RO/TXT/?uri=COM:2020:0565:FIN" TargetMode="External"/><Relationship Id="rId156" Type="http://schemas.openxmlformats.org/officeDocument/2006/relationships/hyperlink" Target="https://eur-lex.europa.eu/LexUriServ/LexUriServ.do?uri=OJ:L:2013:059:0005:0016:RO:PDF" TargetMode="External"/><Relationship Id="rId164" Type="http://schemas.openxmlformats.org/officeDocument/2006/relationships/hyperlink" Target="https://tbinternet.ohchr.org/_layouts/15/TreatyBodyExternal/SessionsList.aspx?Treaty=CRPD" TargetMode="External"/><Relationship Id="rId4" Type="http://schemas.openxmlformats.org/officeDocument/2006/relationships/hyperlink" Target="https://eur-lex.europa.eu/legal-content/RO/TXT/?uri=CELEX%3A12012P%2FTXT" TargetMode="External"/><Relationship Id="rId9" Type="http://schemas.openxmlformats.org/officeDocument/2006/relationships/hyperlink" Target="https://www.ohchr.org/EN/ProfessionalInterest/Pages/CRC.aspx" TargetMode="External"/><Relationship Id="rId13" Type="http://schemas.openxmlformats.org/officeDocument/2006/relationships/hyperlink" Target="https://eur-lex.europa.eu/legal-content/EN/TXT/PDF/?uri=CELEX:52006DC0367&amp;from=EN" TargetMode="External"/><Relationship Id="rId18" Type="http://schemas.openxmlformats.org/officeDocument/2006/relationships/hyperlink" Target="https://sdgs.un.org/goals" TargetMode="External"/><Relationship Id="rId39" Type="http://schemas.openxmlformats.org/officeDocument/2006/relationships/hyperlink" Target="https://www.unicef.org/eu/media/1276/file/Report%20%22Our%20Europe,%20Our%20Rights,%20Our%20Future%22.pdf" TargetMode="External"/><Relationship Id="rId109" Type="http://schemas.openxmlformats.org/officeDocument/2006/relationships/hyperlink" Target="https://eur-lex.europa.eu/legal-content/ro/ALL/?uri=CELEX:32008F0913" TargetMode="External"/><Relationship Id="rId34" Type="http://schemas.openxmlformats.org/officeDocument/2006/relationships/hyperlink" Target="https://europa.eu/youth/eu-youth-dialogue_ro" TargetMode="External"/><Relationship Id="rId50" Type="http://schemas.openxmlformats.org/officeDocument/2006/relationships/hyperlink" Target="https://eur-lex.europa.eu/legal-content/ro/TXT/?uri=COM:2021:44:FIN" TargetMode="External"/><Relationship Id="rId55" Type="http://schemas.openxmlformats.org/officeDocument/2006/relationships/hyperlink" Target="https://fra.europa.eu/en/publication/2020/roma-travellers-survey" TargetMode="External"/><Relationship Id="rId76" Type="http://schemas.openxmlformats.org/officeDocument/2006/relationships/hyperlink" Target="https://eur-lex.europa.eu/legal-content/RO/TXT/PDF/?uri=CELEX:52020DC0698&amp;from=EN" TargetMode="External"/><Relationship Id="rId97" Type="http://schemas.openxmlformats.org/officeDocument/2006/relationships/hyperlink" Target="https://www.unicef.org/eu/reports/report-our-europe-our-rights-our-future" TargetMode="External"/><Relationship Id="rId104" Type="http://schemas.openxmlformats.org/officeDocument/2006/relationships/hyperlink" Target="https://ec.europa.eu/jrc/en/publication/eur-scientific-and-technical-research-reports/how-families-handled-emergency-remote-schooling-during-covid-19-lockdown-spring-2020" TargetMode="External"/><Relationship Id="rId120" Type="http://schemas.openxmlformats.org/officeDocument/2006/relationships/hyperlink" Target="https://www.europol.europa.eu/sites/default/files/documents/call_for_action-european-youth-day.pdf" TargetMode="External"/><Relationship Id="rId125" Type="http://schemas.openxmlformats.org/officeDocument/2006/relationships/hyperlink" Target="https://www.etsi.org/deliver/etsi_en/301500_301599/301549/02.01.02_60/en_301549v020102p.pdf" TargetMode="External"/><Relationship Id="rId141" Type="http://schemas.openxmlformats.org/officeDocument/2006/relationships/hyperlink" Target="https://www.ilo.org/global/about-the-ilo/newsroom/news/WCMS_713925/lang--en/index.htm" TargetMode="External"/><Relationship Id="rId146" Type="http://schemas.openxmlformats.org/officeDocument/2006/relationships/hyperlink" Target="https://eur-lex.europa.eu/legal-content/RO/TXT/PDF/?uri=CELEX:52020DC0152&amp;from=RO" TargetMode="External"/><Relationship Id="rId7" Type="http://schemas.openxmlformats.org/officeDocument/2006/relationships/hyperlink" Target="https://ec.europa.eu/info/sites/info/files/political-guidelines-next-commission_ro.pdf" TargetMode="External"/><Relationship Id="rId71" Type="http://schemas.openxmlformats.org/officeDocument/2006/relationships/hyperlink" Target="https://www.coe.int/en/web/children/campaign-materials1" TargetMode="External"/><Relationship Id="rId92" Type="http://schemas.openxmlformats.org/officeDocument/2006/relationships/hyperlink" Target="https://eur-lex.europa.eu/legal-content/RO/TXT/HTML/?uri=CELEX:52020DC0713&amp;from=RO" TargetMode="External"/><Relationship Id="rId162" Type="http://schemas.openxmlformats.org/officeDocument/2006/relationships/hyperlink" Target="https://ec.europa.eu/regional_policy/en/policy/cooperation/macro-regional-strategies/" TargetMode="External"/><Relationship Id="rId2" Type="http://schemas.openxmlformats.org/officeDocument/2006/relationships/hyperlink" Target="https://ec.europa.eu/eurostat/databrowser/view/yth_demo_020/default/table?lang=en" TargetMode="External"/><Relationship Id="rId29" Type="http://schemas.openxmlformats.org/officeDocument/2006/relationships/hyperlink" Target="https://ec.europa.eu/info/policies/justice-and-fundamental-rights/rights-child/eu-strategy-rights-child-and-eu-child-guarantee_en" TargetMode="External"/><Relationship Id="rId24" Type="http://schemas.openxmlformats.org/officeDocument/2006/relationships/hyperlink" Target="https://www.unicef.org/eu/media/1276/file/Report%20%22Our%20Europe,%20Our%20Rights,%20Our%20Future%22.pdf" TargetMode="External"/><Relationship Id="rId40" Type="http://schemas.openxmlformats.org/officeDocument/2006/relationships/hyperlink" Target="https://ec.europa.eu/info/strategy/priorities-2019-2024/european-green-deal_ro" TargetMode="External"/><Relationship Id="rId45" Type="http://schemas.openxmlformats.org/officeDocument/2006/relationships/hyperlink" Target="https://ec.europa.eu/social/main.jsp?catId=738&amp;langId=ro&amp;pubId=8351&amp;furtherPubs=yes" TargetMode="External"/><Relationship Id="rId66" Type="http://schemas.openxmlformats.org/officeDocument/2006/relationships/hyperlink" Target="https://ec.europa.eu/info/sites/info/files/commission_staff_working_document_analytical_document_accompanying_the_eu_roma_strategic_framework_for_equality_inclusion_and_participation_en.pdf" TargetMode="External"/><Relationship Id="rId87" Type="http://schemas.openxmlformats.org/officeDocument/2006/relationships/hyperlink" Target="https://ec.europa.eu/info/policies/justice-and-fundamental-rights/upholding-rule-law/eu-justice-scoreboard_en" TargetMode="External"/><Relationship Id="rId110" Type="http://schemas.openxmlformats.org/officeDocument/2006/relationships/hyperlink" Target="https://eur-lex.europa.eu/eli/dir/2018/1808/oj?locale=ro" TargetMode="External"/><Relationship Id="rId115" Type="http://schemas.openxmlformats.org/officeDocument/2006/relationships/hyperlink" Target="https://eur-lex.europa.eu/legal-content/RO/ALL/?uri=CELEX:52012DC0196" TargetMode="External"/><Relationship Id="rId131" Type="http://schemas.openxmlformats.org/officeDocument/2006/relationships/hyperlink" Target="https://www.who.int/news-room/fact-sheets/detail/children-reducing-mortality" TargetMode="External"/><Relationship Id="rId136" Type="http://schemas.openxmlformats.org/officeDocument/2006/relationships/hyperlink" Target="https://eeas.europa.eu/sites/default/files/01_hr_guidelines_children_en_1.pdf" TargetMode="External"/><Relationship Id="rId157" Type="http://schemas.openxmlformats.org/officeDocument/2006/relationships/hyperlink" Target="https://ec.europa.eu/commission/sites/beta-political/files/socialsummit-european-pillar-social-rights-booklet_en.pdf" TargetMode="External"/><Relationship Id="rId61" Type="http://schemas.openxmlformats.org/officeDocument/2006/relationships/hyperlink" Target="https://webgate.ec.europa.eu/dyna/bp-portal/index.cfm" TargetMode="External"/><Relationship Id="rId82" Type="http://schemas.openxmlformats.org/officeDocument/2006/relationships/hyperlink" Target="https://www.barnahus.eu/en/" TargetMode="External"/><Relationship Id="rId152" Type="http://schemas.openxmlformats.org/officeDocument/2006/relationships/hyperlink" Target="https://eur-lex.europa.eu/legal-content/RO/TXT/?uri=CELEX:52020DC0730" TargetMode="External"/><Relationship Id="rId19" Type="http://schemas.openxmlformats.org/officeDocument/2006/relationships/hyperlink" Target="https://rm.coe.int/CoERMPublicCommonSearchServices/DisplayDCTMContent?documentId=090000168066cff8." TargetMode="External"/><Relationship Id="rId14" Type="http://schemas.openxmlformats.org/officeDocument/2006/relationships/hyperlink" Target="https://eur-lex.europa.eu/legal-content/RO/TXT/?uri=celex%3A52011DC0060" TargetMode="External"/><Relationship Id="rId30" Type="http://schemas.openxmlformats.org/officeDocument/2006/relationships/hyperlink" Target="https://www.ohchr.org/Documents/HRBodies/CRC/Discussions/2018/crc_dgd_2018_outcomereport_en.pdf" TargetMode="External"/><Relationship Id="rId35" Type="http://schemas.openxmlformats.org/officeDocument/2006/relationships/hyperlink" Target="https://europa.eu/learning-corner/home_ro" TargetMode="External"/><Relationship Id="rId56" Type="http://schemas.openxmlformats.org/officeDocument/2006/relationships/hyperlink" Target="https://ec.europa.eu/info/food-farming-fisheries/key-policies/common-agricultural-policy/market-measures/school-fruit-vegetables-and-milk-scheme_ro" TargetMode="External"/><Relationship Id="rId77" Type="http://schemas.openxmlformats.org/officeDocument/2006/relationships/hyperlink" Target="https://fra.europa.eu/sites/default/files/fra_uploads/fra-2020-lgbti-equality-1_en.pdf" TargetMode="External"/><Relationship Id="rId100" Type="http://schemas.openxmlformats.org/officeDocument/2006/relationships/hyperlink" Target="https://fra.europa.eu/en/publication/2020/eu-lgbti-survey-results" TargetMode="External"/><Relationship Id="rId105" Type="http://schemas.openxmlformats.org/officeDocument/2006/relationships/hyperlink" Target="https://ec.europa.eu/eurostat/web/digital-economy-and-society/data/database" TargetMode="External"/><Relationship Id="rId126" Type="http://schemas.openxmlformats.org/officeDocument/2006/relationships/hyperlink" Target="https://eur-lex.europa.eu/eli/dir/2019/882/oj" TargetMode="External"/><Relationship Id="rId147" Type="http://schemas.openxmlformats.org/officeDocument/2006/relationships/hyperlink" Target="https://eur-lex.europa.eu/legal-content/RO/TXT/?uri=CELEX:52020DC0620" TargetMode="External"/><Relationship Id="rId8" Type="http://schemas.openxmlformats.org/officeDocument/2006/relationships/hyperlink" Target="https://ec.europa.eu/info/sites/info/files/political-guidelines-next-commission_ro.pdf" TargetMode="External"/><Relationship Id="rId51" Type="http://schemas.openxmlformats.org/officeDocument/2006/relationships/hyperlink" Target="https://eur-lex.europa.eu/legal-content/RO/TXT/?uri=CELEX:52020DC0761" TargetMode="External"/><Relationship Id="rId72" Type="http://schemas.openxmlformats.org/officeDocument/2006/relationships/hyperlink" Target="https://eur-lex.europa.eu/legal-content/RO/TXT/?uri=CELEX:52020DC0661" TargetMode="External"/><Relationship Id="rId93" Type="http://schemas.openxmlformats.org/officeDocument/2006/relationships/hyperlink" Target="http://www.ejtn.eu/" TargetMode="External"/><Relationship Id="rId98" Type="http://schemas.openxmlformats.org/officeDocument/2006/relationships/hyperlink" Target="https://www.unicef.org/eu/reports/report-our-europe-our-rights-our-future" TargetMode="External"/><Relationship Id="rId121" Type="http://schemas.openxmlformats.org/officeDocument/2006/relationships/hyperlink" Target="https://www.betterinternetforkids.eu/" TargetMode="External"/><Relationship Id="rId142" Type="http://schemas.openxmlformats.org/officeDocument/2006/relationships/hyperlink" Target="https://eur-lex.europa.eu/legal-content/RO/TXT/?uri=CELEX:52020JC0005" TargetMode="External"/><Relationship Id="rId163" Type="http://schemas.openxmlformats.org/officeDocument/2006/relationships/hyperlink" Target="https://tbinternet.ohchr.org/_layouts/15/treatybodyexternal/TBSearch.aspx?Lang=en&amp;TreatyID=5&amp;TreatyID=10&amp;TreatyID=11&amp;DocTypeID=5" TargetMode="External"/><Relationship Id="rId3" Type="http://schemas.openxmlformats.org/officeDocument/2006/relationships/hyperlink" Target="https://data.unicef.org/resources/dataset/sowc-2019-statistical-tables/" TargetMode="External"/><Relationship Id="rId25" Type="http://schemas.openxmlformats.org/officeDocument/2006/relationships/hyperlink" Target="https://www.sos-childrensvillages.org/getmedia/707fab15-dd0f-439b-8ba5-796396a4ea47/SOS-CVI-Detailed-Report-of-Children-in-Residential-Care-for-the-European-Commission.pdf" TargetMode="External"/><Relationship Id="rId46" Type="http://schemas.openxmlformats.org/officeDocument/2006/relationships/hyperlink" Target="https://fra.europa.eu/sites/default/files/fra_uploads/fra-2018-combating-child-poverty_en.pdf" TargetMode="External"/><Relationship Id="rId67" Type="http://schemas.openxmlformats.org/officeDocument/2006/relationships/hyperlink" Target="https://www.oecd-ilibrary.org/sites/cd52fb72-en/index.html?itemId=/content/component/cd52fb72-en" TargetMode="External"/><Relationship Id="rId116" Type="http://schemas.openxmlformats.org/officeDocument/2006/relationships/hyperlink" Target="https://eur-lex.europa.eu/legal-content/RO/TXT/PDF/?uri=CELEX:52020PC0825&amp;from=en" TargetMode="External"/><Relationship Id="rId137" Type="http://schemas.openxmlformats.org/officeDocument/2006/relationships/hyperlink" Target="https://ec.europa.eu/international-partnerships/system/files/join-2020-17-final_ro.pdf" TargetMode="External"/><Relationship Id="rId158" Type="http://schemas.openxmlformats.org/officeDocument/2006/relationships/hyperlink" Target="https://eur-lex.europa.eu/legal-content/RO/ALL/?uri=COM:2021:102:FIN" TargetMode="External"/><Relationship Id="rId20" Type="http://schemas.openxmlformats.org/officeDocument/2006/relationships/hyperlink" Target="https://www.europarl.europa.eu/doceo/document/TA-9-2019-0066_RO.pdf" TargetMode="External"/><Relationship Id="rId41" Type="http://schemas.openxmlformats.org/officeDocument/2006/relationships/hyperlink" Target="https://www.coe.int/en/web/children/child-participation-assessment-tool" TargetMode="External"/><Relationship Id="rId62" Type="http://schemas.openxmlformats.org/officeDocument/2006/relationships/hyperlink" Target="https://ec.europa.eu/education/policies/european-policy-cooperation/et2020-framework_ro" TargetMode="External"/><Relationship Id="rId83" Type="http://schemas.openxmlformats.org/officeDocument/2006/relationships/hyperlink" Target="https://eur-lex.europa.eu/legal-content/RO/TXT/?uri=CELEX:32007D0116" TargetMode="External"/><Relationship Id="rId88" Type="http://schemas.openxmlformats.org/officeDocument/2006/relationships/hyperlink" Target="https://appsso.eurostat.ec.europa.eu/nui/show.do?dataset=migr_asyappctza&amp;lang=en" TargetMode="External"/><Relationship Id="rId111" Type="http://schemas.openxmlformats.org/officeDocument/2006/relationships/hyperlink" Target="https://eur-lex.europa.eu/eli/reg/2016/679/oj" TargetMode="External"/><Relationship Id="rId132" Type="http://schemas.openxmlformats.org/officeDocument/2006/relationships/hyperlink" Target="https://www.un.org/sites/un2.un.org/files/sg_policy_brief_covid-19_and_education_august_2020.pdf" TargetMode="External"/><Relationship Id="rId153" Type="http://schemas.openxmlformats.org/officeDocument/2006/relationships/hyperlink" Target="https://eur-lex.europa.eu/legal-content/RO/TXT/?uri=CELEX:52020DC0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D836E31-5CCF-47F4-A92C-A64BFDE94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12161</Words>
  <Characters>69563</Characters>
  <Application>Microsoft Office Word</Application>
  <DocSecurity>0</DocSecurity>
  <Lines>993</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2021-03-24T06:32:00Z</dcterms:created>
  <dcterms:modified xsi:type="dcterms:W3CDTF">2021-03-26T14:51:00Z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