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640" w:rsidRDefault="00A70A3B">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82F33C9-7273-4E64-86EC-FABE8E864B4B" style="width:450.5pt;height:362pt">
            <v:imagedata r:id="rId8" o:title=""/>
          </v:shape>
        </w:pict>
      </w:r>
    </w:p>
    <w:bookmarkEnd w:id="0"/>
    <w:p w:rsidR="00795640" w:rsidRDefault="00795640">
      <w:pPr>
        <w:rPr>
          <w:noProof/>
        </w:rPr>
        <w:sectPr w:rsidR="0079564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795640" w:rsidRDefault="00A70A3B">
      <w:pPr>
        <w:pStyle w:val="Typedudocument"/>
        <w:rPr>
          <w:noProof/>
        </w:rPr>
      </w:pPr>
      <w:r>
        <w:rPr>
          <w:noProof/>
        </w:rPr>
        <w:lastRenderedPageBreak/>
        <w:t xml:space="preserve">COMMUNICATION FROM THE COMMISSION TO THE EUROPEAN PARLIAMENT, THE COUNCIL, THE EUROPEAN ECONOMIC AND SOCIAL COMMITTEE AND THE COMMITTEE OF THE </w:t>
      </w:r>
      <w:r>
        <w:rPr>
          <w:noProof/>
        </w:rPr>
        <w:t>REGIONS</w:t>
      </w:r>
    </w:p>
    <w:p w:rsidR="00795640" w:rsidRDefault="00A70A3B">
      <w:pPr>
        <w:pStyle w:val="Titreobjet"/>
        <w:rPr>
          <w:noProof/>
        </w:rPr>
      </w:pPr>
      <w:r>
        <w:rPr>
          <w:noProof/>
        </w:rPr>
        <w:t xml:space="preserve">Updating the 2020 New Industrial Strategy: </w:t>
      </w:r>
      <w:r>
        <w:rPr>
          <w:noProof/>
        </w:rPr>
        <w:br/>
        <w:t>Building a stronger Single Market for Europe’s recovery</w:t>
      </w:r>
      <w:r>
        <w:rPr>
          <w:noProof/>
        </w:rPr>
        <w:br/>
      </w:r>
    </w:p>
    <w:p w:rsidR="00795640" w:rsidRDefault="00A70A3B">
      <w:pPr>
        <w:pStyle w:val="ListParagraph"/>
        <w:keepNext/>
        <w:numPr>
          <w:ilvl w:val="0"/>
          <w:numId w:val="3"/>
        </w:numPr>
        <w:spacing w:before="240" w:after="240" w:line="240" w:lineRule="auto"/>
        <w:jc w:val="both"/>
        <w:outlineLvl w:val="0"/>
        <w:rPr>
          <w:rFonts w:ascii="Times New Roman" w:eastAsia="Times New Roman" w:hAnsi="Times New Roman" w:cs="Times New Roman"/>
          <w:b/>
          <w:smallCaps/>
          <w:noProof/>
          <w:sz w:val="24"/>
          <w:szCs w:val="20"/>
          <w:lang w:eastAsia="en-GB"/>
        </w:rPr>
      </w:pPr>
      <w:r>
        <w:rPr>
          <w:rFonts w:ascii="Times New Roman" w:eastAsia="Times New Roman" w:hAnsi="Times New Roman" w:cs="Times New Roman"/>
          <w:b/>
          <w:smallCaps/>
          <w:noProof/>
          <w:sz w:val="24"/>
          <w:szCs w:val="20"/>
          <w:lang w:eastAsia="en-GB"/>
        </w:rPr>
        <w:t>The need for an update: Emerging challenges, enduring priorities</w:t>
      </w:r>
    </w:p>
    <w:p w:rsidR="00795640" w:rsidRDefault="00A70A3B">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On 10 March 2020, the European Commission presented ‘</w:t>
      </w:r>
      <w:r>
        <w:rPr>
          <w:rFonts w:ascii="Times New Roman" w:eastAsia="Times New Roman" w:hAnsi="Times New Roman" w:cs="Times New Roman"/>
          <w:i/>
          <w:noProof/>
          <w:sz w:val="24"/>
          <w:szCs w:val="24"/>
          <w:lang w:eastAsia="en-GB"/>
        </w:rPr>
        <w:t>A New Industrial Strategy for</w:t>
      </w:r>
      <w:r>
        <w:rPr>
          <w:rFonts w:ascii="Times New Roman" w:eastAsia="Times New Roman" w:hAnsi="Times New Roman" w:cs="Times New Roman"/>
          <w:i/>
          <w:noProof/>
          <w:sz w:val="24"/>
          <w:szCs w:val="24"/>
          <w:lang w:eastAsia="en-GB"/>
        </w:rPr>
        <w:t xml:space="preserve"> Europe’.</w:t>
      </w:r>
      <w:r>
        <w:rPr>
          <w:rFonts w:ascii="Times New Roman" w:eastAsia="Times New Roman" w:hAnsi="Times New Roman" w:cs="Times New Roman"/>
          <w:noProof/>
          <w:sz w:val="24"/>
          <w:szCs w:val="24"/>
          <w:vertAlign w:val="superscript"/>
          <w:lang w:eastAsia="en-GB"/>
        </w:rPr>
        <w:footnoteReference w:id="2"/>
      </w:r>
      <w:r>
        <w:rPr>
          <w:rFonts w:ascii="Times New Roman" w:eastAsia="Times New Roman" w:hAnsi="Times New Roman" w:cs="Times New Roman"/>
          <w:noProof/>
          <w:sz w:val="24"/>
          <w:szCs w:val="24"/>
          <w:lang w:eastAsia="en-GB"/>
        </w:rPr>
        <w:t xml:space="preserve"> It laid out a plan for how the EU’s world-leading industry could lead the twin green and digital transitions, drawing on the strength of its traditions, its businesses and its people to enhance its competitiveness. It set in motion a new policy </w:t>
      </w:r>
      <w:r>
        <w:rPr>
          <w:rFonts w:ascii="Times New Roman" w:eastAsia="Times New Roman" w:hAnsi="Times New Roman" w:cs="Times New Roman"/>
          <w:noProof/>
          <w:sz w:val="24"/>
          <w:szCs w:val="24"/>
          <w:lang w:eastAsia="en-GB"/>
        </w:rPr>
        <w:t>approach to deliver on this, focused on better connecting the needs and support provided to all players within each value chain or industrial ecosystem.</w:t>
      </w:r>
      <w:r>
        <w:rPr>
          <w:rStyle w:val="FootnoteReference"/>
          <w:rFonts w:ascii="Times New Roman" w:eastAsia="Times New Roman" w:hAnsi="Times New Roman" w:cs="Times New Roman"/>
          <w:noProof/>
          <w:sz w:val="24"/>
          <w:szCs w:val="24"/>
          <w:lang w:eastAsia="en-GB"/>
        </w:rPr>
        <w:footnoteReference w:id="3"/>
      </w:r>
      <w:r>
        <w:rPr>
          <w:rFonts w:ascii="Times New Roman" w:eastAsia="Times New Roman" w:hAnsi="Times New Roman" w:cs="Times New Roman"/>
          <w:noProof/>
          <w:sz w:val="24"/>
          <w:szCs w:val="24"/>
          <w:lang w:eastAsia="en-GB"/>
        </w:rPr>
        <w:t xml:space="preserve"> To support this, it underlined the fundamentals of industry - innovation, competition and a strong and well-functioning single market - while strengthening our global competitiveness through open markets and a level playing field. </w:t>
      </w:r>
    </w:p>
    <w:p w:rsidR="00795640" w:rsidRDefault="00A70A3B">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day after the new i</w:t>
      </w:r>
      <w:r>
        <w:rPr>
          <w:rFonts w:ascii="Times New Roman" w:eastAsia="Times New Roman" w:hAnsi="Times New Roman" w:cs="Times New Roman"/>
          <w:noProof/>
          <w:sz w:val="24"/>
          <w:szCs w:val="24"/>
          <w:lang w:eastAsia="en-GB"/>
        </w:rPr>
        <w:t>ndustrial strategy was presented, the World Health Organization announced the COVID-19 as a</w:t>
      </w:r>
      <w:r>
        <w:rPr>
          <w:rFonts w:ascii="Times New Roman" w:eastAsia="Times New Roman" w:hAnsi="Times New Roman" w:cs="Times New Roman"/>
          <w:noProof/>
          <w:sz w:val="24"/>
          <w:szCs w:val="20"/>
          <w:lang w:val="en-IE" w:eastAsia="en-GB"/>
        </w:rPr>
        <w:t xml:space="preserve"> pandemic. The lockdowns and economic slowdowns that ensued took their toll on the EU communities and economies, as well as its industries and companies. </w:t>
      </w:r>
      <w:r>
        <w:rPr>
          <w:rFonts w:ascii="Times New Roman" w:eastAsia="Times New Roman" w:hAnsi="Times New Roman" w:cs="Times New Roman"/>
          <w:noProof/>
          <w:sz w:val="24"/>
          <w:szCs w:val="20"/>
          <w:lang w:eastAsia="en-GB"/>
        </w:rPr>
        <w:t>The Commiss</w:t>
      </w:r>
      <w:r>
        <w:rPr>
          <w:rFonts w:ascii="Times New Roman" w:eastAsia="Times New Roman" w:hAnsi="Times New Roman" w:cs="Times New Roman"/>
          <w:noProof/>
          <w:sz w:val="24"/>
          <w:szCs w:val="20"/>
          <w:lang w:eastAsia="en-GB"/>
        </w:rPr>
        <w:t>ion and others acted quickly to address the impacts on Europe’s businesses and to ensure</w:t>
      </w:r>
      <w:r>
        <w:rPr>
          <w:rFonts w:ascii="Times New Roman" w:eastAsia="Times New Roman" w:hAnsi="Times New Roman" w:cs="Times New Roman"/>
          <w:noProof/>
          <w:sz w:val="24"/>
          <w:szCs w:val="20"/>
          <w:lang w:val="en-US" w:eastAsia="en-GB"/>
        </w:rPr>
        <w:t xml:space="preserve"> the free flow of goods and movement of workers and services, notably through Green Lanes. </w:t>
      </w:r>
      <w:r>
        <w:rPr>
          <w:rFonts w:ascii="Times New Roman" w:eastAsia="Times New Roman" w:hAnsi="Times New Roman" w:cs="Times New Roman"/>
          <w:noProof/>
          <w:sz w:val="24"/>
          <w:szCs w:val="24"/>
          <w:lang w:eastAsia="en-GB"/>
        </w:rPr>
        <w:t>Emergency measures on fiscal rules, state aid and short time work</w:t>
      </w:r>
      <w:r>
        <w:rPr>
          <w:rFonts w:ascii="Times New Roman" w:eastAsia="Times New Roman" w:hAnsi="Times New Roman" w:cs="Times New Roman"/>
          <w:noProof/>
          <w:sz w:val="24"/>
          <w:szCs w:val="24"/>
          <w:vertAlign w:val="superscript"/>
          <w:lang w:val="en-US" w:eastAsia="en-GB"/>
        </w:rPr>
        <w:footnoteReference w:id="4"/>
      </w:r>
      <w:r>
        <w:rPr>
          <w:rFonts w:ascii="Times New Roman" w:eastAsia="Times New Roman" w:hAnsi="Times New Roman" w:cs="Times New Roman"/>
          <w:noProof/>
          <w:sz w:val="24"/>
          <w:szCs w:val="24"/>
          <w:lang w:eastAsia="en-GB"/>
        </w:rPr>
        <w:t xml:space="preserve"> helped sup</w:t>
      </w:r>
      <w:r>
        <w:rPr>
          <w:rFonts w:ascii="Times New Roman" w:eastAsia="Times New Roman" w:hAnsi="Times New Roman" w:cs="Times New Roman"/>
          <w:noProof/>
          <w:sz w:val="24"/>
          <w:szCs w:val="24"/>
          <w:lang w:eastAsia="en-GB"/>
        </w:rPr>
        <w:t xml:space="preserve">port the most affected sectors and workers and cushioned the impact for companies, including SMEs. </w:t>
      </w:r>
      <w:r>
        <w:rPr>
          <w:rFonts w:ascii="Times New Roman" w:eastAsia="Times New Roman" w:hAnsi="Times New Roman" w:cs="Times New Roman"/>
          <w:noProof/>
          <w:sz w:val="24"/>
          <w:szCs w:val="20"/>
          <w:lang w:val="en-US" w:eastAsia="en-GB"/>
        </w:rPr>
        <w:t>The European Pillar of Social Rights has continued to be the EU and its Member States’ compass in cushioning the social impacts.</w:t>
      </w:r>
    </w:p>
    <w:p w:rsidR="00795640" w:rsidRDefault="00A70A3B">
      <w:pPr>
        <w:spacing w:after="240" w:line="240" w:lineRule="auto"/>
        <w:jc w:val="both"/>
        <w:rPr>
          <w:rFonts w:ascii="Times New Roman" w:eastAsia="Times New Roman" w:hAnsi="Times New Roman" w:cs="Times New Roman"/>
          <w:noProof/>
          <w:sz w:val="24"/>
          <w:szCs w:val="20"/>
          <w:lang w:val="en-IE" w:eastAsia="en-GB"/>
        </w:rPr>
      </w:pPr>
      <w:r>
        <w:rPr>
          <w:rFonts w:ascii="Times New Roman" w:eastAsia="Times New Roman" w:hAnsi="Times New Roman" w:cs="Times New Roman"/>
          <w:noProof/>
          <w:sz w:val="24"/>
          <w:szCs w:val="20"/>
          <w:lang w:val="en-IE" w:eastAsia="en-GB"/>
        </w:rPr>
        <w:t>During this period, we witne</w:t>
      </w:r>
      <w:r>
        <w:rPr>
          <w:rFonts w:ascii="Times New Roman" w:eastAsia="Times New Roman" w:hAnsi="Times New Roman" w:cs="Times New Roman"/>
          <w:noProof/>
          <w:sz w:val="24"/>
          <w:szCs w:val="20"/>
          <w:lang w:val="en-IE" w:eastAsia="en-GB"/>
        </w:rPr>
        <w:t>ssed the resilience, ingenuity and adaptability of the EU industry but we were also exposed to new vulnerabilities and older dependencies, as well as socio-economic and territorial inequalities that need to be addressed. The crisis revealed the interdepend</w:t>
      </w:r>
      <w:r>
        <w:rPr>
          <w:rFonts w:ascii="Times New Roman" w:eastAsia="Times New Roman" w:hAnsi="Times New Roman" w:cs="Times New Roman"/>
          <w:noProof/>
          <w:sz w:val="24"/>
          <w:szCs w:val="20"/>
          <w:lang w:val="en-IE" w:eastAsia="en-GB"/>
        </w:rPr>
        <w:t>ence of global value chains and the value of a globally integrated Single Market. It also illustrated the need for more speed in the transition towards a cleaner, more digital, and more resilient economic and industrial model, in order to maintain and enha</w:t>
      </w:r>
      <w:r>
        <w:rPr>
          <w:rFonts w:ascii="Times New Roman" w:eastAsia="Times New Roman" w:hAnsi="Times New Roman" w:cs="Times New Roman"/>
          <w:noProof/>
          <w:sz w:val="24"/>
          <w:szCs w:val="20"/>
          <w:lang w:val="en-IE" w:eastAsia="en-GB"/>
        </w:rPr>
        <w:t xml:space="preserve">nce Europe’s </w:t>
      </w:r>
      <w:r>
        <w:rPr>
          <w:rFonts w:ascii="Times New Roman" w:eastAsia="Times New Roman" w:hAnsi="Times New Roman" w:cs="Times New Roman"/>
          <w:noProof/>
          <w:sz w:val="24"/>
          <w:szCs w:val="20"/>
          <w:lang w:val="en-IE" w:eastAsia="en-GB"/>
        </w:rPr>
        <w:lastRenderedPageBreak/>
        <w:t>drive towards sustainable competitiveness. This is why President von der Leyen announced in her State of the European Union address an update of the EU’s industrial strategy: to learn the lessons of the crisis, strengthen our economic resilien</w:t>
      </w:r>
      <w:r>
        <w:rPr>
          <w:rFonts w:ascii="Times New Roman" w:eastAsia="Times New Roman" w:hAnsi="Times New Roman" w:cs="Times New Roman"/>
          <w:noProof/>
          <w:sz w:val="24"/>
          <w:szCs w:val="20"/>
          <w:lang w:val="en-IE" w:eastAsia="en-GB"/>
        </w:rPr>
        <w:t xml:space="preserve">ce and accelerate the twin transition while preserving and creating jobs. </w:t>
      </w:r>
    </w:p>
    <w:p w:rsidR="00795640" w:rsidRDefault="00A70A3B">
      <w:pPr>
        <w:spacing w:after="240" w:line="240" w:lineRule="auto"/>
        <w:jc w:val="both"/>
        <w:rPr>
          <w:rFonts w:ascii="Times New Roman" w:eastAsia="Times New Roman" w:hAnsi="Times New Roman" w:cs="Times New Roman"/>
          <w:noProof/>
          <w:sz w:val="24"/>
          <w:szCs w:val="24"/>
          <w:lang w:val="en-IE" w:eastAsia="en-GB"/>
        </w:rPr>
      </w:pPr>
      <w:r>
        <w:rPr>
          <w:rFonts w:ascii="Times New Roman" w:eastAsia="Times New Roman" w:hAnsi="Times New Roman" w:cs="Times New Roman"/>
          <w:noProof/>
          <w:sz w:val="24"/>
          <w:szCs w:val="20"/>
          <w:lang w:val="en-IE" w:eastAsia="en-GB"/>
        </w:rPr>
        <w:t>The starting point for this update is capturing the real impact of the last year on Europe’s economy and industry. A first analysis and needs assessment formed the basis for Europe’</w:t>
      </w:r>
      <w:r>
        <w:rPr>
          <w:rFonts w:ascii="Times New Roman" w:eastAsia="Times New Roman" w:hAnsi="Times New Roman" w:cs="Times New Roman"/>
          <w:noProof/>
          <w:sz w:val="24"/>
          <w:szCs w:val="20"/>
          <w:lang w:val="en-IE" w:eastAsia="en-GB"/>
        </w:rPr>
        <w:t>s recovery plan, NextGenerationEU,</w:t>
      </w:r>
      <w:r>
        <w:rPr>
          <w:rFonts w:ascii="Times New Roman" w:eastAsia="Times New Roman" w:hAnsi="Times New Roman" w:cs="Times New Roman"/>
          <w:noProof/>
          <w:sz w:val="24"/>
          <w:szCs w:val="20"/>
          <w:vertAlign w:val="superscript"/>
          <w:lang w:val="en-US" w:eastAsia="en-GB"/>
        </w:rPr>
        <w:footnoteReference w:id="5"/>
      </w:r>
      <w:r>
        <w:rPr>
          <w:rFonts w:ascii="Times New Roman" w:eastAsia="Times New Roman" w:hAnsi="Times New Roman" w:cs="Times New Roman"/>
          <w:noProof/>
          <w:sz w:val="24"/>
          <w:szCs w:val="20"/>
          <w:lang w:val="en-US" w:eastAsia="en-GB"/>
        </w:rPr>
        <w:t xml:space="preserve"> which – together with the Multi-annual Financial Framework 2021-2027  will provide unprecedented financial support to EU’s citizens and companies. Judged by any metric, the conclusions were stark: with a 6.3% contraction</w:t>
      </w:r>
      <w:r>
        <w:rPr>
          <w:rFonts w:ascii="Times New Roman" w:eastAsia="Times New Roman" w:hAnsi="Times New Roman" w:cs="Times New Roman"/>
          <w:noProof/>
          <w:sz w:val="24"/>
          <w:szCs w:val="20"/>
          <w:lang w:val="en-US" w:eastAsia="en-GB"/>
        </w:rPr>
        <w:t xml:space="preserve"> in the EU economy in 2020 accompanied by major turnover losses and a decline in jobs and investment. </w:t>
      </w:r>
    </w:p>
    <w:p w:rsidR="00795640" w:rsidRDefault="00A70A3B">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val="en-IE" w:eastAsia="en-GB"/>
        </w:rPr>
        <w:t>A year on, there are some cautious signs of improvement</w:t>
      </w:r>
      <w:r>
        <w:rPr>
          <w:rFonts w:ascii="Times New Roman" w:eastAsia="Times New Roman" w:hAnsi="Times New Roman" w:cs="Times New Roman"/>
          <w:noProof/>
          <w:sz w:val="24"/>
          <w:szCs w:val="24"/>
          <w:vertAlign w:val="superscript"/>
          <w:lang w:eastAsia="en-GB"/>
        </w:rPr>
        <w:footnoteReference w:id="6"/>
      </w:r>
      <w:r>
        <w:rPr>
          <w:rFonts w:ascii="Times New Roman" w:eastAsia="Times New Roman" w:hAnsi="Times New Roman" w:cs="Times New Roman"/>
          <w:noProof/>
          <w:sz w:val="24"/>
          <w:szCs w:val="24"/>
          <w:lang w:eastAsia="en-GB"/>
        </w:rPr>
        <w:t xml:space="preserve"> and </w:t>
      </w:r>
      <w:r>
        <w:rPr>
          <w:rFonts w:ascii="Times New Roman" w:eastAsia="Times New Roman" w:hAnsi="Times New Roman" w:cs="Times New Roman"/>
          <w:noProof/>
          <w:sz w:val="24"/>
          <w:szCs w:val="24"/>
          <w:lang w:val="en-IE" w:eastAsia="en-GB"/>
        </w:rPr>
        <w:t>the EU economy is expected to strongly rebound in 2021 and 2022.</w:t>
      </w:r>
      <w:r>
        <w:rPr>
          <w:rFonts w:ascii="Times New Roman" w:eastAsia="Times New Roman" w:hAnsi="Times New Roman" w:cs="Times New Roman"/>
          <w:noProof/>
          <w:sz w:val="24"/>
          <w:szCs w:val="24"/>
          <w:lang w:val="en-US" w:eastAsia="en-GB"/>
        </w:rPr>
        <w:t xml:space="preserve"> </w:t>
      </w:r>
      <w:r>
        <w:rPr>
          <w:rFonts w:ascii="Times New Roman" w:eastAsia="Times New Roman" w:hAnsi="Times New Roman" w:cs="Times New Roman"/>
          <w:noProof/>
          <w:sz w:val="24"/>
          <w:szCs w:val="24"/>
          <w:lang w:eastAsia="en-GB"/>
        </w:rPr>
        <w:t>Prospects for a quick recovery in world trade have also improved and making the most of these trading opportunities will be a key part of the recovery for companies across Europe. However, the continued fall in short-term private investment plans and the i</w:t>
      </w:r>
      <w:r>
        <w:rPr>
          <w:rFonts w:ascii="Times New Roman" w:eastAsia="Times New Roman" w:hAnsi="Times New Roman" w:cs="Times New Roman"/>
          <w:noProof/>
          <w:sz w:val="24"/>
          <w:szCs w:val="24"/>
          <w:lang w:eastAsia="en-GB"/>
        </w:rPr>
        <w:t xml:space="preserve">ncreasing number of strong firms facing significant liquidity issues point to the fact that the recovery will take time and continued support. </w:t>
      </w:r>
    </w:p>
    <w:p w:rsidR="00795640" w:rsidRDefault="00A70A3B">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To best tailor that support, the Commission is building on the flexible ecosystem-based approach outlined in las</w:t>
      </w:r>
      <w:r>
        <w:rPr>
          <w:rFonts w:ascii="Times New Roman" w:eastAsia="Times New Roman" w:hAnsi="Times New Roman" w:cs="Times New Roman"/>
          <w:noProof/>
          <w:sz w:val="24"/>
          <w:szCs w:val="24"/>
          <w:lang w:eastAsia="en-GB"/>
        </w:rPr>
        <w:t>t year’s industry strategy. As part of the first Annual Single Market Report,</w:t>
      </w:r>
      <w:r>
        <w:rPr>
          <w:rFonts w:ascii="Times New Roman" w:eastAsia="Times New Roman" w:hAnsi="Times New Roman" w:cs="Times New Roman"/>
          <w:noProof/>
          <w:sz w:val="24"/>
          <w:szCs w:val="24"/>
          <w:vertAlign w:val="superscript"/>
          <w:lang w:eastAsia="en-GB"/>
        </w:rPr>
        <w:footnoteReference w:id="7"/>
      </w:r>
      <w:r>
        <w:rPr>
          <w:rFonts w:ascii="Times New Roman" w:eastAsia="Times New Roman" w:hAnsi="Times New Roman" w:cs="Times New Roman"/>
          <w:noProof/>
          <w:sz w:val="24"/>
          <w:szCs w:val="24"/>
          <w:lang w:eastAsia="en-GB"/>
        </w:rPr>
        <w:t xml:space="preserve"> fourteen industrial ecosystems have been identified at this stage and their different needs and challenges analysed. It shows that the impact of the crisis – and the prospects f</w:t>
      </w:r>
      <w:r>
        <w:rPr>
          <w:rFonts w:ascii="Times New Roman" w:eastAsia="Times New Roman" w:hAnsi="Times New Roman" w:cs="Times New Roman"/>
          <w:noProof/>
          <w:sz w:val="24"/>
          <w:szCs w:val="24"/>
          <w:lang w:eastAsia="en-GB"/>
        </w:rPr>
        <w:t>or recovery and renewed competitiveness - vary significantly. While tourism was hit hardest, and textile, mobility and cultural and creative companies face a slower and more uneven recovery, the digital ecosystem increased its turnover during the crisis. S</w:t>
      </w:r>
      <w:r>
        <w:rPr>
          <w:rFonts w:ascii="Times New Roman" w:eastAsia="Times New Roman" w:hAnsi="Times New Roman" w:cs="Times New Roman"/>
          <w:noProof/>
          <w:sz w:val="24"/>
          <w:szCs w:val="24"/>
          <w:lang w:eastAsia="en-GB"/>
        </w:rPr>
        <w:t>maller businesses also continue to be more vulnerable, with some 60% reporting a fall in turnover in the second half of 2020.</w:t>
      </w:r>
      <w:r>
        <w:rPr>
          <w:rStyle w:val="FootnoteReference"/>
          <w:rFonts w:ascii="Times New Roman" w:eastAsia="Times New Roman" w:hAnsi="Times New Roman" w:cs="Times New Roman"/>
          <w:noProof/>
          <w:sz w:val="24"/>
          <w:szCs w:val="24"/>
          <w:lang w:eastAsia="en-GB"/>
        </w:rPr>
        <w:footnoteReference w:id="8"/>
      </w:r>
      <w:r>
        <w:rPr>
          <w:rFonts w:ascii="Times New Roman" w:eastAsia="Times New Roman" w:hAnsi="Times New Roman" w:cs="Times New Roman"/>
          <w:noProof/>
          <w:sz w:val="24"/>
          <w:szCs w:val="24"/>
          <w:lang w:eastAsia="en-GB"/>
        </w:rPr>
        <w:t xml:space="preserve"> </w:t>
      </w:r>
    </w:p>
    <w:p w:rsidR="00795640" w:rsidRDefault="00A70A3B">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Women,</w:t>
      </w:r>
      <w:r>
        <w:rPr>
          <w:noProof/>
        </w:rPr>
        <w:t xml:space="preserve"> </w:t>
      </w:r>
      <w:r>
        <w:rPr>
          <w:rFonts w:ascii="Times New Roman" w:eastAsia="Times New Roman" w:hAnsi="Times New Roman" w:cs="Times New Roman"/>
          <w:noProof/>
          <w:sz w:val="24"/>
          <w:szCs w:val="24"/>
          <w:lang w:eastAsia="en-GB"/>
        </w:rPr>
        <w:t>youth and low-income workers were particularly affected by the crisis, partly due to the fact that they represent a large</w:t>
      </w:r>
      <w:r>
        <w:rPr>
          <w:rFonts w:ascii="Times New Roman" w:eastAsia="Times New Roman" w:hAnsi="Times New Roman" w:cs="Times New Roman"/>
          <w:noProof/>
          <w:sz w:val="24"/>
          <w:szCs w:val="24"/>
          <w:lang w:eastAsia="en-GB"/>
        </w:rPr>
        <w:t xml:space="preserve"> majority of employees in the sectors most affected. The Commission is paying a particular attention to equal rights and opportunities for an inclusive recovery across all sectors. Europe’s people are among its leading assets, and while addressing skills g</w:t>
      </w:r>
      <w:r>
        <w:rPr>
          <w:rFonts w:ascii="Times New Roman" w:eastAsia="Times New Roman" w:hAnsi="Times New Roman" w:cs="Times New Roman"/>
          <w:noProof/>
          <w:sz w:val="24"/>
          <w:szCs w:val="24"/>
          <w:lang w:eastAsia="en-GB"/>
        </w:rPr>
        <w:t>aps and inequalities, the EU should build on all the strengths of its talented, well-educated and inventive workers and entrepreneurs as a force for innovation and competitiveness.</w:t>
      </w:r>
    </w:p>
    <w:tbl>
      <w:tblPr>
        <w:tblStyle w:val="TableGridLight1"/>
        <w:tblW w:w="9323" w:type="dxa"/>
        <w:tblLayout w:type="fixed"/>
        <w:tblLook w:val="04A0" w:firstRow="1" w:lastRow="0" w:firstColumn="1" w:lastColumn="0" w:noHBand="0" w:noVBand="1"/>
      </w:tblPr>
      <w:tblGrid>
        <w:gridCol w:w="6487"/>
        <w:gridCol w:w="2836"/>
      </w:tblGrid>
      <w:tr w:rsidR="00795640">
        <w:tc>
          <w:tcPr>
            <w:tcW w:w="6487" w:type="dxa"/>
          </w:tcPr>
          <w:p w:rsidR="00795640" w:rsidRDefault="00A70A3B">
            <w:pPr>
              <w:keepNext/>
              <w:spacing w:after="240"/>
              <w:jc w:val="center"/>
              <w:rPr>
                <w:rFonts w:ascii="Calibri" w:eastAsia="Calibri" w:hAnsi="Calibri" w:cs="Times New Roman"/>
                <w:noProof/>
              </w:rPr>
            </w:pPr>
            <w:r>
              <w:rPr>
                <w:rFonts w:ascii="Calibri" w:eastAsia="Calibri" w:hAnsi="Calibri" w:cs="Times New Roman"/>
                <w:noProof/>
                <w:lang w:eastAsia="en-GB"/>
              </w:rPr>
              <w:drawing>
                <wp:inline distT="0" distB="0" distL="0" distR="0">
                  <wp:extent cx="4044950" cy="2789555"/>
                  <wp:effectExtent l="0" t="0" r="0" b="0"/>
                  <wp:docPr id="3" name="Picture 3" descr="C:\Users\cantojn\AppData\Local\Microsoft\Windows\INetCache\Content.Outlook\TT9W9XFY\corrected 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ntojn\AppData\Local\Microsoft\Windows\INetCache\Content.Outlook\TT9W9XFY\corrected graph.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55994" cy="2797171"/>
                          </a:xfrm>
                          <a:prstGeom prst="rect">
                            <a:avLst/>
                          </a:prstGeom>
                          <a:noFill/>
                          <a:ln>
                            <a:noFill/>
                          </a:ln>
                        </pic:spPr>
                      </pic:pic>
                    </a:graphicData>
                  </a:graphic>
                </wp:inline>
              </w:drawing>
            </w:r>
          </w:p>
        </w:tc>
        <w:tc>
          <w:tcPr>
            <w:tcW w:w="2836" w:type="dxa"/>
          </w:tcPr>
          <w:p w:rsidR="00795640" w:rsidRDefault="00795640">
            <w:pPr>
              <w:keepNext/>
              <w:jc w:val="both"/>
              <w:rPr>
                <w:rFonts w:ascii="Calibri" w:eastAsia="Calibri" w:hAnsi="Calibri" w:cs="Times New Roman"/>
                <w:b/>
                <w:bCs/>
                <w:noProof/>
                <w:sz w:val="18"/>
                <w:szCs w:val="18"/>
              </w:rPr>
            </w:pPr>
          </w:p>
          <w:p w:rsidR="00795640" w:rsidRDefault="00795640">
            <w:pPr>
              <w:keepNext/>
              <w:jc w:val="both"/>
              <w:rPr>
                <w:rFonts w:ascii="Calibri" w:eastAsia="Calibri" w:hAnsi="Calibri" w:cs="Times New Roman"/>
                <w:b/>
                <w:bCs/>
                <w:noProof/>
                <w:sz w:val="18"/>
                <w:szCs w:val="18"/>
              </w:rPr>
            </w:pPr>
          </w:p>
          <w:p w:rsidR="00795640" w:rsidRDefault="00795640">
            <w:pPr>
              <w:keepNext/>
              <w:jc w:val="both"/>
              <w:rPr>
                <w:rFonts w:ascii="Calibri" w:eastAsia="Calibri" w:hAnsi="Calibri" w:cs="Times New Roman"/>
                <w:b/>
                <w:bCs/>
                <w:noProof/>
                <w:sz w:val="18"/>
                <w:szCs w:val="18"/>
              </w:rPr>
            </w:pPr>
          </w:p>
          <w:p w:rsidR="00795640" w:rsidRDefault="00795640">
            <w:pPr>
              <w:keepNext/>
              <w:jc w:val="both"/>
              <w:rPr>
                <w:rFonts w:ascii="Calibri" w:eastAsia="Calibri" w:hAnsi="Calibri" w:cs="Times New Roman"/>
                <w:b/>
                <w:bCs/>
                <w:noProof/>
                <w:sz w:val="18"/>
                <w:szCs w:val="18"/>
              </w:rPr>
            </w:pPr>
          </w:p>
          <w:p w:rsidR="00795640" w:rsidRDefault="00A70A3B">
            <w:pPr>
              <w:keepNext/>
              <w:jc w:val="both"/>
              <w:rPr>
                <w:rFonts w:ascii="Calibri" w:eastAsia="Calibri" w:hAnsi="Calibri" w:cs="Times New Roman"/>
                <w:noProof/>
                <w:sz w:val="16"/>
                <w:szCs w:val="16"/>
              </w:rPr>
            </w:pPr>
            <w:r>
              <w:rPr>
                <w:rFonts w:ascii="Calibri" w:eastAsia="Calibri" w:hAnsi="Calibri" w:cs="Times New Roman"/>
                <w:b/>
                <w:bCs/>
                <w:noProof/>
                <w:sz w:val="16"/>
                <w:szCs w:val="16"/>
              </w:rPr>
              <w:t>Confidence Indicator by Ecosystem</w:t>
            </w:r>
          </w:p>
          <w:p w:rsidR="00795640" w:rsidRDefault="00A70A3B">
            <w:pPr>
              <w:keepNext/>
              <w:jc w:val="both"/>
              <w:rPr>
                <w:rFonts w:ascii="Calibri" w:eastAsia="Calibri" w:hAnsi="Calibri" w:cs="Times New Roman"/>
                <w:noProof/>
                <w:sz w:val="16"/>
                <w:szCs w:val="16"/>
              </w:rPr>
            </w:pPr>
            <w:r>
              <w:rPr>
                <w:rFonts w:ascii="Calibri" w:eastAsia="Calibri" w:hAnsi="Calibri" w:cs="Times New Roman"/>
                <w:noProof/>
                <w:sz w:val="16"/>
                <w:szCs w:val="16"/>
              </w:rPr>
              <w:t xml:space="preserve">Source: European Commission analysis based on the Joint Harmonised EU Programme of Business and Consumer Surveys. </w:t>
            </w:r>
          </w:p>
          <w:p w:rsidR="00795640" w:rsidRDefault="00A70A3B">
            <w:pPr>
              <w:keepNext/>
              <w:spacing w:after="240"/>
              <w:jc w:val="both"/>
              <w:rPr>
                <w:rFonts w:ascii="Calibri" w:eastAsia="Calibri" w:hAnsi="Calibri" w:cs="Times New Roman"/>
                <w:noProof/>
                <w:sz w:val="16"/>
                <w:szCs w:val="16"/>
              </w:rPr>
            </w:pPr>
            <w:r>
              <w:rPr>
                <w:rFonts w:ascii="Calibri" w:eastAsia="Calibri" w:hAnsi="Calibri" w:cs="Times New Roman"/>
                <w:noProof/>
                <w:sz w:val="16"/>
                <w:szCs w:val="16"/>
              </w:rPr>
              <w:t>Note: For “Retail”, “Agrifood”, “Proximity-Social Economy”, “Renewable Energies”, and “Health”, represented using dotted lines, data coverage</w:t>
            </w:r>
            <w:r>
              <w:rPr>
                <w:rFonts w:ascii="Calibri" w:eastAsia="Calibri" w:hAnsi="Calibri" w:cs="Times New Roman"/>
                <w:noProof/>
                <w:sz w:val="16"/>
                <w:szCs w:val="16"/>
              </w:rPr>
              <w:t xml:space="preserve"> is limited, so data have to be interpreted with caution. </w:t>
            </w:r>
          </w:p>
          <w:p w:rsidR="00795640" w:rsidRDefault="00795640">
            <w:pPr>
              <w:keepNext/>
              <w:spacing w:after="240"/>
              <w:jc w:val="both"/>
              <w:rPr>
                <w:rFonts w:ascii="Calibri" w:eastAsia="Calibri" w:hAnsi="Calibri" w:cs="Times New Roman"/>
                <w:noProof/>
              </w:rPr>
            </w:pPr>
          </w:p>
        </w:tc>
      </w:tr>
    </w:tbl>
    <w:p w:rsidR="00795640" w:rsidRDefault="00A70A3B">
      <w:pPr>
        <w:spacing w:before="160" w:after="240" w:line="240" w:lineRule="auto"/>
        <w:ind w:left="-284" w:firstLine="284"/>
        <w:jc w:val="both"/>
        <w:rPr>
          <w:rFonts w:ascii="Times New Roman" w:eastAsia="Times New Roman" w:hAnsi="Times New Roman" w:cs="Times New Roman"/>
          <w:i/>
          <w:noProof/>
          <w:szCs w:val="20"/>
          <w:lang w:val="en-IE" w:eastAsia="en-GB"/>
        </w:rPr>
      </w:pPr>
      <w:r>
        <w:rPr>
          <w:rFonts w:ascii="Times New Roman" w:eastAsia="Times New Roman" w:hAnsi="Times New Roman" w:cs="Times New Roman"/>
          <w:i/>
          <w:noProof/>
          <w:szCs w:val="20"/>
          <w:lang w:eastAsia="en-GB"/>
        </w:rPr>
        <w:t xml:space="preserve">Figure </w:t>
      </w:r>
      <w:r>
        <w:rPr>
          <w:rFonts w:ascii="Times New Roman" w:eastAsia="Times New Roman" w:hAnsi="Times New Roman" w:cs="Times New Roman"/>
          <w:i/>
          <w:noProof/>
          <w:szCs w:val="20"/>
          <w:lang w:eastAsia="en-GB"/>
        </w:rPr>
        <w:fldChar w:fldCharType="begin"/>
      </w:r>
      <w:r>
        <w:rPr>
          <w:rFonts w:ascii="Times New Roman" w:eastAsia="Times New Roman" w:hAnsi="Times New Roman" w:cs="Times New Roman"/>
          <w:i/>
          <w:noProof/>
          <w:szCs w:val="20"/>
          <w:lang w:eastAsia="en-GB"/>
        </w:rPr>
        <w:instrText xml:space="preserve"> SEQ Figure \* ARABIC </w:instrText>
      </w:r>
      <w:r>
        <w:rPr>
          <w:rFonts w:ascii="Times New Roman" w:eastAsia="Times New Roman" w:hAnsi="Times New Roman" w:cs="Times New Roman"/>
          <w:i/>
          <w:noProof/>
          <w:szCs w:val="20"/>
          <w:lang w:eastAsia="en-GB"/>
        </w:rPr>
        <w:fldChar w:fldCharType="separate"/>
      </w:r>
      <w:r>
        <w:rPr>
          <w:rFonts w:ascii="Times New Roman" w:eastAsia="Times New Roman" w:hAnsi="Times New Roman" w:cs="Times New Roman"/>
          <w:i/>
          <w:noProof/>
          <w:szCs w:val="20"/>
          <w:lang w:eastAsia="en-GB"/>
        </w:rPr>
        <w:t>1</w:t>
      </w:r>
      <w:r>
        <w:rPr>
          <w:rFonts w:ascii="Times New Roman" w:eastAsia="Times New Roman" w:hAnsi="Times New Roman" w:cs="Times New Roman"/>
          <w:i/>
          <w:noProof/>
          <w:szCs w:val="20"/>
          <w:lang w:eastAsia="en-GB"/>
        </w:rPr>
        <w:fldChar w:fldCharType="end"/>
      </w:r>
      <w:r>
        <w:rPr>
          <w:rFonts w:ascii="Times New Roman" w:eastAsia="Times New Roman" w:hAnsi="Times New Roman" w:cs="Times New Roman"/>
          <w:i/>
          <w:noProof/>
          <w:szCs w:val="20"/>
          <w:lang w:eastAsia="en-GB"/>
        </w:rPr>
        <w:t>: Confidence indicator by ecosystem</w:t>
      </w:r>
    </w:p>
    <w:p w:rsidR="00795640" w:rsidRDefault="00A70A3B">
      <w:pPr>
        <w:spacing w:after="240" w:line="240" w:lineRule="auto"/>
        <w:jc w:val="both"/>
        <w:rPr>
          <w:rFonts w:ascii="Times New Roman" w:eastAsia="Times New Roman" w:hAnsi="Times New Roman" w:cs="Times New Roman"/>
          <w:noProof/>
          <w:color w:val="000000"/>
          <w:sz w:val="24"/>
          <w:szCs w:val="24"/>
          <w:lang w:eastAsia="en-GB"/>
        </w:rPr>
      </w:pPr>
      <w:r>
        <w:rPr>
          <w:rFonts w:ascii="Times New Roman" w:eastAsia="Times New Roman" w:hAnsi="Times New Roman" w:cs="Times New Roman"/>
          <w:noProof/>
          <w:color w:val="000000"/>
          <w:sz w:val="24"/>
          <w:szCs w:val="24"/>
          <w:lang w:eastAsia="en-GB"/>
        </w:rPr>
        <w:t>This analysis and our experience during the crisis show that the principles, priorities and actions in Europe’s industrial str</w:t>
      </w:r>
      <w:r>
        <w:rPr>
          <w:rFonts w:ascii="Times New Roman" w:eastAsia="Times New Roman" w:hAnsi="Times New Roman" w:cs="Times New Roman"/>
          <w:noProof/>
          <w:color w:val="000000"/>
          <w:sz w:val="24"/>
          <w:szCs w:val="24"/>
          <w:lang w:eastAsia="en-GB"/>
        </w:rPr>
        <w:t xml:space="preserve">ategy still hold. The need to strengthen Europe’s open strategic autonomy and the new partnership approach with industry and </w:t>
      </w:r>
      <w:r>
        <w:rPr>
          <w:rFonts w:ascii="Times New Roman" w:eastAsia="Times New Roman" w:hAnsi="Times New Roman" w:cs="Times New Roman"/>
          <w:noProof/>
          <w:sz w:val="24"/>
          <w:szCs w:val="24"/>
          <w:lang w:eastAsia="en-GB"/>
        </w:rPr>
        <w:t xml:space="preserve">likeminded international partners are even more acute than a year ago. </w:t>
      </w:r>
      <w:r>
        <w:rPr>
          <w:rFonts w:ascii="Times New Roman" w:eastAsia="Times New Roman" w:hAnsi="Times New Roman" w:cs="Times New Roman"/>
          <w:noProof/>
          <w:color w:val="000000"/>
          <w:sz w:val="24"/>
          <w:szCs w:val="24"/>
          <w:lang w:eastAsia="en-GB"/>
        </w:rPr>
        <w:t>We must continue to focus on the fundamentals outlined a yea</w:t>
      </w:r>
      <w:r>
        <w:rPr>
          <w:rFonts w:ascii="Times New Roman" w:eastAsia="Times New Roman" w:hAnsi="Times New Roman" w:cs="Times New Roman"/>
          <w:noProof/>
          <w:color w:val="000000"/>
          <w:sz w:val="24"/>
          <w:szCs w:val="24"/>
          <w:lang w:eastAsia="en-GB"/>
        </w:rPr>
        <w:t xml:space="preserve">r ago and speed up implementation to enable industry to accelerate and lead the transitions. </w:t>
      </w:r>
    </w:p>
    <w:p w:rsidR="00795640" w:rsidRDefault="00A70A3B">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color w:val="000000"/>
          <w:sz w:val="24"/>
          <w:szCs w:val="24"/>
          <w:lang w:eastAsia="en-GB"/>
        </w:rPr>
        <w:t>This</w:t>
      </w:r>
      <w:r>
        <w:rPr>
          <w:rFonts w:ascii="Times New Roman" w:eastAsia="Times New Roman" w:hAnsi="Times New Roman" w:cs="Times New Roman"/>
          <w:noProof/>
          <w:color w:val="000000"/>
          <w:sz w:val="24"/>
          <w:szCs w:val="20"/>
          <w:lang w:eastAsia="en-GB"/>
        </w:rPr>
        <w:t xml:space="preserve"> update neither replaces the 2020 Industrial Strategy nor completes the processes launched by it – much of that work is in progress, and requires dedicated efforts. This is a targeted update, which focuses on what more needs to be done and what lessons nee</w:t>
      </w:r>
      <w:r>
        <w:rPr>
          <w:rFonts w:ascii="Times New Roman" w:eastAsia="Times New Roman" w:hAnsi="Times New Roman" w:cs="Times New Roman"/>
          <w:noProof/>
          <w:color w:val="000000"/>
          <w:sz w:val="24"/>
          <w:szCs w:val="20"/>
          <w:lang w:eastAsia="en-GB"/>
        </w:rPr>
        <w:t xml:space="preserve">d to be learned. It assesses where our Single Market was tested and stretched and proposes measures to strengthen its resilience and functioning. It offers a tailored assessment of the needs of each industrial ecosystem and how all market players can best </w:t>
      </w:r>
      <w:r>
        <w:rPr>
          <w:rFonts w:ascii="Times New Roman" w:eastAsia="Times New Roman" w:hAnsi="Times New Roman" w:cs="Times New Roman"/>
          <w:noProof/>
          <w:color w:val="000000"/>
          <w:sz w:val="24"/>
          <w:szCs w:val="20"/>
          <w:lang w:eastAsia="en-GB"/>
        </w:rPr>
        <w:t xml:space="preserve">work together. And it identifies a set of strategic dependencies and capacities and proposes measures to address and reduce them. </w:t>
      </w:r>
      <w:r>
        <w:rPr>
          <w:rFonts w:ascii="Times New Roman" w:eastAsia="Times New Roman" w:hAnsi="Times New Roman" w:cs="Times New Roman"/>
          <w:noProof/>
          <w:sz w:val="24"/>
          <w:szCs w:val="24"/>
          <w:lang w:eastAsia="en-GB"/>
        </w:rPr>
        <w:t>In doing so, this update answers calls from the European Council,</w:t>
      </w:r>
      <w:r>
        <w:rPr>
          <w:rStyle w:val="FootnoteReference"/>
          <w:rFonts w:ascii="Times New Roman" w:eastAsia="Times New Roman" w:hAnsi="Times New Roman" w:cs="Times New Roman"/>
          <w:noProof/>
          <w:sz w:val="24"/>
          <w:szCs w:val="24"/>
          <w:lang w:eastAsia="en-GB"/>
        </w:rPr>
        <w:footnoteReference w:id="9"/>
      </w:r>
      <w:r>
        <w:rPr>
          <w:rFonts w:ascii="Times New Roman" w:eastAsia="Times New Roman" w:hAnsi="Times New Roman" w:cs="Times New Roman"/>
          <w:noProof/>
          <w:sz w:val="24"/>
          <w:szCs w:val="24"/>
          <w:lang w:eastAsia="en-GB"/>
        </w:rPr>
        <w:t xml:space="preserve"> the European Parliament,</w:t>
      </w:r>
      <w:r>
        <w:rPr>
          <w:rStyle w:val="FootnoteReference"/>
          <w:rFonts w:ascii="Times New Roman" w:eastAsia="Times New Roman" w:hAnsi="Times New Roman" w:cs="Times New Roman"/>
          <w:noProof/>
          <w:sz w:val="24"/>
          <w:szCs w:val="24"/>
          <w:lang w:eastAsia="en-GB"/>
        </w:rPr>
        <w:footnoteReference w:id="10"/>
      </w:r>
      <w:r>
        <w:rPr>
          <w:rFonts w:ascii="Times New Roman" w:eastAsia="Times New Roman" w:hAnsi="Times New Roman" w:cs="Times New Roman"/>
          <w:noProof/>
          <w:sz w:val="24"/>
          <w:szCs w:val="24"/>
          <w:lang w:eastAsia="en-GB"/>
        </w:rPr>
        <w:t xml:space="preserve"> Member States</w:t>
      </w:r>
      <w:r>
        <w:rPr>
          <w:rStyle w:val="FootnoteReference"/>
          <w:rFonts w:ascii="Times New Roman" w:eastAsia="Times New Roman" w:hAnsi="Times New Roman" w:cs="Times New Roman"/>
          <w:noProof/>
          <w:sz w:val="24"/>
          <w:szCs w:val="24"/>
          <w:lang w:eastAsia="en-GB"/>
        </w:rPr>
        <w:footnoteReference w:id="11"/>
      </w:r>
      <w:r>
        <w:rPr>
          <w:rFonts w:ascii="Times New Roman" w:eastAsia="Times New Roman" w:hAnsi="Times New Roman" w:cs="Times New Roman"/>
          <w:noProof/>
          <w:sz w:val="24"/>
          <w:szCs w:val="24"/>
          <w:lang w:eastAsia="en-GB"/>
        </w:rPr>
        <w:t xml:space="preserve"> and other stakehol</w:t>
      </w:r>
      <w:r>
        <w:rPr>
          <w:rFonts w:ascii="Times New Roman" w:eastAsia="Times New Roman" w:hAnsi="Times New Roman" w:cs="Times New Roman"/>
          <w:noProof/>
          <w:sz w:val="24"/>
          <w:szCs w:val="24"/>
          <w:lang w:eastAsia="en-GB"/>
        </w:rPr>
        <w:t xml:space="preserve">ders to analyse the impact of the crisis on our policies and offer solutions where necessary. </w:t>
      </w:r>
    </w:p>
    <w:p w:rsidR="00795640" w:rsidRDefault="00A70A3B">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Three Staff Working Documents accompany the Communication. They reflect certain early deliverables of the 2020 Industrial Strategy</w:t>
      </w:r>
      <w:r>
        <w:rPr>
          <w:noProof/>
        </w:rPr>
        <w:t xml:space="preserve"> </w:t>
      </w:r>
      <w:r>
        <w:rPr>
          <w:rFonts w:ascii="Times New Roman" w:eastAsia="Times New Roman" w:hAnsi="Times New Roman" w:cs="Times New Roman"/>
          <w:noProof/>
          <w:sz w:val="24"/>
          <w:szCs w:val="24"/>
          <w:lang w:eastAsia="en-GB"/>
        </w:rPr>
        <w:t>and offer the analytical under</w:t>
      </w:r>
      <w:r>
        <w:rPr>
          <w:rFonts w:ascii="Times New Roman" w:eastAsia="Times New Roman" w:hAnsi="Times New Roman" w:cs="Times New Roman"/>
          <w:noProof/>
          <w:sz w:val="24"/>
          <w:szCs w:val="24"/>
          <w:lang w:eastAsia="en-GB"/>
        </w:rPr>
        <w:t xml:space="preserve">pinning to address such requests: </w:t>
      </w:r>
    </w:p>
    <w:p w:rsidR="00795640" w:rsidRDefault="00A70A3B">
      <w:pPr>
        <w:numPr>
          <w:ilvl w:val="0"/>
          <w:numId w:val="1"/>
        </w:numPr>
        <w:spacing w:after="120" w:line="240" w:lineRule="auto"/>
        <w:ind w:left="714" w:hanging="357"/>
        <w:contextualSpacing/>
        <w:jc w:val="both"/>
        <w:rPr>
          <w:rFonts w:ascii="Times New Roman" w:eastAsia="Calibri" w:hAnsi="Times New Roman" w:cs="Times New Roman"/>
          <w:noProof/>
          <w:color w:val="000000"/>
          <w:sz w:val="24"/>
          <w:szCs w:val="24"/>
          <w:lang w:val="en-IE"/>
        </w:rPr>
      </w:pPr>
      <w:r>
        <w:rPr>
          <w:rFonts w:ascii="Times New Roman" w:eastAsia="Calibri" w:hAnsi="Times New Roman" w:cs="Times New Roman"/>
          <w:noProof/>
          <w:sz w:val="24"/>
          <w:szCs w:val="24"/>
          <w:lang w:val="en-IE"/>
        </w:rPr>
        <w:t xml:space="preserve">The first edition of the </w:t>
      </w:r>
      <w:r>
        <w:rPr>
          <w:rFonts w:ascii="Times New Roman" w:eastAsia="Calibri" w:hAnsi="Times New Roman" w:cs="Times New Roman"/>
          <w:b/>
          <w:noProof/>
          <w:sz w:val="24"/>
          <w:szCs w:val="24"/>
          <w:lang w:val="en-IE"/>
        </w:rPr>
        <w:t>Annual Single Market Report</w:t>
      </w:r>
      <w:r>
        <w:rPr>
          <w:rFonts w:ascii="Times New Roman" w:eastAsia="Calibri" w:hAnsi="Times New Roman" w:cs="Times New Roman"/>
          <w:noProof/>
          <w:sz w:val="24"/>
          <w:szCs w:val="24"/>
          <w:vertAlign w:val="superscript"/>
          <w:lang w:val="en-IE"/>
        </w:rPr>
        <w:footnoteReference w:id="12"/>
      </w:r>
      <w:r>
        <w:rPr>
          <w:rFonts w:ascii="Times New Roman" w:eastAsia="Calibri" w:hAnsi="Times New Roman" w:cs="Times New Roman"/>
          <w:noProof/>
          <w:sz w:val="24"/>
          <w:szCs w:val="24"/>
          <w:lang w:val="en-IE"/>
        </w:rPr>
        <w:t xml:space="preserve"> sets out the impact of the crisis on the Single Market, </w:t>
      </w:r>
      <w:r>
        <w:rPr>
          <w:rFonts w:ascii="Times New Roman" w:eastAsia="Calibri" w:hAnsi="Times New Roman" w:cs="Times New Roman"/>
          <w:noProof/>
          <w:sz w:val="24"/>
          <w:szCs w:val="24"/>
        </w:rPr>
        <w:t>reports</w:t>
      </w:r>
      <w:r>
        <w:rPr>
          <w:rFonts w:ascii="Times New Roman" w:eastAsia="Calibri" w:hAnsi="Times New Roman" w:cs="Times New Roman"/>
          <w:noProof/>
          <w:sz w:val="24"/>
          <w:szCs w:val="24"/>
          <w:lang w:val="en-IE"/>
        </w:rPr>
        <w:t xml:space="preserve"> on progress made on barriers and in delivering on actions identified in the 2020 Industrial Package; in</w:t>
      </w:r>
      <w:r>
        <w:rPr>
          <w:rFonts w:ascii="Times New Roman" w:eastAsia="Calibri" w:hAnsi="Times New Roman" w:cs="Times New Roman"/>
          <w:noProof/>
          <w:sz w:val="24"/>
          <w:szCs w:val="24"/>
          <w:lang w:val="en-IE"/>
        </w:rPr>
        <w:t xml:space="preserve">cludes an analysis for all 14 industrial ecosystems; and presents a set of key performance indicators; </w:t>
      </w:r>
    </w:p>
    <w:p w:rsidR="00795640" w:rsidRDefault="00A70A3B">
      <w:pPr>
        <w:numPr>
          <w:ilvl w:val="0"/>
          <w:numId w:val="1"/>
        </w:numPr>
        <w:spacing w:after="120" w:line="240" w:lineRule="auto"/>
        <w:ind w:left="714" w:hanging="357"/>
        <w:contextualSpacing/>
        <w:jc w:val="both"/>
        <w:rPr>
          <w:rFonts w:ascii="Times New Roman" w:eastAsia="Calibri" w:hAnsi="Times New Roman" w:cs="Times New Roman"/>
          <w:noProof/>
          <w:color w:val="000000"/>
          <w:sz w:val="24"/>
          <w:szCs w:val="24"/>
          <w:lang w:val="en-IE"/>
        </w:rPr>
      </w:pPr>
      <w:r>
        <w:rPr>
          <w:rFonts w:ascii="Times New Roman" w:eastAsia="Calibri" w:hAnsi="Times New Roman" w:cs="Times New Roman"/>
          <w:noProof/>
          <w:sz w:val="24"/>
          <w:szCs w:val="24"/>
        </w:rPr>
        <w:t xml:space="preserve">An initial analysis of the </w:t>
      </w:r>
      <w:r>
        <w:rPr>
          <w:rFonts w:ascii="Times New Roman" w:eastAsia="Calibri" w:hAnsi="Times New Roman" w:cs="Times New Roman"/>
          <w:b/>
          <w:noProof/>
          <w:sz w:val="24"/>
          <w:szCs w:val="24"/>
        </w:rPr>
        <w:t>EU’s strategic dependencies</w:t>
      </w:r>
      <w:r>
        <w:rPr>
          <w:rFonts w:ascii="Times New Roman" w:eastAsia="Calibri" w:hAnsi="Times New Roman" w:cs="Times New Roman"/>
          <w:noProof/>
          <w:sz w:val="24"/>
          <w:szCs w:val="24"/>
          <w:vertAlign w:val="superscript"/>
          <w:lang w:val="en-IE"/>
        </w:rPr>
        <w:footnoteReference w:id="13"/>
      </w:r>
      <w:r>
        <w:rPr>
          <w:rFonts w:ascii="Times New Roman" w:eastAsia="Calibri" w:hAnsi="Times New Roman" w:cs="Times New Roman"/>
          <w:b/>
          <w:noProof/>
          <w:sz w:val="24"/>
          <w:szCs w:val="24"/>
        </w:rPr>
        <w:t xml:space="preserve"> and capacities</w:t>
      </w:r>
      <w:r>
        <w:rPr>
          <w:rFonts w:ascii="Times New Roman" w:eastAsia="Calibri" w:hAnsi="Times New Roman" w:cs="Times New Roman"/>
          <w:noProof/>
          <w:sz w:val="24"/>
          <w:szCs w:val="24"/>
        </w:rPr>
        <w:t xml:space="preserve">, with an in-depth review for a number of technological and industrial strategic areas; </w:t>
      </w:r>
    </w:p>
    <w:p w:rsidR="00795640" w:rsidRDefault="00A70A3B">
      <w:pPr>
        <w:numPr>
          <w:ilvl w:val="0"/>
          <w:numId w:val="1"/>
        </w:numPr>
        <w:spacing w:after="240" w:line="240" w:lineRule="auto"/>
        <w:contextualSpacing/>
        <w:jc w:val="both"/>
        <w:rPr>
          <w:rFonts w:ascii="Times New Roman" w:eastAsia="Calibri" w:hAnsi="Times New Roman" w:cs="Times New Roman"/>
          <w:noProof/>
          <w:color w:val="000000"/>
          <w:sz w:val="24"/>
          <w:szCs w:val="24"/>
          <w:lang w:val="en-IE"/>
        </w:rPr>
      </w:pPr>
      <w:r>
        <w:rPr>
          <w:rFonts w:ascii="Times New Roman" w:eastAsia="Calibri" w:hAnsi="Times New Roman" w:cs="Times New Roman"/>
          <w:noProof/>
          <w:sz w:val="24"/>
          <w:szCs w:val="24"/>
        </w:rPr>
        <w:t xml:space="preserve">An illustrative analysis of one key industrial sector, focused on the challenges and opportunities for industry and the EU policy toolbox available </w:t>
      </w:r>
      <w:r>
        <w:rPr>
          <w:rFonts w:ascii="Times New Roman" w:eastAsia="Calibri" w:hAnsi="Times New Roman" w:cs="Times New Roman"/>
          <w:b/>
          <w:noProof/>
          <w:sz w:val="24"/>
          <w:szCs w:val="24"/>
        </w:rPr>
        <w:t>Towards competitive</w:t>
      </w:r>
      <w:r>
        <w:rPr>
          <w:rFonts w:ascii="Times New Roman" w:eastAsia="Calibri" w:hAnsi="Times New Roman" w:cs="Times New Roman"/>
          <w:b/>
          <w:noProof/>
          <w:sz w:val="24"/>
          <w:szCs w:val="24"/>
        </w:rPr>
        <w:t xml:space="preserve"> and clean European steel </w:t>
      </w:r>
      <w:r>
        <w:rPr>
          <w:rFonts w:ascii="Times New Roman" w:eastAsia="Calibri" w:hAnsi="Times New Roman" w:cs="Times New Roman"/>
          <w:noProof/>
          <w:sz w:val="24"/>
          <w:szCs w:val="24"/>
        </w:rPr>
        <w:t>in support of the</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 xml:space="preserve">twin transition.  </w:t>
      </w:r>
    </w:p>
    <w:p w:rsidR="00795640" w:rsidRDefault="00A70A3B">
      <w:pPr>
        <w:spacing w:after="240" w:line="240" w:lineRule="auto"/>
        <w:jc w:val="both"/>
        <w:rPr>
          <w:rFonts w:ascii="Times New Roman" w:eastAsia="Calibri" w:hAnsi="Times New Roman" w:cs="Times New Roman"/>
          <w:noProof/>
          <w:color w:val="000000"/>
          <w:sz w:val="24"/>
          <w:szCs w:val="24"/>
          <w:lang w:val="en-IE"/>
        </w:rPr>
      </w:pPr>
      <w:r>
        <w:rPr>
          <w:rFonts w:ascii="Times New Roman" w:eastAsia="Calibri" w:hAnsi="Times New Roman" w:cs="Times New Roman"/>
          <w:noProof/>
          <w:sz w:val="24"/>
          <w:szCs w:val="24"/>
        </w:rPr>
        <w:t xml:space="preserve">  </w:t>
      </w:r>
    </w:p>
    <w:p w:rsidR="00795640" w:rsidRDefault="00A70A3B">
      <w:pPr>
        <w:pStyle w:val="ListParagraph"/>
        <w:keepNext/>
        <w:numPr>
          <w:ilvl w:val="0"/>
          <w:numId w:val="3"/>
        </w:numPr>
        <w:spacing w:before="240" w:after="240" w:line="240" w:lineRule="auto"/>
        <w:jc w:val="both"/>
        <w:outlineLvl w:val="0"/>
        <w:rPr>
          <w:rFonts w:ascii="Times New Roman" w:eastAsia="Times New Roman" w:hAnsi="Times New Roman" w:cs="Times New Roman"/>
          <w:noProof/>
          <w:sz w:val="24"/>
          <w:szCs w:val="24"/>
          <w:lang w:eastAsia="en-GB"/>
        </w:rPr>
      </w:pPr>
      <w:r>
        <w:rPr>
          <w:rFonts w:ascii="Times New Roman" w:eastAsia="Times New Roman" w:hAnsi="Times New Roman" w:cs="Times New Roman"/>
          <w:b/>
          <w:smallCaps/>
          <w:noProof/>
          <w:sz w:val="24"/>
          <w:szCs w:val="20"/>
          <w:lang w:eastAsia="en-GB"/>
        </w:rPr>
        <w:t>Learning the lessons and Accelerating the transitions</w:t>
      </w:r>
    </w:p>
    <w:p w:rsidR="00795640" w:rsidRDefault="00A70A3B">
      <w:pPr>
        <w:spacing w:after="240" w:line="240" w:lineRule="auto"/>
        <w:ind w:left="-284"/>
        <w:jc w:val="both"/>
        <w:rPr>
          <w:rFonts w:ascii="Times New Roman" w:eastAsia="Times New Roman" w:hAnsi="Times New Roman" w:cs="Times New Roman"/>
          <w:noProof/>
          <w:sz w:val="24"/>
          <w:szCs w:val="24"/>
          <w:lang w:val="en-IE" w:eastAsia="en-GB"/>
        </w:rPr>
      </w:pPr>
      <w:r>
        <w:rPr>
          <w:rFonts w:ascii="Times New Roman" w:eastAsia="Times New Roman" w:hAnsi="Times New Roman" w:cs="Times New Roman"/>
          <w:noProof/>
          <w:sz w:val="24"/>
          <w:szCs w:val="24"/>
          <w:lang w:val="en-IE" w:eastAsia="en-GB"/>
        </w:rPr>
        <w:t>Europe has a lot to build on and a lot to learn from the testing time it continues to go through. Over the last year, we have seen the r</w:t>
      </w:r>
      <w:r>
        <w:rPr>
          <w:rFonts w:ascii="Times New Roman" w:eastAsia="Times New Roman" w:hAnsi="Times New Roman" w:cs="Times New Roman"/>
          <w:noProof/>
          <w:sz w:val="24"/>
          <w:szCs w:val="24"/>
          <w:lang w:val="en-IE" w:eastAsia="en-GB"/>
        </w:rPr>
        <w:t>esilience of our Single Market and the best of industry. Drawing on the pool of excellence in life sciences, it has been at the forefront of global COVID-19 vaccine development and production, notably thanks to the EU Vaccine Strategy and the EU support to</w:t>
      </w:r>
      <w:r>
        <w:rPr>
          <w:rFonts w:ascii="Times New Roman" w:eastAsia="Times New Roman" w:hAnsi="Times New Roman" w:cs="Times New Roman"/>
          <w:noProof/>
          <w:sz w:val="24"/>
          <w:szCs w:val="24"/>
          <w:lang w:val="en-IE" w:eastAsia="en-GB"/>
        </w:rPr>
        <w:t xml:space="preserve"> ramp up industrial capacity. We have seen companies switch production to help meet urgent needs, whether for personal protective equipment, hand sanitisers or vaccine production. Other companies made the shift to e-commerce overnight or used digital tools</w:t>
      </w:r>
      <w:r>
        <w:rPr>
          <w:rFonts w:ascii="Times New Roman" w:eastAsia="Times New Roman" w:hAnsi="Times New Roman" w:cs="Times New Roman"/>
          <w:noProof/>
          <w:sz w:val="24"/>
          <w:szCs w:val="24"/>
          <w:lang w:val="en-IE" w:eastAsia="en-GB"/>
        </w:rPr>
        <w:t xml:space="preserve"> to find new suppliers or supply chains. </w:t>
      </w:r>
      <w:r>
        <w:rPr>
          <w:rFonts w:ascii="Times New Roman" w:eastAsia="Times New Roman" w:hAnsi="Times New Roman" w:cs="Times New Roman"/>
          <w:noProof/>
          <w:sz w:val="24"/>
          <w:szCs w:val="20"/>
          <w:lang w:val="en-IE" w:eastAsia="en-GB"/>
        </w:rPr>
        <w:t>Despite a significant fall in energy demand and impacts on critical energy operators, the internal energy market adjusted well, with no interruptions in energy supply</w:t>
      </w:r>
      <w:r>
        <w:rPr>
          <w:rStyle w:val="FootnoteReference"/>
          <w:rFonts w:ascii="Times New Roman" w:eastAsia="Times New Roman" w:hAnsi="Times New Roman" w:cs="Times New Roman"/>
          <w:noProof/>
          <w:sz w:val="24"/>
          <w:szCs w:val="20"/>
          <w:lang w:val="en-IE" w:eastAsia="en-GB"/>
        </w:rPr>
        <w:footnoteReference w:id="14"/>
      </w:r>
      <w:r>
        <w:rPr>
          <w:rFonts w:ascii="Times New Roman" w:eastAsia="Times New Roman" w:hAnsi="Times New Roman" w:cs="Times New Roman"/>
          <w:noProof/>
          <w:sz w:val="24"/>
          <w:szCs w:val="20"/>
          <w:lang w:val="en-IE" w:eastAsia="en-GB"/>
        </w:rPr>
        <w:t>.</w:t>
      </w:r>
    </w:p>
    <w:p w:rsidR="00795640" w:rsidRDefault="00A70A3B">
      <w:pPr>
        <w:spacing w:after="240" w:line="240" w:lineRule="auto"/>
        <w:ind w:left="-284"/>
        <w:jc w:val="both"/>
        <w:rPr>
          <w:rFonts w:ascii="Times New Roman" w:eastAsia="Calibri" w:hAnsi="Times New Roman" w:cs="Times New Roman"/>
          <w:noProof/>
          <w:sz w:val="24"/>
          <w:szCs w:val="24"/>
          <w:lang w:eastAsia="en-GB"/>
        </w:rPr>
      </w:pPr>
      <w:r>
        <w:rPr>
          <w:rFonts w:ascii="Times New Roman" w:eastAsia="Times New Roman" w:hAnsi="Times New Roman" w:cs="Times New Roman"/>
          <w:noProof/>
          <w:sz w:val="24"/>
          <w:szCs w:val="24"/>
          <w:lang w:val="en-IE" w:eastAsia="en-GB"/>
        </w:rPr>
        <w:t>However, this was not feasible for all. As lockdown forced many businesses to a halt, borders closed, supply chains were interrupted, demand was disrupted and workers and service providers found themselves unable to move across Europe. When lorries stopped</w:t>
      </w:r>
      <w:r>
        <w:rPr>
          <w:rFonts w:ascii="Times New Roman" w:eastAsia="Times New Roman" w:hAnsi="Times New Roman" w:cs="Times New Roman"/>
          <w:noProof/>
          <w:sz w:val="24"/>
          <w:szCs w:val="24"/>
          <w:lang w:val="en-IE" w:eastAsia="en-GB"/>
        </w:rPr>
        <w:t xml:space="preserve"> at the internal borders, it quickly showed how integrated manufacturing and the economy are in Europe today. Blockages to the free flow of goods, services and people profoundly affected value chains and economic activity, undermined European solidarity an</w:t>
      </w:r>
      <w:r>
        <w:rPr>
          <w:rFonts w:ascii="Times New Roman" w:eastAsia="Times New Roman" w:hAnsi="Times New Roman" w:cs="Times New Roman"/>
          <w:noProof/>
          <w:sz w:val="24"/>
          <w:szCs w:val="24"/>
          <w:lang w:val="en-IE" w:eastAsia="en-GB"/>
        </w:rPr>
        <w:t xml:space="preserve">d hampered a coordinated response to the crisis. Supplies were stuck at borders, air cargo prices soared because planes were grounded and imbalances in trade flows led to a shortage of maritime containers. </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0"/>
          <w:lang w:eastAsia="en-GB"/>
        </w:rPr>
        <w:t>Important lessons can already be drawn:</w:t>
      </w:r>
    </w:p>
    <w:p w:rsidR="00795640" w:rsidRDefault="00A70A3B">
      <w:pPr>
        <w:spacing w:after="240" w:line="240" w:lineRule="auto"/>
        <w:ind w:left="-284"/>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First, th</w:t>
      </w:r>
      <w:r>
        <w:rPr>
          <w:rFonts w:ascii="Times New Roman" w:eastAsia="Times New Roman" w:hAnsi="Times New Roman" w:cs="Times New Roman"/>
          <w:noProof/>
          <w:sz w:val="24"/>
          <w:szCs w:val="20"/>
          <w:lang w:eastAsia="en-GB"/>
        </w:rPr>
        <w:t xml:space="preserve">e crisis highlighted the </w:t>
      </w:r>
      <w:r>
        <w:rPr>
          <w:rFonts w:ascii="Times New Roman" w:eastAsia="Times New Roman" w:hAnsi="Times New Roman" w:cs="Times New Roman"/>
          <w:b/>
          <w:noProof/>
          <w:sz w:val="24"/>
          <w:szCs w:val="20"/>
          <w:lang w:eastAsia="en-GB"/>
        </w:rPr>
        <w:t xml:space="preserve">essential </w:t>
      </w:r>
      <w:r>
        <w:rPr>
          <w:rFonts w:ascii="Times New Roman" w:eastAsia="Times New Roman" w:hAnsi="Times New Roman" w:cs="Times New Roman"/>
          <w:b/>
          <w:noProof/>
          <w:sz w:val="24"/>
          <w:szCs w:val="20"/>
          <w:lang w:val="en-IE" w:eastAsia="en-GB"/>
        </w:rPr>
        <w:t>need to uphold the free movement of persons, goods, services, and capital in the Single Market</w:t>
      </w:r>
      <w:r>
        <w:rPr>
          <w:rFonts w:ascii="Times New Roman" w:eastAsia="Times New Roman" w:hAnsi="Times New Roman" w:cs="Times New Roman"/>
          <w:noProof/>
          <w:sz w:val="24"/>
          <w:szCs w:val="20"/>
          <w:lang w:val="en-IE" w:eastAsia="en-GB"/>
        </w:rPr>
        <w:t xml:space="preserve"> and the need to work together to strengthen its resistance to disruptions. </w:t>
      </w:r>
      <w:r>
        <w:rPr>
          <w:rFonts w:ascii="Times New Roman" w:eastAsia="Times New Roman" w:hAnsi="Times New Roman" w:cs="Times New Roman"/>
          <w:noProof/>
          <w:sz w:val="24"/>
          <w:szCs w:val="20"/>
          <w:lang w:eastAsia="en-GB"/>
        </w:rPr>
        <w:t>Border controls and closures and uncoordinated nati</w:t>
      </w:r>
      <w:r>
        <w:rPr>
          <w:rFonts w:ascii="Times New Roman" w:eastAsia="Times New Roman" w:hAnsi="Times New Roman" w:cs="Times New Roman"/>
          <w:noProof/>
          <w:sz w:val="24"/>
          <w:szCs w:val="20"/>
          <w:lang w:eastAsia="en-GB"/>
        </w:rPr>
        <w:t>onal or regional restrictions as well as containment measures restricting the free movement of persons, often subject to frequent adjustments exacerbated uncertainty and costs of compliance, causing serious delays and leading to major disruptions of supply</w:t>
      </w:r>
      <w:r>
        <w:rPr>
          <w:rFonts w:ascii="Times New Roman" w:eastAsia="Times New Roman" w:hAnsi="Times New Roman" w:cs="Times New Roman"/>
          <w:noProof/>
          <w:sz w:val="24"/>
          <w:szCs w:val="20"/>
          <w:lang w:eastAsia="en-GB"/>
        </w:rPr>
        <w:t xml:space="preserve"> chains in many industrial ecosystems. Green Lanes and other EU ad-hoc measures</w:t>
      </w:r>
      <w:r>
        <w:rPr>
          <w:rStyle w:val="FootnoteReference"/>
          <w:rFonts w:ascii="Times New Roman" w:eastAsia="Times New Roman" w:hAnsi="Times New Roman" w:cs="Times New Roman"/>
          <w:noProof/>
          <w:sz w:val="24"/>
          <w:szCs w:val="20"/>
          <w:lang w:eastAsia="en-GB"/>
        </w:rPr>
        <w:footnoteReference w:id="15"/>
      </w:r>
      <w:r>
        <w:rPr>
          <w:rFonts w:ascii="Times New Roman" w:eastAsia="Times New Roman" w:hAnsi="Times New Roman" w:cs="Times New Roman"/>
          <w:noProof/>
          <w:sz w:val="24"/>
          <w:szCs w:val="20"/>
          <w:lang w:eastAsia="en-GB"/>
        </w:rPr>
        <w:t xml:space="preserve"> significantly alleviated the potential harmful impact of unilateral and uncoordinated national measures across the Single Market. </w:t>
      </w:r>
      <w:r>
        <w:rPr>
          <w:rFonts w:ascii="Times New Roman" w:eastAsia="Times New Roman" w:hAnsi="Times New Roman" w:cs="Times New Roman"/>
          <w:noProof/>
          <w:sz w:val="24"/>
          <w:szCs w:val="20"/>
          <w:lang w:val="en-US" w:eastAsia="en-GB"/>
        </w:rPr>
        <w:t xml:space="preserve">The </w:t>
      </w:r>
      <w:r>
        <w:rPr>
          <w:rFonts w:ascii="Times New Roman" w:eastAsia="Times New Roman" w:hAnsi="Times New Roman" w:cs="Times New Roman"/>
          <w:b/>
          <w:noProof/>
          <w:sz w:val="24"/>
          <w:szCs w:val="20"/>
          <w:lang w:val="en-US" w:eastAsia="en-GB"/>
        </w:rPr>
        <w:t xml:space="preserve">free movement of services </w:t>
      </w:r>
      <w:r>
        <w:rPr>
          <w:rFonts w:ascii="Times New Roman" w:eastAsia="Times New Roman" w:hAnsi="Times New Roman" w:cs="Times New Roman"/>
          <w:noProof/>
          <w:sz w:val="24"/>
          <w:szCs w:val="20"/>
          <w:lang w:val="en-US" w:eastAsia="en-GB"/>
        </w:rPr>
        <w:t>was also affect</w:t>
      </w:r>
      <w:r>
        <w:rPr>
          <w:rFonts w:ascii="Times New Roman" w:eastAsia="Times New Roman" w:hAnsi="Times New Roman" w:cs="Times New Roman"/>
          <w:noProof/>
          <w:sz w:val="24"/>
          <w:szCs w:val="20"/>
          <w:lang w:val="en-US" w:eastAsia="en-GB"/>
        </w:rPr>
        <w:t xml:space="preserve">ed strongly, including by forced temporary closures of non-essential businesses, </w:t>
      </w:r>
      <w:r>
        <w:rPr>
          <w:rFonts w:ascii="Times New Roman" w:eastAsia="Times New Roman" w:hAnsi="Times New Roman" w:cs="Times New Roman"/>
          <w:noProof/>
          <w:sz w:val="24"/>
          <w:szCs w:val="20"/>
          <w:lang w:eastAsia="en-GB"/>
        </w:rPr>
        <w:t xml:space="preserve">travel restrictions, and a lack of clarity on applicable rules on movement across borders. This in turn led to difficulties for cross border workers and shortages of harvest </w:t>
      </w:r>
      <w:r>
        <w:rPr>
          <w:rFonts w:ascii="Times New Roman" w:eastAsia="Times New Roman" w:hAnsi="Times New Roman" w:cs="Times New Roman"/>
          <w:noProof/>
          <w:sz w:val="24"/>
          <w:szCs w:val="20"/>
          <w:lang w:eastAsia="en-GB"/>
        </w:rPr>
        <w:t>workers, to name but a few examples. The Single Market in Europe relies on a highly mobile and available workforce.</w:t>
      </w:r>
    </w:p>
    <w:p w:rsidR="00795640" w:rsidRDefault="00A70A3B">
      <w:pPr>
        <w:spacing w:after="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0"/>
          <w:lang w:val="en-IE" w:eastAsia="en-GB"/>
        </w:rPr>
        <w:t xml:space="preserve">Second, these situations triggered wider awareness of the need to </w:t>
      </w:r>
      <w:r>
        <w:rPr>
          <w:rFonts w:ascii="Times New Roman" w:eastAsia="Times New Roman" w:hAnsi="Times New Roman" w:cs="Times New Roman"/>
          <w:b/>
          <w:noProof/>
          <w:sz w:val="24"/>
          <w:szCs w:val="20"/>
          <w:lang w:val="en-IE" w:eastAsia="en-GB"/>
        </w:rPr>
        <w:t>analyse and address strategic dependencies, both technological and industr</w:t>
      </w:r>
      <w:r>
        <w:rPr>
          <w:rFonts w:ascii="Times New Roman" w:eastAsia="Times New Roman" w:hAnsi="Times New Roman" w:cs="Times New Roman"/>
          <w:b/>
          <w:noProof/>
          <w:sz w:val="24"/>
          <w:szCs w:val="20"/>
          <w:lang w:val="en-IE" w:eastAsia="en-GB"/>
        </w:rPr>
        <w:t>ial</w:t>
      </w:r>
      <w:r>
        <w:rPr>
          <w:rFonts w:ascii="Times New Roman" w:eastAsia="Times New Roman" w:hAnsi="Times New Roman" w:cs="Times New Roman"/>
          <w:noProof/>
          <w:sz w:val="24"/>
          <w:szCs w:val="20"/>
          <w:lang w:val="en-IE" w:eastAsia="en-GB"/>
        </w:rPr>
        <w:t xml:space="preserve">. </w:t>
      </w:r>
      <w:r>
        <w:rPr>
          <w:rFonts w:ascii="Times New Roman" w:eastAsia="Times New Roman" w:hAnsi="Times New Roman" w:cs="Times New Roman"/>
          <w:noProof/>
          <w:sz w:val="24"/>
          <w:szCs w:val="20"/>
          <w:lang w:eastAsia="en-GB"/>
        </w:rPr>
        <w:t>The EU and its trading partners gain resilience from world markets being open and integrated in global value chains, which help to absorb shocks and drive the recovery.</w:t>
      </w:r>
      <w:r>
        <w:rPr>
          <w:rFonts w:ascii="Times New Roman" w:eastAsia="Times New Roman" w:hAnsi="Times New Roman" w:cs="Times New Roman"/>
          <w:noProof/>
          <w:sz w:val="24"/>
          <w:szCs w:val="20"/>
          <w:vertAlign w:val="superscript"/>
          <w:lang w:eastAsia="en-GB"/>
        </w:rPr>
        <w:footnoteReference w:id="16"/>
      </w:r>
      <w:r>
        <w:rPr>
          <w:rFonts w:ascii="Times New Roman" w:eastAsia="Times New Roman" w:hAnsi="Times New Roman" w:cs="Times New Roman"/>
          <w:noProof/>
          <w:sz w:val="24"/>
          <w:szCs w:val="20"/>
          <w:lang w:eastAsia="en-GB"/>
        </w:rPr>
        <w:t xml:space="preserve"> The COVID-19 pandemic showed that disruptions in global value chains can affect s</w:t>
      </w:r>
      <w:r>
        <w:rPr>
          <w:rFonts w:ascii="Times New Roman" w:eastAsia="Times New Roman" w:hAnsi="Times New Roman" w:cs="Times New Roman"/>
          <w:noProof/>
          <w:sz w:val="24"/>
          <w:szCs w:val="20"/>
          <w:lang w:eastAsia="en-GB"/>
        </w:rPr>
        <w:t>pecific essential products and inputs, such as medical supplies, that are particularly critical for society and the EU economy. One of the key lessons of the crisis is to get a better grasp of Europe’s current and possible future strategic dependencies. Th</w:t>
      </w:r>
      <w:r>
        <w:rPr>
          <w:rFonts w:ascii="Times New Roman" w:eastAsia="Times New Roman" w:hAnsi="Times New Roman" w:cs="Times New Roman"/>
          <w:noProof/>
          <w:sz w:val="24"/>
          <w:szCs w:val="20"/>
          <w:lang w:eastAsia="en-GB"/>
        </w:rPr>
        <w:t xml:space="preserve">is will provide the basis for the development of facts-based, proportionate and targeted policy measures to address strategic dependencies while safeguarding the open, competitive and trade-based EU economy. The EU will continue to showcase its preference </w:t>
      </w:r>
      <w:r>
        <w:rPr>
          <w:rFonts w:ascii="Times New Roman" w:eastAsia="Times New Roman" w:hAnsi="Times New Roman" w:cs="Times New Roman"/>
          <w:noProof/>
          <w:sz w:val="24"/>
          <w:szCs w:val="20"/>
          <w:lang w:eastAsia="en-GB"/>
        </w:rPr>
        <w:t>for international cooperation and dialogue, but also its readiness to combat unfair practices and foreign subsidies that undermine the level-playing field in the Single Market.</w:t>
      </w:r>
    </w:p>
    <w:p w:rsidR="00795640" w:rsidRDefault="00795640">
      <w:pPr>
        <w:spacing w:after="0" w:line="240" w:lineRule="auto"/>
        <w:ind w:left="-284"/>
        <w:jc w:val="both"/>
        <w:rPr>
          <w:rFonts w:ascii="Times New Roman" w:eastAsia="Times New Roman" w:hAnsi="Times New Roman" w:cs="Times New Roman"/>
          <w:noProof/>
          <w:sz w:val="24"/>
          <w:szCs w:val="24"/>
          <w:lang w:eastAsia="fr-BE"/>
        </w:rPr>
      </w:pPr>
    </w:p>
    <w:p w:rsidR="00795640" w:rsidRDefault="00A70A3B">
      <w:pPr>
        <w:spacing w:after="240" w:line="240" w:lineRule="auto"/>
        <w:ind w:left="-284"/>
        <w:jc w:val="both"/>
        <w:rPr>
          <w:rFonts w:ascii="Times New Roman" w:eastAsia="Times New Roman" w:hAnsi="Times New Roman" w:cs="Times New Roman"/>
          <w:b/>
          <w:noProof/>
          <w:sz w:val="24"/>
          <w:szCs w:val="20"/>
          <w:lang w:val="en-IE" w:eastAsia="en-GB"/>
        </w:rPr>
      </w:pPr>
      <w:r>
        <w:rPr>
          <w:rFonts w:ascii="Times New Roman" w:eastAsia="Times New Roman" w:hAnsi="Times New Roman" w:cs="Times New Roman"/>
          <w:noProof/>
          <w:sz w:val="24"/>
          <w:szCs w:val="20"/>
          <w:lang w:val="en-IE" w:eastAsia="en-GB"/>
        </w:rPr>
        <w:t xml:space="preserve">Finally, this unprecedented year showed that </w:t>
      </w:r>
      <w:r>
        <w:rPr>
          <w:rFonts w:ascii="Times New Roman" w:eastAsia="Times New Roman" w:hAnsi="Times New Roman" w:cs="Times New Roman"/>
          <w:b/>
          <w:noProof/>
          <w:sz w:val="24"/>
          <w:szCs w:val="20"/>
          <w:lang w:val="en-IE" w:eastAsia="en-GB"/>
        </w:rPr>
        <w:t>the business case for the green a</w:t>
      </w:r>
      <w:r>
        <w:rPr>
          <w:rFonts w:ascii="Times New Roman" w:eastAsia="Times New Roman" w:hAnsi="Times New Roman" w:cs="Times New Roman"/>
          <w:b/>
          <w:noProof/>
          <w:sz w:val="24"/>
          <w:szCs w:val="20"/>
          <w:lang w:val="en-IE" w:eastAsia="en-GB"/>
        </w:rPr>
        <w:t>nd digital transition is stronger than ever</w:t>
      </w:r>
      <w:r>
        <w:rPr>
          <w:rFonts w:ascii="Times New Roman" w:eastAsia="Times New Roman" w:hAnsi="Times New Roman" w:cs="Times New Roman"/>
          <w:noProof/>
          <w:sz w:val="24"/>
          <w:szCs w:val="20"/>
          <w:lang w:val="en-IE" w:eastAsia="en-GB"/>
        </w:rPr>
        <w:t>. In the medium-term, all business activity will need to become sustainable and the disruption of many traditional patterns caused by COVID-19 will shake up old habits and therefore will accelerate the green trans</w:t>
      </w:r>
      <w:r>
        <w:rPr>
          <w:rFonts w:ascii="Times New Roman" w:eastAsia="Times New Roman" w:hAnsi="Times New Roman" w:cs="Times New Roman"/>
          <w:noProof/>
          <w:sz w:val="24"/>
          <w:szCs w:val="20"/>
          <w:lang w:val="en-IE" w:eastAsia="en-GB"/>
        </w:rPr>
        <w:t>ition.</w:t>
      </w:r>
      <w:r>
        <w:rPr>
          <w:rFonts w:ascii="Times New Roman" w:eastAsia="Times New Roman" w:hAnsi="Times New Roman" w:cs="Times New Roman"/>
          <w:b/>
          <w:noProof/>
          <w:sz w:val="24"/>
          <w:szCs w:val="20"/>
          <w:lang w:val="en-IE" w:eastAsia="en-GB"/>
        </w:rPr>
        <w:t xml:space="preserve"> </w:t>
      </w:r>
      <w:r>
        <w:rPr>
          <w:rFonts w:ascii="Times New Roman" w:eastAsia="Times New Roman" w:hAnsi="Times New Roman" w:cs="Times New Roman"/>
          <w:noProof/>
          <w:sz w:val="24"/>
          <w:szCs w:val="20"/>
          <w:lang w:val="en-IE" w:eastAsia="en-GB"/>
        </w:rPr>
        <w:t xml:space="preserve">Efforts to ensure secure and sufficient access to competitively priced clean energy throughout the single market will be central to ensuring that the EU bolsters its industrial strengths while making this transition. </w:t>
      </w:r>
      <w:r>
        <w:rPr>
          <w:rFonts w:ascii="Times New Roman" w:hAnsi="Times New Roman" w:cs="Times New Roman"/>
          <w:noProof/>
          <w:sz w:val="24"/>
          <w:szCs w:val="24"/>
        </w:rPr>
        <w:t>A skilled workforce is key in en</w:t>
      </w:r>
      <w:r>
        <w:rPr>
          <w:rFonts w:ascii="Times New Roman" w:hAnsi="Times New Roman" w:cs="Times New Roman"/>
          <w:noProof/>
          <w:sz w:val="24"/>
          <w:szCs w:val="24"/>
        </w:rPr>
        <w:t>suring successful transitions, supporting the competitiveness of the European industry and quality job creation.</w:t>
      </w:r>
      <w:r>
        <w:rPr>
          <w:noProof/>
        </w:rPr>
        <w:t xml:space="preserve"> </w:t>
      </w:r>
      <w:r>
        <w:rPr>
          <w:rFonts w:ascii="Times New Roman" w:eastAsia="Times New Roman" w:hAnsi="Times New Roman" w:cs="Times New Roman"/>
          <w:noProof/>
          <w:sz w:val="24"/>
          <w:szCs w:val="20"/>
          <w:lang w:val="en-IE" w:eastAsia="en-GB"/>
        </w:rPr>
        <w:t>D</w:t>
      </w:r>
      <w:r>
        <w:rPr>
          <w:rFonts w:ascii="Times New Roman" w:eastAsia="Times New Roman" w:hAnsi="Times New Roman" w:cs="Times New Roman"/>
          <w:noProof/>
          <w:sz w:val="24"/>
          <w:szCs w:val="24"/>
          <w:lang w:val="en-IE" w:eastAsia="en-GB"/>
        </w:rPr>
        <w:t>igitalisation has assumed a strategic role for the continuation of economic activities and has well and truly changed the way business is cond</w:t>
      </w:r>
      <w:r>
        <w:rPr>
          <w:rFonts w:ascii="Times New Roman" w:eastAsia="Times New Roman" w:hAnsi="Times New Roman" w:cs="Times New Roman"/>
          <w:noProof/>
          <w:sz w:val="24"/>
          <w:szCs w:val="24"/>
          <w:lang w:val="en-IE" w:eastAsia="en-GB"/>
        </w:rPr>
        <w:t>ucted.</w:t>
      </w:r>
      <w:r>
        <w:rPr>
          <w:rFonts w:ascii="Times New Roman" w:eastAsia="Times New Roman" w:hAnsi="Times New Roman" w:cs="Times New Roman"/>
          <w:b/>
          <w:bCs/>
          <w:noProof/>
          <w:sz w:val="24"/>
          <w:szCs w:val="24"/>
          <w:lang w:val="en-IE" w:eastAsia="en-GB"/>
        </w:rPr>
        <w:t xml:space="preserve"> </w:t>
      </w:r>
      <w:r>
        <w:rPr>
          <w:rFonts w:ascii="Times New Roman" w:eastAsia="Times New Roman" w:hAnsi="Times New Roman" w:cs="Times New Roman"/>
          <w:noProof/>
          <w:sz w:val="24"/>
          <w:szCs w:val="20"/>
          <w:lang w:val="en-IE" w:eastAsia="en-GB"/>
        </w:rPr>
        <w:t xml:space="preserve">Economies, companies and their employees risk being left behind as the transition accelerates. </w:t>
      </w:r>
      <w:r>
        <w:rPr>
          <w:rFonts w:ascii="Times New Roman" w:eastAsia="Times New Roman" w:hAnsi="Times New Roman" w:cs="Times New Roman"/>
          <w:noProof/>
          <w:sz w:val="24"/>
          <w:szCs w:val="20"/>
          <w:lang w:eastAsia="en-GB"/>
        </w:rPr>
        <w:t xml:space="preserve">Digital and green business models and technologies placed </w:t>
      </w:r>
      <w:r>
        <w:rPr>
          <w:rFonts w:ascii="Times New Roman" w:eastAsia="Times New Roman" w:hAnsi="Times New Roman" w:cs="Times New Roman"/>
          <w:noProof/>
          <w:sz w:val="24"/>
          <w:szCs w:val="20"/>
          <w:lang w:val="en-IE" w:eastAsia="en-GB"/>
        </w:rPr>
        <w:t xml:space="preserve">companies that had already embraced this transition at an advantage compared to those that had </w:t>
      </w:r>
      <w:r>
        <w:rPr>
          <w:rFonts w:ascii="Times New Roman" w:eastAsia="Times New Roman" w:hAnsi="Times New Roman" w:cs="Times New Roman"/>
          <w:noProof/>
          <w:sz w:val="24"/>
          <w:szCs w:val="20"/>
          <w:lang w:val="en-IE" w:eastAsia="en-GB"/>
        </w:rPr>
        <w:t>not and companies that drive the change will continue to enjoy a crucial first-mover advantage. The rising levels of consumer awareness of and demand for this transition is also an opportunity that needs to be leveraged.</w:t>
      </w:r>
    </w:p>
    <w:p w:rsidR="00795640" w:rsidRDefault="00A70A3B">
      <w:pPr>
        <w:spacing w:after="240" w:line="240" w:lineRule="auto"/>
        <w:ind w:left="-284"/>
        <w:jc w:val="both"/>
        <w:rPr>
          <w:rFonts w:ascii="Times New Roman" w:eastAsia="Times New Roman" w:hAnsi="Times New Roman" w:cs="Times New Roman"/>
          <w:noProof/>
          <w:sz w:val="24"/>
          <w:szCs w:val="20"/>
          <w:lang w:val="en-IE" w:eastAsia="en-GB"/>
        </w:rPr>
      </w:pPr>
      <w:r>
        <w:rPr>
          <w:rFonts w:ascii="Times New Roman" w:eastAsia="Times New Roman" w:hAnsi="Times New Roman" w:cs="Times New Roman"/>
          <w:b/>
          <w:noProof/>
          <w:sz w:val="24"/>
          <w:szCs w:val="20"/>
          <w:lang w:val="en-IE" w:eastAsia="en-GB"/>
        </w:rPr>
        <w:t xml:space="preserve">The readiness for change is high. </w:t>
      </w:r>
      <w:r>
        <w:rPr>
          <w:rFonts w:ascii="Times New Roman" w:eastAsia="Times New Roman" w:hAnsi="Times New Roman" w:cs="Times New Roman"/>
          <w:noProof/>
          <w:sz w:val="24"/>
          <w:szCs w:val="20"/>
          <w:lang w:val="en-IE" w:eastAsia="en-GB"/>
        </w:rPr>
        <w:t>C</w:t>
      </w:r>
      <w:r>
        <w:rPr>
          <w:rFonts w:ascii="Times New Roman" w:eastAsia="Times New Roman" w:hAnsi="Times New Roman" w:cs="Times New Roman"/>
          <w:noProof/>
          <w:sz w:val="24"/>
          <w:szCs w:val="20"/>
          <w:lang w:val="en-IE" w:eastAsia="en-GB"/>
        </w:rPr>
        <w:t>ompetitive sustainability enabled by new, often digital technologies and services remain our goal. Businesses are the best placed to determine how to become competitive and leaders in their sector and at finding solutions to their challenges. Where necessa</w:t>
      </w:r>
      <w:r>
        <w:rPr>
          <w:rFonts w:ascii="Times New Roman" w:eastAsia="Times New Roman" w:hAnsi="Times New Roman" w:cs="Times New Roman"/>
          <w:noProof/>
          <w:sz w:val="24"/>
          <w:szCs w:val="20"/>
          <w:lang w:val="en-IE" w:eastAsia="en-GB"/>
        </w:rPr>
        <w:t>ry, our industrial policy should then benefit from</w:t>
      </w:r>
      <w:r>
        <w:rPr>
          <w:rFonts w:ascii="Times New Roman" w:eastAsia="Times New Roman" w:hAnsi="Times New Roman" w:cs="Times New Roman"/>
          <w:b/>
          <w:noProof/>
          <w:sz w:val="24"/>
          <w:szCs w:val="20"/>
          <w:lang w:val="en-IE" w:eastAsia="en-GB"/>
        </w:rPr>
        <w:t xml:space="preserve"> agile forms of public-private partnership </w:t>
      </w:r>
      <w:r>
        <w:rPr>
          <w:rFonts w:ascii="Times New Roman" w:eastAsia="Times New Roman" w:hAnsi="Times New Roman" w:cs="Times New Roman"/>
          <w:noProof/>
          <w:sz w:val="24"/>
          <w:szCs w:val="20"/>
          <w:lang w:val="en-IE" w:eastAsia="en-GB"/>
        </w:rPr>
        <w:t xml:space="preserve">and </w:t>
      </w:r>
      <w:r>
        <w:rPr>
          <w:rFonts w:ascii="Times New Roman" w:eastAsia="Times New Roman" w:hAnsi="Times New Roman" w:cs="Times New Roman"/>
          <w:b/>
          <w:noProof/>
          <w:sz w:val="24"/>
          <w:szCs w:val="20"/>
          <w:lang w:val="en-IE" w:eastAsia="en-GB"/>
        </w:rPr>
        <w:t>new forms of cooperation</w:t>
      </w:r>
      <w:r>
        <w:rPr>
          <w:rFonts w:ascii="Times New Roman" w:eastAsia="Times New Roman" w:hAnsi="Times New Roman" w:cs="Times New Roman"/>
          <w:noProof/>
          <w:sz w:val="24"/>
          <w:szCs w:val="20"/>
          <w:lang w:val="en-IE" w:eastAsia="en-GB"/>
        </w:rPr>
        <w:t xml:space="preserve"> between private and public sectors to accelerate the delivery of innovative solutions that would not be achieved otherwise. For an inc</w:t>
      </w:r>
      <w:r>
        <w:rPr>
          <w:rFonts w:ascii="Times New Roman" w:eastAsia="Times New Roman" w:hAnsi="Times New Roman" w:cs="Times New Roman"/>
          <w:noProof/>
          <w:sz w:val="24"/>
          <w:szCs w:val="20"/>
          <w:lang w:val="en-IE" w:eastAsia="en-GB"/>
        </w:rPr>
        <w:t xml:space="preserve">lusive transition, a well-functioning social dialogue will be key. </w:t>
      </w:r>
    </w:p>
    <w:p w:rsidR="00795640" w:rsidRDefault="00A70A3B">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0"/>
          <w:lang w:eastAsia="en-GB"/>
        </w:rPr>
        <mc:AlternateContent>
          <mc:Choice Requires="wps">
            <w:drawing>
              <wp:anchor distT="0" distB="0" distL="114300" distR="114300" simplePos="0" relativeHeight="251657728" behindDoc="0" locked="0" layoutInCell="1" allowOverlap="1">
                <wp:simplePos x="0" y="0"/>
                <wp:positionH relativeFrom="column">
                  <wp:posOffset>-327660</wp:posOffset>
                </wp:positionH>
                <wp:positionV relativeFrom="paragraph">
                  <wp:posOffset>217170</wp:posOffset>
                </wp:positionV>
                <wp:extent cx="6308090" cy="5901055"/>
                <wp:effectExtent l="0" t="0" r="16510" b="23495"/>
                <wp:wrapSquare wrapText="bothSides"/>
                <wp:docPr id="11" name="Text Box 11"/>
                <wp:cNvGraphicFramePr/>
                <a:graphic xmlns:a="http://schemas.openxmlformats.org/drawingml/2006/main">
                  <a:graphicData uri="http://schemas.microsoft.com/office/word/2010/wordprocessingShape">
                    <wps:wsp>
                      <wps:cNvSpPr txBox="1"/>
                      <wps:spPr>
                        <a:xfrm>
                          <a:off x="0" y="0"/>
                          <a:ext cx="6308090" cy="5901055"/>
                        </a:xfrm>
                        <a:prstGeom prst="rect">
                          <a:avLst/>
                        </a:prstGeom>
                        <a:noFill/>
                        <a:ln w="6350">
                          <a:solidFill>
                            <a:prstClr val="black"/>
                          </a:solidFill>
                        </a:ln>
                      </wps:spPr>
                      <wps:txbx>
                        <w:txbxContent>
                          <w:p w:rsidR="00795640" w:rsidRDefault="00A70A3B">
                            <w:pPr>
                              <w:jc w:val="center"/>
                              <w:rPr>
                                <w:rFonts w:ascii="Times New Roman" w:hAnsi="Times New Roman" w:cs="Times New Roman"/>
                                <w:b/>
                                <w:sz w:val="24"/>
                                <w:szCs w:val="24"/>
                                <w:lang w:val="en-IE"/>
                              </w:rPr>
                            </w:pPr>
                            <w:r>
                              <w:rPr>
                                <w:rFonts w:ascii="Times New Roman" w:hAnsi="Times New Roman" w:cs="Times New Roman"/>
                                <w:b/>
                                <w:sz w:val="24"/>
                                <w:szCs w:val="24"/>
                                <w:lang w:val="en-IE"/>
                              </w:rPr>
                              <w:t xml:space="preserve">Monitoring industrial trends and competitiveness </w:t>
                            </w:r>
                          </w:p>
                          <w:p w:rsidR="00795640" w:rsidRDefault="00A70A3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The Annual Single Market report defines a set of key performance indicators (KPI), based on publicly available data sources, to analyse</w:t>
                            </w:r>
                            <w:r>
                              <w:rPr>
                                <w:rFonts w:ascii="Times New Roman" w:hAnsi="Times New Roman" w:cs="Times New Roman"/>
                                <w:sz w:val="24"/>
                                <w:szCs w:val="24"/>
                              </w:rPr>
                              <w:t xml:space="preserve"> economic developments and monitor the progress achieved, focussing on competitiveness, Single Market integration, SMEs, the twin transition, and economic resilience. The KPIs also provide a forward-looking view based on investment and a confidence indicat</w:t>
                            </w:r>
                            <w:r>
                              <w:rPr>
                                <w:rFonts w:ascii="Times New Roman" w:hAnsi="Times New Roman" w:cs="Times New Roman"/>
                                <w:sz w:val="24"/>
                                <w:szCs w:val="24"/>
                              </w:rPr>
                              <w:t>or, and an overview of the performance of the EU economy, comparing it to international partners and analysing the specificity of industrial ecosystems. The analysis of these indicators, which will be performed regularly by the Commission, can help in taki</w:t>
                            </w:r>
                            <w:r>
                              <w:rPr>
                                <w:rFonts w:ascii="Times New Roman" w:hAnsi="Times New Roman" w:cs="Times New Roman"/>
                                <w:sz w:val="24"/>
                                <w:szCs w:val="24"/>
                              </w:rPr>
                              <w:t>ng a strategic stance on the EU economy, anticipate challenges, and inform policy and investment decisions.</w:t>
                            </w:r>
                          </w:p>
                          <w:p w:rsidR="00795640" w:rsidRDefault="00A70A3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Although the effect of the crisis will have long-lasting implications, the EU’s recovery has begun. For several industrial ecosystems, turnover has </w:t>
                            </w:r>
                            <w:r>
                              <w:rPr>
                                <w:rFonts w:ascii="Times New Roman" w:hAnsi="Times New Roman" w:cs="Times New Roman"/>
                                <w:sz w:val="24"/>
                                <w:szCs w:val="24"/>
                              </w:rPr>
                              <w:t>almost reached pre-COVID 19 levels, even if the dynamics remains slightly subdued. Positive signals also emerge from an analysis of economic sentiment, which in April 2021 shows improvements across all ecosystems (See Figure 1). However, it is essential to</w:t>
                            </w:r>
                            <w:r>
                              <w:rPr>
                                <w:rFonts w:ascii="Times New Roman" w:hAnsi="Times New Roman" w:cs="Times New Roman"/>
                                <w:sz w:val="24"/>
                                <w:szCs w:val="24"/>
                              </w:rPr>
                              <w:t xml:space="preserve"> continue monitoring the recovery trajectory of all ecosystems. In fact, data show that although public interventions have been effective in limiting unemployment and bankruptcies, the risk of abrupt surges of layoffs and insolvencies is increased.</w:t>
                            </w:r>
                          </w:p>
                          <w:p w:rsidR="00795640" w:rsidRDefault="00A70A3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In full</w:t>
                            </w:r>
                            <w:r>
                              <w:rPr>
                                <w:rFonts w:ascii="Times New Roman" w:hAnsi="Times New Roman" w:cs="Times New Roman"/>
                                <w:sz w:val="24"/>
                                <w:szCs w:val="24"/>
                              </w:rPr>
                              <w:t xml:space="preserve"> synergy with existing monitoring tools (e.g. Single Market Scoreboard), the Commission will monitor main indicators of the competitiveness of the EU economy as a whole, in particular:</w:t>
                            </w:r>
                          </w:p>
                          <w:p w:rsidR="00795640" w:rsidRDefault="00A70A3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Single Market integration, </w:t>
                            </w:r>
                            <w:r>
                              <w:rPr>
                                <w:rFonts w:ascii="Times New Roman" w:hAnsi="Times New Roman" w:cs="Times New Roman"/>
                                <w:sz w:val="24"/>
                                <w:szCs w:val="24"/>
                              </w:rPr>
                              <w:t>based on indicators on intra-EU trade or p</w:t>
                            </w:r>
                            <w:r>
                              <w:rPr>
                                <w:rFonts w:ascii="Times New Roman" w:hAnsi="Times New Roman" w:cs="Times New Roman"/>
                                <w:sz w:val="24"/>
                                <w:szCs w:val="24"/>
                              </w:rPr>
                              <w:t>rice dispersion across Member States, to help assess policies fostering a favourable business and innovation environment.</w:t>
                            </w:r>
                          </w:p>
                          <w:p w:rsidR="00795640" w:rsidRDefault="00A70A3B">
                            <w:pPr>
                              <w:spacing w:after="120" w:line="240" w:lineRule="auto"/>
                              <w:jc w:val="both"/>
                              <w:rPr>
                                <w:rFonts w:ascii="Times New Roman" w:hAnsi="Times New Roman" w:cs="Times New Roman"/>
                                <w:sz w:val="24"/>
                                <w:szCs w:val="24"/>
                              </w:rPr>
                            </w:pPr>
                            <w:r>
                              <w:rPr>
                                <w:rFonts w:ascii="Times New Roman" w:hAnsi="Times New Roman" w:cs="Times New Roman"/>
                                <w:b/>
                                <w:sz w:val="24"/>
                                <w:szCs w:val="24"/>
                              </w:rPr>
                              <w:t xml:space="preserve">- Productivity growth, </w:t>
                            </w:r>
                            <w:r>
                              <w:rPr>
                                <w:rFonts w:ascii="Times New Roman" w:hAnsi="Times New Roman" w:cs="Times New Roman"/>
                                <w:sz w:val="24"/>
                                <w:szCs w:val="24"/>
                              </w:rPr>
                              <w:t xml:space="preserve">based on labour productivity. </w:t>
                            </w:r>
                          </w:p>
                          <w:p w:rsidR="00795640" w:rsidRDefault="00A70A3B">
                            <w:pPr>
                              <w:spacing w:after="120" w:line="240" w:lineRule="auto"/>
                              <w:jc w:val="both"/>
                              <w:rPr>
                                <w:rFonts w:ascii="Times New Roman" w:hAnsi="Times New Roman" w:cs="Times New Roman"/>
                                <w:sz w:val="24"/>
                                <w:szCs w:val="24"/>
                              </w:rPr>
                            </w:pPr>
                            <w:r>
                              <w:rPr>
                                <w:rFonts w:ascii="Times New Roman" w:hAnsi="Times New Roman" w:cs="Times New Roman"/>
                                <w:b/>
                                <w:sz w:val="24"/>
                                <w:szCs w:val="24"/>
                              </w:rPr>
                              <w:t xml:space="preserve">- International competitiveness, </w:t>
                            </w:r>
                            <w:r>
                              <w:rPr>
                                <w:rFonts w:ascii="Times New Roman" w:hAnsi="Times New Roman" w:cs="Times New Roman"/>
                                <w:sz w:val="24"/>
                                <w:szCs w:val="24"/>
                              </w:rPr>
                              <w:t xml:space="preserve">based on EU global market share or extra-EU trade, to support policies for open and fair access to export markets </w:t>
                            </w:r>
                          </w:p>
                          <w:p w:rsidR="00795640" w:rsidRDefault="00A70A3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Public and private investment, </w:t>
                            </w:r>
                            <w:r>
                              <w:rPr>
                                <w:rFonts w:ascii="Times New Roman" w:hAnsi="Times New Roman" w:cs="Times New Roman"/>
                                <w:sz w:val="24"/>
                                <w:szCs w:val="24"/>
                              </w:rPr>
                              <w:t>based on</w:t>
                            </w:r>
                            <w:r>
                              <w:rPr>
                                <w:rFonts w:ascii="Times New Roman" w:hAnsi="Times New Roman" w:cs="Times New Roman"/>
                                <w:b/>
                                <w:sz w:val="24"/>
                                <w:szCs w:val="24"/>
                              </w:rPr>
                              <w:t xml:space="preserve"> </w:t>
                            </w:r>
                            <w:r>
                              <w:rPr>
                                <w:rFonts w:ascii="Times New Roman" w:hAnsi="Times New Roman" w:cs="Times New Roman"/>
                                <w:sz w:val="24"/>
                                <w:szCs w:val="24"/>
                              </w:rPr>
                              <w:t>data on net public and net private investment as % of GDP, to notably illustrate the potential tran</w:t>
                            </w:r>
                            <w:r>
                              <w:rPr>
                                <w:rFonts w:ascii="Times New Roman" w:hAnsi="Times New Roman" w:cs="Times New Roman"/>
                                <w:sz w:val="24"/>
                                <w:szCs w:val="24"/>
                              </w:rPr>
                              <w:t xml:space="preserve">sformation of the economy in line with the twin transition objectives. </w:t>
                            </w:r>
                          </w:p>
                          <w:p w:rsidR="00795640" w:rsidRDefault="00A70A3B">
                            <w:pPr>
                              <w:spacing w:after="120" w:line="240" w:lineRule="auto"/>
                              <w:jc w:val="both"/>
                              <w:rPr>
                                <w:rFonts w:ascii="Times New Roman" w:hAnsi="Times New Roman" w:cs="Times New Roman"/>
                                <w:sz w:val="18"/>
                                <w:szCs w:val="18"/>
                              </w:rPr>
                            </w:pPr>
                            <w:r>
                              <w:rPr>
                                <w:rFonts w:ascii="Times New Roman" w:hAnsi="Times New Roman" w:cs="Times New Roman"/>
                                <w:sz w:val="24"/>
                                <w:szCs w:val="24"/>
                              </w:rPr>
                              <w:t xml:space="preserve">- </w:t>
                            </w:r>
                            <w:r>
                              <w:rPr>
                                <w:rFonts w:ascii="Times New Roman" w:hAnsi="Times New Roman" w:cs="Times New Roman"/>
                                <w:b/>
                                <w:sz w:val="24"/>
                                <w:szCs w:val="24"/>
                              </w:rPr>
                              <w:t>R&amp;D investments</w:t>
                            </w:r>
                            <w:r>
                              <w:rPr>
                                <w:rFonts w:ascii="Times New Roman" w:hAnsi="Times New Roman" w:cs="Times New Roman"/>
                                <w:sz w:val="24"/>
                                <w:szCs w:val="24"/>
                              </w:rPr>
                              <w:t xml:space="preserve">, based on public and private R&amp;D expenditure as % of GDP, to support innovation.  </w:t>
                            </w:r>
                            <w:r>
                              <w:rPr>
                                <w:rFonts w:ascii="Times New Roman" w:hAnsi="Times New Roman" w:cs="Times New Roman"/>
                                <w:sz w:val="18"/>
                                <w:szCs w:val="18"/>
                              </w:rPr>
                              <w:t xml:space="preserve"> </w:t>
                            </w:r>
                          </w:p>
                          <w:p w:rsidR="00795640" w:rsidRDefault="00795640">
                            <w:pPr>
                              <w:spacing w:after="0" w:line="240" w:lineRule="auto"/>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25.8pt;margin-top:17.1pt;width:496.7pt;height:46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" filled="f" strokeweight=".5pt">
                <v:textbox>
                  <w:txbxContent>
                    <w:p w:rsidR="00795640" w:rsidRDefault="00A70A3B">
                      <w:pPr>
                        <w:jc w:val="center"/>
                        <w:rPr>
                          <w:rFonts w:ascii="Times New Roman" w:hAnsi="Times New Roman" w:cs="Times New Roman"/>
                          <w:b/>
                          <w:sz w:val="24"/>
                          <w:szCs w:val="24"/>
                          <w:lang w:val="en-IE"/>
                        </w:rPr>
                      </w:pPr>
                      <w:r>
                        <w:rPr>
                          <w:rFonts w:ascii="Times New Roman" w:hAnsi="Times New Roman" w:cs="Times New Roman"/>
                          <w:b/>
                          <w:sz w:val="24"/>
                          <w:szCs w:val="24"/>
                          <w:lang w:val="en-IE"/>
                        </w:rPr>
                        <w:t xml:space="preserve">Monitoring industrial trends and competitiveness </w:t>
                      </w:r>
                    </w:p>
                    <w:p w:rsidR="00795640" w:rsidRDefault="00A70A3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The Annual Single Market report defines a set of key performance indicators (KPI), based on publicly available data sources, to analyse</w:t>
                      </w:r>
                      <w:r>
                        <w:rPr>
                          <w:rFonts w:ascii="Times New Roman" w:hAnsi="Times New Roman" w:cs="Times New Roman"/>
                          <w:sz w:val="24"/>
                          <w:szCs w:val="24"/>
                        </w:rPr>
                        <w:t xml:space="preserve"> economic developments and monitor the progress achieved, focussing on competitiveness, Single Market integration, SMEs, the twin transition, and economic resilience. The KPIs also provide a forward-looking view based on investment and a confidence indicat</w:t>
                      </w:r>
                      <w:r>
                        <w:rPr>
                          <w:rFonts w:ascii="Times New Roman" w:hAnsi="Times New Roman" w:cs="Times New Roman"/>
                          <w:sz w:val="24"/>
                          <w:szCs w:val="24"/>
                        </w:rPr>
                        <w:t>or, and an overview of the performance of the EU economy, comparing it to international partners and analysing the specificity of industrial ecosystems. The analysis of these indicators, which will be performed regularly by the Commission, can help in taki</w:t>
                      </w:r>
                      <w:r>
                        <w:rPr>
                          <w:rFonts w:ascii="Times New Roman" w:hAnsi="Times New Roman" w:cs="Times New Roman"/>
                          <w:sz w:val="24"/>
                          <w:szCs w:val="24"/>
                        </w:rPr>
                        <w:t>ng a strategic stance on the EU economy, anticipate challenges, and inform policy and investment decisions.</w:t>
                      </w:r>
                    </w:p>
                    <w:p w:rsidR="00795640" w:rsidRDefault="00A70A3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Although the effect of the crisis will have long-lasting implications, the EU’s recovery has begun. For several industrial ecosystems, turnover has </w:t>
                      </w:r>
                      <w:r>
                        <w:rPr>
                          <w:rFonts w:ascii="Times New Roman" w:hAnsi="Times New Roman" w:cs="Times New Roman"/>
                          <w:sz w:val="24"/>
                          <w:szCs w:val="24"/>
                        </w:rPr>
                        <w:t>almost reached pre-COVID 19 levels, even if the dynamics remains slightly subdued. Positive signals also emerge from an analysis of economic sentiment, which in April 2021 shows improvements across all ecosystems (See Figure 1). However, it is essential to</w:t>
                      </w:r>
                      <w:r>
                        <w:rPr>
                          <w:rFonts w:ascii="Times New Roman" w:hAnsi="Times New Roman" w:cs="Times New Roman"/>
                          <w:sz w:val="24"/>
                          <w:szCs w:val="24"/>
                        </w:rPr>
                        <w:t xml:space="preserve"> continue monitoring the recovery trajectory of all ecosystems. In fact, data show that although public interventions have been effective in limiting unemployment and bankruptcies, the risk of abrupt surges of layoffs and insolvencies is increased.</w:t>
                      </w:r>
                    </w:p>
                    <w:p w:rsidR="00795640" w:rsidRDefault="00A70A3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In full</w:t>
                      </w:r>
                      <w:r>
                        <w:rPr>
                          <w:rFonts w:ascii="Times New Roman" w:hAnsi="Times New Roman" w:cs="Times New Roman"/>
                          <w:sz w:val="24"/>
                          <w:szCs w:val="24"/>
                        </w:rPr>
                        <w:t xml:space="preserve"> synergy with existing monitoring tools (e.g. Single Market Scoreboard), the Commission will monitor main indicators of the competitiveness of the EU economy as a whole, in particular:</w:t>
                      </w:r>
                    </w:p>
                    <w:p w:rsidR="00795640" w:rsidRDefault="00A70A3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Single Market integration, </w:t>
                      </w:r>
                      <w:r>
                        <w:rPr>
                          <w:rFonts w:ascii="Times New Roman" w:hAnsi="Times New Roman" w:cs="Times New Roman"/>
                          <w:sz w:val="24"/>
                          <w:szCs w:val="24"/>
                        </w:rPr>
                        <w:t>based on indicators on intra-EU trade or p</w:t>
                      </w:r>
                      <w:r>
                        <w:rPr>
                          <w:rFonts w:ascii="Times New Roman" w:hAnsi="Times New Roman" w:cs="Times New Roman"/>
                          <w:sz w:val="24"/>
                          <w:szCs w:val="24"/>
                        </w:rPr>
                        <w:t>rice dispersion across Member States, to help assess policies fostering a favourable business and innovation environment.</w:t>
                      </w:r>
                    </w:p>
                    <w:p w:rsidR="00795640" w:rsidRDefault="00A70A3B">
                      <w:pPr>
                        <w:spacing w:after="120" w:line="240" w:lineRule="auto"/>
                        <w:jc w:val="both"/>
                        <w:rPr>
                          <w:rFonts w:ascii="Times New Roman" w:hAnsi="Times New Roman" w:cs="Times New Roman"/>
                          <w:sz w:val="24"/>
                          <w:szCs w:val="24"/>
                        </w:rPr>
                      </w:pPr>
                      <w:r>
                        <w:rPr>
                          <w:rFonts w:ascii="Times New Roman" w:hAnsi="Times New Roman" w:cs="Times New Roman"/>
                          <w:b/>
                          <w:sz w:val="24"/>
                          <w:szCs w:val="24"/>
                        </w:rPr>
                        <w:t xml:space="preserve">- Productivity growth, </w:t>
                      </w:r>
                      <w:r>
                        <w:rPr>
                          <w:rFonts w:ascii="Times New Roman" w:hAnsi="Times New Roman" w:cs="Times New Roman"/>
                          <w:sz w:val="24"/>
                          <w:szCs w:val="24"/>
                        </w:rPr>
                        <w:t xml:space="preserve">based on labour productivity. </w:t>
                      </w:r>
                    </w:p>
                    <w:p w:rsidR="00795640" w:rsidRDefault="00A70A3B">
                      <w:pPr>
                        <w:spacing w:after="120" w:line="240" w:lineRule="auto"/>
                        <w:jc w:val="both"/>
                        <w:rPr>
                          <w:rFonts w:ascii="Times New Roman" w:hAnsi="Times New Roman" w:cs="Times New Roman"/>
                          <w:sz w:val="24"/>
                          <w:szCs w:val="24"/>
                        </w:rPr>
                      </w:pPr>
                      <w:r>
                        <w:rPr>
                          <w:rFonts w:ascii="Times New Roman" w:hAnsi="Times New Roman" w:cs="Times New Roman"/>
                          <w:b/>
                          <w:sz w:val="24"/>
                          <w:szCs w:val="24"/>
                        </w:rPr>
                        <w:t xml:space="preserve">- International competitiveness, </w:t>
                      </w:r>
                      <w:r>
                        <w:rPr>
                          <w:rFonts w:ascii="Times New Roman" w:hAnsi="Times New Roman" w:cs="Times New Roman"/>
                          <w:sz w:val="24"/>
                          <w:szCs w:val="24"/>
                        </w:rPr>
                        <w:t xml:space="preserve">based on EU global market share or extra-EU trade, to support policies for open and fair access to export markets </w:t>
                      </w:r>
                    </w:p>
                    <w:p w:rsidR="00795640" w:rsidRDefault="00A70A3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Public and private investment, </w:t>
                      </w:r>
                      <w:r>
                        <w:rPr>
                          <w:rFonts w:ascii="Times New Roman" w:hAnsi="Times New Roman" w:cs="Times New Roman"/>
                          <w:sz w:val="24"/>
                          <w:szCs w:val="24"/>
                        </w:rPr>
                        <w:t>based on</w:t>
                      </w:r>
                      <w:r>
                        <w:rPr>
                          <w:rFonts w:ascii="Times New Roman" w:hAnsi="Times New Roman" w:cs="Times New Roman"/>
                          <w:b/>
                          <w:sz w:val="24"/>
                          <w:szCs w:val="24"/>
                        </w:rPr>
                        <w:t xml:space="preserve"> </w:t>
                      </w:r>
                      <w:r>
                        <w:rPr>
                          <w:rFonts w:ascii="Times New Roman" w:hAnsi="Times New Roman" w:cs="Times New Roman"/>
                          <w:sz w:val="24"/>
                          <w:szCs w:val="24"/>
                        </w:rPr>
                        <w:t>data on net public and net private investment as % of GDP, to notably illustrate the potential tran</w:t>
                      </w:r>
                      <w:r>
                        <w:rPr>
                          <w:rFonts w:ascii="Times New Roman" w:hAnsi="Times New Roman" w:cs="Times New Roman"/>
                          <w:sz w:val="24"/>
                          <w:szCs w:val="24"/>
                        </w:rPr>
                        <w:t xml:space="preserve">sformation of the economy in line with the twin transition objectives. </w:t>
                      </w:r>
                    </w:p>
                    <w:p w:rsidR="00795640" w:rsidRDefault="00A70A3B">
                      <w:pPr>
                        <w:spacing w:after="120" w:line="240" w:lineRule="auto"/>
                        <w:jc w:val="both"/>
                        <w:rPr>
                          <w:rFonts w:ascii="Times New Roman" w:hAnsi="Times New Roman" w:cs="Times New Roman"/>
                          <w:sz w:val="18"/>
                          <w:szCs w:val="18"/>
                        </w:rPr>
                      </w:pPr>
                      <w:r>
                        <w:rPr>
                          <w:rFonts w:ascii="Times New Roman" w:hAnsi="Times New Roman" w:cs="Times New Roman"/>
                          <w:sz w:val="24"/>
                          <w:szCs w:val="24"/>
                        </w:rPr>
                        <w:t xml:space="preserve">- </w:t>
                      </w:r>
                      <w:r>
                        <w:rPr>
                          <w:rFonts w:ascii="Times New Roman" w:hAnsi="Times New Roman" w:cs="Times New Roman"/>
                          <w:b/>
                          <w:sz w:val="24"/>
                          <w:szCs w:val="24"/>
                        </w:rPr>
                        <w:t>R&amp;D investments</w:t>
                      </w:r>
                      <w:r>
                        <w:rPr>
                          <w:rFonts w:ascii="Times New Roman" w:hAnsi="Times New Roman" w:cs="Times New Roman"/>
                          <w:sz w:val="24"/>
                          <w:szCs w:val="24"/>
                        </w:rPr>
                        <w:t xml:space="preserve">, based on public and private R&amp;D expenditure as % of GDP, to support innovation.  </w:t>
                      </w:r>
                      <w:r>
                        <w:rPr>
                          <w:rFonts w:ascii="Times New Roman" w:hAnsi="Times New Roman" w:cs="Times New Roman"/>
                          <w:sz w:val="18"/>
                          <w:szCs w:val="18"/>
                        </w:rPr>
                        <w:t xml:space="preserve"> </w:t>
                      </w:r>
                    </w:p>
                    <w:p w:rsidR="00795640" w:rsidRDefault="00795640">
                      <w:pPr>
                        <w:spacing w:after="0" w:line="240" w:lineRule="auto"/>
                        <w:rPr>
                          <w:rFonts w:ascii="Times New Roman" w:hAnsi="Times New Roman" w:cs="Times New Roman"/>
                          <w:sz w:val="18"/>
                          <w:szCs w:val="18"/>
                        </w:rPr>
                      </w:pPr>
                    </w:p>
                  </w:txbxContent>
                </v:textbox>
                <w10:wrap type="square"/>
              </v:shape>
            </w:pict>
          </mc:Fallback>
        </mc:AlternateContent>
      </w:r>
    </w:p>
    <w:p w:rsidR="00795640" w:rsidRDefault="00A70A3B">
      <w:pPr>
        <w:pStyle w:val="ListParagraph"/>
        <w:keepNext/>
        <w:numPr>
          <w:ilvl w:val="0"/>
          <w:numId w:val="3"/>
        </w:numPr>
        <w:spacing w:before="240" w:after="240" w:line="240" w:lineRule="auto"/>
        <w:jc w:val="both"/>
        <w:outlineLvl w:val="0"/>
        <w:rPr>
          <w:rFonts w:ascii="Times New Roman" w:eastAsia="Times New Roman" w:hAnsi="Times New Roman" w:cs="Times New Roman"/>
          <w:b/>
          <w:smallCaps/>
          <w:noProof/>
          <w:sz w:val="24"/>
          <w:szCs w:val="20"/>
          <w:lang w:val="en-IE" w:eastAsia="en-GB"/>
        </w:rPr>
      </w:pPr>
      <w:r>
        <w:rPr>
          <w:rFonts w:ascii="Times New Roman" w:eastAsia="Times New Roman" w:hAnsi="Times New Roman" w:cs="Times New Roman"/>
          <w:b/>
          <w:smallCaps/>
          <w:noProof/>
          <w:sz w:val="24"/>
          <w:szCs w:val="20"/>
          <w:lang w:val="en-IE" w:eastAsia="en-GB"/>
        </w:rPr>
        <w:t>Strengthening Single Market resilience</w:t>
      </w:r>
    </w:p>
    <w:p w:rsidR="00795640" w:rsidRDefault="00A70A3B">
      <w:pPr>
        <w:keepNext/>
        <w:spacing w:after="240" w:line="240" w:lineRule="auto"/>
        <w:ind w:left="-284"/>
        <w:jc w:val="both"/>
        <w:outlineLvl w:val="1"/>
        <w:rPr>
          <w:rFonts w:ascii="Times New Roman" w:eastAsia="Times New Roman" w:hAnsi="Times New Roman" w:cs="Times New Roman"/>
          <w:b/>
          <w:noProof/>
          <w:sz w:val="24"/>
          <w:szCs w:val="20"/>
          <w:lang w:eastAsia="en-GB"/>
        </w:rPr>
      </w:pPr>
      <w:r>
        <w:rPr>
          <w:rFonts w:ascii="Times New Roman" w:eastAsia="Times New Roman" w:hAnsi="Times New Roman" w:cs="Times New Roman"/>
          <w:b/>
          <w:noProof/>
          <w:sz w:val="24"/>
          <w:szCs w:val="20"/>
          <w:lang w:eastAsia="en-GB"/>
        </w:rPr>
        <w:t xml:space="preserve">Making the Single Market better equipped </w:t>
      </w:r>
      <w:r>
        <w:rPr>
          <w:rFonts w:ascii="Times New Roman" w:eastAsia="Times New Roman" w:hAnsi="Times New Roman" w:cs="Times New Roman"/>
          <w:b/>
          <w:noProof/>
          <w:sz w:val="24"/>
          <w:szCs w:val="20"/>
          <w:lang w:eastAsia="en-GB"/>
        </w:rPr>
        <w:t>for crises</w:t>
      </w:r>
    </w:p>
    <w:p w:rsidR="00795640" w:rsidRDefault="00A70A3B">
      <w:pPr>
        <w:spacing w:after="240" w:line="240" w:lineRule="auto"/>
        <w:ind w:left="-284"/>
        <w:jc w:val="both"/>
        <w:rPr>
          <w:rFonts w:ascii="Times New Roman" w:eastAsia="Times New Roman" w:hAnsi="Times New Roman" w:cs="Times New Roman"/>
          <w:noProof/>
          <w:sz w:val="24"/>
          <w:szCs w:val="20"/>
          <w:lang w:val="en-IE" w:eastAsia="en-GB"/>
        </w:rPr>
      </w:pPr>
      <w:r>
        <w:rPr>
          <w:rFonts w:ascii="Times New Roman" w:eastAsia="Times New Roman" w:hAnsi="Times New Roman" w:cs="Times New Roman"/>
          <w:noProof/>
          <w:sz w:val="24"/>
          <w:szCs w:val="20"/>
          <w:lang w:eastAsia="en-GB"/>
        </w:rPr>
        <w:t xml:space="preserve">The Single Market is the EU’s most important asset, offering certainty, scale and a global springboard for our companies, and wide availability of quality products for consumers. But this asset cannot be taken for granted. </w:t>
      </w:r>
      <w:r>
        <w:rPr>
          <w:rFonts w:ascii="Times New Roman" w:eastAsia="Times New Roman" w:hAnsi="Times New Roman" w:cs="Times New Roman"/>
          <w:noProof/>
          <w:sz w:val="24"/>
          <w:szCs w:val="20"/>
          <w:lang w:val="en-IE" w:eastAsia="en-GB"/>
        </w:rPr>
        <w:t xml:space="preserve">Particularly in the early days of the pandemic, businesses and citizens suffered from border closures, supply disruptions and a lack of predictability. </w:t>
      </w:r>
      <w:r>
        <w:rPr>
          <w:rFonts w:ascii="Times New Roman" w:eastAsia="Times New Roman" w:hAnsi="Times New Roman" w:cs="Times New Roman"/>
          <w:noProof/>
          <w:sz w:val="24"/>
          <w:szCs w:val="24"/>
          <w:lang w:val="en-IE" w:eastAsia="en-GB"/>
        </w:rPr>
        <w:tab/>
      </w:r>
      <w:r>
        <w:rPr>
          <w:rFonts w:ascii="Times New Roman" w:eastAsia="Times New Roman" w:hAnsi="Times New Roman" w:cs="Times New Roman"/>
          <w:noProof/>
          <w:sz w:val="24"/>
          <w:szCs w:val="20"/>
          <w:lang w:val="en-IE" w:eastAsia="en-GB"/>
        </w:rPr>
        <w:t xml:space="preserve"> </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0"/>
          <w:lang w:val="en-IE" w:eastAsia="en-GB"/>
        </w:rPr>
        <w:t>Despite the usefulness of existing Single Market tools, the crisis showed that they can be improved f</w:t>
      </w:r>
      <w:r>
        <w:rPr>
          <w:rFonts w:ascii="Times New Roman" w:eastAsia="Times New Roman" w:hAnsi="Times New Roman" w:cs="Times New Roman"/>
          <w:noProof/>
          <w:sz w:val="24"/>
          <w:szCs w:val="20"/>
          <w:lang w:val="en-IE" w:eastAsia="en-GB"/>
        </w:rPr>
        <w:t xml:space="preserve">or emergency situations. </w:t>
      </w:r>
      <w:r>
        <w:rPr>
          <w:rFonts w:ascii="Times New Roman" w:eastAsia="Times New Roman" w:hAnsi="Times New Roman" w:cs="Times New Roman"/>
          <w:noProof/>
          <w:sz w:val="24"/>
          <w:szCs w:val="20"/>
          <w:lang w:eastAsia="en-GB"/>
        </w:rPr>
        <w:t>As announced by President von der Leyen in February 2021,</w:t>
      </w:r>
      <w:r>
        <w:rPr>
          <w:rStyle w:val="FootnoteReference"/>
          <w:rFonts w:ascii="Times New Roman" w:eastAsia="Times New Roman" w:hAnsi="Times New Roman" w:cs="Times New Roman"/>
          <w:noProof/>
          <w:sz w:val="24"/>
          <w:szCs w:val="20"/>
          <w:lang w:eastAsia="en-GB"/>
        </w:rPr>
        <w:footnoteReference w:id="17"/>
      </w:r>
      <w:r>
        <w:rPr>
          <w:rFonts w:ascii="Times New Roman" w:eastAsia="Times New Roman" w:hAnsi="Times New Roman" w:cs="Times New Roman"/>
          <w:noProof/>
          <w:sz w:val="24"/>
          <w:szCs w:val="20"/>
          <w:lang w:eastAsia="en-GB"/>
        </w:rPr>
        <w:t xml:space="preserve"> the Commission will propose a </w:t>
      </w:r>
      <w:r>
        <w:rPr>
          <w:rFonts w:ascii="Times New Roman" w:eastAsia="Times New Roman" w:hAnsi="Times New Roman" w:cs="Times New Roman"/>
          <w:b/>
          <w:noProof/>
          <w:sz w:val="24"/>
          <w:szCs w:val="20"/>
          <w:lang w:eastAsia="en-GB"/>
        </w:rPr>
        <w:t xml:space="preserve">Single Market Emergency Instrument </w:t>
      </w:r>
      <w:r>
        <w:rPr>
          <w:rFonts w:ascii="Times New Roman" w:eastAsia="Times New Roman" w:hAnsi="Times New Roman" w:cs="Times New Roman"/>
          <w:noProof/>
          <w:sz w:val="24"/>
          <w:szCs w:val="20"/>
          <w:lang w:eastAsia="en-GB"/>
        </w:rPr>
        <w:t>to</w:t>
      </w:r>
      <w:r>
        <w:rPr>
          <w:rFonts w:ascii="Times New Roman" w:eastAsia="Times New Roman" w:hAnsi="Times New Roman" w:cs="Times New Roman"/>
          <w:b/>
          <w:noProof/>
          <w:sz w:val="24"/>
          <w:szCs w:val="20"/>
          <w:lang w:eastAsia="en-GB"/>
        </w:rPr>
        <w:t xml:space="preserve"> </w:t>
      </w:r>
      <w:r>
        <w:rPr>
          <w:rFonts w:ascii="Times New Roman" w:eastAsia="Times New Roman" w:hAnsi="Times New Roman" w:cs="Times New Roman"/>
          <w:noProof/>
          <w:sz w:val="24"/>
          <w:szCs w:val="20"/>
          <w:lang w:eastAsia="en-GB"/>
        </w:rPr>
        <w:t>provide a structural solution to ensure the availability and free movement of persons, goods and service</w:t>
      </w:r>
      <w:r>
        <w:rPr>
          <w:rFonts w:ascii="Times New Roman" w:eastAsia="Times New Roman" w:hAnsi="Times New Roman" w:cs="Times New Roman"/>
          <w:noProof/>
          <w:sz w:val="24"/>
          <w:szCs w:val="20"/>
          <w:lang w:eastAsia="en-GB"/>
        </w:rPr>
        <w:t xml:space="preserve">s in the context of possible future crises. This instrument should guarantee more information sharing, coordination and solidarity </w:t>
      </w:r>
      <w:r>
        <w:rPr>
          <w:rFonts w:ascii="Times New Roman" w:hAnsi="Times New Roman" w:cs="Times New Roman"/>
          <w:noProof/>
          <w:sz w:val="24"/>
          <w:szCs w:val="24"/>
        </w:rPr>
        <w:t xml:space="preserve">when Member States adopt crisis-related measures. </w:t>
      </w:r>
      <w:r>
        <w:rPr>
          <w:rFonts w:ascii="Times New Roman" w:eastAsia="Times New Roman" w:hAnsi="Times New Roman" w:cs="Times New Roman"/>
          <w:noProof/>
          <w:sz w:val="24"/>
          <w:szCs w:val="20"/>
          <w:lang w:eastAsia="en-GB"/>
        </w:rPr>
        <w:t xml:space="preserve">It </w:t>
      </w:r>
      <w:r>
        <w:rPr>
          <w:rFonts w:ascii="Times New Roman" w:hAnsi="Times New Roman" w:cs="Times New Roman"/>
          <w:noProof/>
          <w:sz w:val="24"/>
          <w:szCs w:val="24"/>
        </w:rPr>
        <w:t xml:space="preserve">will </w:t>
      </w:r>
      <w:r>
        <w:rPr>
          <w:rFonts w:ascii="Times New Roman" w:eastAsia="Times New Roman" w:hAnsi="Times New Roman" w:cs="Times New Roman"/>
          <w:noProof/>
          <w:sz w:val="24"/>
          <w:szCs w:val="20"/>
          <w:lang w:eastAsia="en-GB"/>
        </w:rPr>
        <w:t>help to mitigate the negative impacts on the Single Market, includi</w:t>
      </w:r>
      <w:r>
        <w:rPr>
          <w:rFonts w:ascii="Times New Roman" w:eastAsia="Times New Roman" w:hAnsi="Times New Roman" w:cs="Times New Roman"/>
          <w:noProof/>
          <w:sz w:val="24"/>
          <w:szCs w:val="20"/>
          <w:lang w:eastAsia="en-GB"/>
        </w:rPr>
        <w:t>ng by ensuring more effective governance. It should also build a mechanism through which Europe can address critical product shortages by speeding up product availability (e.g. standard setting and sharing, fast-track conformity assessment) and reinforcing</w:t>
      </w:r>
      <w:r>
        <w:rPr>
          <w:rFonts w:ascii="Times New Roman" w:eastAsia="Times New Roman" w:hAnsi="Times New Roman" w:cs="Times New Roman"/>
          <w:noProof/>
          <w:sz w:val="24"/>
          <w:szCs w:val="20"/>
          <w:lang w:eastAsia="en-GB"/>
        </w:rPr>
        <w:t xml:space="preserve"> public procurement cooperation. It will be aligned with relevant policy initiatives such as the forthcoming proposal to establish a European Health Emergency Preparedness and Response Authority (HERA), and the upcoming Contingency Plan for Transport and M</w:t>
      </w:r>
      <w:r>
        <w:rPr>
          <w:rFonts w:ascii="Times New Roman" w:eastAsia="Times New Roman" w:hAnsi="Times New Roman" w:cs="Times New Roman"/>
          <w:noProof/>
          <w:sz w:val="24"/>
          <w:szCs w:val="20"/>
          <w:lang w:eastAsia="en-GB"/>
        </w:rPr>
        <w:t xml:space="preserve">obility as well as relevant international practice </w:t>
      </w:r>
      <w:r>
        <w:rPr>
          <w:rFonts w:ascii="Times New Roman" w:eastAsia="Times New Roman" w:hAnsi="Times New Roman" w:cs="Times New Roman"/>
          <w:noProof/>
          <w:sz w:val="24"/>
          <w:szCs w:val="24"/>
          <w:lang w:eastAsia="en-GB"/>
        </w:rPr>
        <w:t>aiming at addressing emergency situations or ensuring and speeding up the availability of essential products.</w:t>
      </w:r>
      <w:r>
        <w:rPr>
          <w:rStyle w:val="FootnoteReference"/>
          <w:rFonts w:ascii="Times New Roman" w:eastAsia="Times New Roman" w:hAnsi="Times New Roman" w:cs="Times New Roman"/>
          <w:noProof/>
          <w:sz w:val="24"/>
          <w:szCs w:val="20"/>
          <w:lang w:eastAsia="en-GB"/>
        </w:rPr>
        <w:t xml:space="preserve"> </w:t>
      </w:r>
    </w:p>
    <w:p w:rsidR="00795640" w:rsidRDefault="00A70A3B">
      <w:pPr>
        <w:keepNext/>
        <w:spacing w:after="240" w:line="240" w:lineRule="auto"/>
        <w:ind w:left="-284"/>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4"/>
          <w:lang w:eastAsia="en-GB"/>
        </w:rPr>
        <w:drawing>
          <wp:inline distT="0" distB="0" distL="0" distR="0">
            <wp:extent cx="5472430" cy="233997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6"/>
                    <a:stretch>
                      <a:fillRect/>
                    </a:stretch>
                  </pic:blipFill>
                  <pic:spPr>
                    <a:xfrm>
                      <a:off x="0" y="0"/>
                      <a:ext cx="5472430" cy="2339975"/>
                    </a:xfrm>
                    <a:prstGeom prst="rect">
                      <a:avLst/>
                    </a:prstGeom>
                  </pic:spPr>
                </pic:pic>
              </a:graphicData>
            </a:graphic>
          </wp:inline>
        </w:drawing>
      </w:r>
    </w:p>
    <w:p w:rsidR="00795640" w:rsidRDefault="00A70A3B">
      <w:pPr>
        <w:spacing w:before="160" w:after="240" w:line="240" w:lineRule="auto"/>
        <w:ind w:left="-284"/>
        <w:jc w:val="both"/>
        <w:rPr>
          <w:rFonts w:ascii="Times New Roman" w:eastAsia="Times New Roman" w:hAnsi="Times New Roman" w:cs="Times New Roman"/>
          <w:i/>
          <w:noProof/>
          <w:szCs w:val="24"/>
          <w:lang w:eastAsia="en-GB"/>
        </w:rPr>
      </w:pPr>
      <w:r>
        <w:rPr>
          <w:rFonts w:ascii="Times New Roman" w:eastAsia="Times New Roman" w:hAnsi="Times New Roman" w:cs="Times New Roman"/>
          <w:i/>
          <w:noProof/>
          <w:szCs w:val="20"/>
          <w:lang w:eastAsia="en-GB"/>
        </w:rPr>
        <w:t xml:space="preserve">Figure </w:t>
      </w:r>
      <w:r>
        <w:rPr>
          <w:rFonts w:ascii="Times New Roman" w:eastAsia="Times New Roman" w:hAnsi="Times New Roman" w:cs="Times New Roman"/>
          <w:i/>
          <w:noProof/>
          <w:szCs w:val="20"/>
          <w:lang w:eastAsia="en-GB"/>
        </w:rPr>
        <w:fldChar w:fldCharType="begin"/>
      </w:r>
      <w:r>
        <w:rPr>
          <w:rFonts w:ascii="Times New Roman" w:eastAsia="Times New Roman" w:hAnsi="Times New Roman" w:cs="Times New Roman"/>
          <w:i/>
          <w:noProof/>
          <w:szCs w:val="20"/>
          <w:lang w:eastAsia="en-GB"/>
        </w:rPr>
        <w:instrText xml:space="preserve"> SEQ Figure \* ARABIC </w:instrText>
      </w:r>
      <w:r>
        <w:rPr>
          <w:rFonts w:ascii="Times New Roman" w:eastAsia="Times New Roman" w:hAnsi="Times New Roman" w:cs="Times New Roman"/>
          <w:i/>
          <w:noProof/>
          <w:szCs w:val="20"/>
          <w:lang w:eastAsia="en-GB"/>
        </w:rPr>
        <w:fldChar w:fldCharType="separate"/>
      </w:r>
      <w:r>
        <w:rPr>
          <w:rFonts w:ascii="Times New Roman" w:eastAsia="Times New Roman" w:hAnsi="Times New Roman" w:cs="Times New Roman"/>
          <w:i/>
          <w:noProof/>
          <w:szCs w:val="20"/>
          <w:lang w:eastAsia="en-GB"/>
        </w:rPr>
        <w:t>2</w:t>
      </w:r>
      <w:r>
        <w:rPr>
          <w:rFonts w:ascii="Times New Roman" w:eastAsia="Times New Roman" w:hAnsi="Times New Roman" w:cs="Times New Roman"/>
          <w:i/>
          <w:noProof/>
          <w:szCs w:val="20"/>
          <w:lang w:eastAsia="en-GB"/>
        </w:rPr>
        <w:fldChar w:fldCharType="end"/>
      </w:r>
      <w:r>
        <w:rPr>
          <w:rFonts w:ascii="Times New Roman" w:eastAsia="Times New Roman" w:hAnsi="Times New Roman" w:cs="Times New Roman"/>
          <w:i/>
          <w:noProof/>
          <w:szCs w:val="20"/>
          <w:lang w:eastAsia="en-GB"/>
        </w:rPr>
        <w:t xml:space="preserve"> Key elements of the Single Market Emergency Instrument</w:t>
      </w:r>
    </w:p>
    <w:p w:rsidR="00795640" w:rsidRDefault="00A70A3B">
      <w:pPr>
        <w:keepNext/>
        <w:spacing w:after="240" w:line="240" w:lineRule="auto"/>
        <w:ind w:left="-284"/>
        <w:jc w:val="both"/>
        <w:outlineLvl w:val="1"/>
        <w:rPr>
          <w:rFonts w:ascii="Times New Roman" w:eastAsia="Times New Roman" w:hAnsi="Times New Roman" w:cs="Times New Roman"/>
          <w:b/>
          <w:noProof/>
          <w:sz w:val="24"/>
          <w:szCs w:val="20"/>
          <w:lang w:val="en-IE" w:eastAsia="en-GB"/>
        </w:rPr>
      </w:pPr>
      <w:r>
        <w:rPr>
          <w:rFonts w:ascii="Times New Roman" w:eastAsia="Times New Roman" w:hAnsi="Times New Roman" w:cs="Times New Roman"/>
          <w:b/>
          <w:noProof/>
          <w:sz w:val="24"/>
          <w:szCs w:val="20"/>
          <w:lang w:val="en-IE" w:eastAsia="en-GB"/>
        </w:rPr>
        <w:t xml:space="preserve">A </w:t>
      </w:r>
      <w:r>
        <w:rPr>
          <w:rFonts w:ascii="Times New Roman" w:eastAsia="Times New Roman" w:hAnsi="Times New Roman" w:cs="Times New Roman"/>
          <w:b/>
          <w:noProof/>
          <w:sz w:val="24"/>
          <w:szCs w:val="20"/>
          <w:lang w:val="en-IE" w:eastAsia="en-GB"/>
        </w:rPr>
        <w:t>well-functioning Single Market to accelerate the recovery</w:t>
      </w:r>
    </w:p>
    <w:p w:rsidR="00795640" w:rsidRDefault="00A70A3B">
      <w:pPr>
        <w:spacing w:after="12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last year reaffirmed the need to bring down the persisting and significant barriers that hamper the good-functioning of the Single Market.</w:t>
      </w:r>
      <w:r>
        <w:rPr>
          <w:rStyle w:val="FootnoteReference"/>
          <w:rFonts w:ascii="Times New Roman" w:eastAsia="Times New Roman" w:hAnsi="Times New Roman" w:cs="Times New Roman"/>
          <w:noProof/>
          <w:sz w:val="24"/>
          <w:szCs w:val="24"/>
          <w:lang w:eastAsia="en-GB"/>
        </w:rPr>
        <w:footnoteReference w:id="18"/>
      </w:r>
      <w:r>
        <w:rPr>
          <w:rFonts w:ascii="Times New Roman" w:eastAsia="Times New Roman" w:hAnsi="Times New Roman" w:cs="Times New Roman"/>
          <w:noProof/>
          <w:sz w:val="24"/>
          <w:szCs w:val="24"/>
          <w:lang w:eastAsia="en-GB"/>
        </w:rPr>
        <w:t xml:space="preserve"> The pursuit of a well-functioning Single Market calls for unrelenting efforts on numerous fronts:</w:t>
      </w:r>
    </w:p>
    <w:p w:rsidR="00795640" w:rsidRDefault="00A70A3B">
      <w:pPr>
        <w:pStyle w:val="ListParagraph"/>
        <w:numPr>
          <w:ilvl w:val="0"/>
          <w:numId w:val="5"/>
        </w:num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Permanent management of effective compliance with existing single market rules;</w:t>
      </w:r>
    </w:p>
    <w:p w:rsidR="00795640" w:rsidRDefault="00A70A3B">
      <w:pPr>
        <w:pStyle w:val="ListParagraph"/>
        <w:numPr>
          <w:ilvl w:val="0"/>
          <w:numId w:val="5"/>
        </w:num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Continuous investment in deepening integration in the fields which offer </w:t>
      </w:r>
      <w:r>
        <w:rPr>
          <w:rFonts w:ascii="Times New Roman" w:eastAsia="Times New Roman" w:hAnsi="Times New Roman" w:cs="Times New Roman"/>
          <w:noProof/>
          <w:sz w:val="24"/>
          <w:szCs w:val="24"/>
          <w:lang w:eastAsia="en-GB"/>
        </w:rPr>
        <w:t>greatest opportunities;</w:t>
      </w:r>
    </w:p>
    <w:p w:rsidR="00795640" w:rsidRDefault="00A70A3B">
      <w:pPr>
        <w:pStyle w:val="ListParagraph"/>
        <w:numPr>
          <w:ilvl w:val="0"/>
          <w:numId w:val="5"/>
        </w:num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Adaptation of existing policy approaches where justified;</w:t>
      </w:r>
    </w:p>
    <w:p w:rsidR="00795640" w:rsidRDefault="00A70A3B">
      <w:pPr>
        <w:pStyle w:val="ListParagraph"/>
        <w:numPr>
          <w:ilvl w:val="0"/>
          <w:numId w:val="5"/>
        </w:num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New strategies where needed (e.g. to accompany the twin transitions). </w:t>
      </w:r>
    </w:p>
    <w:p w:rsidR="00795640" w:rsidRDefault="00A70A3B">
      <w:pPr>
        <w:spacing w:after="240" w:line="240" w:lineRule="auto"/>
        <w:ind w:left="-284"/>
        <w:jc w:val="both"/>
        <w:rPr>
          <w:rFonts w:ascii="Times New Roman" w:eastAsia="Times New Roman" w:hAnsi="Times New Roman" w:cs="Times New Roman"/>
          <w:noProof/>
          <w:sz w:val="24"/>
          <w:szCs w:val="24"/>
          <w:lang w:val="en-IE" w:eastAsia="en-GB"/>
        </w:rPr>
      </w:pPr>
      <w:r>
        <w:rPr>
          <w:rFonts w:ascii="Times New Roman" w:eastAsia="Times New Roman" w:hAnsi="Times New Roman" w:cs="Times New Roman"/>
          <w:noProof/>
          <w:sz w:val="24"/>
          <w:szCs w:val="24"/>
          <w:lang w:eastAsia="en-GB"/>
        </w:rPr>
        <w:t>While the Commission will carry out recurring assessments of the main barriers within each ecosystem as</w:t>
      </w:r>
      <w:r>
        <w:rPr>
          <w:rFonts w:ascii="Times New Roman" w:eastAsia="Times New Roman" w:hAnsi="Times New Roman" w:cs="Times New Roman"/>
          <w:noProof/>
          <w:sz w:val="24"/>
          <w:szCs w:val="24"/>
          <w:lang w:eastAsia="en-GB"/>
        </w:rPr>
        <w:t xml:space="preserve"> part of its </w:t>
      </w:r>
      <w:r>
        <w:rPr>
          <w:rFonts w:ascii="Times New Roman" w:eastAsia="Times New Roman" w:hAnsi="Times New Roman" w:cs="Times New Roman"/>
          <w:noProof/>
          <w:sz w:val="24"/>
          <w:szCs w:val="24"/>
          <w:lang w:val="en-IE" w:eastAsia="en-GB"/>
        </w:rPr>
        <w:t xml:space="preserve">Annual Single Market Report, </w:t>
      </w:r>
      <w:r>
        <w:rPr>
          <w:rFonts w:ascii="Times New Roman" w:eastAsia="Times New Roman" w:hAnsi="Times New Roman" w:cs="Times New Roman"/>
          <w:noProof/>
          <w:sz w:val="24"/>
          <w:szCs w:val="24"/>
          <w:lang w:eastAsia="en-GB"/>
        </w:rPr>
        <w:t>the services sector deserves particular attention because of its size,</w:t>
      </w:r>
      <w:r>
        <w:rPr>
          <w:rStyle w:val="FootnoteReference"/>
          <w:rFonts w:ascii="Times New Roman" w:eastAsia="Times New Roman" w:hAnsi="Times New Roman" w:cs="Times New Roman"/>
          <w:noProof/>
          <w:sz w:val="24"/>
          <w:szCs w:val="24"/>
          <w:lang w:eastAsia="en-GB"/>
        </w:rPr>
        <w:footnoteReference w:id="19"/>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4"/>
          <w:lang w:val="en-IE" w:eastAsia="en-GB"/>
        </w:rPr>
        <w:t xml:space="preserve">the interplay with goods and its cross-ecosystems nature. </w:t>
      </w:r>
    </w:p>
    <w:p w:rsidR="00795640" w:rsidRDefault="00A70A3B">
      <w:pPr>
        <w:spacing w:after="240" w:line="240" w:lineRule="auto"/>
        <w:ind w:left="-284"/>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 xml:space="preserve">A new effort to address restrictions and barriers is under way notably through the </w:t>
      </w:r>
      <w:r>
        <w:rPr>
          <w:rFonts w:ascii="Times New Roman" w:eastAsia="Times New Roman" w:hAnsi="Times New Roman" w:cs="Times New Roman"/>
          <w:b/>
          <w:noProof/>
          <w:sz w:val="24"/>
          <w:szCs w:val="20"/>
          <w:lang w:eastAsia="en-GB"/>
        </w:rPr>
        <w:t>Single Market Enforcement Task Force</w:t>
      </w:r>
      <w:r>
        <w:rPr>
          <w:rFonts w:ascii="Times New Roman" w:eastAsia="Times New Roman" w:hAnsi="Times New Roman" w:cs="Times New Roman"/>
          <w:noProof/>
          <w:sz w:val="24"/>
          <w:szCs w:val="20"/>
          <w:lang w:eastAsia="en-GB"/>
        </w:rPr>
        <w:t xml:space="preserve"> (SMET)</w:t>
      </w:r>
      <w:r>
        <w:rPr>
          <w:rStyle w:val="FootnoteReference"/>
          <w:rFonts w:ascii="Times New Roman" w:eastAsia="Times New Roman" w:hAnsi="Times New Roman" w:cs="Times New Roman"/>
          <w:noProof/>
          <w:sz w:val="24"/>
          <w:szCs w:val="20"/>
          <w:lang w:eastAsia="en-GB"/>
        </w:rPr>
        <w:footnoteReference w:id="20"/>
      </w:r>
      <w:r>
        <w:rPr>
          <w:rFonts w:ascii="Times New Roman" w:eastAsia="Times New Roman" w:hAnsi="Times New Roman" w:cs="Times New Roman"/>
          <w:noProof/>
          <w:sz w:val="24"/>
          <w:szCs w:val="20"/>
          <w:lang w:eastAsia="en-GB"/>
        </w:rPr>
        <w:t xml:space="preserve"> and other relevant actions.</w:t>
      </w:r>
      <w:r>
        <w:rPr>
          <w:rFonts w:ascii="Times New Roman" w:eastAsia="Times New Roman" w:hAnsi="Times New Roman" w:cs="Times New Roman"/>
          <w:noProof/>
          <w:sz w:val="24"/>
          <w:szCs w:val="20"/>
          <w:vertAlign w:val="superscript"/>
          <w:lang w:eastAsia="en-GB"/>
        </w:rPr>
        <w:footnoteReference w:id="21"/>
      </w:r>
      <w:r>
        <w:rPr>
          <w:rFonts w:ascii="Times New Roman" w:eastAsia="Times New Roman" w:hAnsi="Times New Roman" w:cs="Times New Roman"/>
          <w:noProof/>
          <w:sz w:val="24"/>
          <w:szCs w:val="20"/>
          <w:lang w:eastAsia="en-GB"/>
        </w:rPr>
        <w:t xml:space="preserve"> Progress has been too slow over the past years in several key areas, in particular services. The full </w:t>
      </w:r>
      <w:r>
        <w:rPr>
          <w:rFonts w:ascii="Times New Roman" w:eastAsia="Times New Roman" w:hAnsi="Times New Roman" w:cs="Times New Roman"/>
          <w:noProof/>
          <w:sz w:val="24"/>
          <w:szCs w:val="20"/>
          <w:lang w:val="en-IE" w:eastAsia="en-GB"/>
        </w:rPr>
        <w:t xml:space="preserve">enforcement of the </w:t>
      </w:r>
      <w:r>
        <w:rPr>
          <w:rFonts w:ascii="Times New Roman" w:eastAsia="Times New Roman" w:hAnsi="Times New Roman" w:cs="Times New Roman"/>
          <w:b/>
          <w:noProof/>
          <w:sz w:val="24"/>
          <w:szCs w:val="20"/>
          <w:lang w:val="en-IE" w:eastAsia="en-GB"/>
        </w:rPr>
        <w:t>Services Directive</w:t>
      </w:r>
      <w:r>
        <w:rPr>
          <w:rFonts w:ascii="Times New Roman" w:eastAsia="Times New Roman" w:hAnsi="Times New Roman" w:cs="Times New Roman"/>
          <w:noProof/>
          <w:sz w:val="24"/>
          <w:szCs w:val="20"/>
          <w:lang w:val="en-IE" w:eastAsia="en-GB"/>
        </w:rPr>
        <w:t xml:space="preserve"> will ensure that Member States comply with their existing obligations, including the notification obligation in order to identify and eliminate new potential regulatory barriers.</w:t>
      </w:r>
      <w:r>
        <w:rPr>
          <w:rFonts w:ascii="Times New Roman" w:eastAsia="Times New Roman" w:hAnsi="Times New Roman" w:cs="Times New Roman"/>
          <w:noProof/>
          <w:sz w:val="24"/>
          <w:szCs w:val="20"/>
          <w:lang w:eastAsia="en-GB"/>
        </w:rPr>
        <w:t xml:space="preserve"> </w:t>
      </w:r>
    </w:p>
    <w:p w:rsidR="00795640" w:rsidRDefault="00A70A3B">
      <w:pPr>
        <w:spacing w:after="240" w:line="240" w:lineRule="auto"/>
        <w:ind w:left="-284"/>
        <w:jc w:val="both"/>
        <w:rPr>
          <w:rFonts w:ascii="Times New Roman" w:eastAsia="Times New Roman" w:hAnsi="Times New Roman" w:cs="Times New Roman"/>
          <w:noProof/>
          <w:sz w:val="24"/>
          <w:szCs w:val="20"/>
          <w:highlight w:val="yellow"/>
          <w:lang w:eastAsia="en-GB"/>
        </w:rPr>
      </w:pPr>
      <w:r>
        <w:rPr>
          <w:rFonts w:ascii="Times New Roman" w:eastAsia="Times New Roman" w:hAnsi="Times New Roman" w:cs="Times New Roman"/>
          <w:noProof/>
          <w:sz w:val="24"/>
          <w:szCs w:val="20"/>
          <w:lang w:eastAsia="en-GB"/>
        </w:rPr>
        <w:t>Business services such as engineering, architecture, IT and legal services,</w:t>
      </w:r>
      <w:r>
        <w:rPr>
          <w:rFonts w:ascii="Times New Roman" w:eastAsia="Times New Roman" w:hAnsi="Times New Roman" w:cs="Times New Roman"/>
          <w:noProof/>
          <w:sz w:val="24"/>
          <w:szCs w:val="20"/>
          <w:lang w:eastAsia="en-GB"/>
        </w:rPr>
        <w:t xml:space="preserve"> contribute up to 11% of EU GDP and are essential competitiveness factors for firms. </w:t>
      </w:r>
      <w:r>
        <w:rPr>
          <w:rFonts w:ascii="Times New Roman" w:eastAsia="Times New Roman" w:hAnsi="Times New Roman" w:cs="Times New Roman"/>
          <w:noProof/>
          <w:sz w:val="24"/>
          <w:szCs w:val="20"/>
          <w:lang w:val="en-IE" w:eastAsia="en-GB"/>
        </w:rPr>
        <w:t>Yet they are held back by restrictive national rules such as strict entry and exercise requirements.</w:t>
      </w:r>
      <w:r>
        <w:rPr>
          <w:rFonts w:ascii="Times New Roman" w:eastAsia="Times New Roman" w:hAnsi="Times New Roman" w:cs="Times New Roman"/>
          <w:noProof/>
          <w:sz w:val="24"/>
          <w:szCs w:val="20"/>
          <w:vertAlign w:val="superscript"/>
          <w:lang w:val="en-IE" w:eastAsia="en-GB"/>
        </w:rPr>
        <w:footnoteReference w:id="22"/>
      </w:r>
      <w:r>
        <w:rPr>
          <w:rFonts w:ascii="Times New Roman" w:eastAsia="Times New Roman" w:hAnsi="Times New Roman" w:cs="Times New Roman"/>
          <w:noProof/>
          <w:sz w:val="24"/>
          <w:szCs w:val="20"/>
          <w:lang w:eastAsia="en-GB"/>
        </w:rPr>
        <w:t xml:space="preserve"> While European goods standards have delivered great benefits for comp</w:t>
      </w:r>
      <w:r>
        <w:rPr>
          <w:rFonts w:ascii="Times New Roman" w:eastAsia="Times New Roman" w:hAnsi="Times New Roman" w:cs="Times New Roman"/>
          <w:noProof/>
          <w:sz w:val="24"/>
          <w:szCs w:val="20"/>
          <w:lang w:eastAsia="en-GB"/>
        </w:rPr>
        <w:t xml:space="preserve">anies and consumers, raising quality and safety, improving transparency, reducing costs and opening up markets for businesses, European service standards only account for roughly 2% of all standards. Service standards </w:t>
      </w:r>
      <w:r>
        <w:rPr>
          <w:rFonts w:ascii="Times New Roman" w:eastAsia="Times New Roman" w:hAnsi="Times New Roman" w:cs="Times New Roman"/>
          <w:noProof/>
          <w:sz w:val="24"/>
          <w:szCs w:val="20"/>
          <w:lang w:val="en-US" w:eastAsia="en-GB"/>
        </w:rPr>
        <w:t xml:space="preserve">lay down technical requirements, e.g. </w:t>
      </w:r>
      <w:r>
        <w:rPr>
          <w:rFonts w:ascii="Times New Roman" w:eastAsia="Times New Roman" w:hAnsi="Times New Roman" w:cs="Times New Roman"/>
          <w:noProof/>
          <w:sz w:val="24"/>
          <w:szCs w:val="20"/>
          <w:lang w:val="en-US" w:eastAsia="en-GB"/>
        </w:rPr>
        <w:t xml:space="preserve">levels of quality, performance, interoperability, environmental protection, protection of health or safety. They </w:t>
      </w:r>
      <w:r>
        <w:rPr>
          <w:rFonts w:ascii="Times New Roman" w:eastAsia="Times New Roman" w:hAnsi="Times New Roman" w:cs="Times New Roman"/>
          <w:noProof/>
          <w:sz w:val="24"/>
          <w:szCs w:val="20"/>
          <w:lang w:eastAsia="en-GB"/>
        </w:rPr>
        <w:t>can increase consumer confidence and further integrate European service markets. They can help overcome barriers linked to multiple national ce</w:t>
      </w:r>
      <w:r>
        <w:rPr>
          <w:rFonts w:ascii="Times New Roman" w:eastAsia="Times New Roman" w:hAnsi="Times New Roman" w:cs="Times New Roman"/>
          <w:noProof/>
          <w:sz w:val="24"/>
          <w:szCs w:val="20"/>
          <w:lang w:eastAsia="en-GB"/>
        </w:rPr>
        <w:t xml:space="preserve">rtification requirements. The Commission will explore the merits of a </w:t>
      </w:r>
      <w:r>
        <w:rPr>
          <w:rFonts w:ascii="Times New Roman" w:eastAsia="Times New Roman" w:hAnsi="Times New Roman" w:cs="Times New Roman"/>
          <w:b/>
          <w:noProof/>
          <w:sz w:val="24"/>
          <w:szCs w:val="20"/>
          <w:lang w:eastAsia="en-GB"/>
        </w:rPr>
        <w:t xml:space="preserve">legislative proposal </w:t>
      </w:r>
      <w:r>
        <w:rPr>
          <w:rFonts w:ascii="Times New Roman" w:eastAsia="Times New Roman" w:hAnsi="Times New Roman" w:cs="Times New Roman"/>
          <w:b/>
          <w:bCs/>
          <w:noProof/>
          <w:sz w:val="24"/>
          <w:szCs w:val="20"/>
          <w:lang w:eastAsia="en-GB"/>
        </w:rPr>
        <w:t>for regulating key business services supported by harmonised standards</w:t>
      </w:r>
      <w:r>
        <w:rPr>
          <w:rFonts w:ascii="Times New Roman" w:eastAsia="Times New Roman" w:hAnsi="Times New Roman" w:cs="Times New Roman"/>
          <w:noProof/>
          <w:sz w:val="24"/>
          <w:szCs w:val="20"/>
          <w:lang w:eastAsia="en-GB"/>
        </w:rPr>
        <w:t>, starting with</w:t>
      </w:r>
      <w:r>
        <w:rPr>
          <w:rFonts w:ascii="Times New Roman" w:eastAsia="Times New Roman" w:hAnsi="Times New Roman" w:cs="Times New Roman"/>
          <w:b/>
          <w:bCs/>
          <w:noProof/>
          <w:sz w:val="24"/>
          <w:szCs w:val="20"/>
          <w:lang w:eastAsia="en-GB"/>
        </w:rPr>
        <w:t xml:space="preserve"> </w:t>
      </w:r>
      <w:r>
        <w:rPr>
          <w:rFonts w:ascii="Times New Roman" w:eastAsia="Times New Roman" w:hAnsi="Times New Roman" w:cs="Times New Roman"/>
          <w:noProof/>
          <w:sz w:val="24"/>
          <w:szCs w:val="20"/>
          <w:lang w:eastAsia="en-GB"/>
        </w:rPr>
        <w:t>an assessment of the most pertinent business service areas where harmonised sta</w:t>
      </w:r>
      <w:r>
        <w:rPr>
          <w:rFonts w:ascii="Times New Roman" w:eastAsia="Times New Roman" w:hAnsi="Times New Roman" w:cs="Times New Roman"/>
          <w:noProof/>
          <w:sz w:val="24"/>
          <w:szCs w:val="20"/>
          <w:lang w:eastAsia="en-GB"/>
        </w:rPr>
        <w:t>ndards could add value.</w:t>
      </w:r>
      <w:r>
        <w:rPr>
          <w:rFonts w:ascii="Times New Roman" w:eastAsia="Times New Roman" w:hAnsi="Times New Roman" w:cs="Times New Roman"/>
          <w:noProof/>
          <w:sz w:val="24"/>
          <w:szCs w:val="20"/>
          <w:vertAlign w:val="superscript"/>
          <w:lang w:eastAsia="en-GB"/>
        </w:rPr>
        <w:footnoteReference w:id="23"/>
      </w:r>
      <w:r>
        <w:rPr>
          <w:rFonts w:ascii="Times New Roman" w:eastAsia="Times New Roman" w:hAnsi="Times New Roman" w:cs="Times New Roman"/>
          <w:noProof/>
          <w:sz w:val="24"/>
          <w:szCs w:val="20"/>
          <w:lang w:eastAsia="en-GB"/>
        </w:rPr>
        <w:t xml:space="preserve">  </w:t>
      </w:r>
    </w:p>
    <w:p w:rsidR="00795640" w:rsidRDefault="00A70A3B">
      <w:pPr>
        <w:spacing w:after="240" w:line="240" w:lineRule="auto"/>
        <w:ind w:left="-284"/>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4"/>
          <w:lang w:eastAsia="en-GB"/>
        </w:rPr>
        <w:t>While EU legislation guarantees a set of mandatory rights and working conditions of employment to be applied to posted workers throughout the EU, feedback from stakeholders consistently highlights administrative difficulties with</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b/>
          <w:noProof/>
          <w:sz w:val="24"/>
          <w:szCs w:val="24"/>
          <w:lang w:eastAsia="en-GB"/>
        </w:rPr>
        <w:t>posting workers</w:t>
      </w:r>
      <w:r>
        <w:rPr>
          <w:rFonts w:ascii="Times New Roman" w:eastAsia="Times New Roman" w:hAnsi="Times New Roman" w:cs="Times New Roman"/>
          <w:noProof/>
          <w:sz w:val="24"/>
          <w:szCs w:val="24"/>
          <w:lang w:eastAsia="en-GB"/>
        </w:rPr>
        <w:t xml:space="preserve">. Companies can find it cumbersome to send engineers or technical staff to businesses or end-users in another Member State, for instance in the construction sector. The Commission will continue working with Member States to ensure the </w:t>
      </w:r>
      <w:r>
        <w:rPr>
          <w:rFonts w:ascii="Times New Roman" w:eastAsia="Times New Roman" w:hAnsi="Times New Roman" w:cs="Times New Roman"/>
          <w:noProof/>
          <w:sz w:val="24"/>
          <w:szCs w:val="24"/>
          <w:lang w:eastAsia="en-GB"/>
        </w:rPr>
        <w:t>Posting of Workers Enforcement Directive is properly transposed and implemented.</w:t>
      </w:r>
      <w:r>
        <w:rPr>
          <w:rStyle w:val="FootnoteReference"/>
          <w:rFonts w:ascii="Times New Roman" w:eastAsia="Times New Roman" w:hAnsi="Times New Roman" w:cs="Times New Roman"/>
          <w:noProof/>
          <w:sz w:val="24"/>
          <w:szCs w:val="24"/>
          <w:lang w:eastAsia="en-GB"/>
        </w:rPr>
        <w:footnoteReference w:id="24"/>
      </w:r>
      <w:r>
        <w:rPr>
          <w:rFonts w:ascii="Times New Roman" w:eastAsia="Times New Roman" w:hAnsi="Times New Roman" w:cs="Times New Roman"/>
          <w:noProof/>
          <w:sz w:val="24"/>
          <w:szCs w:val="24"/>
          <w:lang w:eastAsia="en-GB"/>
        </w:rPr>
        <w:t xml:space="preserve"> Without compromising the legal framework and the workers’ protection it ensures, the Commission will work </w:t>
      </w:r>
      <w:r>
        <w:rPr>
          <w:rFonts w:ascii="Times New Roman" w:hAnsi="Times New Roman" w:cs="Times New Roman"/>
          <w:noProof/>
          <w:sz w:val="24"/>
          <w:szCs w:val="24"/>
          <w:lang w:eastAsia="en-GB"/>
        </w:rPr>
        <w:t xml:space="preserve">with Member States to devise a </w:t>
      </w:r>
      <w:r>
        <w:rPr>
          <w:rFonts w:ascii="Times New Roman" w:hAnsi="Times New Roman" w:cs="Times New Roman"/>
          <w:b/>
          <w:bCs/>
          <w:noProof/>
          <w:sz w:val="24"/>
          <w:szCs w:val="24"/>
          <w:lang w:eastAsia="en-GB"/>
        </w:rPr>
        <w:t>common form, in an electronic format</w:t>
      </w:r>
      <w:r>
        <w:rPr>
          <w:rFonts w:ascii="Times New Roman" w:hAnsi="Times New Roman" w:cs="Times New Roman"/>
          <w:noProof/>
          <w:sz w:val="24"/>
          <w:szCs w:val="24"/>
          <w:lang w:eastAsia="en-GB"/>
        </w:rPr>
        <w:t>,</w:t>
      </w:r>
      <w:r>
        <w:rPr>
          <w:rFonts w:ascii="Times New Roman" w:hAnsi="Times New Roman" w:cs="Times New Roman"/>
          <w:noProof/>
          <w:sz w:val="24"/>
          <w:szCs w:val="24"/>
          <w:lang w:eastAsia="en-GB"/>
        </w:rPr>
        <w:t xml:space="preserve"> for the declaration of the posting of workers. </w:t>
      </w:r>
      <w:r>
        <w:rPr>
          <w:rFonts w:ascii="Times New Roman" w:eastAsia="Times New Roman" w:hAnsi="Times New Roman" w:cs="Times New Roman"/>
          <w:noProof/>
          <w:sz w:val="24"/>
          <w:szCs w:val="24"/>
          <w:lang w:eastAsia="en-GB"/>
        </w:rPr>
        <w:t xml:space="preserve">This Single Digital Form could initially be introduced on a voluntary basis. </w:t>
      </w:r>
    </w:p>
    <w:p w:rsidR="00795640" w:rsidRDefault="00A70A3B">
      <w:pPr>
        <w:spacing w:after="240" w:line="240" w:lineRule="auto"/>
        <w:ind w:left="-284"/>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The crisis has also highlighted that effective</w:t>
      </w:r>
      <w:r>
        <w:rPr>
          <w:rFonts w:ascii="Times New Roman" w:eastAsia="Times New Roman" w:hAnsi="Times New Roman" w:cs="Times New Roman"/>
          <w:b/>
          <w:noProof/>
          <w:sz w:val="24"/>
          <w:szCs w:val="20"/>
          <w:lang w:val="en-IE" w:eastAsia="en-GB"/>
        </w:rPr>
        <w:t xml:space="preserve"> market surveillance</w:t>
      </w:r>
      <w:r>
        <w:rPr>
          <w:rFonts w:ascii="Times New Roman" w:eastAsia="Times New Roman" w:hAnsi="Times New Roman" w:cs="Times New Roman"/>
          <w:noProof/>
          <w:sz w:val="24"/>
          <w:szCs w:val="20"/>
          <w:lang w:val="en-IE" w:eastAsia="en-GB"/>
        </w:rPr>
        <w:t xml:space="preserve"> is key, with Member States’ authorities facing increased number</w:t>
      </w:r>
      <w:r>
        <w:rPr>
          <w:rFonts w:ascii="Times New Roman" w:eastAsia="Times New Roman" w:hAnsi="Times New Roman" w:cs="Times New Roman"/>
          <w:noProof/>
          <w:sz w:val="24"/>
          <w:szCs w:val="20"/>
          <w:lang w:val="en-IE" w:eastAsia="en-GB"/>
        </w:rPr>
        <w:t>s of non-compliant and dangerous products. This was the case notably for some personal protective equipment and medical devices in high demand. Stepping up coordination, investment, resources and digitalisation of authorities –both within the Single Market</w:t>
      </w:r>
      <w:r>
        <w:rPr>
          <w:rFonts w:ascii="Times New Roman" w:eastAsia="Times New Roman" w:hAnsi="Times New Roman" w:cs="Times New Roman"/>
          <w:noProof/>
          <w:sz w:val="24"/>
          <w:szCs w:val="20"/>
          <w:lang w:val="en-IE" w:eastAsia="en-GB"/>
        </w:rPr>
        <w:t xml:space="preserve"> and at the Union borders- is therefore a priority.</w:t>
      </w:r>
      <w:r>
        <w:rPr>
          <w:rFonts w:ascii="Times New Roman" w:eastAsia="Times New Roman" w:hAnsi="Times New Roman" w:cs="Times New Roman"/>
          <w:noProof/>
          <w:sz w:val="24"/>
          <w:szCs w:val="20"/>
          <w:vertAlign w:val="superscript"/>
          <w:lang w:val="en-IE" w:eastAsia="en-GB"/>
        </w:rPr>
        <w:footnoteReference w:id="25"/>
      </w:r>
      <w:r>
        <w:rPr>
          <w:rFonts w:ascii="Times New Roman" w:eastAsia="Times New Roman" w:hAnsi="Times New Roman" w:cs="Times New Roman"/>
          <w:noProof/>
          <w:sz w:val="24"/>
          <w:szCs w:val="20"/>
          <w:lang w:val="en-IE" w:eastAsia="en-GB"/>
        </w:rPr>
        <w:t xml:space="preserve"> The Commission will support and encourage market surveillance authorities to step up the </w:t>
      </w:r>
      <w:r>
        <w:rPr>
          <w:rFonts w:ascii="Times New Roman" w:eastAsia="Times New Roman" w:hAnsi="Times New Roman" w:cs="Times New Roman"/>
          <w:b/>
          <w:noProof/>
          <w:sz w:val="24"/>
          <w:szCs w:val="20"/>
          <w:lang w:val="en-IE" w:eastAsia="en-GB"/>
        </w:rPr>
        <w:t>digitalisation of product inspections and data collection</w:t>
      </w:r>
      <w:r>
        <w:rPr>
          <w:rFonts w:ascii="Times New Roman" w:eastAsia="Times New Roman" w:hAnsi="Times New Roman" w:cs="Times New Roman"/>
          <w:noProof/>
          <w:sz w:val="24"/>
          <w:szCs w:val="20"/>
          <w:lang w:val="en-IE" w:eastAsia="en-GB"/>
        </w:rPr>
        <w:t xml:space="preserve"> and use of state-of-the-art technologies to trace non-co</w:t>
      </w:r>
      <w:r>
        <w:rPr>
          <w:rFonts w:ascii="Times New Roman" w:eastAsia="Times New Roman" w:hAnsi="Times New Roman" w:cs="Times New Roman"/>
          <w:noProof/>
          <w:sz w:val="24"/>
          <w:szCs w:val="20"/>
          <w:lang w:val="en-IE" w:eastAsia="en-GB"/>
        </w:rPr>
        <w:t xml:space="preserve">mpliant and dangerous products, as announced in the Single Market Enforcement Action Plan.  </w:t>
      </w:r>
      <w:r>
        <w:rPr>
          <w:rFonts w:ascii="Times New Roman" w:eastAsia="Times New Roman" w:hAnsi="Times New Roman" w:cs="Times New Roman"/>
          <w:noProof/>
          <w:sz w:val="24"/>
          <w:szCs w:val="20"/>
          <w:lang w:eastAsia="en-GB"/>
        </w:rPr>
        <w:t>Investing in the digitalisation of product safety and compliance information is also important to improve the traceability and control of traded products. Moreover,</w:t>
      </w:r>
      <w:r>
        <w:rPr>
          <w:rFonts w:ascii="Times New Roman" w:eastAsia="Times New Roman" w:hAnsi="Times New Roman" w:cs="Times New Roman"/>
          <w:noProof/>
          <w:sz w:val="24"/>
          <w:szCs w:val="20"/>
          <w:lang w:eastAsia="en-GB"/>
        </w:rPr>
        <w:t xml:space="preserve"> </w:t>
      </w:r>
      <w:r>
        <w:rPr>
          <w:rFonts w:ascii="Times New Roman" w:eastAsia="Times New Roman" w:hAnsi="Times New Roman" w:cs="Times New Roman"/>
          <w:noProof/>
          <w:sz w:val="24"/>
          <w:szCs w:val="20"/>
          <w:lang w:val="en-IE" w:eastAsia="en-GB"/>
        </w:rPr>
        <w:t>dedicated capacity building is needed to ensure effective and efficient checks.</w:t>
      </w:r>
    </w:p>
    <w:p w:rsidR="00795640" w:rsidRDefault="00A70A3B">
      <w:pPr>
        <w:spacing w:after="240" w:line="240" w:lineRule="auto"/>
        <w:ind w:left="-284"/>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As a primary vehicle of innovation in the various ecosystems, the SMEs need to be borne in mind in all actions under this Strategy. This is reflected in a horizontal manner by</w:t>
      </w:r>
      <w:r>
        <w:rPr>
          <w:rFonts w:ascii="Times New Roman" w:eastAsia="Times New Roman" w:hAnsi="Times New Roman" w:cs="Times New Roman"/>
          <w:noProof/>
          <w:sz w:val="24"/>
          <w:szCs w:val="20"/>
          <w:lang w:eastAsia="en-GB"/>
        </w:rPr>
        <w:t xml:space="preserve"> increased attention to regulatory burden under the Commission’s revised approach to Better Regulation: by introducing a ‘one in, one out’ approach adapted to the policymaking in the EU, it strengthens the attention of policymakers for the implications and</w:t>
      </w:r>
      <w:r>
        <w:rPr>
          <w:rFonts w:ascii="Times New Roman" w:eastAsia="Times New Roman" w:hAnsi="Times New Roman" w:cs="Times New Roman"/>
          <w:noProof/>
          <w:sz w:val="24"/>
          <w:szCs w:val="20"/>
          <w:lang w:eastAsia="en-GB"/>
        </w:rPr>
        <w:t xml:space="preserve"> costs of applying legislation, especially for SMEs</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0"/>
          <w:lang w:eastAsia="en-GB"/>
        </w:rPr>
        <w:t xml:space="preserve"> </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0"/>
          <w:lang w:eastAsia="en-GB"/>
        </w:rPr>
        <w:t xml:space="preserve">In the SME Strategy, the Commission emphasised the need to enhance fairness in B2B relations to support SMEs which due to asymmetries in bargaining power with larger organisations face an increased </w:t>
      </w:r>
      <w:r>
        <w:rPr>
          <w:rFonts w:ascii="Times New Roman" w:eastAsia="Times New Roman" w:hAnsi="Times New Roman" w:cs="Times New Roman"/>
          <w:noProof/>
          <w:sz w:val="24"/>
          <w:szCs w:val="20"/>
          <w:lang w:eastAsia="en-GB"/>
        </w:rPr>
        <w:t>risk of being subject to unfair business practices and conditions both online and offline. In particular, t</w:t>
      </w:r>
      <w:r>
        <w:rPr>
          <w:rFonts w:ascii="Times New Roman" w:eastAsia="Calibri" w:hAnsi="Times New Roman" w:cs="Times New Roman"/>
          <w:noProof/>
          <w:sz w:val="24"/>
          <w:szCs w:val="20"/>
          <w:lang w:eastAsia="en-GB"/>
        </w:rPr>
        <w:t xml:space="preserve">he crisis demonstrated the importance and necessity of </w:t>
      </w:r>
      <w:r>
        <w:rPr>
          <w:rFonts w:ascii="Times New Roman" w:eastAsia="Calibri" w:hAnsi="Times New Roman" w:cs="Times New Roman"/>
          <w:b/>
          <w:noProof/>
          <w:sz w:val="24"/>
          <w:szCs w:val="20"/>
          <w:lang w:eastAsia="en-GB"/>
        </w:rPr>
        <w:t xml:space="preserve">e-Commerce. </w:t>
      </w:r>
      <w:r>
        <w:rPr>
          <w:rFonts w:ascii="Times New Roman" w:eastAsia="Calibri" w:hAnsi="Times New Roman" w:cs="Times New Roman"/>
          <w:noProof/>
          <w:sz w:val="24"/>
          <w:szCs w:val="20"/>
          <w:lang w:eastAsia="en-GB"/>
        </w:rPr>
        <w:t>For the first time, the Digital Services Act proposes a common set of rules on int</w:t>
      </w:r>
      <w:r>
        <w:rPr>
          <w:rFonts w:ascii="Times New Roman" w:eastAsia="Calibri" w:hAnsi="Times New Roman" w:cs="Times New Roman"/>
          <w:noProof/>
          <w:sz w:val="24"/>
          <w:szCs w:val="20"/>
          <w:lang w:eastAsia="en-GB"/>
        </w:rPr>
        <w:t>ermediaries' obligations and accountability across the Single Market, which will open up opportunities for all business, including SMEs and ensure a high level of protection to all users. Similarly, the Digital Markets Act proposes harmonised rules definin</w:t>
      </w:r>
      <w:r>
        <w:rPr>
          <w:rFonts w:ascii="Times New Roman" w:eastAsia="Calibri" w:hAnsi="Times New Roman" w:cs="Times New Roman"/>
          <w:noProof/>
          <w:sz w:val="24"/>
          <w:szCs w:val="20"/>
          <w:lang w:eastAsia="en-GB"/>
        </w:rPr>
        <w:t>g and prohibiting certain practices by platforms acting as digital “gatekeepers” that could prevent or slow down valuable and innovative services from reaching the consumer, to ensure the proper functioning of the Single Market by promoting effective compe</w:t>
      </w:r>
      <w:r>
        <w:rPr>
          <w:rFonts w:ascii="Times New Roman" w:eastAsia="Calibri" w:hAnsi="Times New Roman" w:cs="Times New Roman"/>
          <w:noProof/>
          <w:sz w:val="24"/>
          <w:szCs w:val="20"/>
          <w:lang w:eastAsia="en-GB"/>
        </w:rPr>
        <w:t xml:space="preserve">tition in digital markets and in particular a contestable and fair online platform environment. The Commission urges the co-legislators to accelerate work in view of swift adoption. </w:t>
      </w:r>
    </w:p>
    <w:p w:rsidR="00795640" w:rsidRDefault="00A70A3B">
      <w:pPr>
        <w:spacing w:after="240" w:line="240" w:lineRule="auto"/>
        <w:ind w:left="-284"/>
        <w:jc w:val="both"/>
        <w:rPr>
          <w:rFonts w:ascii="Times New Roman" w:eastAsia="Times New Roman" w:hAnsi="Times New Roman" w:cs="Times New Roman"/>
          <w:noProof/>
          <w:sz w:val="24"/>
          <w:szCs w:val="20"/>
          <w:lang w:val="en-IE" w:eastAsia="en-GB"/>
        </w:rPr>
      </w:pPr>
      <w:r>
        <w:rPr>
          <w:rFonts w:ascii="Times New Roman" w:eastAsia="Times New Roman" w:hAnsi="Times New Roman" w:cs="Times New Roman"/>
          <w:noProof/>
          <w:sz w:val="24"/>
          <w:szCs w:val="20"/>
          <w:lang w:eastAsia="en-GB"/>
        </w:rPr>
        <w:t>Late payment behaviour was compounded during the crisis, which puts addit</w:t>
      </w:r>
      <w:r>
        <w:rPr>
          <w:rFonts w:ascii="Times New Roman" w:eastAsia="Times New Roman" w:hAnsi="Times New Roman" w:cs="Times New Roman"/>
          <w:noProof/>
          <w:sz w:val="24"/>
          <w:szCs w:val="20"/>
          <w:lang w:eastAsia="en-GB"/>
        </w:rPr>
        <w:t xml:space="preserve">ional burden on SMEs. The EU </w:t>
      </w:r>
      <w:r>
        <w:rPr>
          <w:rFonts w:ascii="Times New Roman" w:eastAsia="Times New Roman" w:hAnsi="Times New Roman" w:cs="Times New Roman"/>
          <w:b/>
          <w:noProof/>
          <w:sz w:val="24"/>
          <w:szCs w:val="20"/>
          <w:lang w:eastAsia="en-GB"/>
        </w:rPr>
        <w:t>Observatory on late payments</w:t>
      </w:r>
      <w:r>
        <w:rPr>
          <w:rFonts w:ascii="Times New Roman" w:eastAsia="Times New Roman" w:hAnsi="Times New Roman" w:cs="Times New Roman"/>
          <w:noProof/>
          <w:sz w:val="24"/>
          <w:szCs w:val="20"/>
          <w:lang w:eastAsia="en-GB"/>
        </w:rPr>
        <w:t>, which monitors unfair payment practices</w:t>
      </w:r>
      <w:r>
        <w:rPr>
          <w:rFonts w:ascii="Times New Roman" w:eastAsia="Times New Roman" w:hAnsi="Times New Roman" w:cs="Times New Roman"/>
          <w:noProof/>
          <w:sz w:val="24"/>
          <w:szCs w:val="20"/>
          <w:vertAlign w:val="superscript"/>
          <w:lang w:eastAsia="en-GB"/>
        </w:rPr>
        <w:footnoteReference w:id="27"/>
      </w:r>
      <w:r>
        <w:rPr>
          <w:rFonts w:ascii="Times New Roman" w:eastAsia="Times New Roman" w:hAnsi="Times New Roman" w:cs="Times New Roman"/>
          <w:noProof/>
          <w:sz w:val="24"/>
          <w:szCs w:val="20"/>
          <w:lang w:eastAsia="en-GB"/>
        </w:rPr>
        <w:t xml:space="preserve"> and analyses how late payments spread through the supply chain, will expand its current work on the construction ecosystem to others. </w:t>
      </w:r>
      <w:r>
        <w:rPr>
          <w:rFonts w:ascii="Times New Roman" w:eastAsia="Times New Roman" w:hAnsi="Times New Roman" w:cs="Times New Roman"/>
          <w:noProof/>
          <w:sz w:val="24"/>
          <w:szCs w:val="20"/>
          <w:lang w:val="en-IE" w:eastAsia="en-GB"/>
        </w:rPr>
        <w:t>To address unfair paym</w:t>
      </w:r>
      <w:r>
        <w:rPr>
          <w:rFonts w:ascii="Times New Roman" w:eastAsia="Times New Roman" w:hAnsi="Times New Roman" w:cs="Times New Roman"/>
          <w:noProof/>
          <w:sz w:val="24"/>
          <w:szCs w:val="20"/>
          <w:lang w:val="en-IE" w:eastAsia="en-GB"/>
        </w:rPr>
        <w:t>ent practices exacerbating payment delays and often leading to long disputes,</w:t>
      </w:r>
      <w:r>
        <w:rPr>
          <w:rFonts w:ascii="Times New Roman" w:eastAsia="Times New Roman" w:hAnsi="Times New Roman" w:cs="Times New Roman"/>
          <w:noProof/>
          <w:sz w:val="24"/>
          <w:szCs w:val="20"/>
          <w:vertAlign w:val="superscript"/>
          <w:lang w:val="en-IE" w:eastAsia="en-GB"/>
        </w:rPr>
        <w:footnoteReference w:id="28"/>
      </w:r>
      <w:r>
        <w:rPr>
          <w:rFonts w:ascii="Times New Roman" w:eastAsia="Times New Roman" w:hAnsi="Times New Roman" w:cs="Times New Roman"/>
          <w:noProof/>
          <w:sz w:val="24"/>
          <w:szCs w:val="20"/>
          <w:lang w:val="en-IE" w:eastAsia="en-GB"/>
        </w:rPr>
        <w:t xml:space="preserve"> the Commission will design and implement pilot Alternative Dispute Resolution schemes.</w:t>
      </w:r>
    </w:p>
    <w:p w:rsidR="00795640" w:rsidRDefault="00A70A3B">
      <w:pPr>
        <w:spacing w:after="240" w:line="240" w:lineRule="auto"/>
        <w:ind w:left="-284"/>
        <w:jc w:val="both"/>
        <w:rPr>
          <w:rFonts w:ascii="Times New Roman" w:eastAsia="Times New Roman" w:hAnsi="Times New Roman" w:cs="Times New Roman"/>
          <w:noProof/>
          <w:sz w:val="24"/>
          <w:szCs w:val="20"/>
          <w:lang w:val="en-IE" w:eastAsia="en-GB"/>
        </w:rPr>
      </w:pPr>
      <w:r>
        <w:rPr>
          <w:rFonts w:ascii="Times New Roman" w:eastAsia="Times New Roman" w:hAnsi="Times New Roman" w:cs="Times New Roman"/>
          <w:noProof/>
          <w:sz w:val="24"/>
          <w:szCs w:val="20"/>
          <w:lang w:eastAsia="en-GB"/>
        </w:rPr>
        <w:t>Financial pressure and insolvencies are likely to increase in 2021 as relief is phased-out</w:t>
      </w:r>
      <w:r>
        <w:rPr>
          <w:rFonts w:ascii="Times New Roman" w:eastAsia="Times New Roman" w:hAnsi="Times New Roman" w:cs="Times New Roman"/>
          <w:noProof/>
          <w:sz w:val="24"/>
          <w:szCs w:val="20"/>
          <w:lang w:eastAsia="en-GB"/>
        </w:rPr>
        <w:t>.</w:t>
      </w:r>
      <w:r>
        <w:rPr>
          <w:rStyle w:val="FootnoteReference"/>
          <w:rFonts w:ascii="Times New Roman" w:eastAsia="Times New Roman" w:hAnsi="Times New Roman" w:cs="Times New Roman"/>
          <w:noProof/>
          <w:sz w:val="24"/>
          <w:szCs w:val="20"/>
          <w:lang w:eastAsia="en-GB"/>
        </w:rPr>
        <w:footnoteReference w:id="29"/>
      </w:r>
      <w:r>
        <w:rPr>
          <w:rFonts w:ascii="Times New Roman" w:eastAsia="Times New Roman" w:hAnsi="Times New Roman" w:cs="Times New Roman"/>
          <w:noProof/>
          <w:sz w:val="24"/>
          <w:szCs w:val="20"/>
          <w:lang w:eastAsia="en-GB"/>
        </w:rPr>
        <w:t xml:space="preserve">  In particular, the risk of over-leverage and the need for recapitalisation can become pronounced for SMEs. A rise in bankruptcies could significantly impact entire supply chains. This requires coordination and design of measures that need to be proportio</w:t>
      </w:r>
      <w:r>
        <w:rPr>
          <w:rFonts w:ascii="Times New Roman" w:eastAsia="Times New Roman" w:hAnsi="Times New Roman" w:cs="Times New Roman"/>
          <w:noProof/>
          <w:sz w:val="24"/>
          <w:szCs w:val="20"/>
          <w:lang w:eastAsia="en-GB"/>
        </w:rPr>
        <w:t xml:space="preserve">nate to the challenges ahead. The Commission is determined to mobilise significant investment, and the </w:t>
      </w:r>
      <w:r>
        <w:rPr>
          <w:rFonts w:ascii="Times New Roman" w:eastAsia="Times New Roman" w:hAnsi="Times New Roman" w:cs="Times New Roman"/>
          <w:noProof/>
          <w:sz w:val="24"/>
          <w:szCs w:val="20"/>
          <w:lang w:val="en-IE" w:eastAsia="en-GB"/>
        </w:rPr>
        <w:t>SME window under InvestEU could trigger EUR 45 billion of investment in SMEs by the end of 2023.</w:t>
      </w:r>
    </w:p>
    <w:p w:rsidR="00795640" w:rsidRDefault="00A70A3B">
      <w:pPr>
        <w:spacing w:after="240" w:line="240" w:lineRule="auto"/>
        <w:ind w:left="-284"/>
        <w:jc w:val="both"/>
        <w:rPr>
          <w:rFonts w:ascii="Times New Roman" w:eastAsia="Times New Roman" w:hAnsi="Times New Roman" w:cs="Times New Roman"/>
          <w:noProof/>
          <w:sz w:val="24"/>
          <w:szCs w:val="20"/>
          <w:lang w:val="en-IE" w:eastAsia="en-GB"/>
        </w:rPr>
      </w:pPr>
      <w:r>
        <w:rPr>
          <w:rFonts w:ascii="Times New Roman" w:eastAsia="Times New Roman" w:hAnsi="Times New Roman" w:cs="Times New Roman"/>
          <w:noProof/>
          <w:sz w:val="24"/>
          <w:szCs w:val="20"/>
          <w:lang w:eastAsia="en-GB"/>
        </w:rPr>
        <w:t xml:space="preserve">To help address the </w:t>
      </w:r>
      <w:r>
        <w:rPr>
          <w:rFonts w:ascii="Times New Roman" w:eastAsia="Times New Roman" w:hAnsi="Times New Roman" w:cs="Times New Roman"/>
          <w:b/>
          <w:noProof/>
          <w:sz w:val="24"/>
          <w:szCs w:val="20"/>
          <w:lang w:eastAsia="en-GB"/>
        </w:rPr>
        <w:t>solvency</w:t>
      </w:r>
      <w:r>
        <w:rPr>
          <w:rFonts w:ascii="Times New Roman" w:eastAsia="Times New Roman" w:hAnsi="Times New Roman" w:cs="Times New Roman"/>
          <w:noProof/>
          <w:sz w:val="24"/>
          <w:szCs w:val="20"/>
          <w:lang w:eastAsia="en-GB"/>
        </w:rPr>
        <w:t xml:space="preserve"> risk affecting SMEs, </w:t>
      </w:r>
      <w:r>
        <w:rPr>
          <w:rFonts w:ascii="Times New Roman" w:eastAsia="Times New Roman" w:hAnsi="Times New Roman" w:cs="Times New Roman"/>
          <w:noProof/>
          <w:sz w:val="24"/>
          <w:szCs w:val="20"/>
          <w:lang w:val="en-IE" w:eastAsia="en-GB"/>
        </w:rPr>
        <w:t>the Co</w:t>
      </w:r>
      <w:r>
        <w:rPr>
          <w:rFonts w:ascii="Times New Roman" w:eastAsia="Times New Roman" w:hAnsi="Times New Roman" w:cs="Times New Roman"/>
          <w:noProof/>
          <w:sz w:val="24"/>
          <w:szCs w:val="20"/>
          <w:lang w:val="en-IE" w:eastAsia="en-GB"/>
        </w:rPr>
        <w:t xml:space="preserve">mmission will </w:t>
      </w:r>
      <w:r>
        <w:rPr>
          <w:rFonts w:ascii="Times New Roman" w:eastAsia="Times New Roman" w:hAnsi="Times New Roman" w:cs="Times New Roman"/>
          <w:noProof/>
          <w:sz w:val="24"/>
          <w:szCs w:val="20"/>
          <w:lang w:eastAsia="en-GB"/>
        </w:rPr>
        <w:t xml:space="preserve">facilitate an exchange of good practices on measures and incentives taken by several </w:t>
      </w:r>
      <w:r>
        <w:rPr>
          <w:rFonts w:ascii="Times New Roman" w:eastAsia="Times New Roman" w:hAnsi="Times New Roman" w:cs="Times New Roman"/>
          <w:noProof/>
          <w:sz w:val="24"/>
          <w:szCs w:val="20"/>
          <w:lang w:val="en-IE" w:eastAsia="en-GB"/>
        </w:rPr>
        <w:t>Member States to target support on viable companies. The Commission is working on dedicated capital support to SMEs</w:t>
      </w:r>
      <w:r>
        <w:rPr>
          <w:rFonts w:ascii="Times New Roman" w:eastAsia="Times New Roman" w:hAnsi="Times New Roman" w:cs="Times New Roman"/>
          <w:noProof/>
          <w:sz w:val="24"/>
          <w:szCs w:val="20"/>
          <w:vertAlign w:val="superscript"/>
          <w:lang w:val="en-IE" w:eastAsia="en-GB"/>
        </w:rPr>
        <w:footnoteReference w:id="30"/>
      </w:r>
      <w:r>
        <w:rPr>
          <w:rFonts w:ascii="Times New Roman" w:eastAsia="Times New Roman" w:hAnsi="Times New Roman" w:cs="Times New Roman"/>
          <w:noProof/>
          <w:sz w:val="24"/>
          <w:szCs w:val="20"/>
          <w:lang w:val="en-IE" w:eastAsia="en-GB"/>
        </w:rPr>
        <w:t xml:space="preserve"> through financial products of InvestEU, </w:t>
      </w:r>
      <w:r>
        <w:rPr>
          <w:rFonts w:ascii="Times New Roman" w:eastAsia="Times New Roman" w:hAnsi="Times New Roman" w:cs="Times New Roman"/>
          <w:noProof/>
          <w:sz w:val="24"/>
          <w:szCs w:val="20"/>
          <w:lang w:val="en-IE" w:eastAsia="en-GB"/>
        </w:rPr>
        <w:t>and invites Member States to contribute to EU-wide efforts. REACT-EU further provides targeted support to SMEs.</w:t>
      </w:r>
    </w:p>
    <w:p w:rsidR="00795640" w:rsidRDefault="00A70A3B">
      <w:pPr>
        <w:spacing w:after="240" w:line="240" w:lineRule="auto"/>
        <w:ind w:left="-284"/>
        <w:jc w:val="both"/>
        <w:rPr>
          <w:rFonts w:ascii="Times New Roman" w:eastAsia="Times New Roman" w:hAnsi="Times New Roman" w:cs="Times New Roman"/>
          <w:noProof/>
          <w:sz w:val="24"/>
          <w:szCs w:val="20"/>
          <w:lang w:val="en-IE" w:eastAsia="en-GB"/>
        </w:rPr>
      </w:pPr>
      <w:r>
        <w:rPr>
          <w:rFonts w:ascii="Times New Roman" w:eastAsia="Times New Roman" w:hAnsi="Times New Roman" w:cs="Times New Roman"/>
          <w:noProof/>
          <w:sz w:val="24"/>
          <w:szCs w:val="20"/>
          <w:lang w:val="en-IE" w:eastAsia="en-GB"/>
        </w:rPr>
        <w:t>There are a number of possibilities</w:t>
      </w:r>
      <w:r>
        <w:rPr>
          <w:rFonts w:ascii="Times New Roman" w:eastAsia="Times New Roman" w:hAnsi="Times New Roman" w:cs="Times New Roman"/>
          <w:b/>
          <w:noProof/>
          <w:sz w:val="24"/>
          <w:szCs w:val="20"/>
          <w:lang w:val="en-IE" w:eastAsia="en-GB"/>
        </w:rPr>
        <w:t xml:space="preserve"> </w:t>
      </w:r>
      <w:r>
        <w:rPr>
          <w:rFonts w:ascii="Times New Roman" w:eastAsia="Times New Roman" w:hAnsi="Times New Roman" w:cs="Times New Roman"/>
          <w:noProof/>
          <w:sz w:val="24"/>
          <w:szCs w:val="20"/>
          <w:lang w:val="en-IE" w:eastAsia="en-GB"/>
        </w:rPr>
        <w:t xml:space="preserve">for Member States to provide equity support </w:t>
      </w:r>
      <w:r>
        <w:rPr>
          <w:rFonts w:ascii="Times New Roman" w:eastAsia="Times New Roman" w:hAnsi="Times New Roman" w:cs="Times New Roman"/>
          <w:b/>
          <w:noProof/>
          <w:sz w:val="24"/>
          <w:szCs w:val="20"/>
          <w:lang w:val="en-IE" w:eastAsia="en-GB"/>
        </w:rPr>
        <w:t>under national support schemes</w:t>
      </w:r>
      <w:r>
        <w:rPr>
          <w:rFonts w:ascii="Times New Roman" w:eastAsia="Times New Roman" w:hAnsi="Times New Roman" w:cs="Times New Roman"/>
          <w:noProof/>
          <w:sz w:val="24"/>
          <w:szCs w:val="20"/>
          <w:lang w:val="en-IE" w:eastAsia="en-GB"/>
        </w:rPr>
        <w:t xml:space="preserve"> to strengthen the solvency and gr</w:t>
      </w:r>
      <w:r>
        <w:rPr>
          <w:rFonts w:ascii="Times New Roman" w:eastAsia="Times New Roman" w:hAnsi="Times New Roman" w:cs="Times New Roman"/>
          <w:noProof/>
          <w:sz w:val="24"/>
          <w:szCs w:val="20"/>
          <w:lang w:val="en-IE" w:eastAsia="en-GB"/>
        </w:rPr>
        <w:t>owth of innovative SMEs and mid-caps in line with State aid rules, including the State aid Temporary Framework. For example, these include schemes to provide public guarantees on private investment funds based on the idea of the State providing a guarantee</w:t>
      </w:r>
      <w:r>
        <w:rPr>
          <w:rFonts w:ascii="Times New Roman" w:eastAsia="Times New Roman" w:hAnsi="Times New Roman" w:cs="Times New Roman"/>
          <w:noProof/>
          <w:sz w:val="24"/>
          <w:szCs w:val="20"/>
          <w:lang w:val="en-IE" w:eastAsia="en-GB"/>
        </w:rPr>
        <w:t xml:space="preserve"> to crowd in private funding, rather than providing capital itself. Alternatively, Member States can decide to grant certain repayable instruments, which can later be converted into grants, depending on the recovery of the companies and their ability to re</w:t>
      </w:r>
      <w:r>
        <w:rPr>
          <w:rFonts w:ascii="Times New Roman" w:eastAsia="Times New Roman" w:hAnsi="Times New Roman" w:cs="Times New Roman"/>
          <w:noProof/>
          <w:sz w:val="24"/>
          <w:szCs w:val="20"/>
          <w:lang w:val="en-IE" w:eastAsia="en-GB"/>
        </w:rPr>
        <w:t>pay.</w:t>
      </w:r>
    </w:p>
    <w:p w:rsidR="00795640" w:rsidRDefault="00A70A3B">
      <w:pPr>
        <w:spacing w:after="240" w:line="240" w:lineRule="auto"/>
        <w:ind w:left="-284"/>
        <w:jc w:val="both"/>
        <w:rPr>
          <w:rFonts w:ascii="Times New Roman" w:eastAsia="Times New Roman" w:hAnsi="Times New Roman" w:cs="Times New Roman"/>
          <w:noProof/>
          <w:sz w:val="24"/>
          <w:szCs w:val="20"/>
          <w:lang w:val="en-IE" w:eastAsia="en-GB"/>
        </w:rPr>
      </w:pPr>
      <w:r>
        <w:rPr>
          <w:rFonts w:ascii="Times New Roman" w:eastAsia="Times New Roman" w:hAnsi="Times New Roman" w:cs="Times New Roman"/>
          <w:noProof/>
          <w:sz w:val="24"/>
          <w:szCs w:val="20"/>
          <w:lang w:val="en-IE" w:eastAsia="en-GB"/>
        </w:rPr>
        <w:t>The Commission will continue to make progress to deliver a single market for capital. For example, the Commission is accelerating work on the equity funding for SMEs, including expanding support for scale-up capital, strategic investments and for Init</w:t>
      </w:r>
      <w:r>
        <w:rPr>
          <w:rFonts w:ascii="Times New Roman" w:eastAsia="Times New Roman" w:hAnsi="Times New Roman" w:cs="Times New Roman"/>
          <w:noProof/>
          <w:sz w:val="24"/>
          <w:szCs w:val="20"/>
          <w:lang w:val="en-IE" w:eastAsia="en-GB"/>
        </w:rPr>
        <w:t>ial Public Offerings (IPO). That work will trigger investments in green and digital technologies across all stages of an SME’s life, from start-ups to growth and expansion stage, and to exits to public markets. A new public private IPO Fund will support SM</w:t>
      </w:r>
      <w:r>
        <w:rPr>
          <w:rFonts w:ascii="Times New Roman" w:eastAsia="Times New Roman" w:hAnsi="Times New Roman" w:cs="Times New Roman"/>
          <w:noProof/>
          <w:sz w:val="24"/>
          <w:szCs w:val="20"/>
          <w:lang w:val="en-IE" w:eastAsia="en-GB"/>
        </w:rPr>
        <w:t>Es and midcaps through and beyond the listing process.</w:t>
      </w:r>
      <w:r>
        <w:rPr>
          <w:rStyle w:val="FootnoteReference"/>
          <w:rFonts w:ascii="Times New Roman" w:eastAsia="Times New Roman" w:hAnsi="Times New Roman" w:cs="Times New Roman"/>
          <w:noProof/>
          <w:sz w:val="24"/>
          <w:szCs w:val="20"/>
          <w:lang w:val="en-IE" w:eastAsia="en-GB"/>
        </w:rPr>
        <w:footnoteReference w:id="31"/>
      </w:r>
      <w:r>
        <w:rPr>
          <w:rFonts w:ascii="Times New Roman" w:eastAsia="Times New Roman" w:hAnsi="Times New Roman" w:cs="Times New Roman"/>
          <w:noProof/>
          <w:sz w:val="24"/>
          <w:szCs w:val="20"/>
          <w:lang w:val="en-IE" w:eastAsia="en-GB"/>
        </w:rPr>
        <w:t xml:space="preserve"> The EIB group will publish calls for interested fund management teams in the second half of 2021.</w:t>
      </w:r>
    </w:p>
    <w:p w:rsidR="00795640" w:rsidRDefault="00A70A3B">
      <w:pPr>
        <w:spacing w:after="240" w:line="240" w:lineRule="auto"/>
        <w:ind w:left="-284"/>
        <w:jc w:val="both"/>
        <w:rPr>
          <w:rFonts w:ascii="Times New Roman" w:eastAsia="Times New Roman" w:hAnsi="Times New Roman" w:cs="Times New Roman"/>
          <w:noProof/>
          <w:sz w:val="24"/>
          <w:szCs w:val="20"/>
          <w:lang w:val="en-IE" w:eastAsia="en-GB"/>
        </w:rPr>
      </w:pPr>
      <w:r>
        <w:rPr>
          <w:rFonts w:ascii="Times New Roman" w:eastAsia="Calibri" w:hAnsi="Times New Roman" w:cs="Times New Roman"/>
          <w:noProof/>
          <w:sz w:val="24"/>
          <w:szCs w:val="20"/>
          <w:lang w:eastAsia="en-GB"/>
        </w:rPr>
        <w:t>Taxation also plays a critical role in ensuring fairness and growth: the upcoming Communication on “Bu</w:t>
      </w:r>
      <w:r>
        <w:rPr>
          <w:rFonts w:ascii="Times New Roman" w:eastAsia="Calibri" w:hAnsi="Times New Roman" w:cs="Times New Roman"/>
          <w:noProof/>
          <w:sz w:val="24"/>
          <w:szCs w:val="20"/>
          <w:lang w:eastAsia="en-GB"/>
        </w:rPr>
        <w:t>siness Taxation for the 21st century” will set out concrete plans to support both objectives, including concrete measures for SMEs.</w:t>
      </w:r>
    </w:p>
    <w:p w:rsidR="00795640" w:rsidRDefault="00A70A3B">
      <w:pPr>
        <w:spacing w:after="240" w:line="240" w:lineRule="auto"/>
        <w:ind w:left="-284"/>
        <w:jc w:val="both"/>
        <w:rPr>
          <w:rFonts w:ascii="Times New Roman" w:eastAsia="Times New Roman" w:hAnsi="Times New Roman" w:cs="Times New Roman"/>
          <w:noProof/>
          <w:sz w:val="24"/>
          <w:szCs w:val="20"/>
          <w:lang w:val="en-IE" w:eastAsia="en-GB"/>
        </w:rPr>
      </w:pPr>
      <w:r>
        <w:rPr>
          <w:rFonts w:ascii="Times New Roman" w:eastAsia="Times New Roman" w:hAnsi="Times New Roman" w:cs="Times New Roman"/>
          <w:noProof/>
          <w:sz w:val="24"/>
          <w:szCs w:val="20"/>
          <w:lang w:val="en-IE" w:eastAsia="en-GB"/>
        </w:rPr>
        <w:t>EU competition policy has a key role to play in maintaining a level playing field and it is one of our biggest assets in ens</w:t>
      </w:r>
      <w:r>
        <w:rPr>
          <w:rFonts w:ascii="Times New Roman" w:eastAsia="Times New Roman" w:hAnsi="Times New Roman" w:cs="Times New Roman"/>
          <w:noProof/>
          <w:sz w:val="24"/>
          <w:szCs w:val="20"/>
          <w:lang w:val="en-IE" w:eastAsia="en-GB"/>
        </w:rPr>
        <w:t xml:space="preserve">uring a Single Market that supports companies to innovate and grow. Preserving competition in the Single Market contributes to the resilience and competitiveness of our companies on the global markets. </w:t>
      </w:r>
      <w:r>
        <w:rPr>
          <w:rFonts w:ascii="Times New Roman" w:eastAsia="Times New Roman" w:hAnsi="Times New Roman" w:cs="Times New Roman"/>
          <w:noProof/>
          <w:sz w:val="24"/>
          <w:szCs w:val="20"/>
          <w:lang w:val="en-US" w:eastAsia="en-GB"/>
        </w:rPr>
        <w:t>The Commission will also continue to monitor the appli</w:t>
      </w:r>
      <w:r>
        <w:rPr>
          <w:rFonts w:ascii="Times New Roman" w:eastAsia="Times New Roman" w:hAnsi="Times New Roman" w:cs="Times New Roman"/>
          <w:noProof/>
          <w:sz w:val="24"/>
          <w:szCs w:val="20"/>
          <w:lang w:val="en-US" w:eastAsia="en-GB"/>
        </w:rPr>
        <w:t>cation of the State aid Temporary Framework (extended until end-2021) and the implementation of COVID-19 related State aid measures, with a review to progressively phasing out crisis support measures when the situation allows, while avoiding cliff-edge eff</w:t>
      </w:r>
      <w:r>
        <w:rPr>
          <w:rFonts w:ascii="Times New Roman" w:eastAsia="Times New Roman" w:hAnsi="Times New Roman" w:cs="Times New Roman"/>
          <w:noProof/>
          <w:sz w:val="24"/>
          <w:szCs w:val="20"/>
          <w:lang w:val="en-US" w:eastAsia="en-GB"/>
        </w:rPr>
        <w:t>ects.</w:t>
      </w:r>
      <w:r>
        <w:rPr>
          <w:rFonts w:ascii="Times New Roman" w:eastAsia="Times New Roman" w:hAnsi="Times New Roman" w:cs="Times New Roman"/>
          <w:noProof/>
          <w:sz w:val="24"/>
          <w:szCs w:val="20"/>
          <w:lang w:val="en-IE" w:eastAsia="en-GB"/>
        </w:rPr>
        <w:t xml:space="preserve"> </w:t>
      </w:r>
    </w:p>
    <w:tbl>
      <w:tblPr>
        <w:tblStyle w:val="TableGrid1"/>
        <w:tblW w:w="0" w:type="auto"/>
        <w:tblInd w:w="-34" w:type="dxa"/>
        <w:tblLook w:val="04A0" w:firstRow="1" w:lastRow="0" w:firstColumn="1" w:lastColumn="0" w:noHBand="0" w:noVBand="1"/>
      </w:tblPr>
      <w:tblGrid>
        <w:gridCol w:w="7513"/>
        <w:gridCol w:w="1355"/>
      </w:tblGrid>
      <w:tr w:rsidR="00795640">
        <w:tc>
          <w:tcPr>
            <w:tcW w:w="7513"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ind w:left="-284"/>
              <w:jc w:val="center"/>
              <w:rPr>
                <w:rFonts w:ascii="Times New Roman" w:eastAsia="Calibri" w:hAnsi="Times New Roman" w:cs="Times New Roman"/>
                <w:b/>
                <w:noProof/>
                <w:sz w:val="24"/>
                <w:szCs w:val="24"/>
                <w:lang w:val="en-IE"/>
              </w:rPr>
            </w:pPr>
            <w:r>
              <w:rPr>
                <w:rFonts w:ascii="Calibri" w:eastAsia="Calibri" w:hAnsi="Calibri" w:cs="Times New Roman"/>
                <w:b/>
                <w:noProof/>
                <w:szCs w:val="24"/>
                <w:lang w:val="en-IE"/>
              </w:rPr>
              <w:t>KEY ACTIONS</w:t>
            </w:r>
          </w:p>
        </w:tc>
        <w:tc>
          <w:tcPr>
            <w:tcW w:w="1355"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ind w:left="-284"/>
              <w:jc w:val="center"/>
              <w:rPr>
                <w:rFonts w:ascii="Times New Roman" w:eastAsia="Calibri" w:hAnsi="Times New Roman" w:cs="Times New Roman"/>
                <w:b/>
                <w:noProof/>
                <w:sz w:val="24"/>
                <w:szCs w:val="24"/>
                <w:lang w:val="en-IE"/>
              </w:rPr>
            </w:pPr>
            <w:r>
              <w:rPr>
                <w:rFonts w:ascii="Calibri" w:eastAsia="Calibri" w:hAnsi="Calibri" w:cs="Times New Roman"/>
                <w:b/>
                <w:noProof/>
                <w:szCs w:val="24"/>
                <w:lang w:val="en-IE"/>
              </w:rPr>
              <w:t>TIMING</w:t>
            </w:r>
          </w:p>
        </w:tc>
      </w:tr>
      <w:tr w:rsidR="00795640">
        <w:tc>
          <w:tcPr>
            <w:tcW w:w="7513"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ind w:left="-284"/>
              <w:jc w:val="center"/>
              <w:rPr>
                <w:rFonts w:ascii="Times New Roman" w:eastAsia="Calibri" w:hAnsi="Times New Roman" w:cs="Times New Roman"/>
                <w:noProof/>
                <w:sz w:val="24"/>
                <w:szCs w:val="24"/>
                <w:lang w:val="en-IE"/>
              </w:rPr>
            </w:pPr>
            <w:r>
              <w:rPr>
                <w:rFonts w:ascii="Times New Roman" w:eastAsia="Times New Roman" w:hAnsi="Times New Roman" w:cs="Times New Roman"/>
                <w:noProof/>
                <w:sz w:val="24"/>
                <w:szCs w:val="24"/>
                <w:lang w:val="en-IE"/>
              </w:rPr>
              <w:t>Single Market Emergency Instrumen</w:t>
            </w:r>
            <w:r>
              <w:rPr>
                <w:rFonts w:ascii="Times New Roman" w:eastAsia="Calibri" w:hAnsi="Times New Roman" w:cs="Times New Roman"/>
                <w:noProof/>
                <w:sz w:val="24"/>
                <w:szCs w:val="24"/>
                <w:lang w:val="en-IE"/>
              </w:rPr>
              <w:t>t</w:t>
            </w:r>
          </w:p>
        </w:tc>
        <w:tc>
          <w:tcPr>
            <w:tcW w:w="1355"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ind w:left="-284"/>
              <w:jc w:val="center"/>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Q1 2022</w:t>
            </w:r>
          </w:p>
        </w:tc>
      </w:tr>
      <w:tr w:rsidR="00795640">
        <w:tc>
          <w:tcPr>
            <w:tcW w:w="7513"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ind w:left="-284"/>
              <w:jc w:val="center"/>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Annual Single Market Report</w:t>
            </w:r>
          </w:p>
        </w:tc>
        <w:tc>
          <w:tcPr>
            <w:tcW w:w="1355"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ind w:left="-284"/>
              <w:jc w:val="center"/>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Annual</w:t>
            </w:r>
          </w:p>
        </w:tc>
      </w:tr>
      <w:tr w:rsidR="00795640">
        <w:tc>
          <w:tcPr>
            <w:tcW w:w="7513" w:type="dxa"/>
            <w:tcBorders>
              <w:top w:val="single" w:sz="4" w:space="0" w:color="auto"/>
              <w:left w:val="single" w:sz="4" w:space="0" w:color="auto"/>
              <w:bottom w:val="single" w:sz="4" w:space="0" w:color="auto"/>
              <w:right w:val="single" w:sz="4" w:space="0" w:color="auto"/>
            </w:tcBorders>
            <w:shd w:val="clear" w:color="auto" w:fill="F2F2F2"/>
          </w:tcPr>
          <w:p w:rsidR="00795640" w:rsidRDefault="00A70A3B">
            <w:pPr>
              <w:ind w:left="-284"/>
              <w:jc w:val="center"/>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Possible common form/template for the declaration of the posting of workers</w:t>
            </w:r>
          </w:p>
        </w:tc>
        <w:tc>
          <w:tcPr>
            <w:tcW w:w="1355" w:type="dxa"/>
            <w:tcBorders>
              <w:top w:val="single" w:sz="4" w:space="0" w:color="auto"/>
              <w:left w:val="single" w:sz="4" w:space="0" w:color="auto"/>
              <w:bottom w:val="single" w:sz="4" w:space="0" w:color="auto"/>
              <w:right w:val="single" w:sz="4" w:space="0" w:color="auto"/>
            </w:tcBorders>
            <w:shd w:val="clear" w:color="auto" w:fill="F2F2F2"/>
          </w:tcPr>
          <w:p w:rsidR="00795640" w:rsidRDefault="00A70A3B">
            <w:pPr>
              <w:ind w:left="-284"/>
              <w:jc w:val="center"/>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Q1 2022</w:t>
            </w:r>
          </w:p>
        </w:tc>
      </w:tr>
      <w:tr w:rsidR="00795640">
        <w:tc>
          <w:tcPr>
            <w:tcW w:w="7513"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ind w:left="-284"/>
              <w:jc w:val="center"/>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rPr>
              <w:t xml:space="preserve">Strengthen Single Market surveillance of EU and imported </w:t>
            </w:r>
            <w:r>
              <w:rPr>
                <w:rFonts w:ascii="Times New Roman" w:eastAsia="Calibri" w:hAnsi="Times New Roman" w:cs="Times New Roman"/>
                <w:noProof/>
                <w:sz w:val="24"/>
                <w:szCs w:val="24"/>
              </w:rPr>
              <w:t>products</w:t>
            </w:r>
          </w:p>
        </w:tc>
        <w:tc>
          <w:tcPr>
            <w:tcW w:w="1355"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ind w:left="-284"/>
              <w:jc w:val="center"/>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rPr>
              <w:t>Q4 2022</w:t>
            </w:r>
          </w:p>
        </w:tc>
      </w:tr>
      <w:tr w:rsidR="00795640">
        <w:trPr>
          <w:trHeight w:val="677"/>
        </w:trPr>
        <w:tc>
          <w:tcPr>
            <w:tcW w:w="7513"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ind w:left="-284"/>
              <w:jc w:val="center"/>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Under InvestEU, work on capital support and equity financing to support SMEs</w:t>
            </w:r>
          </w:p>
        </w:tc>
        <w:tc>
          <w:tcPr>
            <w:tcW w:w="1355"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ind w:left="-284"/>
              <w:jc w:val="center"/>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ongoing</w:t>
            </w:r>
          </w:p>
        </w:tc>
      </w:tr>
    </w:tbl>
    <w:p w:rsidR="00795640" w:rsidRDefault="00A70A3B">
      <w:pPr>
        <w:pStyle w:val="ListParagraph"/>
        <w:keepNext/>
        <w:numPr>
          <w:ilvl w:val="0"/>
          <w:numId w:val="3"/>
        </w:numPr>
        <w:spacing w:after="240" w:line="240" w:lineRule="auto"/>
        <w:jc w:val="both"/>
        <w:outlineLvl w:val="0"/>
        <w:rPr>
          <w:rFonts w:ascii="Times New Roman" w:eastAsia="Times New Roman" w:hAnsi="Times New Roman" w:cs="Times New Roman"/>
          <w:b/>
          <w:smallCaps/>
          <w:noProof/>
          <w:sz w:val="24"/>
          <w:szCs w:val="20"/>
          <w:lang w:eastAsia="en-GB"/>
        </w:rPr>
      </w:pPr>
      <w:r>
        <w:rPr>
          <w:rFonts w:ascii="Times New Roman" w:eastAsia="Times New Roman" w:hAnsi="Times New Roman" w:cs="Times New Roman"/>
          <w:b/>
          <w:smallCaps/>
          <w:noProof/>
          <w:sz w:val="24"/>
          <w:szCs w:val="20"/>
          <w:lang w:val="en-IE" w:eastAsia="en-GB"/>
        </w:rPr>
        <w:t xml:space="preserve">Dealing with dependencies: open strategic autonomy in practice </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0"/>
          <w:lang w:eastAsia="en-GB"/>
        </w:rPr>
        <w:t xml:space="preserve">Openness to trade and investment is a strength and source of growth and resilience for </w:t>
      </w:r>
      <w:r>
        <w:rPr>
          <w:rFonts w:ascii="Times New Roman" w:eastAsia="Times New Roman" w:hAnsi="Times New Roman" w:cs="Times New Roman"/>
          <w:noProof/>
          <w:sz w:val="24"/>
          <w:szCs w:val="20"/>
          <w:lang w:eastAsia="en-GB"/>
        </w:rPr>
        <w:t>the EU, as a major importer and exporter. Nevertheless, COVID-19 impacted negatively global supply chains and led to shortages in Europe. As the 2020 Industrial Strategy underlined, the EU needs to improve its open strategic autonomy in key areas.</w:t>
      </w:r>
      <w:r>
        <w:rPr>
          <w:rStyle w:val="FootnoteReference"/>
          <w:rFonts w:ascii="Times New Roman" w:eastAsia="Times New Roman" w:hAnsi="Times New Roman" w:cs="Times New Roman"/>
          <w:noProof/>
          <w:sz w:val="24"/>
          <w:szCs w:val="20"/>
          <w:lang w:eastAsia="en-GB"/>
        </w:rPr>
        <w:footnoteReference w:id="32"/>
      </w:r>
      <w:r>
        <w:rPr>
          <w:rFonts w:ascii="Times New Roman" w:eastAsia="Times New Roman" w:hAnsi="Times New Roman" w:cs="Times New Roman"/>
          <w:noProof/>
          <w:sz w:val="24"/>
          <w:szCs w:val="20"/>
          <w:lang w:eastAsia="en-GB"/>
        </w:rPr>
        <w:t xml:space="preserve"> </w:t>
      </w:r>
    </w:p>
    <w:p w:rsidR="00795640" w:rsidRDefault="00A70A3B">
      <w:pPr>
        <w:shd w:val="clear" w:color="auto" w:fill="FFFFFF" w:themeFill="background1"/>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cr</w:t>
      </w:r>
      <w:r>
        <w:rPr>
          <w:rFonts w:ascii="Times New Roman" w:eastAsia="Times New Roman" w:hAnsi="Times New Roman" w:cs="Times New Roman"/>
          <w:noProof/>
          <w:sz w:val="24"/>
          <w:szCs w:val="24"/>
          <w:lang w:eastAsia="en-GB"/>
        </w:rPr>
        <w:t xml:space="preserve">isis further emphasised the need to strengthen the EU’s </w:t>
      </w:r>
      <w:r>
        <w:rPr>
          <w:rFonts w:ascii="Times New Roman" w:eastAsia="Times New Roman" w:hAnsi="Times New Roman" w:cs="Times New Roman"/>
          <w:b/>
          <w:noProof/>
          <w:sz w:val="24"/>
          <w:szCs w:val="24"/>
          <w:lang w:eastAsia="en-GB"/>
        </w:rPr>
        <w:t>ability to confront a crisis and act as necessary</w:t>
      </w:r>
      <w:r>
        <w:rPr>
          <w:rFonts w:ascii="Times New Roman" w:eastAsia="Times New Roman" w:hAnsi="Times New Roman" w:cs="Times New Roman"/>
          <w:noProof/>
          <w:sz w:val="24"/>
          <w:szCs w:val="24"/>
          <w:lang w:eastAsia="en-GB"/>
        </w:rPr>
        <w:t xml:space="preserve">. The disruptions along the supply chain of the health ecosystem were particularly challenging, resulting from a combination of surging demand as well </w:t>
      </w:r>
      <w:r>
        <w:rPr>
          <w:rFonts w:ascii="Times New Roman" w:eastAsia="Times New Roman" w:hAnsi="Times New Roman" w:cs="Times New Roman"/>
          <w:noProof/>
          <w:sz w:val="24"/>
          <w:szCs w:val="24"/>
          <w:lang w:eastAsia="en-GB"/>
        </w:rPr>
        <w:t xml:space="preserve">as supply and workforce shortages, </w:t>
      </w:r>
      <w:r>
        <w:rPr>
          <w:rFonts w:ascii="Times New Roman" w:eastAsia="Times New Roman" w:hAnsi="Times New Roman" w:cs="Times New Roman"/>
          <w:noProof/>
          <w:sz w:val="24"/>
          <w:szCs w:val="20"/>
          <w:lang w:eastAsia="en-GB"/>
        </w:rPr>
        <w:t xml:space="preserve">despite </w:t>
      </w:r>
      <w:r>
        <w:rPr>
          <w:rFonts w:ascii="Times New Roman" w:eastAsia="Times New Roman" w:hAnsi="Times New Roman" w:cs="Times New Roman"/>
          <w:noProof/>
          <w:sz w:val="24"/>
          <w:szCs w:val="20"/>
          <w:lang w:val="en-IE" w:eastAsia="en-GB"/>
        </w:rPr>
        <w:t>the EU’s proactive response to ensure (global) transport routes and supply chains remain as open and secure as possible.</w:t>
      </w:r>
      <w:r>
        <w:rPr>
          <w:rFonts w:ascii="Times New Roman" w:eastAsia="Times New Roman" w:hAnsi="Times New Roman" w:cs="Times New Roman"/>
          <w:noProof/>
          <w:sz w:val="24"/>
          <w:szCs w:val="24"/>
          <w:lang w:eastAsia="en-GB"/>
        </w:rPr>
        <w:t xml:space="preserve"> More recent challenges, such as the semiconductors shortage faced by the automotive industry</w:t>
      </w:r>
      <w:r>
        <w:rPr>
          <w:rFonts w:ascii="Times New Roman" w:eastAsia="Times New Roman" w:hAnsi="Times New Roman" w:cs="Times New Roman"/>
          <w:noProof/>
          <w:sz w:val="24"/>
          <w:szCs w:val="24"/>
          <w:lang w:eastAsia="en-GB"/>
        </w:rPr>
        <w:t>, highlight that Europe faces also other specific dependencies. The pandemic accelerated this awareness and pushed countries such as the United States</w:t>
      </w:r>
      <w:r>
        <w:rPr>
          <w:rFonts w:ascii="Times New Roman" w:eastAsia="Times New Roman" w:hAnsi="Times New Roman" w:cs="Times New Roman"/>
          <w:noProof/>
          <w:sz w:val="24"/>
          <w:szCs w:val="24"/>
          <w:vertAlign w:val="superscript"/>
          <w:lang w:eastAsia="en-GB"/>
        </w:rPr>
        <w:footnoteReference w:id="33"/>
      </w:r>
      <w:r>
        <w:rPr>
          <w:rFonts w:ascii="Times New Roman" w:eastAsia="Times New Roman" w:hAnsi="Times New Roman" w:cs="Times New Roman"/>
          <w:noProof/>
          <w:sz w:val="24"/>
          <w:szCs w:val="24"/>
          <w:lang w:eastAsia="en-GB"/>
        </w:rPr>
        <w:t xml:space="preserve"> to review their positions in global value chains.</w:t>
      </w:r>
    </w:p>
    <w:p w:rsidR="00795640" w:rsidRDefault="00A70A3B">
      <w:pPr>
        <w:shd w:val="clear" w:color="auto" w:fill="FFFFFF" w:themeFill="background1"/>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EU also has important strengths and capacities. Wh</w:t>
      </w:r>
      <w:r>
        <w:rPr>
          <w:rFonts w:ascii="Times New Roman" w:eastAsia="Times New Roman" w:hAnsi="Times New Roman" w:cs="Times New Roman"/>
          <w:noProof/>
          <w:sz w:val="24"/>
          <w:szCs w:val="24"/>
          <w:lang w:eastAsia="en-GB"/>
        </w:rPr>
        <w:t>ile the EU faces certain dependencies, other countries also depend on the EU (“reverse dependencies”). Mutual dependencies may be an element of stability in global value chains. The EU also shares foreign dependencies with our partners (“common dependencie</w:t>
      </w:r>
      <w:r>
        <w:rPr>
          <w:rFonts w:ascii="Times New Roman" w:eastAsia="Times New Roman" w:hAnsi="Times New Roman" w:cs="Times New Roman"/>
          <w:noProof/>
          <w:sz w:val="24"/>
          <w:szCs w:val="24"/>
          <w:lang w:eastAsia="en-GB"/>
        </w:rPr>
        <w:t>s”). These provide opportunities for building up cooperation with likeminded partners to find mutually beneficial solutions.</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i/>
          <w:noProof/>
          <w:sz w:val="24"/>
          <w:szCs w:val="20"/>
          <w:lang w:eastAsia="en-GB"/>
        </w:rPr>
        <w:t>Mapping our strategic dependencies and capacities</w:t>
      </w:r>
    </w:p>
    <w:p w:rsidR="00795640" w:rsidRDefault="00A70A3B">
      <w:pPr>
        <w:shd w:val="clear" w:color="auto" w:fill="FFFFFF" w:themeFill="background1"/>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Some disruptions caught Europe by surprise, showing the need for </w:t>
      </w:r>
      <w:r>
        <w:rPr>
          <w:rFonts w:ascii="Times New Roman" w:eastAsia="Times New Roman" w:hAnsi="Times New Roman" w:cs="Times New Roman"/>
          <w:b/>
          <w:noProof/>
          <w:sz w:val="24"/>
          <w:szCs w:val="24"/>
          <w:lang w:eastAsia="en-GB"/>
        </w:rPr>
        <w:t>a better grasp o</w:t>
      </w:r>
      <w:r>
        <w:rPr>
          <w:rFonts w:ascii="Times New Roman" w:eastAsia="Times New Roman" w:hAnsi="Times New Roman" w:cs="Times New Roman"/>
          <w:b/>
          <w:noProof/>
          <w:sz w:val="24"/>
          <w:szCs w:val="24"/>
          <w:lang w:eastAsia="en-GB"/>
        </w:rPr>
        <w:t>f where its strategic dependencies lie</w:t>
      </w:r>
      <w:r>
        <w:rPr>
          <w:rFonts w:ascii="Times New Roman" w:eastAsia="Times New Roman" w:hAnsi="Times New Roman" w:cs="Times New Roman"/>
          <w:noProof/>
          <w:sz w:val="24"/>
          <w:szCs w:val="24"/>
          <w:lang w:eastAsia="en-GB"/>
        </w:rPr>
        <w:t>, how they may develop in the future and the extent to which they would lead to vulnerabilities for the EU. Such strategic dependencies affect the EU’s core interests, notably as regards health,</w:t>
      </w:r>
      <w:r>
        <w:rPr>
          <w:rStyle w:val="FootnoteReference"/>
          <w:rFonts w:ascii="Times New Roman" w:eastAsia="Times New Roman" w:hAnsi="Times New Roman" w:cs="Times New Roman"/>
          <w:noProof/>
          <w:sz w:val="24"/>
          <w:szCs w:val="20"/>
          <w:lang w:eastAsia="en-GB"/>
        </w:rPr>
        <w:footnoteReference w:id="34"/>
      </w:r>
      <w:r>
        <w:rPr>
          <w:rFonts w:ascii="Times New Roman" w:eastAsia="Times New Roman" w:hAnsi="Times New Roman" w:cs="Times New Roman"/>
          <w:noProof/>
          <w:sz w:val="24"/>
          <w:szCs w:val="24"/>
          <w:lang w:eastAsia="en-GB"/>
        </w:rPr>
        <w:t xml:space="preserve"> security and safety and accessing key inputs and technologies necessary for the green and digital transitions. </w:t>
      </w:r>
    </w:p>
    <w:p w:rsidR="00795640" w:rsidRDefault="00A70A3B">
      <w:pPr>
        <w:shd w:val="clear" w:color="auto" w:fill="FFFFFF" w:themeFill="background1"/>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In response to the European Council request, the Commission has carried out a “bottom-up analysis” based on trade data that provides first insi</w:t>
      </w:r>
      <w:r>
        <w:rPr>
          <w:rFonts w:ascii="Times New Roman" w:eastAsia="Times New Roman" w:hAnsi="Times New Roman" w:cs="Times New Roman"/>
          <w:noProof/>
          <w:sz w:val="24"/>
          <w:szCs w:val="24"/>
          <w:lang w:eastAsia="en-GB"/>
        </w:rPr>
        <w:t xml:space="preserve">ghts on the scope of the issues at stake. Out of 5,200 products </w:t>
      </w:r>
      <w:r>
        <w:rPr>
          <w:rFonts w:ascii="Times New Roman" w:hAnsi="Times New Roman" w:cs="Times New Roman"/>
          <w:noProof/>
          <w:sz w:val="24"/>
          <w:szCs w:val="24"/>
        </w:rPr>
        <w:t>imported into the EU</w:t>
      </w:r>
      <w:r>
        <w:rPr>
          <w:rFonts w:ascii="Times New Roman" w:eastAsia="Times New Roman" w:hAnsi="Times New Roman" w:cs="Times New Roman"/>
          <w:noProof/>
          <w:sz w:val="24"/>
          <w:szCs w:val="24"/>
          <w:lang w:eastAsia="en-GB"/>
        </w:rPr>
        <w:t xml:space="preserve">, the analysis identifies 137 products (representing 6% of the EU’s total import value of goods) </w:t>
      </w:r>
      <w:r>
        <w:rPr>
          <w:rFonts w:ascii="Times New Roman" w:hAnsi="Times New Roman" w:cs="Times New Roman"/>
          <w:noProof/>
          <w:sz w:val="24"/>
          <w:szCs w:val="24"/>
        </w:rPr>
        <w:t xml:space="preserve">in sensitive ecosystems </w:t>
      </w:r>
      <w:r>
        <w:rPr>
          <w:rFonts w:ascii="Times New Roman" w:eastAsia="Times New Roman" w:hAnsi="Times New Roman" w:cs="Times New Roman"/>
          <w:noProof/>
          <w:sz w:val="24"/>
          <w:szCs w:val="24"/>
          <w:lang w:eastAsia="en-GB"/>
        </w:rPr>
        <w:t>for which the EU is highly dependent – mainly in th</w:t>
      </w:r>
      <w:r>
        <w:rPr>
          <w:rFonts w:ascii="Times New Roman" w:eastAsia="Times New Roman" w:hAnsi="Times New Roman" w:cs="Times New Roman"/>
          <w:noProof/>
          <w:sz w:val="24"/>
          <w:szCs w:val="24"/>
          <w:lang w:eastAsia="en-GB"/>
        </w:rPr>
        <w:t>e energy intensive industries (such as raw materials</w:t>
      </w:r>
      <w:r>
        <w:rPr>
          <w:rStyle w:val="FootnoteReference"/>
          <w:rFonts w:ascii="Times New Roman" w:eastAsia="Times New Roman" w:hAnsi="Times New Roman" w:cs="Times New Roman"/>
          <w:noProof/>
          <w:sz w:val="24"/>
          <w:szCs w:val="24"/>
          <w:lang w:eastAsia="en-GB"/>
        </w:rPr>
        <w:footnoteReference w:id="35"/>
      </w:r>
      <w:r>
        <w:rPr>
          <w:rFonts w:ascii="Times New Roman" w:eastAsia="Times New Roman" w:hAnsi="Times New Roman" w:cs="Times New Roman"/>
          <w:noProof/>
          <w:sz w:val="24"/>
          <w:szCs w:val="24"/>
          <w:lang w:eastAsia="en-GB"/>
        </w:rPr>
        <w:t xml:space="preserve">) and health ecosystems (such as active pharmaceutical ingredients) as well as concerning other products relevant to support the green and digital transformation. </w:t>
      </w:r>
    </w:p>
    <w:p w:rsidR="00795640" w:rsidRDefault="00A70A3B">
      <w:pPr>
        <w:shd w:val="clear" w:color="auto" w:fill="FFFFFF" w:themeFill="background1"/>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About half of imports for these depende</w:t>
      </w:r>
      <w:r>
        <w:rPr>
          <w:rFonts w:ascii="Times New Roman" w:eastAsia="Times New Roman" w:hAnsi="Times New Roman" w:cs="Times New Roman"/>
          <w:noProof/>
          <w:sz w:val="24"/>
          <w:szCs w:val="24"/>
          <w:lang w:eastAsia="en-GB"/>
        </w:rPr>
        <w:t>nt products originate in China, followed by Vietnam and Brazil. However, 34 products (representing 0,6% of the EU’s total import value of goods) are potentially more vulnerable given their possibly low potential for further diversification and substitution</w:t>
      </w:r>
      <w:r>
        <w:rPr>
          <w:rFonts w:ascii="Times New Roman" w:eastAsia="Times New Roman" w:hAnsi="Times New Roman" w:cs="Times New Roman"/>
          <w:noProof/>
          <w:sz w:val="24"/>
          <w:szCs w:val="24"/>
          <w:lang w:eastAsia="en-GB"/>
        </w:rPr>
        <w:t xml:space="preserve"> with EU production. About 20 of these products are raw materials and chemicals belonging to the energy intensive industries ecosystem, with the majority of the remaining products belonging to the health ecosystem (such as active pharmaceutical ingredients</w:t>
      </w:r>
      <w:r>
        <w:rPr>
          <w:rFonts w:ascii="Times New Roman" w:eastAsia="Times New Roman" w:hAnsi="Times New Roman" w:cs="Times New Roman"/>
          <w:noProof/>
          <w:sz w:val="24"/>
          <w:szCs w:val="24"/>
          <w:lang w:eastAsia="en-GB"/>
        </w:rPr>
        <w:t xml:space="preserve"> and other health related products). The analysis also shows challenges and dependencies in the area of advanced technologies such as for cloud and microelectronics, predominantly linked to the global market structure.</w:t>
      </w:r>
    </w:p>
    <w:tbl>
      <w:tblPr>
        <w:tblStyle w:val="TableGrid1"/>
        <w:tblpPr w:leftFromText="180" w:rightFromText="180" w:vertAnchor="text" w:horzAnchor="margin" w:tblpY="62"/>
        <w:tblW w:w="0" w:type="auto"/>
        <w:tblLook w:val="04A0" w:firstRow="1" w:lastRow="0" w:firstColumn="1" w:lastColumn="0" w:noHBand="0" w:noVBand="1"/>
      </w:tblPr>
      <w:tblGrid>
        <w:gridCol w:w="8726"/>
      </w:tblGrid>
      <w:tr w:rsidR="00795640">
        <w:trPr>
          <w:trHeight w:val="2738"/>
        </w:trPr>
        <w:tc>
          <w:tcPr>
            <w:tcW w:w="8726" w:type="dxa"/>
            <w:tcBorders>
              <w:top w:val="single" w:sz="4" w:space="0" w:color="auto"/>
              <w:left w:val="single" w:sz="4" w:space="0" w:color="auto"/>
              <w:bottom w:val="single" w:sz="4" w:space="0" w:color="auto"/>
              <w:right w:val="single" w:sz="4" w:space="0" w:color="auto"/>
            </w:tcBorders>
            <w:hideMark/>
          </w:tcPr>
          <w:p w:rsidR="00795640" w:rsidRDefault="00A70A3B">
            <w:pPr>
              <w:shd w:val="clear" w:color="auto" w:fill="FFFFFF" w:themeFill="background1"/>
              <w:jc w:val="center"/>
              <w:rPr>
                <w:rFonts w:ascii="Times New Roman" w:eastAsia="Calibri" w:hAnsi="Times New Roman" w:cs="Times New Roman"/>
                <w:noProof/>
                <w:sz w:val="24"/>
                <w:szCs w:val="24"/>
              </w:rPr>
            </w:pPr>
            <w:r>
              <w:rPr>
                <w:rFonts w:ascii="Calibri" w:eastAsia="Calibri" w:hAnsi="Calibri" w:cs="Times New Roman"/>
                <w:noProof/>
                <w:szCs w:val="24"/>
                <w:lang w:eastAsia="en-GB"/>
              </w:rPr>
              <w:drawing>
                <wp:inline distT="0" distB="0" distL="0" distR="0">
                  <wp:extent cx="4163060" cy="1828800"/>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63060" cy="1828800"/>
                          </a:xfrm>
                          <a:prstGeom prst="rect">
                            <a:avLst/>
                          </a:prstGeom>
                          <a:noFill/>
                          <a:ln>
                            <a:noFill/>
                          </a:ln>
                        </pic:spPr>
                      </pic:pic>
                    </a:graphicData>
                  </a:graphic>
                </wp:inline>
              </w:drawing>
            </w:r>
          </w:p>
        </w:tc>
      </w:tr>
      <w:tr w:rsidR="00795640">
        <w:tc>
          <w:tcPr>
            <w:tcW w:w="8726" w:type="dxa"/>
            <w:tcBorders>
              <w:top w:val="single" w:sz="4" w:space="0" w:color="auto"/>
              <w:left w:val="single" w:sz="4" w:space="0" w:color="auto"/>
              <w:bottom w:val="single" w:sz="4" w:space="0" w:color="auto"/>
              <w:right w:val="single" w:sz="4" w:space="0" w:color="auto"/>
            </w:tcBorders>
            <w:hideMark/>
          </w:tcPr>
          <w:p w:rsidR="00795640" w:rsidRDefault="00A70A3B">
            <w:pPr>
              <w:jc w:val="both"/>
              <w:rPr>
                <w:rFonts w:ascii="Times New Roman" w:eastAsia="Calibri" w:hAnsi="Times New Roman" w:cs="Times New Roman"/>
                <w:b/>
                <w:i/>
                <w:noProof/>
                <w:sz w:val="18"/>
                <w:szCs w:val="18"/>
              </w:rPr>
            </w:pPr>
            <w:r>
              <w:rPr>
                <w:rFonts w:ascii="Times New Roman" w:eastAsia="Calibri" w:hAnsi="Times New Roman" w:cs="Times New Roman"/>
                <w:b/>
                <w:i/>
                <w:noProof/>
                <w:sz w:val="18"/>
                <w:szCs w:val="18"/>
              </w:rPr>
              <w:t xml:space="preserve">Share of EU import value by origin of the identified 137 products </w:t>
            </w:r>
            <w:r>
              <w:rPr>
                <w:rFonts w:ascii="Times New Roman" w:eastAsia="Calibri" w:hAnsi="Times New Roman" w:cs="Times New Roman"/>
                <w:b/>
                <w:i/>
                <w:noProof/>
                <w:sz w:val="18"/>
              </w:rPr>
              <w:t xml:space="preserve">where the EU is dependent </w:t>
            </w:r>
            <w:r>
              <w:rPr>
                <w:rFonts w:ascii="Times New Roman" w:eastAsia="Calibri" w:hAnsi="Times New Roman" w:cs="Times New Roman"/>
                <w:b/>
                <w:i/>
                <w:noProof/>
                <w:sz w:val="18"/>
                <w:szCs w:val="18"/>
              </w:rPr>
              <w:t>in sensitive ecosystems</w:t>
            </w:r>
          </w:p>
          <w:p w:rsidR="00795640" w:rsidRDefault="00A70A3B">
            <w:pPr>
              <w:jc w:val="both"/>
              <w:rPr>
                <w:rFonts w:ascii="Calibri" w:eastAsia="Calibri" w:hAnsi="Calibri" w:cs="Times New Roman"/>
                <w:noProof/>
                <w:sz w:val="18"/>
                <w:szCs w:val="18"/>
              </w:rPr>
            </w:pPr>
            <w:r>
              <w:rPr>
                <w:rFonts w:ascii="Times New Roman" w:eastAsia="Calibri" w:hAnsi="Times New Roman" w:cs="Times New Roman"/>
                <w:i/>
                <w:noProof/>
                <w:sz w:val="18"/>
                <w:szCs w:val="18"/>
              </w:rPr>
              <w:t>Source: European Commission based on BACI database</w:t>
            </w:r>
          </w:p>
        </w:tc>
      </w:tr>
    </w:tbl>
    <w:p w:rsidR="00795640" w:rsidRDefault="00A70A3B">
      <w:pPr>
        <w:shd w:val="clear" w:color="auto" w:fill="FFFFFF" w:themeFill="background1"/>
        <w:spacing w:before="120"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analysis also highlights the issue of possible internal dependencies within the Single Market, linked to a concentration of activities at the level of individual firms. In such instances, EU competition policy and enforcement can play a major role in a</w:t>
      </w:r>
      <w:r>
        <w:rPr>
          <w:rFonts w:ascii="Times New Roman" w:eastAsia="Times New Roman" w:hAnsi="Times New Roman" w:cs="Times New Roman"/>
          <w:noProof/>
          <w:sz w:val="24"/>
          <w:szCs w:val="24"/>
          <w:lang w:eastAsia="en-GB"/>
        </w:rPr>
        <w:t xml:space="preserve">ddressing possible risks related to such internal dependencies, by ensuring that markets remain open and contestable. </w:t>
      </w:r>
    </w:p>
    <w:p w:rsidR="00795640" w:rsidRDefault="00A70A3B">
      <w:pPr>
        <w:shd w:val="clear" w:color="auto" w:fill="FFFFFF" w:themeFill="background1"/>
        <w:spacing w:before="120"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Staff Working Document</w:t>
      </w:r>
      <w:r>
        <w:rPr>
          <w:rStyle w:val="FootnoteReference"/>
          <w:rFonts w:ascii="Times New Roman" w:eastAsia="Times New Roman" w:hAnsi="Times New Roman" w:cs="Times New Roman"/>
          <w:noProof/>
          <w:sz w:val="24"/>
          <w:szCs w:val="20"/>
          <w:lang w:eastAsia="en-GB"/>
        </w:rPr>
        <w:footnoteReference w:id="36"/>
      </w:r>
      <w:r>
        <w:rPr>
          <w:rFonts w:ascii="Times New Roman" w:eastAsia="Times New Roman" w:hAnsi="Times New Roman" w:cs="Times New Roman"/>
          <w:noProof/>
          <w:sz w:val="24"/>
          <w:szCs w:val="24"/>
          <w:lang w:eastAsia="en-GB"/>
        </w:rPr>
        <w:t xml:space="preserve"> accompanying this update presents six </w:t>
      </w:r>
      <w:r>
        <w:rPr>
          <w:rFonts w:ascii="Times New Roman" w:eastAsia="Times New Roman" w:hAnsi="Times New Roman" w:cs="Times New Roman"/>
          <w:b/>
          <w:noProof/>
          <w:sz w:val="24"/>
          <w:szCs w:val="24"/>
          <w:lang w:eastAsia="en-GB"/>
        </w:rPr>
        <w:t>in-depth reviews of strategic areas,</w:t>
      </w:r>
      <w:r>
        <w:rPr>
          <w:rFonts w:ascii="Times New Roman" w:eastAsia="Times New Roman" w:hAnsi="Times New Roman" w:cs="Times New Roman"/>
          <w:noProof/>
          <w:sz w:val="24"/>
          <w:szCs w:val="24"/>
          <w:lang w:eastAsia="en-GB"/>
        </w:rPr>
        <w:t xml:space="preserve"> i.e. </w:t>
      </w:r>
      <w:r>
        <w:rPr>
          <w:rFonts w:ascii="Times New Roman" w:eastAsia="Times New Roman" w:hAnsi="Times New Roman" w:cs="Times New Roman"/>
          <w:b/>
          <w:noProof/>
          <w:sz w:val="24"/>
          <w:szCs w:val="24"/>
          <w:lang w:eastAsia="en-GB"/>
        </w:rPr>
        <w:t xml:space="preserve">on raw materials, batteries, </w:t>
      </w:r>
      <w:r>
        <w:rPr>
          <w:rFonts w:ascii="Times New Roman" w:eastAsia="Times New Roman" w:hAnsi="Times New Roman" w:cs="Times New Roman"/>
          <w:b/>
          <w:noProof/>
          <w:sz w:val="24"/>
          <w:szCs w:val="24"/>
          <w:lang w:eastAsia="en-GB"/>
        </w:rPr>
        <w:t>active pharmaceutical ingredients, hydrogen, semiconductors and cloud and edge technologies,</w:t>
      </w:r>
      <w:r>
        <w:rPr>
          <w:rFonts w:ascii="Times New Roman" w:eastAsia="Times New Roman" w:hAnsi="Times New Roman" w:cs="Times New Roman"/>
          <w:noProof/>
          <w:sz w:val="24"/>
          <w:szCs w:val="24"/>
          <w:lang w:eastAsia="en-GB"/>
        </w:rPr>
        <w:t xml:space="preserve"> providing further insights on the origin of strategic dependencies and their impact. The Commission will engage with Member States, industry and social partners, i</w:t>
      </w:r>
      <w:r>
        <w:rPr>
          <w:rFonts w:ascii="Times New Roman" w:eastAsia="Times New Roman" w:hAnsi="Times New Roman" w:cs="Times New Roman"/>
          <w:noProof/>
          <w:sz w:val="24"/>
          <w:szCs w:val="24"/>
          <w:lang w:eastAsia="en-GB"/>
        </w:rPr>
        <w:t xml:space="preserve">ncluding with the support from the Industrial Forum </w:t>
      </w:r>
      <w:r>
        <w:rPr>
          <w:rFonts w:ascii="Times New Roman" w:eastAsia="Times New Roman" w:hAnsi="Times New Roman" w:cs="Times New Roman"/>
          <w:noProof/>
          <w:sz w:val="24"/>
          <w:szCs w:val="20"/>
          <w:lang w:eastAsia="en-GB"/>
        </w:rPr>
        <w:t>or through the Structured Dialogue on the security of medicines supply</w:t>
      </w:r>
      <w:r>
        <w:rPr>
          <w:rStyle w:val="FootnoteReference"/>
          <w:rFonts w:ascii="Times New Roman" w:eastAsia="Times New Roman" w:hAnsi="Times New Roman" w:cs="Times New Roman"/>
          <w:noProof/>
          <w:sz w:val="24"/>
          <w:szCs w:val="20"/>
          <w:lang w:eastAsia="en-GB"/>
        </w:rPr>
        <w:footnoteReference w:id="37"/>
      </w:r>
      <w:r>
        <w:rPr>
          <w:rFonts w:ascii="Times New Roman" w:eastAsia="Times New Roman" w:hAnsi="Times New Roman" w:cs="Times New Roman"/>
          <w:noProof/>
          <w:sz w:val="24"/>
          <w:szCs w:val="20"/>
          <w:lang w:eastAsia="en-GB"/>
        </w:rPr>
        <w:t xml:space="preserve"> and the pharmaceutical strategy,</w:t>
      </w:r>
      <w:r>
        <w:rPr>
          <w:rFonts w:ascii="Times New Roman" w:eastAsia="Times New Roman" w:hAnsi="Times New Roman" w:cs="Times New Roman"/>
          <w:noProof/>
          <w:sz w:val="24"/>
          <w:szCs w:val="24"/>
          <w:lang w:eastAsia="en-GB"/>
        </w:rPr>
        <w:t xml:space="preserve"> to deepen this analysis and further address the identified strategic dependencies.</w:t>
      </w:r>
    </w:p>
    <w:p w:rsidR="00795640" w:rsidRDefault="00A70A3B">
      <w:pPr>
        <w:spacing w:after="240" w:line="240" w:lineRule="auto"/>
        <w:ind w:left="-284"/>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The Commission w</w:t>
      </w:r>
      <w:r>
        <w:rPr>
          <w:rFonts w:ascii="Times New Roman" w:eastAsia="Times New Roman" w:hAnsi="Times New Roman" w:cs="Times New Roman"/>
          <w:noProof/>
          <w:sz w:val="24"/>
          <w:szCs w:val="20"/>
          <w:lang w:eastAsia="en-GB"/>
        </w:rPr>
        <w:t xml:space="preserve">ill launch a </w:t>
      </w:r>
      <w:r>
        <w:rPr>
          <w:rFonts w:ascii="Times New Roman" w:eastAsia="Times New Roman" w:hAnsi="Times New Roman" w:cs="Times New Roman"/>
          <w:b/>
          <w:noProof/>
          <w:sz w:val="24"/>
          <w:szCs w:val="20"/>
          <w:lang w:eastAsia="en-GB"/>
        </w:rPr>
        <w:t>second stage of in-depth reviews</w:t>
      </w:r>
      <w:r>
        <w:rPr>
          <w:rFonts w:ascii="Times New Roman" w:eastAsia="Times New Roman" w:hAnsi="Times New Roman" w:cs="Times New Roman"/>
          <w:noProof/>
          <w:sz w:val="24"/>
          <w:szCs w:val="20"/>
          <w:lang w:eastAsia="en-GB"/>
        </w:rPr>
        <w:t xml:space="preserve"> of potential dependencies in key areas, including products, services or technologies key to the twin transition, such as renewables, energy storage and cybersecurity. In addition, a monitoring system through th</w:t>
      </w:r>
      <w:r>
        <w:rPr>
          <w:rFonts w:ascii="Times New Roman" w:eastAsia="Times New Roman" w:hAnsi="Times New Roman" w:cs="Times New Roman"/>
          <w:noProof/>
          <w:sz w:val="24"/>
          <w:szCs w:val="20"/>
          <w:lang w:eastAsia="en-GB"/>
        </w:rPr>
        <w:t>e Commission’s Observatory of Critical Technologies</w:t>
      </w:r>
      <w:r>
        <w:rPr>
          <w:rFonts w:ascii="Times New Roman" w:eastAsia="Times New Roman" w:hAnsi="Times New Roman" w:cs="Times New Roman"/>
          <w:noProof/>
          <w:sz w:val="24"/>
          <w:szCs w:val="20"/>
          <w:vertAlign w:val="superscript"/>
          <w:lang w:eastAsia="en-GB"/>
        </w:rPr>
        <w:footnoteReference w:id="38"/>
      </w:r>
      <w:r>
        <w:rPr>
          <w:rFonts w:ascii="Times New Roman" w:eastAsia="Times New Roman" w:hAnsi="Times New Roman" w:cs="Times New Roman"/>
          <w:noProof/>
          <w:sz w:val="24"/>
          <w:szCs w:val="20"/>
          <w:lang w:eastAsia="en-GB"/>
        </w:rPr>
        <w:t xml:space="preserve"> and a periodic review process will cover both cur</w:t>
      </w:r>
      <w:bookmarkStart w:id="1" w:name="_GoBack"/>
      <w:bookmarkEnd w:id="1"/>
      <w:r>
        <w:rPr>
          <w:rFonts w:ascii="Times New Roman" w:eastAsia="Times New Roman" w:hAnsi="Times New Roman" w:cs="Times New Roman"/>
          <w:noProof/>
          <w:sz w:val="24"/>
          <w:szCs w:val="20"/>
          <w:lang w:eastAsia="en-GB"/>
        </w:rPr>
        <w:t xml:space="preserve">rent dependencies and risks of future (technological) dependencies. </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i/>
          <w:noProof/>
          <w:sz w:val="24"/>
          <w:szCs w:val="20"/>
          <w:lang w:eastAsia="en-GB"/>
        </w:rPr>
        <w:t>Building a toolbox to reduce and prevent strategic dependencies</w:t>
      </w:r>
    </w:p>
    <w:p w:rsidR="00795640" w:rsidRDefault="00A70A3B">
      <w:pPr>
        <w:spacing w:after="240" w:line="240" w:lineRule="auto"/>
        <w:ind w:left="-284"/>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 xml:space="preserve">In most cases, </w:t>
      </w:r>
      <w:r>
        <w:rPr>
          <w:rFonts w:ascii="Times New Roman" w:eastAsia="Times New Roman" w:hAnsi="Times New Roman" w:cs="Times New Roman"/>
          <w:noProof/>
          <w:sz w:val="24"/>
          <w:szCs w:val="20"/>
          <w:lang w:eastAsia="en-GB"/>
        </w:rPr>
        <w:t>industry itself is best placed – through its corporate policies and decisions – to improve resilience and reduce any dependencies that may lead to vulnerabilities, including through diversification of suppliers, increased use of secondary raw materials and</w:t>
      </w:r>
      <w:r>
        <w:rPr>
          <w:rFonts w:ascii="Times New Roman" w:eastAsia="Times New Roman" w:hAnsi="Times New Roman" w:cs="Times New Roman"/>
          <w:noProof/>
          <w:sz w:val="24"/>
          <w:szCs w:val="20"/>
          <w:lang w:eastAsia="en-GB"/>
        </w:rPr>
        <w:t xml:space="preserve"> substitution with other input materials. There are however situations where concentration of production or sourcing in only one single geographical area results in the unavailability of alternative suppliers.</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hAnsi="Times New Roman" w:cs="Times New Roman"/>
          <w:noProof/>
          <w:sz w:val="24"/>
          <w:szCs w:val="24"/>
        </w:rPr>
        <w:t>In areas of strategic importance, the Commissi</w:t>
      </w:r>
      <w:r>
        <w:rPr>
          <w:rFonts w:ascii="Times New Roman" w:hAnsi="Times New Roman" w:cs="Times New Roman"/>
          <w:noProof/>
          <w:sz w:val="24"/>
          <w:szCs w:val="24"/>
        </w:rPr>
        <w:t>on is identifying public policy measures that can support industry’s efforts to address these dependencies and to develop strategic capacity needs: diversifying supply and demand relying on different trading partners whenever possible, but also stockpiling</w:t>
      </w:r>
      <w:r>
        <w:rPr>
          <w:rFonts w:ascii="Times New Roman" w:hAnsi="Times New Roman" w:cs="Times New Roman"/>
          <w:noProof/>
          <w:sz w:val="24"/>
          <w:szCs w:val="24"/>
        </w:rPr>
        <w:t xml:space="preserve"> and acting autonomously whenever necessary. </w:t>
      </w:r>
      <w:r>
        <w:rPr>
          <w:rFonts w:ascii="Times New Roman" w:eastAsia="Times New Roman" w:hAnsi="Times New Roman" w:cs="Times New Roman"/>
          <w:noProof/>
          <w:sz w:val="24"/>
          <w:szCs w:val="20"/>
          <w:lang w:eastAsia="en-GB"/>
        </w:rPr>
        <w:t xml:space="preserve">Such measures should generally be based on a </w:t>
      </w:r>
      <w:r>
        <w:rPr>
          <w:rFonts w:ascii="Times New Roman" w:eastAsia="Times New Roman" w:hAnsi="Times New Roman" w:cs="Times New Roman"/>
          <w:b/>
          <w:noProof/>
          <w:sz w:val="24"/>
          <w:szCs w:val="20"/>
          <w:lang w:eastAsia="en-GB"/>
        </w:rPr>
        <w:t>mix of actions</w:t>
      </w:r>
      <w:r>
        <w:rPr>
          <w:rFonts w:ascii="Times New Roman" w:eastAsia="Times New Roman" w:hAnsi="Times New Roman" w:cs="Times New Roman"/>
          <w:noProof/>
          <w:sz w:val="24"/>
          <w:szCs w:val="20"/>
          <w:lang w:eastAsia="en-GB"/>
        </w:rPr>
        <w:t xml:space="preserve">, targeted and proportionate to ecosystems’ needs and identified risks. The Commission will work in close cooperation with the relevant stakeholders to </w:t>
      </w:r>
      <w:r>
        <w:rPr>
          <w:rFonts w:ascii="Times New Roman" w:eastAsia="Times New Roman" w:hAnsi="Times New Roman" w:cs="Times New Roman"/>
          <w:noProof/>
          <w:sz w:val="24"/>
          <w:szCs w:val="20"/>
          <w:lang w:eastAsia="en-GB"/>
        </w:rPr>
        <w:t xml:space="preserve">identify measures to reinforce the EU position in global value chains, including by strengthening and diversifying external trade, creating new opportunities also for </w:t>
      </w:r>
      <w:r>
        <w:rPr>
          <w:rFonts w:ascii="Times New Roman" w:eastAsia="Times New Roman" w:hAnsi="Times New Roman" w:cs="Times New Roman"/>
          <w:noProof/>
          <w:sz w:val="24"/>
          <w:szCs w:val="20"/>
          <w:lang w:val="en-IE" w:eastAsia="en-GB"/>
        </w:rPr>
        <w:t xml:space="preserve">low- and middle-income countries. </w:t>
      </w:r>
      <w:r>
        <w:rPr>
          <w:rFonts w:ascii="Times New Roman" w:hAnsi="Times New Roman" w:cs="Times New Roman"/>
          <w:noProof/>
          <w:sz w:val="24"/>
          <w:szCs w:val="24"/>
        </w:rPr>
        <w:t>A more circular economy</w:t>
      </w:r>
      <w:r>
        <w:rPr>
          <w:rFonts w:ascii="Times New Roman" w:eastAsia="Times New Roman" w:hAnsi="Times New Roman" w:cs="Times New Roman"/>
          <w:noProof/>
          <w:sz w:val="24"/>
          <w:szCs w:val="24"/>
          <w:lang w:eastAsia="en-GB"/>
        </w:rPr>
        <w:t xml:space="preserve"> and improved resource efficienc</w:t>
      </w:r>
      <w:r>
        <w:rPr>
          <w:rFonts w:ascii="Times New Roman" w:eastAsia="Times New Roman" w:hAnsi="Times New Roman" w:cs="Times New Roman"/>
          <w:noProof/>
          <w:sz w:val="24"/>
          <w:szCs w:val="24"/>
          <w:lang w:eastAsia="en-GB"/>
        </w:rPr>
        <w:t>y also contribute to reducing dependencies and strengthening resilience.</w:t>
      </w:r>
      <w:r>
        <w:rPr>
          <w:rFonts w:ascii="Times New Roman" w:eastAsia="Times New Roman" w:hAnsi="Times New Roman" w:cs="Times New Roman"/>
          <w:noProof/>
          <w:sz w:val="24"/>
          <w:szCs w:val="20"/>
          <w:lang w:eastAsia="en-GB"/>
        </w:rPr>
        <w:t xml:space="preserve"> In addition, these measures should enable the EU to strengthen its own capacity, building on the strengths of a fully functioning Single Market with open and competitive markets. It w</w:t>
      </w:r>
      <w:r>
        <w:rPr>
          <w:rFonts w:ascii="Times New Roman" w:eastAsia="Times New Roman" w:hAnsi="Times New Roman" w:cs="Times New Roman"/>
          <w:noProof/>
          <w:sz w:val="24"/>
          <w:szCs w:val="20"/>
          <w:lang w:eastAsia="en-GB"/>
        </w:rPr>
        <w:t>ill leverage its privileged relations with its closest neighbours - in particular the ones already engaged in regulatory convergence with the EU.</w:t>
      </w:r>
      <w:r>
        <w:rPr>
          <w:noProof/>
        </w:rPr>
        <w:t xml:space="preserve"> </w:t>
      </w:r>
    </w:p>
    <w:p w:rsidR="00795640" w:rsidRDefault="00A70A3B">
      <w:pPr>
        <w:spacing w:after="240" w:line="240" w:lineRule="auto"/>
        <w:ind w:left="-284"/>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The Commission will, as outlined in its Trade Policy Review</w:t>
      </w:r>
      <w:r>
        <w:rPr>
          <w:rFonts w:ascii="Times New Roman" w:eastAsia="Times New Roman" w:hAnsi="Times New Roman" w:cs="Times New Roman"/>
          <w:noProof/>
          <w:sz w:val="24"/>
          <w:szCs w:val="20"/>
          <w:vertAlign w:val="superscript"/>
          <w:lang w:eastAsia="en-GB"/>
        </w:rPr>
        <w:footnoteReference w:id="39"/>
      </w:r>
      <w:r>
        <w:rPr>
          <w:rFonts w:ascii="Times New Roman" w:eastAsia="Times New Roman" w:hAnsi="Times New Roman" w:cs="Times New Roman"/>
          <w:noProof/>
          <w:sz w:val="24"/>
          <w:szCs w:val="20"/>
          <w:lang w:eastAsia="en-GB"/>
        </w:rPr>
        <w:t xml:space="preserve">, work towards diversifying international supply </w:t>
      </w:r>
      <w:r>
        <w:rPr>
          <w:rFonts w:ascii="Times New Roman" w:eastAsia="Times New Roman" w:hAnsi="Times New Roman" w:cs="Times New Roman"/>
          <w:noProof/>
          <w:sz w:val="24"/>
          <w:szCs w:val="20"/>
          <w:lang w:eastAsia="en-GB"/>
        </w:rPr>
        <w:t xml:space="preserve">chains and </w:t>
      </w:r>
      <w:r>
        <w:rPr>
          <w:rFonts w:ascii="Times New Roman" w:eastAsia="Times New Roman" w:hAnsi="Times New Roman" w:cs="Times New Roman"/>
          <w:b/>
          <w:noProof/>
          <w:sz w:val="24"/>
          <w:szCs w:val="20"/>
          <w:lang w:eastAsia="en-GB"/>
        </w:rPr>
        <w:t>pursue international partnerships</w:t>
      </w:r>
      <w:r>
        <w:rPr>
          <w:rFonts w:ascii="Times New Roman" w:eastAsia="Times New Roman" w:hAnsi="Times New Roman" w:cs="Times New Roman"/>
          <w:noProof/>
          <w:sz w:val="24"/>
          <w:szCs w:val="20"/>
          <w:lang w:eastAsia="en-GB"/>
        </w:rPr>
        <w:t xml:space="preserve"> to increase preparedness.</w:t>
      </w:r>
      <w:r>
        <w:rPr>
          <w:rFonts w:ascii="Times New Roman" w:eastAsia="Times New Roman" w:hAnsi="Times New Roman" w:cs="Times New Roman"/>
          <w:noProof/>
          <w:sz w:val="24"/>
          <w:szCs w:val="20"/>
          <w:lang w:val="en-IE" w:eastAsia="en-GB"/>
        </w:rPr>
        <w:t xml:space="preserve">  </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0"/>
          <w:lang w:eastAsia="en-GB"/>
        </w:rPr>
        <w:t>In the areas of common dependencies with its partners,</w:t>
      </w:r>
      <w:r>
        <w:rPr>
          <w:rStyle w:val="FootnoteReference"/>
          <w:rFonts w:ascii="Times New Roman" w:eastAsia="Times New Roman" w:hAnsi="Times New Roman" w:cs="Times New Roman"/>
          <w:noProof/>
          <w:sz w:val="24"/>
          <w:szCs w:val="20"/>
          <w:lang w:eastAsia="en-GB"/>
        </w:rPr>
        <w:footnoteReference w:id="40"/>
      </w:r>
      <w:r>
        <w:rPr>
          <w:rFonts w:ascii="Times New Roman" w:eastAsia="Times New Roman" w:hAnsi="Times New Roman" w:cs="Times New Roman"/>
          <w:noProof/>
          <w:sz w:val="24"/>
          <w:szCs w:val="20"/>
          <w:lang w:eastAsia="en-GB"/>
        </w:rPr>
        <w:t xml:space="preserve"> the EU may choose to pool resources and build stronger and more diverse alternative supply chains with our closest allies and p</w:t>
      </w:r>
      <w:r>
        <w:rPr>
          <w:rFonts w:ascii="Times New Roman" w:eastAsia="Times New Roman" w:hAnsi="Times New Roman" w:cs="Times New Roman"/>
          <w:noProof/>
          <w:sz w:val="24"/>
          <w:szCs w:val="20"/>
          <w:lang w:eastAsia="en-GB"/>
        </w:rPr>
        <w:t>artners. The transatlantic relationship and the enlargement and neighbourhood policy are cornerstones of such efforts as are Free Trade Agreements with other partners and trade blocs. On the former, the proposed EU-US Trade and Technology Council could pro</w:t>
      </w:r>
      <w:r>
        <w:rPr>
          <w:rFonts w:ascii="Times New Roman" w:eastAsia="Times New Roman" w:hAnsi="Times New Roman" w:cs="Times New Roman"/>
          <w:noProof/>
          <w:sz w:val="24"/>
          <w:szCs w:val="20"/>
          <w:lang w:eastAsia="en-GB"/>
        </w:rPr>
        <w:t xml:space="preserve">vide a platform for cooperation. </w:t>
      </w:r>
    </w:p>
    <w:p w:rsidR="00795640" w:rsidRDefault="00A70A3B">
      <w:pPr>
        <w:spacing w:after="240" w:line="240" w:lineRule="auto"/>
        <w:ind w:left="-284"/>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The Commission will also examine further reverse dependencies and map areas where other countries depend on the EU. Deeper understanding of such interdependencies can better inform the EU’s policy response.</w:t>
      </w:r>
    </w:p>
    <w:p w:rsidR="00795640" w:rsidRDefault="00A70A3B">
      <w:pPr>
        <w:spacing w:after="240" w:line="240" w:lineRule="auto"/>
        <w:ind w:left="-284"/>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 xml:space="preserve">The Commission </w:t>
      </w:r>
      <w:r>
        <w:rPr>
          <w:rFonts w:ascii="Times New Roman" w:eastAsia="Times New Roman" w:hAnsi="Times New Roman" w:cs="Times New Roman"/>
          <w:noProof/>
          <w:sz w:val="24"/>
          <w:szCs w:val="20"/>
          <w:lang w:eastAsia="en-GB"/>
        </w:rPr>
        <w:t>will continue to support</w:t>
      </w:r>
      <w:r>
        <w:rPr>
          <w:rFonts w:ascii="Times New Roman" w:eastAsia="Times New Roman" w:hAnsi="Times New Roman" w:cs="Times New Roman"/>
          <w:b/>
          <w:noProof/>
          <w:sz w:val="24"/>
          <w:szCs w:val="20"/>
          <w:lang w:eastAsia="en-GB"/>
        </w:rPr>
        <w:t xml:space="preserve"> industrial alliances</w:t>
      </w:r>
      <w:r>
        <w:rPr>
          <w:rFonts w:ascii="Times New Roman" w:eastAsia="Times New Roman" w:hAnsi="Times New Roman" w:cs="Times New Roman"/>
          <w:noProof/>
          <w:sz w:val="24"/>
          <w:szCs w:val="20"/>
          <w:lang w:eastAsia="en-GB"/>
        </w:rPr>
        <w:t>, in strategic areas where such alliances are identified as the best tool to accelerate activities that would not develop otherwise, and where they help to attract private investors to discuss new business partn</w:t>
      </w:r>
      <w:r>
        <w:rPr>
          <w:rFonts w:ascii="Times New Roman" w:eastAsia="Times New Roman" w:hAnsi="Times New Roman" w:cs="Times New Roman"/>
          <w:noProof/>
          <w:sz w:val="24"/>
          <w:szCs w:val="20"/>
          <w:lang w:eastAsia="en-GB"/>
        </w:rPr>
        <w:t>erships and models in a manner that is open, transparent and fully compliant with competition rules, and where they have a potential for innovation and high-value job creation. The Commission will pay particular attention to the inclusiveness of alliances,</w:t>
      </w:r>
      <w:r>
        <w:rPr>
          <w:rFonts w:ascii="Times New Roman" w:eastAsia="Times New Roman" w:hAnsi="Times New Roman" w:cs="Times New Roman"/>
          <w:noProof/>
          <w:sz w:val="24"/>
          <w:szCs w:val="20"/>
          <w:lang w:eastAsia="en-GB"/>
        </w:rPr>
        <w:t xml:space="preserve"> for start-ups and SMEs. Such alliances should complement public-private partnerships</w:t>
      </w:r>
      <w:r>
        <w:rPr>
          <w:rStyle w:val="FootnoteReference"/>
          <w:rFonts w:ascii="Times New Roman" w:eastAsia="Times New Roman" w:hAnsi="Times New Roman" w:cs="Times New Roman"/>
          <w:noProof/>
          <w:sz w:val="24"/>
          <w:szCs w:val="20"/>
          <w:lang w:eastAsia="en-GB"/>
        </w:rPr>
        <w:footnoteReference w:id="41"/>
      </w:r>
      <w:r>
        <w:rPr>
          <w:rFonts w:ascii="Times New Roman" w:eastAsia="Times New Roman" w:hAnsi="Times New Roman" w:cs="Times New Roman"/>
          <w:noProof/>
          <w:sz w:val="24"/>
          <w:szCs w:val="20"/>
          <w:lang w:eastAsia="en-GB"/>
        </w:rPr>
        <w:t xml:space="preserve"> and provide</w:t>
      </w:r>
      <w:r>
        <w:rPr>
          <w:rFonts w:ascii="Times New Roman" w:eastAsia="Times New Roman" w:hAnsi="Times New Roman" w:cs="Times New Roman"/>
          <w:noProof/>
          <w:sz w:val="24"/>
          <w:szCs w:val="20"/>
          <w:lang w:eastAsia="fr-BE"/>
        </w:rPr>
        <w:t xml:space="preserve"> a broad and open platform to </w:t>
      </w:r>
      <w:r>
        <w:rPr>
          <w:rFonts w:ascii="Times New Roman" w:eastAsia="Times New Roman" w:hAnsi="Times New Roman" w:cs="Times New Roman"/>
          <w:noProof/>
          <w:sz w:val="24"/>
          <w:szCs w:val="20"/>
          <w:lang w:eastAsia="en-GB"/>
        </w:rPr>
        <w:t>establish strategic roadmaps and efficient coordination of research, development and innovation investment plans for technologie</w:t>
      </w:r>
      <w:r>
        <w:rPr>
          <w:rFonts w:ascii="Times New Roman" w:eastAsia="Times New Roman" w:hAnsi="Times New Roman" w:cs="Times New Roman"/>
          <w:noProof/>
          <w:sz w:val="24"/>
          <w:szCs w:val="20"/>
          <w:lang w:eastAsia="en-GB"/>
        </w:rPr>
        <w:t xml:space="preserve">s in particular ecosystems. In three of the six areas in which the Commission presents in-depth reviews with this Communication, the Commission has already launched industrial alliances: on raw materials, batteries and hydrogen. </w:t>
      </w:r>
    </w:p>
    <w:p w:rsidR="00795640" w:rsidRDefault="00A70A3B">
      <w:pPr>
        <w:spacing w:after="240" w:line="240" w:lineRule="auto"/>
        <w:ind w:left="-284"/>
        <w:jc w:val="both"/>
        <w:rPr>
          <w:rFonts w:ascii="Times New Roman" w:eastAsia="Times New Roman" w:hAnsi="Times New Roman" w:cs="Times New Roman"/>
          <w:noProof/>
          <w:sz w:val="24"/>
          <w:szCs w:val="20"/>
          <w:lang w:eastAsia="en-GB"/>
        </w:rPr>
      </w:pPr>
      <w:r>
        <w:rPr>
          <w:rFonts w:ascii="Times New Roman" w:hAnsi="Times New Roman" w:cs="Times New Roman"/>
          <w:noProof/>
          <w:sz w:val="24"/>
          <w:szCs w:val="24"/>
        </w:rPr>
        <w:t xml:space="preserve">Building on this positive </w:t>
      </w:r>
      <w:r>
        <w:rPr>
          <w:rFonts w:ascii="Times New Roman" w:hAnsi="Times New Roman" w:cs="Times New Roman"/>
          <w:noProof/>
          <w:sz w:val="24"/>
          <w:szCs w:val="24"/>
        </w:rPr>
        <w:t xml:space="preserve">experience, </w:t>
      </w:r>
      <w:r>
        <w:rPr>
          <w:rFonts w:ascii="Times New Roman" w:hAnsi="Times New Roman" w:cs="Times New Roman"/>
          <w:noProof/>
          <w:sz w:val="24"/>
          <w:szCs w:val="24"/>
          <w:lang w:eastAsia="en-GB"/>
        </w:rPr>
        <w:t>the Commission is preparing the launch of the</w:t>
      </w:r>
      <w:r>
        <w:rPr>
          <w:rFonts w:ascii="Times New Roman" w:hAnsi="Times New Roman" w:cs="Times New Roman"/>
          <w:noProof/>
          <w:sz w:val="24"/>
          <w:szCs w:val="24"/>
          <w:u w:val="single"/>
          <w:lang w:eastAsia="en-GB"/>
        </w:rPr>
        <w:t xml:space="preserve"> </w:t>
      </w:r>
      <w:r>
        <w:rPr>
          <w:rFonts w:ascii="Times New Roman" w:hAnsi="Times New Roman" w:cs="Times New Roman"/>
          <w:noProof/>
          <w:sz w:val="24"/>
          <w:szCs w:val="24"/>
          <w:lang w:eastAsia="en-GB"/>
        </w:rPr>
        <w:t xml:space="preserve">two alliances that had already been announced in the New Industrial Strategy and in the Digital Decade Communication in the digital field: </w:t>
      </w:r>
      <w:r>
        <w:rPr>
          <w:rFonts w:ascii="Times New Roman" w:hAnsi="Times New Roman" w:cs="Times New Roman"/>
          <w:noProof/>
          <w:sz w:val="24"/>
          <w:szCs w:val="24"/>
        </w:rPr>
        <w:t xml:space="preserve">the </w:t>
      </w:r>
      <w:r>
        <w:rPr>
          <w:rFonts w:ascii="Times New Roman" w:hAnsi="Times New Roman" w:cs="Times New Roman"/>
          <w:b/>
          <w:bCs/>
          <w:noProof/>
          <w:sz w:val="24"/>
          <w:szCs w:val="24"/>
        </w:rPr>
        <w:t>Alliance on</w:t>
      </w:r>
      <w:r>
        <w:rPr>
          <w:rFonts w:ascii="Times New Roman" w:hAnsi="Times New Roman" w:cs="Times New Roman"/>
          <w:noProof/>
          <w:sz w:val="24"/>
          <w:szCs w:val="24"/>
        </w:rPr>
        <w:t xml:space="preserve"> </w:t>
      </w:r>
      <w:r>
        <w:rPr>
          <w:rFonts w:ascii="Times New Roman" w:hAnsi="Times New Roman" w:cs="Times New Roman"/>
          <w:b/>
          <w:bCs/>
          <w:noProof/>
          <w:sz w:val="24"/>
          <w:szCs w:val="24"/>
        </w:rPr>
        <w:t xml:space="preserve">processors and semiconductor technologies </w:t>
      </w:r>
      <w:r>
        <w:rPr>
          <w:rFonts w:ascii="Times New Roman" w:hAnsi="Times New Roman" w:cs="Times New Roman"/>
          <w:noProof/>
          <w:sz w:val="24"/>
          <w:szCs w:val="24"/>
        </w:rPr>
        <w:t>a</w:t>
      </w:r>
      <w:r>
        <w:rPr>
          <w:rFonts w:ascii="Times New Roman" w:hAnsi="Times New Roman" w:cs="Times New Roman"/>
          <w:noProof/>
          <w:sz w:val="24"/>
          <w:szCs w:val="24"/>
        </w:rPr>
        <w:t>nd the</w:t>
      </w:r>
      <w:r>
        <w:rPr>
          <w:rFonts w:ascii="Times New Roman" w:hAnsi="Times New Roman" w:cs="Times New Roman"/>
          <w:b/>
          <w:bCs/>
          <w:noProof/>
          <w:sz w:val="24"/>
          <w:szCs w:val="24"/>
        </w:rPr>
        <w:t> Alliance for</w:t>
      </w:r>
      <w:r>
        <w:rPr>
          <w:rFonts w:ascii="Times New Roman" w:hAnsi="Times New Roman" w:cs="Times New Roman"/>
          <w:noProof/>
          <w:sz w:val="24"/>
          <w:szCs w:val="24"/>
        </w:rPr>
        <w:t xml:space="preserve"> </w:t>
      </w:r>
      <w:r>
        <w:rPr>
          <w:rFonts w:ascii="Times New Roman" w:hAnsi="Times New Roman" w:cs="Times New Roman"/>
          <w:b/>
          <w:bCs/>
          <w:noProof/>
          <w:sz w:val="24"/>
          <w:szCs w:val="24"/>
        </w:rPr>
        <w:t>Industrial Data, Edge and Cloud.</w:t>
      </w:r>
      <w:r>
        <w:rPr>
          <w:rFonts w:ascii="Times New Roman" w:hAnsi="Times New Roman" w:cs="Times New Roman"/>
          <w:noProof/>
          <w:sz w:val="24"/>
          <w:szCs w:val="24"/>
        </w:rPr>
        <w:t xml:space="preserve"> Bringing together a wide range of stakeholders, these alliances will help achieve key EU policy objectives in microelectronics and strengthen Europe’s industrial position in the global cloud and edge com</w:t>
      </w:r>
      <w:r>
        <w:rPr>
          <w:rFonts w:ascii="Times New Roman" w:hAnsi="Times New Roman" w:cs="Times New Roman"/>
          <w:noProof/>
          <w:sz w:val="24"/>
          <w:szCs w:val="24"/>
        </w:rPr>
        <w:t xml:space="preserve">puting market, </w:t>
      </w:r>
      <w:r>
        <w:rPr>
          <w:rFonts w:ascii="Times New Roman" w:hAnsi="Times New Roman" w:cs="Times New Roman"/>
          <w:noProof/>
          <w:sz w:val="24"/>
          <w:szCs w:val="24"/>
          <w:lang w:eastAsia="en-GB"/>
        </w:rPr>
        <w:t>notably addressing the trend towards increasing distribution and decentralisation of data processing capacities and the need to enable federated and vendor-agnostic cloud ecosystem.</w:t>
      </w:r>
    </w:p>
    <w:p w:rsidR="00795640" w:rsidRDefault="00A70A3B">
      <w:pPr>
        <w:spacing w:after="120" w:line="240" w:lineRule="auto"/>
        <w:ind w:left="-284"/>
        <w:jc w:val="both"/>
        <w:rPr>
          <w:rFonts w:ascii="Times New Roman" w:hAnsi="Times New Roman" w:cs="Times New Roman"/>
          <w:noProof/>
          <w:sz w:val="24"/>
          <w:szCs w:val="24"/>
        </w:rPr>
      </w:pPr>
      <w:r>
        <w:rPr>
          <w:rFonts w:ascii="Times New Roman" w:hAnsi="Times New Roman" w:cs="Times New Roman"/>
          <w:noProof/>
          <w:sz w:val="24"/>
          <w:szCs w:val="24"/>
        </w:rPr>
        <w:t>The Commission is also considering the preparation of: i/ a</w:t>
      </w:r>
      <w:r>
        <w:rPr>
          <w:rFonts w:ascii="Times New Roman" w:hAnsi="Times New Roman" w:cs="Times New Roman"/>
          <w:noProof/>
          <w:sz w:val="24"/>
          <w:szCs w:val="24"/>
        </w:rPr>
        <w:t xml:space="preserve">n </w:t>
      </w:r>
      <w:r>
        <w:rPr>
          <w:rFonts w:ascii="Times New Roman" w:hAnsi="Times New Roman" w:cs="Times New Roman"/>
          <w:b/>
          <w:noProof/>
          <w:sz w:val="24"/>
          <w:szCs w:val="24"/>
        </w:rPr>
        <w:t>Alliance on</w:t>
      </w:r>
      <w:r>
        <w:rPr>
          <w:rFonts w:ascii="Times New Roman" w:hAnsi="Times New Roman" w:cs="Times New Roman"/>
          <w:noProof/>
          <w:sz w:val="24"/>
          <w:szCs w:val="24"/>
        </w:rPr>
        <w:t xml:space="preserve"> </w:t>
      </w:r>
      <w:r>
        <w:rPr>
          <w:rFonts w:ascii="Times New Roman" w:hAnsi="Times New Roman" w:cs="Times New Roman"/>
          <w:b/>
          <w:noProof/>
          <w:sz w:val="24"/>
          <w:szCs w:val="24"/>
        </w:rPr>
        <w:t>Space Launchers</w:t>
      </w:r>
      <w:r>
        <w:rPr>
          <w:rFonts w:ascii="Times New Roman" w:hAnsi="Times New Roman" w:cs="Times New Roman"/>
          <w:noProof/>
          <w:sz w:val="24"/>
          <w:szCs w:val="24"/>
        </w:rPr>
        <w:t xml:space="preserve"> to bring together all players, big and small, to work towards a globally competitive, cost-effective and autonomous EU access to space; and ii/ an </w:t>
      </w:r>
      <w:r>
        <w:rPr>
          <w:rFonts w:ascii="Times New Roman" w:hAnsi="Times New Roman" w:cs="Times New Roman"/>
          <w:b/>
          <w:noProof/>
          <w:sz w:val="24"/>
          <w:szCs w:val="24"/>
        </w:rPr>
        <w:t>Alliance</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on Zero Emission Aviation </w:t>
      </w:r>
      <w:r>
        <w:rPr>
          <w:rFonts w:ascii="Times New Roman" w:hAnsi="Times New Roman" w:cs="Times New Roman"/>
          <w:noProof/>
          <w:sz w:val="24"/>
          <w:szCs w:val="24"/>
        </w:rPr>
        <w:t xml:space="preserve">to ensure market readiness for disruptive </w:t>
      </w:r>
      <w:r>
        <w:rPr>
          <w:rFonts w:ascii="Times New Roman" w:hAnsi="Times New Roman" w:cs="Times New Roman"/>
          <w:noProof/>
          <w:sz w:val="24"/>
          <w:szCs w:val="24"/>
        </w:rPr>
        <w:t>aircraft configurations (e.g. hydrogen, electric), leveraging the existing investments under the Clean Sky initiative and contributing to Europe’s 2050 climate neutrality objective, working in full complementarity with the Renewable and Low-Carbon Fuels Al</w:t>
      </w:r>
      <w:r>
        <w:rPr>
          <w:rFonts w:ascii="Times New Roman" w:hAnsi="Times New Roman" w:cs="Times New Roman"/>
          <w:noProof/>
          <w:sz w:val="24"/>
          <w:szCs w:val="24"/>
        </w:rPr>
        <w:t>liance</w:t>
      </w:r>
      <w:r>
        <w:rPr>
          <w:rStyle w:val="FootnoteReference"/>
          <w:rFonts w:ascii="Times New Roman" w:hAnsi="Times New Roman" w:cs="Times New Roman"/>
          <w:noProof/>
          <w:sz w:val="24"/>
          <w:szCs w:val="24"/>
        </w:rPr>
        <w:footnoteReference w:id="42"/>
      </w:r>
      <w:r>
        <w:rPr>
          <w:rFonts w:ascii="Times New Roman" w:hAnsi="Times New Roman" w:cs="Times New Roman"/>
          <w:noProof/>
          <w:sz w:val="24"/>
          <w:szCs w:val="24"/>
        </w:rPr>
        <w:t xml:space="preserve"> currently under consideration.</w:t>
      </w:r>
    </w:p>
    <w:p w:rsidR="00795640" w:rsidRDefault="00A70A3B">
      <w:pPr>
        <w:spacing w:after="240" w:line="240" w:lineRule="auto"/>
        <w:ind w:left="-284"/>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 xml:space="preserve">The Commission will continue to support Member States’ efforts to pool public resources via </w:t>
      </w:r>
      <w:r>
        <w:rPr>
          <w:rFonts w:ascii="Times New Roman" w:eastAsia="Times New Roman" w:hAnsi="Times New Roman" w:cs="Times New Roman"/>
          <w:b/>
          <w:noProof/>
          <w:sz w:val="24"/>
          <w:szCs w:val="20"/>
          <w:lang w:eastAsia="en-GB"/>
        </w:rPr>
        <w:t xml:space="preserve">Important Projects of Common European Interest </w:t>
      </w:r>
      <w:r>
        <w:rPr>
          <w:rFonts w:ascii="Times New Roman" w:eastAsia="Times New Roman" w:hAnsi="Times New Roman" w:cs="Times New Roman"/>
          <w:noProof/>
          <w:sz w:val="24"/>
          <w:szCs w:val="20"/>
          <w:lang w:eastAsia="en-GB"/>
        </w:rPr>
        <w:t>(IPCEIs) in areas where the market alone cannot deliver breakthrough innovatio</w:t>
      </w:r>
      <w:r>
        <w:rPr>
          <w:rFonts w:ascii="Times New Roman" w:eastAsia="Times New Roman" w:hAnsi="Times New Roman" w:cs="Times New Roman"/>
          <w:noProof/>
          <w:sz w:val="24"/>
          <w:szCs w:val="20"/>
          <w:lang w:eastAsia="en-GB"/>
        </w:rPr>
        <w:t>n, as has been the case in the areas of batteries</w:t>
      </w:r>
      <w:r>
        <w:rPr>
          <w:rFonts w:ascii="Times New Roman" w:eastAsia="Times New Roman" w:hAnsi="Times New Roman" w:cs="Times New Roman"/>
          <w:noProof/>
          <w:sz w:val="24"/>
          <w:szCs w:val="20"/>
          <w:vertAlign w:val="superscript"/>
          <w:lang w:eastAsia="en-GB"/>
        </w:rPr>
        <w:footnoteReference w:id="43"/>
      </w:r>
      <w:r>
        <w:rPr>
          <w:rFonts w:ascii="Times New Roman" w:eastAsia="Times New Roman" w:hAnsi="Times New Roman" w:cs="Times New Roman"/>
          <w:noProof/>
          <w:sz w:val="24"/>
          <w:szCs w:val="20"/>
          <w:lang w:eastAsia="en-GB"/>
        </w:rPr>
        <w:t xml:space="preserve"> and microelectronics.</w:t>
      </w:r>
      <w:r>
        <w:rPr>
          <w:rFonts w:ascii="Times New Roman" w:eastAsia="Times New Roman" w:hAnsi="Times New Roman" w:cs="Times New Roman"/>
          <w:noProof/>
          <w:sz w:val="24"/>
          <w:szCs w:val="20"/>
          <w:vertAlign w:val="superscript"/>
          <w:lang w:eastAsia="en-GB"/>
        </w:rPr>
        <w:footnoteReference w:id="44"/>
      </w:r>
      <w:r>
        <w:rPr>
          <w:rFonts w:ascii="Times New Roman" w:eastAsia="Times New Roman" w:hAnsi="Times New Roman" w:cs="Times New Roman"/>
          <w:noProof/>
          <w:sz w:val="24"/>
          <w:szCs w:val="20"/>
          <w:lang w:eastAsia="en-GB"/>
        </w:rPr>
        <w:t xml:space="preserve"> Member States and companies have jointly expressed interest to engage in additional IPCEIs, such as next-generation cloud, hydrogen, low-carbon industry, pharmaceuticals and a second</w:t>
      </w:r>
      <w:r>
        <w:rPr>
          <w:rFonts w:ascii="Times New Roman" w:eastAsia="Times New Roman" w:hAnsi="Times New Roman" w:cs="Times New Roman"/>
          <w:noProof/>
          <w:sz w:val="24"/>
          <w:szCs w:val="20"/>
          <w:lang w:eastAsia="en-GB"/>
        </w:rPr>
        <w:t xml:space="preserve"> IPCEI on cutting-edge semi-conductors. The Commission will examine these project plans attentively and, where the criteria are met, will accompany them as they reach maturity. In appropriate cases, such as in the case of batteries, industrial alliances ca</w:t>
      </w:r>
      <w:r>
        <w:rPr>
          <w:rFonts w:ascii="Times New Roman" w:eastAsia="Times New Roman" w:hAnsi="Times New Roman" w:cs="Times New Roman"/>
          <w:noProof/>
          <w:sz w:val="24"/>
          <w:szCs w:val="20"/>
          <w:lang w:eastAsia="en-GB"/>
        </w:rPr>
        <w:t>n help to prepare such IPCEIs.</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EU budget can also support investments in areas of strategic importance. For instance, the national recovery and resilience plans can include contributions to the Member State compartments under the InvestEU Programme and</w:t>
      </w:r>
      <w:r>
        <w:rPr>
          <w:rFonts w:ascii="Times New Roman" w:eastAsia="Times New Roman" w:hAnsi="Times New Roman" w:cs="Times New Roman"/>
          <w:noProof/>
          <w:sz w:val="24"/>
          <w:szCs w:val="24"/>
          <w:lang w:eastAsia="en-GB"/>
        </w:rPr>
        <w:t xml:space="preserve"> Member States could use parts of their national allocations to invest in such sectors. </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Strategic dependencies can have </w:t>
      </w:r>
      <w:r>
        <w:rPr>
          <w:rFonts w:ascii="Times New Roman" w:eastAsia="Times New Roman" w:hAnsi="Times New Roman" w:cs="Times New Roman"/>
          <w:b/>
          <w:noProof/>
          <w:sz w:val="24"/>
          <w:szCs w:val="24"/>
          <w:lang w:eastAsia="en-GB"/>
        </w:rPr>
        <w:t>a particular impact on SMEs</w:t>
      </w:r>
      <w:r>
        <w:rPr>
          <w:rFonts w:ascii="Times New Roman" w:eastAsia="Times New Roman" w:hAnsi="Times New Roman" w:cs="Times New Roman"/>
          <w:noProof/>
          <w:sz w:val="24"/>
          <w:szCs w:val="24"/>
          <w:lang w:eastAsia="en-GB"/>
        </w:rPr>
        <w:t>, ranging from higher switching costs to a lack of vibrant start-up communities and innovative smaller provi</w:t>
      </w:r>
      <w:r>
        <w:rPr>
          <w:rFonts w:ascii="Times New Roman" w:eastAsia="Times New Roman" w:hAnsi="Times New Roman" w:cs="Times New Roman"/>
          <w:noProof/>
          <w:sz w:val="24"/>
          <w:szCs w:val="24"/>
          <w:lang w:eastAsia="en-GB"/>
        </w:rPr>
        <w:t xml:space="preserve">ders. In 2021, with a combined budget of EUR 61 million under the Single Market Programme the European Cluster Collaboration Platform and Enterprise Europe Network </w:t>
      </w:r>
      <w:r>
        <w:rPr>
          <w:rFonts w:ascii="Times New Roman" w:hAnsi="Times New Roman" w:cs="Times New Roman"/>
          <w:noProof/>
          <w:sz w:val="24"/>
        </w:rPr>
        <w:t xml:space="preserve">will take reinforced actions to </w:t>
      </w:r>
      <w:r>
        <w:rPr>
          <w:rFonts w:ascii="Times New Roman" w:eastAsia="Times New Roman" w:hAnsi="Times New Roman" w:cs="Times New Roman"/>
          <w:noProof/>
          <w:sz w:val="24"/>
          <w:szCs w:val="24"/>
          <w:lang w:eastAsia="en-GB"/>
        </w:rPr>
        <w:t>assist SMEs to address disruptions and vulnerabilities or di</w:t>
      </w:r>
      <w:r>
        <w:rPr>
          <w:rFonts w:ascii="Times New Roman" w:eastAsia="Times New Roman" w:hAnsi="Times New Roman" w:cs="Times New Roman"/>
          <w:noProof/>
          <w:sz w:val="24"/>
          <w:szCs w:val="24"/>
          <w:lang w:eastAsia="en-GB"/>
        </w:rPr>
        <w:t>versify by connecting them to new local and cross-border partners, thereby increasing SME resilience. Digital solutions, such as industrial manufacturing data spaces, would also lead to more flexible supply chains.</w:t>
      </w:r>
      <w:r>
        <w:rPr>
          <w:rFonts w:ascii="Times New Roman" w:eastAsia="Times New Roman" w:hAnsi="Times New Roman" w:cs="Times New Roman"/>
          <w:b/>
          <w:noProof/>
          <w:sz w:val="24"/>
          <w:szCs w:val="24"/>
          <w:lang w:eastAsia="en-GB"/>
        </w:rPr>
        <w:t xml:space="preserve"> </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Global leadership in technologies goes h</w:t>
      </w:r>
      <w:r>
        <w:rPr>
          <w:rFonts w:ascii="Times New Roman" w:eastAsia="Times New Roman" w:hAnsi="Times New Roman" w:cs="Times New Roman"/>
          <w:noProof/>
          <w:sz w:val="24"/>
          <w:szCs w:val="24"/>
          <w:lang w:eastAsia="en-GB"/>
        </w:rPr>
        <w:t xml:space="preserve">and-in-hand with </w:t>
      </w:r>
      <w:r>
        <w:rPr>
          <w:rFonts w:ascii="Times New Roman" w:eastAsia="Times New Roman" w:hAnsi="Times New Roman" w:cs="Times New Roman"/>
          <w:b/>
          <w:noProof/>
          <w:sz w:val="24"/>
          <w:szCs w:val="24"/>
          <w:lang w:eastAsia="en-GB"/>
        </w:rPr>
        <w:t xml:space="preserve">leadership in standard-setting </w:t>
      </w:r>
      <w:r>
        <w:rPr>
          <w:rFonts w:ascii="Times New Roman" w:eastAsia="Times New Roman" w:hAnsi="Times New Roman" w:cs="Times New Roman"/>
          <w:noProof/>
          <w:sz w:val="24"/>
          <w:szCs w:val="24"/>
          <w:lang w:eastAsia="en-GB"/>
        </w:rPr>
        <w:t>and ensuring interoperability</w:t>
      </w:r>
      <w:r>
        <w:rPr>
          <w:rFonts w:ascii="Times New Roman" w:eastAsia="Times New Roman" w:hAnsi="Times New Roman" w:cs="Times New Roman"/>
          <w:b/>
          <w:noProof/>
          <w:sz w:val="24"/>
          <w:szCs w:val="24"/>
          <w:lang w:eastAsia="en-GB"/>
        </w:rPr>
        <w:t>.</w:t>
      </w:r>
      <w:r>
        <w:rPr>
          <w:rFonts w:ascii="Times New Roman" w:eastAsia="Times New Roman" w:hAnsi="Times New Roman" w:cs="Times New Roman"/>
          <w:noProof/>
          <w:sz w:val="24"/>
          <w:szCs w:val="24"/>
          <w:lang w:eastAsia="en-GB"/>
        </w:rPr>
        <w:t xml:space="preserve"> Global convergence on the same international standards helps reduce adaptation costs and strengthens EU and global value chains.</w:t>
      </w:r>
      <w:r>
        <w:rPr>
          <w:noProof/>
        </w:rPr>
        <w:t xml:space="preserve"> </w:t>
      </w:r>
      <w:r>
        <w:rPr>
          <w:rFonts w:ascii="Times New Roman" w:eastAsia="Times New Roman" w:hAnsi="Times New Roman" w:cs="Times New Roman"/>
          <w:noProof/>
          <w:sz w:val="24"/>
          <w:szCs w:val="24"/>
          <w:lang w:eastAsia="en-GB"/>
        </w:rPr>
        <w:t xml:space="preserve">For the EU to retain its influence in setting global standards, its own standardisation system, a core of the Single Market, has to function in an agile and efficient way. Be it on hydrogen, batteries, offshore wind, safe chemicals, cybersecurity or space </w:t>
      </w:r>
      <w:r>
        <w:rPr>
          <w:rFonts w:ascii="Times New Roman" w:eastAsia="Times New Roman" w:hAnsi="Times New Roman" w:cs="Times New Roman"/>
          <w:noProof/>
          <w:sz w:val="24"/>
          <w:szCs w:val="24"/>
          <w:lang w:eastAsia="en-GB"/>
        </w:rPr>
        <w:t>data, our industry needs European and international standards that underpin its twin transition in a timely manner. Establishing global leadership in these key priority standards is also a critical matter for the competitiveness and resilience of EU indust</w:t>
      </w:r>
      <w:r>
        <w:rPr>
          <w:rFonts w:ascii="Times New Roman" w:eastAsia="Times New Roman" w:hAnsi="Times New Roman" w:cs="Times New Roman"/>
          <w:noProof/>
          <w:sz w:val="24"/>
          <w:szCs w:val="24"/>
          <w:lang w:eastAsia="en-GB"/>
        </w:rPr>
        <w:t xml:space="preserve">ries. </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0"/>
          <w:lang w:eastAsia="en-GB"/>
        </w:rPr>
        <w:t xml:space="preserve">The Commission will present a </w:t>
      </w:r>
      <w:r>
        <w:rPr>
          <w:rFonts w:ascii="Times New Roman" w:eastAsia="Times New Roman" w:hAnsi="Times New Roman" w:cs="Times New Roman"/>
          <w:b/>
          <w:noProof/>
          <w:sz w:val="24"/>
          <w:szCs w:val="20"/>
          <w:lang w:eastAsia="en-GB"/>
        </w:rPr>
        <w:t xml:space="preserve">strategy on standardisation. </w:t>
      </w:r>
      <w:r>
        <w:rPr>
          <w:rFonts w:ascii="Times New Roman" w:eastAsia="Times New Roman" w:hAnsi="Times New Roman" w:cs="Times New Roman"/>
          <w:noProof/>
          <w:sz w:val="24"/>
          <w:szCs w:val="20"/>
          <w:lang w:eastAsia="en-GB"/>
        </w:rPr>
        <w:t>This will support a more assertive stance on European interests in standardisation (in the EU and globally)and in working openly with others on certain areas of mutual interests (e.g. US and</w:t>
      </w:r>
      <w:r>
        <w:rPr>
          <w:rFonts w:ascii="Times New Roman" w:eastAsia="Times New Roman" w:hAnsi="Times New Roman" w:cs="Times New Roman"/>
          <w:noProof/>
          <w:sz w:val="24"/>
          <w:szCs w:val="20"/>
          <w:lang w:eastAsia="en-GB"/>
        </w:rPr>
        <w:t xml:space="preserve"> Canada on lawful and ethical use of AI). In this context, the Commission will assess whether amendments to the Standardisation Regulation are required to achieve these objectives. A Joint Task Force between the Commission and European Standardisation Orga</w:t>
      </w:r>
      <w:r>
        <w:rPr>
          <w:rFonts w:ascii="Times New Roman" w:eastAsia="Times New Roman" w:hAnsi="Times New Roman" w:cs="Times New Roman"/>
          <w:noProof/>
          <w:sz w:val="24"/>
          <w:szCs w:val="20"/>
          <w:lang w:eastAsia="en-GB"/>
        </w:rPr>
        <w:t>nisation (ESOs) will define agreed solutions to adopt in a fast manner those standards identified as crucial.</w:t>
      </w:r>
      <w:r>
        <w:rPr>
          <w:rFonts w:ascii="Times New Roman" w:eastAsia="Times New Roman" w:hAnsi="Times New Roman" w:cs="Times New Roman"/>
          <w:noProof/>
          <w:sz w:val="24"/>
          <w:szCs w:val="24"/>
          <w:lang w:eastAsia="en-GB"/>
        </w:rPr>
        <w:t xml:space="preserve"> The Commission will also pay particular attention to anticipating standardisation needs that support the twin transition of industrial ecosystems.</w:t>
      </w:r>
      <w:r>
        <w:rPr>
          <w:rFonts w:ascii="Times New Roman" w:eastAsia="Times New Roman" w:hAnsi="Times New Roman" w:cs="Times New Roman"/>
          <w:noProof/>
          <w:sz w:val="24"/>
          <w:szCs w:val="24"/>
          <w:lang w:eastAsia="en-GB"/>
        </w:rPr>
        <w:t xml:space="preserve"> </w:t>
      </w:r>
    </w:p>
    <w:p w:rsidR="00795640" w:rsidRDefault="00A70A3B">
      <w:pPr>
        <w:spacing w:after="240" w:line="240" w:lineRule="auto"/>
        <w:ind w:left="-284"/>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 xml:space="preserve">European companies need to benefit from a level playing field globally and in the Single Market. </w:t>
      </w:r>
      <w:r>
        <w:rPr>
          <w:rFonts w:ascii="Times New Roman" w:eastAsia="Times New Roman" w:hAnsi="Times New Roman" w:cs="Times New Roman"/>
          <w:noProof/>
          <w:sz w:val="24"/>
          <w:szCs w:val="20"/>
          <w:lang w:val="en-IE" w:eastAsia="en-GB"/>
        </w:rPr>
        <w:t xml:space="preserve"> EU competition and trade policies have to remain assertive against unfair and coercive practices, while favouring international cooperation to solve global </w:t>
      </w:r>
      <w:r>
        <w:rPr>
          <w:rFonts w:ascii="Times New Roman" w:eastAsia="Times New Roman" w:hAnsi="Times New Roman" w:cs="Times New Roman"/>
          <w:noProof/>
          <w:sz w:val="24"/>
          <w:szCs w:val="20"/>
          <w:lang w:val="en-IE" w:eastAsia="en-GB"/>
        </w:rPr>
        <w:t>common problems</w:t>
      </w:r>
      <w:r>
        <w:rPr>
          <w:rFonts w:ascii="Times New Roman" w:eastAsia="Times New Roman" w:hAnsi="Times New Roman" w:cs="Times New Roman"/>
          <w:noProof/>
          <w:sz w:val="24"/>
          <w:szCs w:val="20"/>
          <w:lang w:eastAsia="en-GB"/>
        </w:rPr>
        <w:t>.  In conjunction with the present Communication, the Commission is proposing a legal instrument to address the potentially</w:t>
      </w:r>
      <w:r>
        <w:rPr>
          <w:rFonts w:ascii="Times New Roman" w:eastAsia="Times New Roman" w:hAnsi="Times New Roman" w:cs="Times New Roman"/>
          <w:b/>
          <w:noProof/>
          <w:sz w:val="24"/>
          <w:szCs w:val="20"/>
          <w:lang w:eastAsia="en-GB"/>
        </w:rPr>
        <w:t xml:space="preserve"> distortive effects of foreign subsidies</w:t>
      </w:r>
      <w:r>
        <w:rPr>
          <w:rFonts w:ascii="Times New Roman" w:eastAsia="Times New Roman" w:hAnsi="Times New Roman" w:cs="Times New Roman"/>
          <w:noProof/>
          <w:sz w:val="24"/>
          <w:szCs w:val="20"/>
          <w:lang w:eastAsia="en-GB"/>
        </w:rPr>
        <w:t xml:space="preserve"> in the Single Market. </w:t>
      </w:r>
      <w:r>
        <w:rPr>
          <w:rFonts w:ascii="Times New Roman" w:eastAsia="Times New Roman" w:hAnsi="Times New Roman" w:cs="Times New Roman"/>
          <w:noProof/>
          <w:sz w:val="24"/>
          <w:szCs w:val="24"/>
          <w:lang w:eastAsia="en-GB"/>
        </w:rPr>
        <w:t>It will make sure that potentially distortive subsidies</w:t>
      </w:r>
      <w:r>
        <w:rPr>
          <w:rFonts w:ascii="Times New Roman" w:eastAsia="Times New Roman" w:hAnsi="Times New Roman" w:cs="Times New Roman"/>
          <w:noProof/>
          <w:sz w:val="24"/>
          <w:szCs w:val="24"/>
          <w:lang w:eastAsia="en-GB"/>
        </w:rPr>
        <w:t xml:space="preserve"> granted by foreign governments to undertakings wishing to acquire an EU company or bid in public procurement do no longer go unchecked. </w:t>
      </w:r>
      <w:r>
        <w:rPr>
          <w:rFonts w:ascii="Times New Roman" w:eastAsia="Times New Roman" w:hAnsi="Times New Roman" w:cs="Times New Roman"/>
          <w:noProof/>
          <w:sz w:val="24"/>
          <w:szCs w:val="20"/>
          <w:lang w:eastAsia="en-GB"/>
        </w:rPr>
        <w:t xml:space="preserve">The Commission will continue to address with our trading partners distortive industrial subsidies. </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0"/>
          <w:lang w:eastAsia="en-GB"/>
        </w:rPr>
        <w:t>Public spending thr</w:t>
      </w:r>
      <w:r>
        <w:rPr>
          <w:rFonts w:ascii="Times New Roman" w:eastAsia="Times New Roman" w:hAnsi="Times New Roman" w:cs="Times New Roman"/>
          <w:noProof/>
          <w:sz w:val="24"/>
          <w:szCs w:val="20"/>
          <w:lang w:eastAsia="en-GB"/>
        </w:rPr>
        <w:t>ough procurement amounts to 14% of EU GDP each year. The European public procurement framework can help strengthen companies’ competitiveness, including through the use of strategic criteria notably for green, social and innovation procurement, while ensur</w:t>
      </w:r>
      <w:r>
        <w:rPr>
          <w:rFonts w:ascii="Times New Roman" w:eastAsia="Times New Roman" w:hAnsi="Times New Roman" w:cs="Times New Roman"/>
          <w:noProof/>
          <w:sz w:val="24"/>
          <w:szCs w:val="20"/>
          <w:lang w:eastAsia="en-GB"/>
        </w:rPr>
        <w:t xml:space="preserve">ing transparency and competition. It </w:t>
      </w:r>
      <w:r>
        <w:rPr>
          <w:rFonts w:ascii="Times New Roman" w:eastAsia="Times New Roman" w:hAnsi="Times New Roman" w:cs="Times New Roman"/>
          <w:noProof/>
          <w:sz w:val="24"/>
          <w:szCs w:val="24"/>
          <w:lang w:eastAsia="en-GB"/>
        </w:rPr>
        <w:t>is also important to increase innovation procurement of digital solutions and in R&amp;D procurement.</w:t>
      </w:r>
      <w:r>
        <w:rPr>
          <w:rStyle w:val="FootnoteReference"/>
          <w:rFonts w:ascii="Times New Roman" w:eastAsia="Times New Roman" w:hAnsi="Times New Roman" w:cs="Times New Roman"/>
          <w:noProof/>
          <w:sz w:val="24"/>
          <w:szCs w:val="24"/>
          <w:lang w:eastAsia="en-GB"/>
        </w:rPr>
        <w:footnoteReference w:id="45"/>
      </w:r>
      <w:r>
        <w:rPr>
          <w:rFonts w:ascii="Times New Roman" w:eastAsia="Times New Roman" w:hAnsi="Times New Roman" w:cs="Times New Roman"/>
          <w:noProof/>
          <w:sz w:val="24"/>
          <w:szCs w:val="24"/>
          <w:lang w:eastAsia="en-GB"/>
        </w:rPr>
        <w:t xml:space="preserve"> In addition, </w:t>
      </w:r>
      <w:r>
        <w:rPr>
          <w:rFonts w:ascii="Times New Roman" w:eastAsia="Times New Roman" w:hAnsi="Times New Roman" w:cs="Times New Roman"/>
          <w:noProof/>
          <w:sz w:val="24"/>
          <w:szCs w:val="20"/>
          <w:lang w:eastAsia="en-GB"/>
        </w:rPr>
        <w:t xml:space="preserve">the Commission will develop </w:t>
      </w:r>
      <w:r>
        <w:rPr>
          <w:rFonts w:ascii="Times New Roman" w:eastAsia="Times New Roman" w:hAnsi="Times New Roman" w:cs="Times New Roman"/>
          <w:b/>
          <w:noProof/>
          <w:sz w:val="24"/>
          <w:szCs w:val="20"/>
          <w:lang w:eastAsia="en-GB"/>
        </w:rPr>
        <w:t>guidance on how to use public procurement effectively to strengthen the resilie</w:t>
      </w:r>
      <w:r>
        <w:rPr>
          <w:rFonts w:ascii="Times New Roman" w:eastAsia="Times New Roman" w:hAnsi="Times New Roman" w:cs="Times New Roman"/>
          <w:b/>
          <w:noProof/>
          <w:sz w:val="24"/>
          <w:szCs w:val="20"/>
          <w:lang w:eastAsia="en-GB"/>
        </w:rPr>
        <w:t xml:space="preserve">nce of key ecosystems, </w:t>
      </w:r>
      <w:r>
        <w:rPr>
          <w:rFonts w:ascii="Times New Roman" w:eastAsia="Times New Roman" w:hAnsi="Times New Roman" w:cs="Times New Roman"/>
          <w:noProof/>
          <w:sz w:val="24"/>
          <w:szCs w:val="20"/>
          <w:lang w:eastAsia="en-GB"/>
        </w:rPr>
        <w:t>using</w:t>
      </w:r>
      <w:r>
        <w:rPr>
          <w:rFonts w:ascii="Times New Roman" w:eastAsia="Times New Roman" w:hAnsi="Times New Roman" w:cs="Times New Roman"/>
          <w:b/>
          <w:noProof/>
          <w:sz w:val="24"/>
          <w:szCs w:val="20"/>
          <w:lang w:eastAsia="en-GB"/>
        </w:rPr>
        <w:t xml:space="preserve"> </w:t>
      </w:r>
      <w:r>
        <w:rPr>
          <w:rFonts w:ascii="Times New Roman" w:eastAsia="Times New Roman" w:hAnsi="Times New Roman" w:cs="Times New Roman"/>
          <w:noProof/>
          <w:sz w:val="24"/>
          <w:szCs w:val="20"/>
          <w:lang w:eastAsia="en-GB"/>
        </w:rPr>
        <w:t>a toolbox to help public buyers identify and address strategic supply risks and dependencies and diversify the supplier base.</w:t>
      </w:r>
    </w:p>
    <w:tbl>
      <w:tblPr>
        <w:tblStyle w:val="TableGrid1"/>
        <w:tblW w:w="0" w:type="auto"/>
        <w:tblInd w:w="108" w:type="dxa"/>
        <w:tblLook w:val="04A0" w:firstRow="1" w:lastRow="0" w:firstColumn="1" w:lastColumn="0" w:noHBand="0" w:noVBand="1"/>
      </w:tblPr>
      <w:tblGrid>
        <w:gridCol w:w="7657"/>
        <w:gridCol w:w="1523"/>
      </w:tblGrid>
      <w:tr w:rsidR="00795640">
        <w:tc>
          <w:tcPr>
            <w:tcW w:w="0" w:type="auto"/>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Calibri" w:hAnsi="Times New Roman" w:cs="Times New Roman"/>
                <w:b/>
                <w:noProof/>
                <w:sz w:val="24"/>
                <w:szCs w:val="24"/>
                <w:lang w:val="en-IE"/>
              </w:rPr>
            </w:pPr>
            <w:r>
              <w:rPr>
                <w:rFonts w:ascii="Calibri" w:eastAsia="Calibri" w:hAnsi="Calibri" w:cs="Times New Roman"/>
                <w:b/>
                <w:noProof/>
                <w:szCs w:val="24"/>
                <w:lang w:val="en-IE"/>
              </w:rPr>
              <w:t>KEY ACTIONS</w:t>
            </w:r>
          </w:p>
        </w:tc>
        <w:tc>
          <w:tcPr>
            <w:tcW w:w="0" w:type="auto"/>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Calibri" w:hAnsi="Times New Roman" w:cs="Times New Roman"/>
                <w:b/>
                <w:noProof/>
                <w:sz w:val="24"/>
                <w:szCs w:val="24"/>
                <w:lang w:val="en-IE"/>
              </w:rPr>
            </w:pPr>
            <w:r>
              <w:rPr>
                <w:rFonts w:ascii="Calibri" w:eastAsia="Calibri" w:hAnsi="Calibri" w:cs="Times New Roman"/>
                <w:b/>
                <w:noProof/>
                <w:szCs w:val="24"/>
                <w:lang w:val="en-IE"/>
              </w:rPr>
              <w:t>TIMING</w:t>
            </w:r>
          </w:p>
        </w:tc>
      </w:tr>
      <w:tr w:rsidR="00795640">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795640" w:rsidRDefault="00A70A3B">
            <w:pPr>
              <w:jc w:val="both"/>
              <w:rPr>
                <w:rFonts w:ascii="Times New Roman" w:eastAsia="Calibri" w:hAnsi="Times New Roman" w:cs="Times New Roman"/>
                <w:b/>
                <w:noProof/>
                <w:sz w:val="24"/>
                <w:szCs w:val="24"/>
                <w:lang w:val="en-IE"/>
              </w:rPr>
            </w:pPr>
            <w:r>
              <w:rPr>
                <w:rFonts w:ascii="Times New Roman" w:eastAsia="Calibri" w:hAnsi="Times New Roman" w:cs="Times New Roman"/>
                <w:noProof/>
                <w:sz w:val="24"/>
                <w:szCs w:val="24"/>
                <w:lang w:val="en-IE"/>
              </w:rPr>
              <w:t xml:space="preserve">Adopt proposal </w:t>
            </w:r>
            <w:r>
              <w:rPr>
                <w:rFonts w:ascii="Times New Roman" w:eastAsia="Times New Roman" w:hAnsi="Times New Roman" w:cs="Times New Roman"/>
                <w:noProof/>
                <w:sz w:val="24"/>
                <w:szCs w:val="24"/>
                <w:lang w:eastAsia="en-GB"/>
              </w:rPr>
              <w:t>to address the potentially distortive effects of foreign subsidies</w:t>
            </w:r>
            <w:r>
              <w:rPr>
                <w:rFonts w:ascii="Times New Roman" w:eastAsia="Times New Roman" w:hAnsi="Times New Roman" w:cs="Times New Roman"/>
                <w:noProof/>
                <w:sz w:val="24"/>
                <w:szCs w:val="24"/>
                <w:lang w:eastAsia="en-GB"/>
              </w:rPr>
              <w:t xml:space="preserve"> in the Single Market</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795640" w:rsidRDefault="00A70A3B">
            <w:pPr>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May 2021</w:t>
            </w:r>
          </w:p>
        </w:tc>
      </w:tr>
      <w:tr w:rsidR="00795640">
        <w:tc>
          <w:tcPr>
            <w:tcW w:w="0" w:type="auto"/>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Times New Roman" w:hAnsi="Times New Roman" w:cs="Times New Roman"/>
                <w:noProof/>
                <w:sz w:val="24"/>
                <w:szCs w:val="24"/>
                <w:lang w:val="en-IE" w:eastAsia="en-GB"/>
              </w:rPr>
            </w:pPr>
            <w:r>
              <w:rPr>
                <w:rFonts w:ascii="Times New Roman" w:eastAsia="Times New Roman" w:hAnsi="Times New Roman" w:cs="Times New Roman"/>
                <w:noProof/>
                <w:sz w:val="24"/>
                <w:szCs w:val="24"/>
                <w:lang w:val="en-IE" w:eastAsia="en-GB"/>
              </w:rPr>
              <w:t xml:space="preserve">Periodic review of strategic dependencies and monitoring of risks associated with strategic dependencies </w:t>
            </w:r>
          </w:p>
        </w:tc>
        <w:tc>
          <w:tcPr>
            <w:tcW w:w="0" w:type="auto"/>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Times New Roman" w:hAnsi="Times New Roman" w:cs="Times New Roman"/>
                <w:noProof/>
                <w:sz w:val="24"/>
                <w:szCs w:val="24"/>
                <w:lang w:val="en-IE" w:eastAsia="en-GB"/>
              </w:rPr>
            </w:pPr>
            <w:r>
              <w:rPr>
                <w:rFonts w:ascii="Times New Roman" w:eastAsia="Times New Roman" w:hAnsi="Times New Roman" w:cs="Times New Roman"/>
                <w:noProof/>
                <w:sz w:val="24"/>
                <w:szCs w:val="24"/>
                <w:lang w:val="en-IE" w:eastAsia="en-GB"/>
              </w:rPr>
              <w:t>Starting in 2021</w:t>
            </w:r>
          </w:p>
        </w:tc>
      </w:tr>
      <w:tr w:rsidR="00795640">
        <w:tc>
          <w:tcPr>
            <w:tcW w:w="0" w:type="auto"/>
            <w:tcBorders>
              <w:top w:val="single" w:sz="4" w:space="0" w:color="auto"/>
              <w:left w:val="single" w:sz="4" w:space="0" w:color="auto"/>
              <w:bottom w:val="single" w:sz="4" w:space="0" w:color="auto"/>
              <w:right w:val="single" w:sz="4" w:space="0" w:color="auto"/>
            </w:tcBorders>
            <w:shd w:val="clear" w:color="auto" w:fill="F2F2F2"/>
          </w:tcPr>
          <w:p w:rsidR="00795640" w:rsidRDefault="00A70A3B">
            <w:pPr>
              <w:jc w:val="both"/>
              <w:rPr>
                <w:rFonts w:ascii="Calibri" w:eastAsia="Calibri" w:hAnsi="Calibri" w:cs="Times New Roman"/>
                <w:noProof/>
                <w:lang w:val="en-IE"/>
              </w:rPr>
            </w:pPr>
            <w:r>
              <w:rPr>
                <w:rFonts w:ascii="Times New Roman" w:eastAsia="Times New Roman" w:hAnsi="Times New Roman" w:cs="Times New Roman"/>
                <w:noProof/>
                <w:sz w:val="24"/>
                <w:szCs w:val="24"/>
                <w:lang w:val="en-IE"/>
              </w:rPr>
              <w:t>Explore international partnerships and cooperation to address strategic dependencies</w:t>
            </w:r>
            <w:r>
              <w:rPr>
                <w:rFonts w:ascii="Times New Roman" w:eastAsia="Calibri" w:hAnsi="Times New Roman" w:cs="Times New Roman"/>
                <w:noProof/>
                <w:sz w:val="24"/>
                <w:szCs w:val="24"/>
                <w:lang w:val="en-IE"/>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2F2F2"/>
          </w:tcPr>
          <w:p w:rsidR="00795640" w:rsidRDefault="00A70A3B">
            <w:pPr>
              <w:jc w:val="both"/>
              <w:rPr>
                <w:rFonts w:ascii="Calibri" w:eastAsia="Calibri" w:hAnsi="Calibri" w:cs="Times New Roman"/>
                <w:noProof/>
                <w:lang w:val="en-IE"/>
              </w:rPr>
            </w:pPr>
            <w:r>
              <w:rPr>
                <w:rFonts w:ascii="Times New Roman" w:eastAsia="Times New Roman" w:hAnsi="Times New Roman" w:cs="Times New Roman"/>
                <w:noProof/>
                <w:sz w:val="24"/>
                <w:szCs w:val="24"/>
                <w:lang w:val="en-IE"/>
              </w:rPr>
              <w:t>Starting in 20</w:t>
            </w:r>
            <w:r>
              <w:rPr>
                <w:rFonts w:ascii="Times New Roman" w:eastAsia="Times New Roman" w:hAnsi="Times New Roman" w:cs="Times New Roman"/>
                <w:noProof/>
                <w:sz w:val="24"/>
                <w:szCs w:val="24"/>
                <w:lang w:val="en-IE"/>
              </w:rPr>
              <w:t>21</w:t>
            </w:r>
          </w:p>
        </w:tc>
      </w:tr>
      <w:tr w:rsidR="00795640">
        <w:tc>
          <w:tcPr>
            <w:tcW w:w="0" w:type="auto"/>
            <w:tcBorders>
              <w:top w:val="single" w:sz="4" w:space="0" w:color="auto"/>
              <w:left w:val="single" w:sz="4" w:space="0" w:color="auto"/>
              <w:bottom w:val="single" w:sz="4" w:space="0" w:color="auto"/>
              <w:right w:val="single" w:sz="4" w:space="0" w:color="auto"/>
            </w:tcBorders>
            <w:shd w:val="clear" w:color="auto" w:fill="F2F2F2"/>
          </w:tcPr>
          <w:p w:rsidR="00795640" w:rsidRDefault="00A70A3B">
            <w:pPr>
              <w:jc w:val="both"/>
              <w:rPr>
                <w:rFonts w:ascii="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Launch of </w:t>
            </w:r>
            <w:r>
              <w:rPr>
                <w:rFonts w:ascii="Times New Roman" w:eastAsia="Times New Roman" w:hAnsi="Times New Roman" w:cs="Times New Roman"/>
                <w:noProof/>
                <w:sz w:val="24"/>
                <w:szCs w:val="24"/>
                <w:lang w:val="en-IE" w:eastAsia="en-GB"/>
              </w:rPr>
              <w:t xml:space="preserve">alliances on processors and semiconductor technologies,  on industrial data, edge and cloud </w:t>
            </w:r>
          </w:p>
        </w:tc>
        <w:tc>
          <w:tcPr>
            <w:tcW w:w="0" w:type="auto"/>
            <w:tcBorders>
              <w:top w:val="single" w:sz="4" w:space="0" w:color="auto"/>
              <w:left w:val="single" w:sz="4" w:space="0" w:color="auto"/>
              <w:bottom w:val="single" w:sz="4" w:space="0" w:color="auto"/>
              <w:right w:val="single" w:sz="4" w:space="0" w:color="auto"/>
            </w:tcBorders>
            <w:shd w:val="clear" w:color="auto" w:fill="F2F2F2"/>
          </w:tcPr>
          <w:p w:rsidR="00795640" w:rsidRDefault="00A70A3B">
            <w:pPr>
              <w:jc w:val="both"/>
              <w:rPr>
                <w:rFonts w:ascii="Times New Roman" w:hAnsi="Times New Roman" w:cs="Times New Roman"/>
                <w:noProof/>
                <w:sz w:val="24"/>
                <w:lang w:val="en-IE"/>
              </w:rPr>
            </w:pPr>
            <w:r>
              <w:rPr>
                <w:rFonts w:ascii="Times New Roman" w:eastAsia="Times New Roman" w:hAnsi="Times New Roman" w:cs="Times New Roman"/>
                <w:noProof/>
                <w:sz w:val="24"/>
                <w:szCs w:val="24"/>
                <w:lang w:val="en-IE"/>
              </w:rPr>
              <w:t>Q2 2021</w:t>
            </w:r>
          </w:p>
        </w:tc>
      </w:tr>
      <w:tr w:rsidR="00795640">
        <w:tc>
          <w:tcPr>
            <w:tcW w:w="0" w:type="auto"/>
            <w:tcBorders>
              <w:top w:val="single" w:sz="4" w:space="0" w:color="auto"/>
              <w:left w:val="single" w:sz="4" w:space="0" w:color="auto"/>
              <w:bottom w:val="single" w:sz="4" w:space="0" w:color="auto"/>
              <w:right w:val="single" w:sz="4" w:space="0" w:color="auto"/>
            </w:tcBorders>
            <w:shd w:val="clear" w:color="auto" w:fill="F2F2F2"/>
          </w:tcPr>
          <w:p w:rsidR="00795640" w:rsidRDefault="00A70A3B">
            <w:pPr>
              <w:jc w:val="both"/>
              <w:rPr>
                <w:rFonts w:ascii="Times New Roman" w:eastAsia="Times New Roman" w:hAnsi="Times New Roman" w:cs="Times New Roman"/>
                <w:noProof/>
                <w:sz w:val="24"/>
                <w:szCs w:val="24"/>
                <w:lang w:val="en-IE"/>
              </w:rPr>
            </w:pPr>
            <w:r>
              <w:rPr>
                <w:rFonts w:ascii="Times New Roman" w:hAnsi="Times New Roman" w:cs="Times New Roman"/>
                <w:noProof/>
                <w:sz w:val="24"/>
                <w:szCs w:val="24"/>
                <w:lang w:val="en-IE"/>
              </w:rPr>
              <w:t>Reinforced action on SME supply chain disruptions and vulnerabilities</w:t>
            </w:r>
          </w:p>
        </w:tc>
        <w:tc>
          <w:tcPr>
            <w:tcW w:w="0" w:type="auto"/>
            <w:tcBorders>
              <w:top w:val="single" w:sz="4" w:space="0" w:color="auto"/>
              <w:left w:val="single" w:sz="4" w:space="0" w:color="auto"/>
              <w:bottom w:val="single" w:sz="4" w:space="0" w:color="auto"/>
              <w:right w:val="single" w:sz="4" w:space="0" w:color="auto"/>
            </w:tcBorders>
            <w:shd w:val="clear" w:color="auto" w:fill="F2F2F2"/>
          </w:tcPr>
          <w:p w:rsidR="00795640" w:rsidRDefault="00A70A3B">
            <w:pPr>
              <w:jc w:val="both"/>
              <w:rPr>
                <w:rFonts w:ascii="Times New Roman" w:eastAsia="Times New Roman" w:hAnsi="Times New Roman" w:cs="Times New Roman"/>
                <w:noProof/>
                <w:sz w:val="24"/>
                <w:szCs w:val="24"/>
                <w:lang w:val="en-IE"/>
              </w:rPr>
            </w:pPr>
            <w:r>
              <w:rPr>
                <w:rFonts w:ascii="Times New Roman" w:hAnsi="Times New Roman" w:cs="Times New Roman"/>
                <w:noProof/>
                <w:sz w:val="24"/>
                <w:lang w:val="en-IE"/>
              </w:rPr>
              <w:t>Q4 2021</w:t>
            </w:r>
          </w:p>
        </w:tc>
      </w:tr>
      <w:tr w:rsidR="00795640">
        <w:tc>
          <w:tcPr>
            <w:tcW w:w="0" w:type="auto"/>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Adopt a standardisation strategy </w:t>
            </w:r>
          </w:p>
        </w:tc>
        <w:tc>
          <w:tcPr>
            <w:tcW w:w="0" w:type="auto"/>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Q3 2021</w:t>
            </w:r>
          </w:p>
        </w:tc>
      </w:tr>
      <w:tr w:rsidR="00795640">
        <w:tc>
          <w:tcPr>
            <w:tcW w:w="0" w:type="auto"/>
            <w:tcBorders>
              <w:top w:val="single" w:sz="4" w:space="0" w:color="auto"/>
              <w:left w:val="single" w:sz="4" w:space="0" w:color="auto"/>
              <w:bottom w:val="single" w:sz="4" w:space="0" w:color="auto"/>
              <w:right w:val="single" w:sz="4" w:space="0" w:color="auto"/>
            </w:tcBorders>
            <w:shd w:val="clear" w:color="auto" w:fill="F2F2F2"/>
          </w:tcPr>
          <w:p w:rsidR="00795640" w:rsidRDefault="00A70A3B">
            <w:pPr>
              <w:jc w:val="both"/>
              <w:rPr>
                <w:rFonts w:ascii="Times New Roman" w:eastAsia="Calibri" w:hAnsi="Times New Roman" w:cs="Times New Roman"/>
                <w:noProof/>
                <w:sz w:val="24"/>
                <w:szCs w:val="24"/>
                <w:lang w:val="en-IE"/>
              </w:rPr>
            </w:pPr>
            <w:r>
              <w:rPr>
                <w:rFonts w:ascii="Times New Roman" w:eastAsia="Times New Roman" w:hAnsi="Times New Roman" w:cs="Times New Roman"/>
                <w:noProof/>
                <w:sz w:val="24"/>
                <w:szCs w:val="24"/>
                <w:lang w:val="en-IE"/>
              </w:rPr>
              <w:t xml:space="preserve">Guidance on identifying and addressing strategic dependencies through public procurement </w:t>
            </w:r>
          </w:p>
        </w:tc>
        <w:tc>
          <w:tcPr>
            <w:tcW w:w="0" w:type="auto"/>
            <w:tcBorders>
              <w:top w:val="single" w:sz="4" w:space="0" w:color="auto"/>
              <w:left w:val="single" w:sz="4" w:space="0" w:color="auto"/>
              <w:bottom w:val="single" w:sz="4" w:space="0" w:color="auto"/>
              <w:right w:val="single" w:sz="4" w:space="0" w:color="auto"/>
            </w:tcBorders>
            <w:shd w:val="clear" w:color="auto" w:fill="F2F2F2"/>
          </w:tcPr>
          <w:p w:rsidR="00795640" w:rsidRDefault="00A70A3B">
            <w:pPr>
              <w:jc w:val="both"/>
              <w:rPr>
                <w:rFonts w:ascii="Times New Roman" w:eastAsia="Calibri" w:hAnsi="Times New Roman" w:cs="Times New Roman"/>
                <w:noProof/>
                <w:sz w:val="24"/>
                <w:szCs w:val="24"/>
                <w:lang w:val="en-IE"/>
              </w:rPr>
            </w:pPr>
            <w:r>
              <w:rPr>
                <w:rFonts w:ascii="Times New Roman" w:eastAsia="Times New Roman" w:hAnsi="Times New Roman" w:cs="Times New Roman"/>
                <w:noProof/>
                <w:sz w:val="24"/>
                <w:szCs w:val="24"/>
                <w:lang w:val="en-IE"/>
              </w:rPr>
              <w:t>Q1 2022</w:t>
            </w:r>
          </w:p>
        </w:tc>
      </w:tr>
    </w:tbl>
    <w:p w:rsidR="00795640" w:rsidRDefault="00A70A3B">
      <w:pPr>
        <w:pStyle w:val="ListParagraph"/>
        <w:keepNext/>
        <w:numPr>
          <w:ilvl w:val="0"/>
          <w:numId w:val="3"/>
        </w:numPr>
        <w:spacing w:before="240" w:after="240" w:line="240" w:lineRule="auto"/>
        <w:ind w:left="357" w:hanging="357"/>
        <w:jc w:val="both"/>
        <w:outlineLvl w:val="0"/>
        <w:rPr>
          <w:rFonts w:ascii="Times New Roman" w:eastAsia="Times New Roman" w:hAnsi="Times New Roman" w:cs="Times New Roman"/>
          <w:b/>
          <w:smallCaps/>
          <w:noProof/>
          <w:sz w:val="24"/>
          <w:szCs w:val="20"/>
          <w:lang w:val="en-IE" w:eastAsia="en-GB"/>
        </w:rPr>
      </w:pPr>
      <w:r>
        <w:rPr>
          <w:rFonts w:ascii="Times New Roman" w:eastAsia="Times New Roman" w:hAnsi="Times New Roman" w:cs="Times New Roman"/>
          <w:b/>
          <w:smallCaps/>
          <w:noProof/>
          <w:sz w:val="24"/>
          <w:szCs w:val="20"/>
          <w:lang w:val="en-IE" w:eastAsia="en-GB"/>
        </w:rPr>
        <w:t>Accelerating the twin transitions</w:t>
      </w:r>
    </w:p>
    <w:p w:rsidR="00795640" w:rsidRDefault="00A70A3B">
      <w:pPr>
        <w:spacing w:after="240" w:line="240" w:lineRule="auto"/>
        <w:ind w:left="-284"/>
        <w:jc w:val="both"/>
        <w:rPr>
          <w:rFonts w:ascii="Times New Roman" w:eastAsia="Times New Roman" w:hAnsi="Times New Roman" w:cs="Times New Roman"/>
          <w:noProof/>
          <w:sz w:val="24"/>
          <w:szCs w:val="20"/>
          <w:lang w:val="en-IE" w:eastAsia="en-GB"/>
        </w:rPr>
      </w:pPr>
      <w:r>
        <w:rPr>
          <w:rFonts w:ascii="Times New Roman" w:eastAsia="Times New Roman" w:hAnsi="Times New Roman" w:cs="Times New Roman"/>
          <w:noProof/>
          <w:sz w:val="24"/>
          <w:szCs w:val="20"/>
          <w:lang w:val="en-IE" w:eastAsia="en-GB"/>
        </w:rPr>
        <w:t xml:space="preserve">The 2020 Industrial Strategy included a list of actions to support the green and digital transitions of EU industry, many </w:t>
      </w:r>
      <w:r>
        <w:rPr>
          <w:rFonts w:ascii="Times New Roman" w:eastAsia="Times New Roman" w:hAnsi="Times New Roman" w:cs="Times New Roman"/>
          <w:noProof/>
          <w:sz w:val="24"/>
          <w:szCs w:val="20"/>
          <w:lang w:val="en-IE" w:eastAsia="en-GB"/>
        </w:rPr>
        <w:t>of which are already implemented,</w:t>
      </w:r>
      <w:r>
        <w:rPr>
          <w:rFonts w:ascii="Times New Roman" w:eastAsia="Times New Roman" w:hAnsi="Times New Roman" w:cs="Times New Roman"/>
          <w:noProof/>
          <w:sz w:val="24"/>
          <w:szCs w:val="20"/>
          <w:vertAlign w:val="superscript"/>
          <w:lang w:val="en-IE" w:eastAsia="en-GB"/>
        </w:rPr>
        <w:footnoteReference w:id="46"/>
      </w:r>
      <w:r>
        <w:rPr>
          <w:rFonts w:ascii="Times New Roman" w:eastAsia="Times New Roman" w:hAnsi="Times New Roman" w:cs="Times New Roman"/>
          <w:noProof/>
          <w:sz w:val="24"/>
          <w:szCs w:val="20"/>
          <w:lang w:val="en-IE" w:eastAsia="en-GB"/>
        </w:rPr>
        <w:t xml:space="preserve"> but the pandemic has drastically affected the speed and scale of this transformation. </w:t>
      </w:r>
      <w:r>
        <w:rPr>
          <w:rFonts w:ascii="Times New Roman" w:eastAsia="Times New Roman" w:hAnsi="Times New Roman" w:cs="Times New Roman"/>
          <w:noProof/>
          <w:sz w:val="24"/>
          <w:szCs w:val="20"/>
          <w:lang w:eastAsia="en-GB"/>
        </w:rPr>
        <w:t>It is now clearer than ever that companies pursuing sustainability and digitalisation are more likely to succeed than others</w:t>
      </w:r>
      <w:r>
        <w:rPr>
          <w:rFonts w:ascii="Times New Roman" w:eastAsia="Times New Roman" w:hAnsi="Times New Roman" w:cs="Times New Roman"/>
          <w:noProof/>
          <w:sz w:val="24"/>
          <w:szCs w:val="20"/>
          <w:lang w:val="en-IE" w:eastAsia="en-GB"/>
        </w:rPr>
        <w:t>. This is w</w:t>
      </w:r>
      <w:r>
        <w:rPr>
          <w:rFonts w:ascii="Times New Roman" w:eastAsia="Times New Roman" w:hAnsi="Times New Roman" w:cs="Times New Roman"/>
          <w:noProof/>
          <w:sz w:val="24"/>
          <w:szCs w:val="20"/>
          <w:lang w:val="en-IE" w:eastAsia="en-GB"/>
        </w:rPr>
        <w:t>hy the digital transformation of businesses is one of the four cardinal points of the Digital Compass.</w:t>
      </w:r>
      <w:r>
        <w:rPr>
          <w:rFonts w:ascii="Times New Roman" w:eastAsia="Times New Roman" w:hAnsi="Times New Roman" w:cs="Times New Roman"/>
          <w:noProof/>
          <w:sz w:val="24"/>
          <w:szCs w:val="20"/>
          <w:vertAlign w:val="superscript"/>
          <w:lang w:val="en-IE" w:eastAsia="en-GB"/>
        </w:rPr>
        <w:footnoteReference w:id="47"/>
      </w:r>
    </w:p>
    <w:p w:rsidR="00795640" w:rsidRDefault="00A70A3B">
      <w:pPr>
        <w:keepNext/>
        <w:spacing w:after="240" w:line="240" w:lineRule="auto"/>
        <w:ind w:left="-284"/>
        <w:jc w:val="both"/>
        <w:outlineLvl w:val="1"/>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0"/>
          <w:lang w:eastAsia="en-GB"/>
        </w:rPr>
        <w:t>Co-creating transition pathways across relevant industrial ecosystems</w:t>
      </w:r>
    </w:p>
    <w:p w:rsidR="00795640" w:rsidRDefault="00A70A3B">
      <w:pPr>
        <w:spacing w:after="240" w:line="240" w:lineRule="auto"/>
        <w:ind w:left="-284"/>
        <w:jc w:val="both"/>
        <w:rPr>
          <w:rFonts w:ascii="Times New Roman" w:eastAsia="Times New Roman" w:hAnsi="Times New Roman" w:cs="Times New Roman"/>
          <w:b/>
          <w:noProof/>
          <w:sz w:val="24"/>
          <w:szCs w:val="20"/>
          <w:lang w:eastAsia="en-GB"/>
        </w:rPr>
      </w:pPr>
      <w:r>
        <w:rPr>
          <w:rFonts w:ascii="Times New Roman" w:eastAsia="Times New Roman" w:hAnsi="Times New Roman" w:cs="Times New Roman"/>
          <w:noProof/>
          <w:sz w:val="24"/>
          <w:szCs w:val="20"/>
          <w:lang w:eastAsia="en-GB"/>
        </w:rPr>
        <w:t>The Annual Single Market Report 2021</w:t>
      </w:r>
      <w:r>
        <w:rPr>
          <w:rFonts w:ascii="Times New Roman" w:eastAsia="Times New Roman" w:hAnsi="Times New Roman" w:cs="Times New Roman"/>
          <w:noProof/>
          <w:sz w:val="24"/>
          <w:szCs w:val="20"/>
          <w:vertAlign w:val="superscript"/>
          <w:lang w:eastAsia="en-GB"/>
        </w:rPr>
        <w:footnoteReference w:id="48"/>
      </w:r>
      <w:r>
        <w:rPr>
          <w:rFonts w:ascii="Times New Roman" w:eastAsia="Times New Roman" w:hAnsi="Times New Roman" w:cs="Times New Roman"/>
          <w:noProof/>
          <w:sz w:val="24"/>
          <w:szCs w:val="20"/>
          <w:lang w:eastAsia="en-GB"/>
        </w:rPr>
        <w:t xml:space="preserve"> presents a first analysis of the challenges </w:t>
      </w:r>
      <w:r>
        <w:rPr>
          <w:rFonts w:ascii="Times New Roman" w:eastAsia="Times New Roman" w:hAnsi="Times New Roman" w:cs="Times New Roman"/>
          <w:noProof/>
          <w:sz w:val="24"/>
          <w:szCs w:val="20"/>
          <w:lang w:eastAsia="en-GB"/>
        </w:rPr>
        <w:t xml:space="preserve">faced by </w:t>
      </w:r>
      <w:r>
        <w:rPr>
          <w:rFonts w:ascii="Times New Roman" w:eastAsia="Times New Roman" w:hAnsi="Times New Roman" w:cs="Times New Roman"/>
          <w:b/>
          <w:noProof/>
          <w:sz w:val="24"/>
          <w:szCs w:val="20"/>
          <w:lang w:eastAsia="en-GB"/>
        </w:rPr>
        <w:t xml:space="preserve">14 industrial ecosystems </w:t>
      </w:r>
      <w:r>
        <w:rPr>
          <w:rFonts w:ascii="Times New Roman" w:eastAsia="Times New Roman" w:hAnsi="Times New Roman" w:cs="Times New Roman"/>
          <w:noProof/>
          <w:sz w:val="24"/>
          <w:szCs w:val="20"/>
          <w:lang w:eastAsia="en-GB"/>
        </w:rPr>
        <w:t>as they have been identified so far</w:t>
      </w:r>
      <w:r>
        <w:rPr>
          <w:rFonts w:ascii="Times New Roman" w:eastAsia="Times New Roman" w:hAnsi="Times New Roman" w:cs="Times New Roman"/>
          <w:b/>
          <w:noProof/>
          <w:sz w:val="24"/>
          <w:szCs w:val="20"/>
          <w:lang w:eastAsia="en-GB"/>
        </w:rPr>
        <w:t xml:space="preserve">, </w:t>
      </w:r>
      <w:r>
        <w:rPr>
          <w:rFonts w:ascii="Times New Roman" w:eastAsia="Times New Roman" w:hAnsi="Times New Roman" w:cs="Times New Roman"/>
          <w:noProof/>
          <w:sz w:val="24"/>
          <w:szCs w:val="20"/>
          <w:lang w:eastAsia="en-GB"/>
        </w:rPr>
        <w:t>but also of the transformative initiatives already undertaken to achieve the twin transition and increase resilience</w:t>
      </w:r>
      <w:r>
        <w:rPr>
          <w:rFonts w:ascii="Times New Roman" w:eastAsia="Times New Roman" w:hAnsi="Times New Roman" w:cs="Times New Roman"/>
          <w:b/>
          <w:noProof/>
          <w:sz w:val="24"/>
          <w:szCs w:val="20"/>
          <w:lang w:eastAsia="en-GB"/>
        </w:rPr>
        <w:t xml:space="preserve">. </w:t>
      </w:r>
      <w:r>
        <w:rPr>
          <w:rFonts w:ascii="Times New Roman" w:eastAsia="Times New Roman" w:hAnsi="Times New Roman" w:cs="Times New Roman"/>
          <w:noProof/>
          <w:sz w:val="24"/>
          <w:szCs w:val="20"/>
          <w:lang w:eastAsia="en-GB"/>
        </w:rPr>
        <w:t>As an illustrative example, the Staff Working Document</w:t>
      </w:r>
      <w:r>
        <w:rPr>
          <w:rFonts w:ascii="Times New Roman" w:eastAsia="Times New Roman" w:hAnsi="Times New Roman" w:cs="Times New Roman"/>
          <w:noProof/>
          <w:sz w:val="24"/>
          <w:szCs w:val="20"/>
          <w:vertAlign w:val="superscript"/>
          <w:lang w:eastAsia="en-GB"/>
        </w:rPr>
        <w:footnoteReference w:id="49"/>
      </w:r>
      <w:r>
        <w:rPr>
          <w:rFonts w:ascii="Times New Roman" w:eastAsia="Times New Roman" w:hAnsi="Times New Roman" w:cs="Times New Roman"/>
          <w:b/>
          <w:noProof/>
          <w:sz w:val="24"/>
          <w:szCs w:val="20"/>
          <w:lang w:eastAsia="en-GB"/>
        </w:rPr>
        <w:t xml:space="preserve"> </w:t>
      </w:r>
      <w:r>
        <w:rPr>
          <w:rFonts w:ascii="Times New Roman" w:eastAsia="Times New Roman" w:hAnsi="Times New Roman" w:cs="Times New Roman"/>
          <w:noProof/>
          <w:sz w:val="24"/>
          <w:szCs w:val="20"/>
          <w:lang w:eastAsia="en-GB"/>
        </w:rPr>
        <w:t>on clean an</w:t>
      </w:r>
      <w:r>
        <w:rPr>
          <w:rFonts w:ascii="Times New Roman" w:eastAsia="Times New Roman" w:hAnsi="Times New Roman" w:cs="Times New Roman"/>
          <w:noProof/>
          <w:sz w:val="24"/>
          <w:szCs w:val="20"/>
          <w:lang w:eastAsia="en-GB"/>
        </w:rPr>
        <w:t>d competitive European steel looks in detail at what the green and digital transition means for this particular sector and explains how EU policy measures support the industry in leading the transition.</w:t>
      </w:r>
      <w:r>
        <w:rPr>
          <w:rFonts w:ascii="Times New Roman" w:eastAsia="Times New Roman" w:hAnsi="Times New Roman" w:cs="Times New Roman"/>
          <w:noProof/>
          <w:sz w:val="24"/>
          <w:szCs w:val="20"/>
          <w:u w:val="single"/>
          <w:lang w:eastAsia="en-GB"/>
        </w:rPr>
        <w:t xml:space="preserve"> </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0"/>
          <w:lang w:eastAsia="en-GB"/>
        </w:rPr>
        <w:t xml:space="preserve">These analyses can serve to co-create, in </w:t>
      </w:r>
      <w:r>
        <w:rPr>
          <w:rFonts w:ascii="Times New Roman" w:eastAsia="Times New Roman" w:hAnsi="Times New Roman" w:cs="Times New Roman"/>
          <w:noProof/>
          <w:sz w:val="24"/>
          <w:szCs w:val="20"/>
          <w:lang w:eastAsia="en-GB"/>
        </w:rPr>
        <w:t>partnership with industry, public authorities,</w:t>
      </w:r>
      <w:r>
        <w:rPr>
          <w:noProof/>
        </w:rPr>
        <w:t xml:space="preserve"> </w:t>
      </w:r>
      <w:r>
        <w:rPr>
          <w:rFonts w:ascii="Times New Roman" w:eastAsia="Times New Roman" w:hAnsi="Times New Roman" w:cs="Times New Roman"/>
          <w:noProof/>
          <w:sz w:val="24"/>
          <w:szCs w:val="20"/>
          <w:lang w:eastAsia="en-GB"/>
        </w:rPr>
        <w:t xml:space="preserve">social partners and other stakeholders, </w:t>
      </w:r>
      <w:r>
        <w:rPr>
          <w:rFonts w:ascii="Times New Roman" w:eastAsia="Times New Roman" w:hAnsi="Times New Roman" w:cs="Times New Roman"/>
          <w:b/>
          <w:noProof/>
          <w:sz w:val="24"/>
          <w:szCs w:val="20"/>
          <w:lang w:eastAsia="en-GB"/>
        </w:rPr>
        <w:t xml:space="preserve">transition pathways </w:t>
      </w:r>
      <w:r>
        <w:rPr>
          <w:rFonts w:ascii="Times New Roman" w:eastAsia="Times New Roman" w:hAnsi="Times New Roman" w:cs="Times New Roman"/>
          <w:noProof/>
          <w:sz w:val="24"/>
          <w:szCs w:val="20"/>
          <w:lang w:eastAsia="en-GB"/>
        </w:rPr>
        <w:t xml:space="preserve">for ecosystems, where needed. Such pathways will offer a better bottom-up understanding of the scale, cost, long term benefits and conditions of the </w:t>
      </w:r>
      <w:r>
        <w:rPr>
          <w:rFonts w:ascii="Times New Roman" w:eastAsia="Times New Roman" w:hAnsi="Times New Roman" w:cs="Times New Roman"/>
          <w:noProof/>
          <w:sz w:val="24"/>
          <w:szCs w:val="20"/>
          <w:lang w:eastAsia="en-GB"/>
        </w:rPr>
        <w:t>required action to accompany the twin transition for the most relevant ecosystems, leading to an actionable plan in favour of sustainable competitiveness. Such plan should take into account relevant inputs such as industrial technology roadmaps announced i</w:t>
      </w:r>
      <w:r>
        <w:rPr>
          <w:rFonts w:ascii="Times New Roman" w:eastAsia="Times New Roman" w:hAnsi="Times New Roman" w:cs="Times New Roman"/>
          <w:noProof/>
          <w:sz w:val="24"/>
          <w:szCs w:val="20"/>
          <w:lang w:eastAsia="en-GB"/>
        </w:rPr>
        <w:t>n the Communication on the European Research Area</w:t>
      </w:r>
      <w:r>
        <w:rPr>
          <w:rFonts w:ascii="Times New Roman" w:eastAsia="Times New Roman" w:hAnsi="Times New Roman" w:cs="Times New Roman"/>
          <w:noProof/>
          <w:sz w:val="24"/>
          <w:szCs w:val="20"/>
          <w:vertAlign w:val="superscript"/>
          <w:lang w:eastAsia="en-GB"/>
        </w:rPr>
        <w:footnoteReference w:id="50"/>
      </w:r>
      <w:r>
        <w:rPr>
          <w:rFonts w:ascii="Times New Roman" w:eastAsia="Times New Roman" w:hAnsi="Times New Roman" w:cs="Times New Roman"/>
          <w:noProof/>
          <w:sz w:val="24"/>
          <w:szCs w:val="20"/>
          <w:lang w:eastAsia="en-GB"/>
        </w:rPr>
        <w:t xml:space="preserve"> and those developed under the Action Plan on Synergies between civil, defence and space industries.</w:t>
      </w:r>
      <w:r>
        <w:rPr>
          <w:rStyle w:val="FootnoteReference"/>
          <w:rFonts w:ascii="Times New Roman" w:eastAsia="Times New Roman" w:hAnsi="Times New Roman" w:cs="Times New Roman"/>
          <w:noProof/>
          <w:sz w:val="24"/>
          <w:szCs w:val="20"/>
          <w:lang w:eastAsia="en-GB"/>
        </w:rPr>
        <w:footnoteReference w:id="51"/>
      </w:r>
      <w:r>
        <w:rPr>
          <w:rFonts w:ascii="Times New Roman" w:eastAsia="Times New Roman" w:hAnsi="Times New Roman" w:cs="Times New Roman"/>
          <w:noProof/>
          <w:sz w:val="24"/>
          <w:szCs w:val="20"/>
          <w:lang w:eastAsia="en-GB"/>
        </w:rPr>
        <w:t xml:space="preserve"> </w:t>
      </w:r>
    </w:p>
    <w:p w:rsidR="00795640" w:rsidRDefault="00A70A3B">
      <w:pPr>
        <w:pStyle w:val="Default"/>
        <w:spacing w:after="240"/>
        <w:ind w:left="-284"/>
        <w:jc w:val="both"/>
        <w:rPr>
          <w:noProof/>
        </w:rPr>
      </w:pPr>
      <w:r>
        <w:rPr>
          <w:rFonts w:eastAsia="Calibri"/>
          <w:noProof/>
        </w:rPr>
        <w:t xml:space="preserve">Priority should be given to the ecosystems and sectors that face the most important challenges meeting </w:t>
      </w:r>
      <w:r>
        <w:rPr>
          <w:rFonts w:eastAsia="Calibri"/>
          <w:noProof/>
        </w:rPr>
        <w:t>climate and sustainability goals and embracing the digital transformation, and whose competitiveness depends on this, such as energy-intensive industries (including the chemical and steel sectors),</w:t>
      </w:r>
      <w:r>
        <w:rPr>
          <w:rStyle w:val="FootnoteReference"/>
          <w:rFonts w:eastAsia="Calibri"/>
          <w:noProof/>
        </w:rPr>
        <w:footnoteReference w:id="52"/>
      </w:r>
      <w:r>
        <w:rPr>
          <w:rFonts w:eastAsia="Calibri"/>
          <w:noProof/>
        </w:rPr>
        <w:t xml:space="preserve"> and construction, </w:t>
      </w:r>
      <w:r>
        <w:rPr>
          <w:noProof/>
        </w:rPr>
        <w:t xml:space="preserve">as well as to sectors heavily affected </w:t>
      </w:r>
      <w:r>
        <w:rPr>
          <w:noProof/>
        </w:rPr>
        <w:t>by the crisis, which benefit from accelerating their twin transition in order to boost their recovery (such as tourism and</w:t>
      </w:r>
      <w:r>
        <w:rPr>
          <w:rFonts w:eastAsia="Calibri"/>
          <w:noProof/>
        </w:rPr>
        <w:t xml:space="preserve"> mobility</w:t>
      </w:r>
      <w:r>
        <w:rPr>
          <w:rStyle w:val="FootnoteReference"/>
          <w:rFonts w:eastAsia="Calibri"/>
          <w:noProof/>
        </w:rPr>
        <w:footnoteReference w:id="53"/>
      </w:r>
      <w:r>
        <w:rPr>
          <w:noProof/>
        </w:rPr>
        <w:t>)</w:t>
      </w:r>
      <w:r>
        <w:rPr>
          <w:rFonts w:eastAsia="Calibri"/>
          <w:noProof/>
        </w:rPr>
        <w:t>.</w:t>
      </w:r>
    </w:p>
    <w:p w:rsidR="00795640" w:rsidRDefault="00A70A3B">
      <w:pPr>
        <w:keepNext/>
        <w:spacing w:after="240" w:line="240" w:lineRule="auto"/>
        <w:ind w:left="-284"/>
        <w:jc w:val="both"/>
        <w:outlineLvl w:val="1"/>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0"/>
          <w:lang w:eastAsia="en-GB"/>
        </w:rPr>
        <w:t>Supporting the business case for the green and digital transitions</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0"/>
          <w:lang w:eastAsia="en-GB"/>
        </w:rPr>
        <w:t>EU industry has embraced the challenges and opportunit</w:t>
      </w:r>
      <w:r>
        <w:rPr>
          <w:rFonts w:ascii="Times New Roman" w:eastAsia="Times New Roman" w:hAnsi="Times New Roman" w:cs="Times New Roman"/>
          <w:noProof/>
          <w:sz w:val="24"/>
          <w:szCs w:val="20"/>
          <w:lang w:eastAsia="en-GB"/>
        </w:rPr>
        <w:t xml:space="preserve">ies that the twin transition brings. It is ready to invest, but asks for predictability and a real business case, with a coherent and stable regulatory framework access to capacities and infrastructure, finance for innovation and deployment, raw materials </w:t>
      </w:r>
      <w:r>
        <w:rPr>
          <w:rFonts w:ascii="Times New Roman" w:eastAsia="Times New Roman" w:hAnsi="Times New Roman" w:cs="Times New Roman"/>
          <w:noProof/>
          <w:sz w:val="24"/>
          <w:szCs w:val="20"/>
          <w:lang w:eastAsia="en-GB"/>
        </w:rPr>
        <w:t xml:space="preserve">and decarbonised energy, demand-side measures for climate neutral and circular products and the right skills. These are necessary for a competitive transition. </w:t>
      </w:r>
    </w:p>
    <w:p w:rsidR="00795640" w:rsidRDefault="00A70A3B">
      <w:pPr>
        <w:spacing w:after="240" w:line="240" w:lineRule="auto"/>
        <w:ind w:left="-284"/>
        <w:jc w:val="both"/>
        <w:rPr>
          <w:rFonts w:ascii="Times New Roman" w:eastAsia="Times New Roman" w:hAnsi="Times New Roman" w:cs="Times New Roman"/>
          <w:noProof/>
          <w:sz w:val="24"/>
          <w:szCs w:val="24"/>
          <w:lang w:val="en-IE" w:eastAsia="en-GB"/>
        </w:rPr>
      </w:pPr>
      <w:r>
        <w:rPr>
          <w:rFonts w:ascii="Times New Roman" w:eastAsia="Times New Roman" w:hAnsi="Times New Roman" w:cs="Times New Roman"/>
          <w:noProof/>
          <w:sz w:val="24"/>
          <w:szCs w:val="24"/>
          <w:lang w:val="en-IE" w:eastAsia="en-GB"/>
        </w:rPr>
        <w:t xml:space="preserve">The EU’s immediate opportunity to support such business cases lies in its </w:t>
      </w:r>
      <w:r>
        <w:rPr>
          <w:rFonts w:ascii="Times New Roman" w:eastAsia="Times New Roman" w:hAnsi="Times New Roman" w:cs="Times New Roman"/>
          <w:b/>
          <w:noProof/>
          <w:sz w:val="24"/>
          <w:szCs w:val="24"/>
          <w:lang w:val="en-IE" w:eastAsia="en-GB"/>
        </w:rPr>
        <w:t>recovery</w:t>
      </w:r>
      <w:r>
        <w:rPr>
          <w:rFonts w:ascii="Times New Roman" w:eastAsia="Times New Roman" w:hAnsi="Times New Roman" w:cs="Times New Roman"/>
          <w:noProof/>
          <w:sz w:val="24"/>
          <w:szCs w:val="24"/>
          <w:lang w:val="en-IE" w:eastAsia="en-GB"/>
        </w:rPr>
        <w:t xml:space="preserve"> efforts. The EU Budget and NextGenerationEU, and notably the Recovery and Resilience Facility, should be used as a springboard to </w:t>
      </w:r>
      <w:r>
        <w:rPr>
          <w:rFonts w:ascii="Times New Roman" w:eastAsia="Times New Roman" w:hAnsi="Times New Roman" w:cs="Times New Roman"/>
          <w:noProof/>
          <w:sz w:val="24"/>
          <w:szCs w:val="20"/>
          <w:lang w:val="en-IE" w:eastAsia="en-GB"/>
        </w:rPr>
        <w:t>speed up the recovery in Europe and reinforce the commitment to the green and digital transition</w:t>
      </w:r>
      <w:r>
        <w:rPr>
          <w:rFonts w:ascii="Times New Roman" w:eastAsia="Times New Roman" w:hAnsi="Times New Roman" w:cs="Times New Roman"/>
          <w:noProof/>
          <w:sz w:val="24"/>
          <w:szCs w:val="24"/>
          <w:lang w:val="en-IE" w:eastAsia="en-GB"/>
        </w:rPr>
        <w:t>. Based on their relevance ac</w:t>
      </w:r>
      <w:r>
        <w:rPr>
          <w:rFonts w:ascii="Times New Roman" w:eastAsia="Times New Roman" w:hAnsi="Times New Roman" w:cs="Times New Roman"/>
          <w:noProof/>
          <w:sz w:val="24"/>
          <w:szCs w:val="24"/>
          <w:lang w:val="en-IE" w:eastAsia="en-GB"/>
        </w:rPr>
        <w:t>ross Member States, the very large investments required, and their potential to create jobs and growth and reap the benefits from the green and digital transitions, the Commission has strongly encouraged Member States to include in the national Recovery an</w:t>
      </w:r>
      <w:r>
        <w:rPr>
          <w:rFonts w:ascii="Times New Roman" w:eastAsia="Times New Roman" w:hAnsi="Times New Roman" w:cs="Times New Roman"/>
          <w:noProof/>
          <w:sz w:val="24"/>
          <w:szCs w:val="24"/>
          <w:lang w:val="en-IE" w:eastAsia="en-GB"/>
        </w:rPr>
        <w:t>d Resilience Plans investment and reforms in a limited number of flagship areas</w:t>
      </w:r>
      <w:r>
        <w:rPr>
          <w:rStyle w:val="FootnoteReference"/>
          <w:rFonts w:ascii="Times New Roman" w:eastAsia="Times New Roman" w:hAnsi="Times New Roman" w:cs="Times New Roman"/>
          <w:noProof/>
          <w:sz w:val="24"/>
          <w:szCs w:val="24"/>
          <w:lang w:val="en-IE" w:eastAsia="en-GB"/>
        </w:rPr>
        <w:footnoteReference w:id="54"/>
      </w:r>
      <w:r>
        <w:rPr>
          <w:rFonts w:ascii="Times New Roman" w:eastAsia="Times New Roman" w:hAnsi="Times New Roman" w:cs="Times New Roman"/>
          <w:noProof/>
          <w:sz w:val="24"/>
          <w:szCs w:val="24"/>
          <w:lang w:val="en-IE" w:eastAsia="en-GB"/>
        </w:rPr>
        <w:t xml:space="preserve">. The Commission is now carefully assessing the national plans and will monitor their implementation to ensure in particular that at least 37% of funding is dedicated to green </w:t>
      </w:r>
      <w:r>
        <w:rPr>
          <w:rFonts w:ascii="Times New Roman" w:eastAsia="Times New Roman" w:hAnsi="Times New Roman" w:cs="Times New Roman"/>
          <w:noProof/>
          <w:sz w:val="24"/>
          <w:szCs w:val="24"/>
          <w:lang w:val="en-IE" w:eastAsia="en-GB"/>
        </w:rPr>
        <w:t>investments and at least 20% is dedicated to digitalisation. Many national recovery and resilience plans will channel funding to green and digital SME investments. The 2021-2027 Cohesion policy funds will have a strong focus on the twin transition, contrib</w:t>
      </w:r>
      <w:r>
        <w:rPr>
          <w:rFonts w:ascii="Times New Roman" w:eastAsia="Times New Roman" w:hAnsi="Times New Roman" w:cs="Times New Roman"/>
          <w:noProof/>
          <w:sz w:val="24"/>
          <w:szCs w:val="24"/>
          <w:lang w:val="en-IE" w:eastAsia="en-GB"/>
        </w:rPr>
        <w:t>uting to the green and digital transformation of the EU’s economy.</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Recovery and Resilience Plans offer an unprecedented opportunity to join forces in </w:t>
      </w:r>
      <w:r>
        <w:rPr>
          <w:rFonts w:ascii="Times New Roman" w:eastAsia="Times New Roman" w:hAnsi="Times New Roman" w:cs="Times New Roman"/>
          <w:b/>
          <w:noProof/>
          <w:sz w:val="24"/>
          <w:szCs w:val="24"/>
          <w:lang w:eastAsia="en-GB"/>
        </w:rPr>
        <w:t>multi-country projects</w:t>
      </w:r>
      <w:r>
        <w:rPr>
          <w:rFonts w:ascii="Times New Roman" w:eastAsia="Times New Roman" w:hAnsi="Times New Roman" w:cs="Times New Roman"/>
          <w:noProof/>
          <w:sz w:val="24"/>
          <w:szCs w:val="24"/>
          <w:lang w:eastAsia="en-GB"/>
        </w:rPr>
        <w:t xml:space="preserve"> to build digital and green critical capacities. A number of Member States have </w:t>
      </w:r>
      <w:r>
        <w:rPr>
          <w:rFonts w:ascii="Times New Roman" w:eastAsia="Times New Roman" w:hAnsi="Times New Roman" w:cs="Times New Roman"/>
          <w:noProof/>
          <w:sz w:val="24"/>
          <w:szCs w:val="24"/>
          <w:lang w:eastAsia="en-GB"/>
        </w:rPr>
        <w:t>signalled their intention to include in their draft national plans multi-country projects</w:t>
      </w:r>
      <w:r>
        <w:rPr>
          <w:rStyle w:val="CommentReference"/>
          <w:noProof/>
        </w:rPr>
        <w:t xml:space="preserve">. </w:t>
      </w:r>
      <w:r>
        <w:rPr>
          <w:rFonts w:ascii="Times New Roman" w:eastAsia="Times New Roman" w:hAnsi="Times New Roman" w:cs="Times New Roman"/>
          <w:noProof/>
          <w:sz w:val="24"/>
          <w:szCs w:val="24"/>
          <w:lang w:eastAsia="en-GB"/>
        </w:rPr>
        <w:t>These projects could accelerate much-needed investment in the field of hydrogen, 5G corridors, common data infrastructure and services, sustainable transport, blockc</w:t>
      </w:r>
      <w:r>
        <w:rPr>
          <w:rFonts w:ascii="Times New Roman" w:eastAsia="Times New Roman" w:hAnsi="Times New Roman" w:cs="Times New Roman"/>
          <w:noProof/>
          <w:sz w:val="24"/>
          <w:szCs w:val="24"/>
          <w:lang w:eastAsia="en-GB"/>
        </w:rPr>
        <w:t>hain</w:t>
      </w:r>
      <w:r>
        <w:rPr>
          <w:rFonts w:ascii="Times New Roman" w:eastAsia="Times New Roman" w:hAnsi="Times New Roman" w:cs="Times New Roman"/>
          <w:noProof/>
          <w:sz w:val="24"/>
          <w:szCs w:val="20"/>
          <w:lang w:eastAsia="en-GB"/>
        </w:rPr>
        <w:t xml:space="preserve"> </w:t>
      </w:r>
      <w:r>
        <w:rPr>
          <w:rFonts w:ascii="Times New Roman" w:eastAsia="Times New Roman" w:hAnsi="Times New Roman" w:cs="Times New Roman"/>
          <w:noProof/>
          <w:sz w:val="24"/>
          <w:szCs w:val="24"/>
          <w:lang w:eastAsia="en-GB"/>
        </w:rPr>
        <w:t>or European Digital Innovation Hubs. The Commission is assessing options for an effective mechanism to accelerate the implementation of such multi-country projects, enabling notably possible combination of Member States and EU financing</w:t>
      </w:r>
      <w:r>
        <w:rPr>
          <w:rStyle w:val="FootnoteReference"/>
          <w:rFonts w:ascii="Times New Roman" w:eastAsia="Times New Roman" w:hAnsi="Times New Roman" w:cs="Times New Roman"/>
          <w:noProof/>
          <w:sz w:val="24"/>
          <w:szCs w:val="24"/>
          <w:lang w:eastAsia="en-GB"/>
        </w:rPr>
        <w:footnoteReference w:id="55"/>
      </w:r>
      <w:r>
        <w:rPr>
          <w:rFonts w:ascii="Times New Roman" w:eastAsia="Times New Roman" w:hAnsi="Times New Roman" w:cs="Times New Roman"/>
          <w:noProof/>
          <w:sz w:val="24"/>
          <w:szCs w:val="24"/>
          <w:lang w:eastAsia="en-GB"/>
        </w:rPr>
        <w:t xml:space="preserve">. </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hAnsi="Times New Roman" w:cs="Times New Roman"/>
          <w:noProof/>
          <w:sz w:val="24"/>
          <w:szCs w:val="24"/>
        </w:rPr>
        <w:t>The enforce</w:t>
      </w:r>
      <w:r>
        <w:rPr>
          <w:rFonts w:ascii="Times New Roman" w:hAnsi="Times New Roman" w:cs="Times New Roman"/>
          <w:noProof/>
          <w:sz w:val="24"/>
          <w:szCs w:val="24"/>
        </w:rPr>
        <w:t xml:space="preserve">ment of competition rules, in particular State aid rules, will ensure that public funds for the recovery do not replace but trigger additional private investments. The Commission is also conducting an </w:t>
      </w:r>
      <w:r>
        <w:rPr>
          <w:rFonts w:ascii="Times New Roman" w:hAnsi="Times New Roman" w:cs="Times New Roman"/>
          <w:b/>
          <w:bCs/>
          <w:noProof/>
          <w:sz w:val="24"/>
          <w:szCs w:val="24"/>
        </w:rPr>
        <w:t>extensive review of the EU competition rules</w:t>
      </w:r>
      <w:r>
        <w:rPr>
          <w:rFonts w:ascii="Times New Roman" w:hAnsi="Times New Roman" w:cs="Times New Roman"/>
          <w:noProof/>
          <w:sz w:val="24"/>
          <w:szCs w:val="24"/>
        </w:rPr>
        <w:t xml:space="preserve"> to make su</w:t>
      </w:r>
      <w:r>
        <w:rPr>
          <w:rFonts w:ascii="Times New Roman" w:hAnsi="Times New Roman" w:cs="Times New Roman"/>
          <w:noProof/>
          <w:sz w:val="24"/>
          <w:szCs w:val="24"/>
        </w:rPr>
        <w:t xml:space="preserve">re that they are fit to support the green and digital transition to the benefit of Europeans, at a time when the global competitive landscape is also fundamentally changing. </w:t>
      </w:r>
      <w:r>
        <w:rPr>
          <w:rFonts w:ascii="Times New Roman" w:hAnsi="Times New Roman" w:cs="Times New Roman"/>
          <w:noProof/>
          <w:sz w:val="24"/>
          <w:szCs w:val="24"/>
          <w:lang w:val="en-IE"/>
        </w:rPr>
        <w:t xml:space="preserve">The revision of the </w:t>
      </w:r>
      <w:r>
        <w:rPr>
          <w:rFonts w:ascii="Times New Roman" w:hAnsi="Times New Roman" w:cs="Times New Roman"/>
          <w:b/>
          <w:bCs/>
          <w:noProof/>
          <w:sz w:val="24"/>
          <w:szCs w:val="24"/>
          <w:lang w:val="en-IE"/>
        </w:rPr>
        <w:t>environmental and energy State aid rules</w:t>
      </w:r>
      <w:r>
        <w:rPr>
          <w:rFonts w:ascii="Times New Roman" w:hAnsi="Times New Roman" w:cs="Times New Roman"/>
          <w:noProof/>
          <w:sz w:val="24"/>
          <w:szCs w:val="24"/>
          <w:lang w:val="en-IE"/>
        </w:rPr>
        <w:t xml:space="preserve"> will better enable Member States to support business to de-carbonise their production processes and adopt greener technologies.in the context of the Green Deal and the New Industrial Strategy. </w:t>
      </w:r>
      <w:r>
        <w:rPr>
          <w:rFonts w:ascii="Times New Roman" w:hAnsi="Times New Roman" w:cs="Times New Roman"/>
          <w:b/>
          <w:bCs/>
          <w:noProof/>
          <w:sz w:val="24"/>
          <w:szCs w:val="24"/>
          <w:lang w:val="en-IE"/>
        </w:rPr>
        <w:t>State aid rules</w:t>
      </w:r>
      <w:r>
        <w:rPr>
          <w:rFonts w:ascii="Times New Roman" w:hAnsi="Times New Roman" w:cs="Times New Roman"/>
          <w:noProof/>
          <w:sz w:val="24"/>
          <w:szCs w:val="24"/>
          <w:lang w:val="en-IE"/>
        </w:rPr>
        <w:t xml:space="preserve"> </w:t>
      </w:r>
      <w:r>
        <w:rPr>
          <w:rFonts w:ascii="Times New Roman" w:hAnsi="Times New Roman" w:cs="Times New Roman"/>
          <w:b/>
          <w:bCs/>
          <w:noProof/>
          <w:sz w:val="24"/>
          <w:szCs w:val="24"/>
          <w:lang w:val="en-IE"/>
        </w:rPr>
        <w:t>on IPCEIs</w:t>
      </w:r>
      <w:r>
        <w:rPr>
          <w:rFonts w:ascii="Times New Roman" w:hAnsi="Times New Roman" w:cs="Times New Roman"/>
          <w:noProof/>
          <w:sz w:val="24"/>
          <w:szCs w:val="24"/>
          <w:lang w:val="en-IE"/>
        </w:rPr>
        <w:t xml:space="preserve"> help catalyse cross-border investmen</w:t>
      </w:r>
      <w:r>
        <w:rPr>
          <w:rFonts w:ascii="Times New Roman" w:hAnsi="Times New Roman" w:cs="Times New Roman"/>
          <w:noProof/>
          <w:sz w:val="24"/>
          <w:szCs w:val="24"/>
          <w:lang w:val="en-IE"/>
        </w:rPr>
        <w:t xml:space="preserve">t in ground-breaking innovations, where the market alone would not take the risk, and only where </w:t>
      </w:r>
      <w:r>
        <w:rPr>
          <w:rFonts w:ascii="Times New Roman" w:hAnsi="Times New Roman" w:cs="Times New Roman"/>
          <w:noProof/>
          <w:sz w:val="24"/>
          <w:szCs w:val="24"/>
        </w:rPr>
        <w:t>the positive effects of addressing a clear market failure outweighs the risk of market distortion in the Single Market.</w:t>
      </w:r>
      <w:r>
        <w:rPr>
          <w:rFonts w:ascii="Times New Roman" w:hAnsi="Times New Roman" w:cs="Times New Roman"/>
          <w:noProof/>
          <w:sz w:val="24"/>
          <w:szCs w:val="24"/>
          <w:lang w:val="en-IE"/>
        </w:rPr>
        <w:t xml:space="preserve"> Whilst the recent evaluation of the cur</w:t>
      </w:r>
      <w:r>
        <w:rPr>
          <w:rFonts w:ascii="Times New Roman" w:hAnsi="Times New Roman" w:cs="Times New Roman"/>
          <w:noProof/>
          <w:sz w:val="24"/>
          <w:szCs w:val="24"/>
          <w:lang w:val="en-IE"/>
        </w:rPr>
        <w:t>rent IPCEI Communication showed that the provisions work well, some targeted adjustments would be necessary, including to further enhance their openness and facilitate participation of SMEs and to provide guidance on the criteria to pool funds from nationa</w:t>
      </w:r>
      <w:r>
        <w:rPr>
          <w:rFonts w:ascii="Times New Roman" w:hAnsi="Times New Roman" w:cs="Times New Roman"/>
          <w:noProof/>
          <w:sz w:val="24"/>
          <w:szCs w:val="24"/>
          <w:lang w:val="en-IE"/>
        </w:rPr>
        <w:t>l budgets and EU programmes. The new Regional State aid Guidelines will enable Member States to support the least favoured regions in catching up and reducing disparities, as well as regions facing transition or structural challenges, while ensuring a leve</w:t>
      </w:r>
      <w:r>
        <w:rPr>
          <w:rFonts w:ascii="Times New Roman" w:hAnsi="Times New Roman" w:cs="Times New Roman"/>
          <w:noProof/>
          <w:sz w:val="24"/>
          <w:szCs w:val="24"/>
          <w:lang w:val="en-IE"/>
        </w:rPr>
        <w:t>l playing field between Member States.</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hAnsi="Times New Roman" w:cs="Times New Roman"/>
          <w:noProof/>
          <w:sz w:val="24"/>
          <w:szCs w:val="24"/>
          <w:lang w:val="en-IE"/>
        </w:rPr>
        <w:t xml:space="preserve">In its evaluation of the </w:t>
      </w:r>
      <w:r>
        <w:rPr>
          <w:rFonts w:ascii="Times New Roman" w:hAnsi="Times New Roman" w:cs="Times New Roman"/>
          <w:b/>
          <w:bCs/>
          <w:noProof/>
          <w:sz w:val="24"/>
          <w:szCs w:val="24"/>
          <w:lang w:val="en-IE"/>
        </w:rPr>
        <w:t>State aid</w:t>
      </w:r>
      <w:r>
        <w:rPr>
          <w:rFonts w:ascii="Times New Roman" w:hAnsi="Times New Roman" w:cs="Times New Roman"/>
          <w:noProof/>
          <w:sz w:val="24"/>
          <w:szCs w:val="24"/>
          <w:lang w:val="en-IE"/>
        </w:rPr>
        <w:t xml:space="preserve"> </w:t>
      </w:r>
      <w:r>
        <w:rPr>
          <w:rFonts w:ascii="Times New Roman" w:hAnsi="Times New Roman" w:cs="Times New Roman"/>
          <w:b/>
          <w:bCs/>
          <w:noProof/>
          <w:sz w:val="24"/>
          <w:szCs w:val="24"/>
          <w:lang w:val="en-IE"/>
        </w:rPr>
        <w:t>Broadband Guidelines</w:t>
      </w:r>
      <w:r>
        <w:rPr>
          <w:rFonts w:ascii="Times New Roman" w:hAnsi="Times New Roman" w:cs="Times New Roman"/>
          <w:noProof/>
          <w:sz w:val="24"/>
          <w:szCs w:val="24"/>
          <w:lang w:val="en-IE"/>
        </w:rPr>
        <w:t>, the Commission is assessing whether those rules are fit-for-purpose and in line with recent technological and market developments, so that they can fully suppor</w:t>
      </w:r>
      <w:r>
        <w:rPr>
          <w:rFonts w:ascii="Times New Roman" w:hAnsi="Times New Roman" w:cs="Times New Roman"/>
          <w:noProof/>
          <w:sz w:val="24"/>
          <w:szCs w:val="24"/>
          <w:lang w:val="en-IE"/>
        </w:rPr>
        <w:t xml:space="preserve">t the EU’s ambitions in respect of the deployment of broadband infrastructure in line with the policy objectives as set out inter alia in the Gigabit Society and the Digital Decade communications. Further, the on-going review of the </w:t>
      </w:r>
      <w:r>
        <w:rPr>
          <w:rFonts w:ascii="Times New Roman" w:hAnsi="Times New Roman" w:cs="Times New Roman"/>
          <w:b/>
          <w:bCs/>
          <w:noProof/>
          <w:sz w:val="24"/>
          <w:szCs w:val="24"/>
          <w:lang w:val="en-IE"/>
        </w:rPr>
        <w:t>antitrust rules applica</w:t>
      </w:r>
      <w:r>
        <w:rPr>
          <w:rFonts w:ascii="Times New Roman" w:hAnsi="Times New Roman" w:cs="Times New Roman"/>
          <w:b/>
          <w:bCs/>
          <w:noProof/>
          <w:sz w:val="24"/>
          <w:szCs w:val="24"/>
          <w:lang w:val="en-IE"/>
        </w:rPr>
        <w:t>ble to horizontal agreements</w:t>
      </w:r>
      <w:r>
        <w:rPr>
          <w:rFonts w:ascii="Times New Roman" w:hAnsi="Times New Roman" w:cs="Times New Roman"/>
          <w:noProof/>
          <w:sz w:val="24"/>
          <w:szCs w:val="24"/>
          <w:lang w:val="en-IE"/>
        </w:rPr>
        <w:t xml:space="preserve"> between companies will cover, amongst others, issues that are key to the green and digital transition, such as research and development agreements, and provide guidance on so-called “sustainability agreements” and procompetitiv</w:t>
      </w:r>
      <w:r>
        <w:rPr>
          <w:rFonts w:ascii="Times New Roman" w:hAnsi="Times New Roman" w:cs="Times New Roman"/>
          <w:noProof/>
          <w:sz w:val="24"/>
          <w:szCs w:val="24"/>
          <w:lang w:val="en-IE"/>
        </w:rPr>
        <w:t>e data-sharing and data-pooling agreements. Similarly, the ongoing review of the Vertical Block Exemption Regulation and the Vertical Guidelines aims at bringing the applicable rules closer to new market realities with growing e-commerce and online sales i</w:t>
      </w:r>
      <w:r>
        <w:rPr>
          <w:rFonts w:ascii="Times New Roman" w:hAnsi="Times New Roman" w:cs="Times New Roman"/>
          <w:noProof/>
          <w:sz w:val="24"/>
          <w:szCs w:val="24"/>
          <w:lang w:val="en-IE"/>
        </w:rPr>
        <w:t xml:space="preserve">n particular and provide up to date guidance to businesses on these matters. The </w:t>
      </w:r>
      <w:r>
        <w:rPr>
          <w:rFonts w:ascii="Times New Roman" w:hAnsi="Times New Roman" w:cs="Times New Roman"/>
          <w:b/>
          <w:bCs/>
          <w:noProof/>
          <w:sz w:val="24"/>
          <w:szCs w:val="24"/>
          <w:lang w:val="en-IE"/>
        </w:rPr>
        <w:t>Notice on market definition</w:t>
      </w:r>
      <w:r>
        <w:rPr>
          <w:rFonts w:ascii="Times New Roman" w:hAnsi="Times New Roman" w:cs="Times New Roman"/>
          <w:noProof/>
          <w:sz w:val="24"/>
          <w:szCs w:val="24"/>
          <w:lang w:val="en-IE"/>
        </w:rPr>
        <w:t xml:space="preserve"> is also under review, taking into account developments such as digitalisation and globalisation.</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pacing w:val="-1"/>
          <w:sz w:val="24"/>
          <w:szCs w:val="24"/>
          <w:lang w:eastAsia="en-GB"/>
        </w:rPr>
        <w:t xml:space="preserve">With the </w:t>
      </w:r>
      <w:r>
        <w:rPr>
          <w:rFonts w:ascii="Times New Roman" w:eastAsia="Times New Roman" w:hAnsi="Times New Roman" w:cs="Times New Roman"/>
          <w:b/>
          <w:noProof/>
          <w:spacing w:val="-1"/>
          <w:sz w:val="24"/>
          <w:szCs w:val="24"/>
          <w:lang w:eastAsia="en-GB"/>
        </w:rPr>
        <w:t>Trade Policy Review</w:t>
      </w:r>
      <w:r>
        <w:rPr>
          <w:rFonts w:ascii="Times New Roman" w:eastAsia="Times New Roman" w:hAnsi="Times New Roman" w:cs="Times New Roman"/>
          <w:noProof/>
          <w:spacing w:val="-1"/>
          <w:sz w:val="24"/>
          <w:szCs w:val="24"/>
          <w:lang w:eastAsia="en-GB"/>
        </w:rPr>
        <w:t>, the Commission has s</w:t>
      </w:r>
      <w:r>
        <w:rPr>
          <w:rFonts w:ascii="Times New Roman" w:eastAsia="Times New Roman" w:hAnsi="Times New Roman" w:cs="Times New Roman"/>
          <w:noProof/>
          <w:spacing w:val="-1"/>
          <w:sz w:val="24"/>
          <w:szCs w:val="24"/>
          <w:lang w:eastAsia="en-GB"/>
        </w:rPr>
        <w:t>et out a plan for trade policy to play its full role in the twin transition. As part of its focus on implementation of trade and investment agreements, the EU will use all in-built flexibilities in its existing trade agreements so that they are fit for pur</w:t>
      </w:r>
      <w:r>
        <w:rPr>
          <w:rFonts w:ascii="Times New Roman" w:eastAsia="Times New Roman" w:hAnsi="Times New Roman" w:cs="Times New Roman"/>
          <w:noProof/>
          <w:spacing w:val="-1"/>
          <w:sz w:val="24"/>
          <w:szCs w:val="24"/>
          <w:lang w:eastAsia="en-GB"/>
        </w:rPr>
        <w:t>pose and respond to the new challenges relating to the green and digital transition.</w:t>
      </w:r>
    </w:p>
    <w:p w:rsidR="00795640" w:rsidRDefault="00A70A3B">
      <w:pPr>
        <w:spacing w:after="240" w:line="240" w:lineRule="auto"/>
        <w:ind w:left="-284"/>
        <w:jc w:val="both"/>
        <w:rPr>
          <w:rFonts w:ascii="Times New Roman" w:eastAsia="Times New Roman" w:hAnsi="Times New Roman" w:cs="Times New Roman"/>
          <w:noProof/>
          <w:sz w:val="24"/>
          <w:szCs w:val="24"/>
          <w:lang w:val="en-IE" w:eastAsia="en-GB"/>
        </w:rPr>
      </w:pPr>
      <w:r>
        <w:rPr>
          <w:rFonts w:ascii="Times New Roman" w:eastAsia="Times New Roman" w:hAnsi="Times New Roman" w:cs="Times New Roman"/>
          <w:noProof/>
          <w:sz w:val="24"/>
          <w:szCs w:val="20"/>
          <w:lang w:val="en-IE" w:eastAsia="en-GB"/>
        </w:rPr>
        <w:t xml:space="preserve">To support the financing of a green recovery, the Commission is preparing its </w:t>
      </w:r>
      <w:r>
        <w:rPr>
          <w:rFonts w:ascii="Times New Roman" w:eastAsia="Times New Roman" w:hAnsi="Times New Roman" w:cs="Times New Roman"/>
          <w:b/>
          <w:noProof/>
          <w:sz w:val="24"/>
          <w:szCs w:val="20"/>
          <w:lang w:val="en-IE" w:eastAsia="en-GB"/>
        </w:rPr>
        <w:t>Renewed Sustainable Finance Strategy</w:t>
      </w:r>
      <w:r>
        <w:rPr>
          <w:rFonts w:ascii="Times New Roman" w:eastAsia="Times New Roman" w:hAnsi="Times New Roman" w:cs="Times New Roman"/>
          <w:noProof/>
          <w:sz w:val="24"/>
          <w:szCs w:val="20"/>
          <w:lang w:val="en-IE" w:eastAsia="en-GB"/>
        </w:rPr>
        <w:t xml:space="preserve"> and </w:t>
      </w:r>
      <w:r>
        <w:rPr>
          <w:rFonts w:ascii="Times New Roman" w:eastAsia="Times New Roman" w:hAnsi="Times New Roman" w:cs="Times New Roman"/>
          <w:noProof/>
          <w:sz w:val="24"/>
          <w:szCs w:val="24"/>
          <w:lang w:eastAsia="en-GB"/>
        </w:rPr>
        <w:t xml:space="preserve">a legislative initiative on </w:t>
      </w:r>
      <w:r>
        <w:rPr>
          <w:rFonts w:ascii="Times New Roman" w:eastAsia="Times New Roman" w:hAnsi="Times New Roman" w:cs="Times New Roman"/>
          <w:b/>
          <w:noProof/>
          <w:sz w:val="24"/>
          <w:szCs w:val="24"/>
          <w:lang w:eastAsia="en-GB"/>
        </w:rPr>
        <w:t>sustainable corporate go</w:t>
      </w:r>
      <w:r>
        <w:rPr>
          <w:rFonts w:ascii="Times New Roman" w:eastAsia="Times New Roman" w:hAnsi="Times New Roman" w:cs="Times New Roman"/>
          <w:b/>
          <w:noProof/>
          <w:sz w:val="24"/>
          <w:szCs w:val="24"/>
          <w:lang w:eastAsia="en-GB"/>
        </w:rPr>
        <w:t xml:space="preserve">vernance </w:t>
      </w:r>
      <w:r>
        <w:rPr>
          <w:rFonts w:ascii="Times New Roman" w:eastAsia="Times New Roman" w:hAnsi="Times New Roman" w:cs="Times New Roman"/>
          <w:noProof/>
          <w:sz w:val="24"/>
          <w:szCs w:val="24"/>
          <w:lang w:eastAsia="en-GB"/>
        </w:rPr>
        <w:t>providing for due diligence by companies</w:t>
      </w:r>
      <w:r>
        <w:rPr>
          <w:rFonts w:ascii="Times New Roman" w:eastAsia="Times New Roman" w:hAnsi="Times New Roman" w:cs="Times New Roman"/>
          <w:noProof/>
          <w:sz w:val="24"/>
          <w:szCs w:val="24"/>
          <w:lang w:val="en-IE" w:eastAsia="en-GB"/>
        </w:rPr>
        <w:t xml:space="preserve">. In addition, the support to green investments will be paired with the development of new standards for green finance. </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0"/>
          <w:lang w:val="en-IE" w:eastAsia="en-GB"/>
        </w:rPr>
        <w:t xml:space="preserve">Before the summer break </w:t>
      </w:r>
      <w:r>
        <w:rPr>
          <w:rFonts w:ascii="Times New Roman" w:eastAsia="Times New Roman" w:hAnsi="Times New Roman" w:cs="Times New Roman"/>
          <w:noProof/>
          <w:sz w:val="24"/>
          <w:szCs w:val="20"/>
          <w:lang w:eastAsia="en-GB"/>
        </w:rPr>
        <w:t>2021, the Commission will come forward with the ‘</w:t>
      </w:r>
      <w:r>
        <w:rPr>
          <w:rFonts w:ascii="Times New Roman" w:eastAsia="Times New Roman" w:hAnsi="Times New Roman" w:cs="Times New Roman"/>
          <w:b/>
          <w:noProof/>
          <w:sz w:val="24"/>
          <w:szCs w:val="20"/>
          <w:lang w:eastAsia="en-GB"/>
        </w:rPr>
        <w:t>fit-for-55</w:t>
      </w:r>
      <w:r>
        <w:rPr>
          <w:rFonts w:ascii="Times New Roman" w:eastAsia="Times New Roman" w:hAnsi="Times New Roman" w:cs="Times New Roman"/>
          <w:noProof/>
          <w:sz w:val="24"/>
          <w:szCs w:val="20"/>
          <w:lang w:eastAsia="en-GB"/>
        </w:rPr>
        <w:t xml:space="preserve">’ </w:t>
      </w:r>
      <w:r>
        <w:rPr>
          <w:rFonts w:ascii="Times New Roman" w:eastAsia="Times New Roman" w:hAnsi="Times New Roman" w:cs="Times New Roman"/>
          <w:noProof/>
          <w:sz w:val="24"/>
          <w:szCs w:val="20"/>
          <w:lang w:eastAsia="en-GB"/>
        </w:rPr>
        <w:t>package, presenting a coherent revision of the key instruments of the 2030 climate and energy package, in view of achieving a climate-neutral Europe by 2050. T</w:t>
      </w:r>
      <w:r>
        <w:rPr>
          <w:rFonts w:ascii="Times New Roman" w:eastAsia="Times New Roman" w:hAnsi="Times New Roman" w:cs="Times New Roman"/>
          <w:noProof/>
          <w:sz w:val="24"/>
          <w:szCs w:val="24"/>
          <w:lang w:eastAsia="en-GB"/>
        </w:rPr>
        <w:t xml:space="preserve">he Commission will present a </w:t>
      </w:r>
      <w:r>
        <w:rPr>
          <w:rFonts w:ascii="Times New Roman" w:eastAsia="Times New Roman" w:hAnsi="Times New Roman" w:cs="Times New Roman"/>
          <w:b/>
          <w:noProof/>
          <w:sz w:val="24"/>
          <w:szCs w:val="24"/>
          <w:lang w:eastAsia="en-GB"/>
        </w:rPr>
        <w:t>Carbon Border Adjustment Mechanism</w:t>
      </w:r>
      <w:r>
        <w:rPr>
          <w:rFonts w:ascii="Times New Roman" w:eastAsia="Times New Roman" w:hAnsi="Times New Roman" w:cs="Times New Roman"/>
          <w:noProof/>
          <w:sz w:val="24"/>
          <w:szCs w:val="24"/>
          <w:lang w:eastAsia="en-GB"/>
        </w:rPr>
        <w:t xml:space="preserve"> for selected sectors, to better a</w:t>
      </w:r>
      <w:r>
        <w:rPr>
          <w:rFonts w:ascii="Times New Roman" w:eastAsia="Times New Roman" w:hAnsi="Times New Roman" w:cs="Times New Roman"/>
          <w:noProof/>
          <w:sz w:val="24"/>
          <w:szCs w:val="24"/>
          <w:lang w:eastAsia="en-GB"/>
        </w:rPr>
        <w:t>ddress the risk of carbon leakage, in full compliance with WTO rules. Existing tools to address the risks of carbon leakage of globally exposed energy-intensive industries should continue to be used until fully effective alternative arrangements are in pla</w:t>
      </w:r>
      <w:r>
        <w:rPr>
          <w:rFonts w:ascii="Times New Roman" w:eastAsia="Times New Roman" w:hAnsi="Times New Roman" w:cs="Times New Roman"/>
          <w:noProof/>
          <w:sz w:val="24"/>
          <w:szCs w:val="24"/>
          <w:lang w:eastAsia="en-GB"/>
        </w:rPr>
        <w:t xml:space="preserve">ce. </w:t>
      </w:r>
      <w:r>
        <w:rPr>
          <w:rFonts w:ascii="Times New Roman" w:eastAsia="Times New Roman" w:hAnsi="Times New Roman" w:cs="Times New Roman"/>
          <w:noProof/>
          <w:sz w:val="24"/>
          <w:szCs w:val="20"/>
          <w:lang w:eastAsia="en-GB"/>
        </w:rPr>
        <w:t>Given the diversity of approaches to carbon pricing worldwide, the Commission will continue to reach out to the EU’s international partners to find grounds for cooperation in this area.</w:t>
      </w:r>
    </w:p>
    <w:p w:rsidR="00795640" w:rsidRDefault="00A70A3B">
      <w:pPr>
        <w:spacing w:after="240" w:line="240" w:lineRule="auto"/>
        <w:ind w:left="-284"/>
        <w:jc w:val="both"/>
        <w:rPr>
          <w:rFonts w:ascii="Times New Roman" w:eastAsia="Times New Roman" w:hAnsi="Times New Roman" w:cs="Times New Roman"/>
          <w:noProof/>
          <w:sz w:val="24"/>
          <w:szCs w:val="20"/>
          <w:lang w:val="en-IE" w:eastAsia="en-GB"/>
        </w:rPr>
      </w:pPr>
      <w:r>
        <w:rPr>
          <w:rFonts w:ascii="Times New Roman" w:eastAsia="Calibri" w:hAnsi="Times New Roman" w:cs="Times New Roman"/>
          <w:noProof/>
          <w:sz w:val="24"/>
          <w:szCs w:val="20"/>
          <w:lang w:eastAsia="en-GB"/>
        </w:rPr>
        <w:t xml:space="preserve">The </w:t>
      </w:r>
      <w:r>
        <w:rPr>
          <w:rFonts w:ascii="Times New Roman" w:eastAsia="Calibri" w:hAnsi="Times New Roman" w:cs="Times New Roman"/>
          <w:b/>
          <w:noProof/>
          <w:sz w:val="24"/>
          <w:szCs w:val="20"/>
          <w:lang w:eastAsia="en-GB"/>
        </w:rPr>
        <w:t>Horizon Europe Programme, with all its tools - partnerships</w:t>
      </w:r>
      <w:r>
        <w:rPr>
          <w:rStyle w:val="FootnoteReference"/>
          <w:rFonts w:ascii="Times New Roman" w:eastAsia="Calibri" w:hAnsi="Times New Roman" w:cs="Times New Roman"/>
          <w:noProof/>
          <w:sz w:val="24"/>
          <w:szCs w:val="20"/>
          <w:lang w:eastAsia="en-GB"/>
        </w:rPr>
        <w:footnoteReference w:id="56"/>
      </w:r>
      <w:r>
        <w:rPr>
          <w:rFonts w:ascii="Times New Roman" w:eastAsia="Calibri" w:hAnsi="Times New Roman" w:cs="Times New Roman"/>
          <w:noProof/>
          <w:sz w:val="24"/>
          <w:szCs w:val="20"/>
          <w:lang w:eastAsia="en-GB"/>
        </w:rPr>
        <w:t xml:space="preserve">, </w:t>
      </w:r>
      <w:r>
        <w:rPr>
          <w:rFonts w:ascii="Times New Roman" w:eastAsia="Calibri" w:hAnsi="Times New Roman" w:cs="Times New Roman"/>
          <w:noProof/>
          <w:sz w:val="24"/>
          <w:szCs w:val="20"/>
          <w:lang w:eastAsia="en-GB"/>
        </w:rPr>
        <w:t xml:space="preserve">the </w:t>
      </w:r>
      <w:r>
        <w:rPr>
          <w:rFonts w:ascii="Times New Roman" w:eastAsia="Times New Roman" w:hAnsi="Times New Roman" w:cs="Times New Roman"/>
          <w:noProof/>
          <w:sz w:val="24"/>
          <w:szCs w:val="20"/>
          <w:lang w:val="en-IE" w:eastAsia="en-GB"/>
        </w:rPr>
        <w:t xml:space="preserve">European Innovation Council and the Institute of Innovation and Technology - will support next generation pan-European innovation ecosystem for green and digital transition. </w:t>
      </w:r>
      <w:r>
        <w:rPr>
          <w:rFonts w:ascii="Times New Roman" w:eastAsia="Calibri" w:hAnsi="Times New Roman" w:cs="Times New Roman"/>
          <w:noProof/>
          <w:sz w:val="24"/>
          <w:szCs w:val="20"/>
          <w:lang w:eastAsia="en-GB"/>
        </w:rPr>
        <w:t xml:space="preserve">The </w:t>
      </w:r>
      <w:r>
        <w:rPr>
          <w:rFonts w:ascii="Times New Roman" w:eastAsia="Calibri" w:hAnsi="Times New Roman" w:cs="Times New Roman"/>
          <w:b/>
          <w:noProof/>
          <w:sz w:val="24"/>
          <w:szCs w:val="20"/>
          <w:lang w:eastAsia="en-GB"/>
        </w:rPr>
        <w:t>Innovation Fund</w:t>
      </w:r>
      <w:r>
        <w:rPr>
          <w:rFonts w:ascii="Times New Roman" w:eastAsia="Calibri" w:hAnsi="Times New Roman" w:cs="Times New Roman"/>
          <w:noProof/>
          <w:sz w:val="24"/>
          <w:szCs w:val="20"/>
          <w:lang w:eastAsia="en-GB"/>
        </w:rPr>
        <w:t xml:space="preserve"> will continue providing critical support for the commercial demonstration of </w:t>
      </w:r>
      <w:r>
        <w:rPr>
          <w:rFonts w:ascii="Times New Roman" w:eastAsia="Times New Roman" w:hAnsi="Times New Roman" w:cs="Times New Roman"/>
          <w:noProof/>
          <w:sz w:val="24"/>
          <w:szCs w:val="20"/>
          <w:lang w:val="en-IE" w:eastAsia="en-GB"/>
        </w:rPr>
        <w:t xml:space="preserve">innovative low-carbon technologies in multiple sectors. </w:t>
      </w:r>
      <w:r>
        <w:rPr>
          <w:rFonts w:ascii="Times New Roman" w:eastAsia="Calibri" w:hAnsi="Times New Roman" w:cs="Times New Roman"/>
          <w:noProof/>
          <w:sz w:val="24"/>
          <w:szCs w:val="20"/>
          <w:lang w:eastAsia="en-GB"/>
        </w:rPr>
        <w:t>A</w:t>
      </w:r>
      <w:r>
        <w:rPr>
          <w:rFonts w:ascii="Times New Roman" w:eastAsia="Times New Roman" w:hAnsi="Times New Roman" w:cs="Times New Roman"/>
          <w:noProof/>
          <w:sz w:val="24"/>
          <w:szCs w:val="20"/>
          <w:lang w:eastAsia="en-GB"/>
        </w:rPr>
        <w:t xml:space="preserve">s part of the proposal for a revised ETS Directive, the Commission is considering proposing a </w:t>
      </w:r>
      <w:r>
        <w:rPr>
          <w:rFonts w:ascii="Times New Roman" w:eastAsia="Times New Roman" w:hAnsi="Times New Roman" w:cs="Times New Roman"/>
          <w:b/>
          <w:noProof/>
          <w:sz w:val="24"/>
          <w:szCs w:val="20"/>
          <w:lang w:eastAsia="en-GB"/>
        </w:rPr>
        <w:t>European approach to carbon</w:t>
      </w:r>
      <w:r>
        <w:rPr>
          <w:rFonts w:ascii="Times New Roman" w:eastAsia="Times New Roman" w:hAnsi="Times New Roman" w:cs="Times New Roman"/>
          <w:b/>
          <w:noProof/>
          <w:sz w:val="24"/>
          <w:szCs w:val="20"/>
          <w:lang w:eastAsia="en-GB"/>
        </w:rPr>
        <w:t xml:space="preserve"> contracts for difference</w:t>
      </w:r>
      <w:r>
        <w:rPr>
          <w:rFonts w:ascii="Times New Roman" w:eastAsia="Times New Roman" w:hAnsi="Times New Roman" w:cs="Times New Roman"/>
          <w:noProof/>
          <w:sz w:val="24"/>
          <w:szCs w:val="20"/>
          <w:lang w:eastAsia="en-GB"/>
        </w:rPr>
        <w:t xml:space="preserve">, using ETS revenues and complementing other forms of support under the Innovation Fund.  </w:t>
      </w:r>
    </w:p>
    <w:p w:rsidR="00795640" w:rsidRDefault="00A70A3B">
      <w:pPr>
        <w:spacing w:line="240" w:lineRule="auto"/>
        <w:ind w:left="-284"/>
        <w:jc w:val="both"/>
        <w:rPr>
          <w:rFonts w:ascii="Times New Roman" w:eastAsia="Calibri" w:hAnsi="Times New Roman" w:cs="Times New Roman"/>
          <w:noProof/>
          <w:sz w:val="24"/>
          <w:szCs w:val="24"/>
          <w:lang w:eastAsia="en-GB"/>
        </w:rPr>
      </w:pPr>
      <w:r>
        <w:rPr>
          <w:rFonts w:ascii="Times New Roman" w:eastAsia="Times New Roman" w:hAnsi="Times New Roman" w:cs="Times New Roman"/>
          <w:noProof/>
          <w:sz w:val="24"/>
          <w:szCs w:val="20"/>
          <w:lang w:val="en-IE" w:eastAsia="en-GB"/>
        </w:rPr>
        <w:t>Current</w:t>
      </w:r>
      <w:r>
        <w:rPr>
          <w:rFonts w:ascii="Times New Roman" w:eastAsia="Calibri" w:hAnsi="Times New Roman" w:cs="Times New Roman"/>
          <w:noProof/>
          <w:sz w:val="24"/>
          <w:szCs w:val="24"/>
        </w:rPr>
        <w:t xml:space="preserve"> investments into renewable energy sources, energy storage, grids, interconnections and industrial transformation in the EU are too s</w:t>
      </w:r>
      <w:r>
        <w:rPr>
          <w:rFonts w:ascii="Times New Roman" w:eastAsia="Calibri" w:hAnsi="Times New Roman" w:cs="Times New Roman"/>
          <w:noProof/>
          <w:sz w:val="24"/>
          <w:szCs w:val="24"/>
        </w:rPr>
        <w:t>low.</w:t>
      </w:r>
      <w:r>
        <w:rPr>
          <w:rStyle w:val="FootnoteReference"/>
          <w:rFonts w:ascii="Times New Roman" w:eastAsia="Calibri" w:hAnsi="Times New Roman" w:cs="Times New Roman"/>
          <w:noProof/>
          <w:sz w:val="24"/>
          <w:szCs w:val="24"/>
        </w:rPr>
        <w:footnoteReference w:id="57"/>
      </w:r>
      <w:r>
        <w:rPr>
          <w:rFonts w:ascii="Times New Roman" w:eastAsia="Times New Roman" w:hAnsi="Times New Roman" w:cs="Times New Roman"/>
          <w:noProof/>
          <w:sz w:val="24"/>
          <w:szCs w:val="20"/>
          <w:lang w:val="en-IE" w:eastAsia="en-GB"/>
        </w:rPr>
        <w:t xml:space="preserve"> For the green transition to bring genuinely sustainable competitiveness, industry needs access to abundant, affordable and decarbonised electricity, and additional efforts are required in this regard. The</w:t>
      </w:r>
      <w:r>
        <w:rPr>
          <w:rFonts w:ascii="Times New Roman" w:eastAsia="Times New Roman" w:hAnsi="Times New Roman" w:cs="Times New Roman"/>
          <w:noProof/>
          <w:sz w:val="24"/>
          <w:szCs w:val="24"/>
          <w:lang w:eastAsia="en-GB"/>
        </w:rPr>
        <w:t xml:space="preserve"> Commission will work with Member States to in</w:t>
      </w:r>
      <w:r>
        <w:rPr>
          <w:rFonts w:ascii="Times New Roman" w:eastAsia="Times New Roman" w:hAnsi="Times New Roman" w:cs="Times New Roman"/>
          <w:noProof/>
          <w:sz w:val="24"/>
          <w:szCs w:val="24"/>
          <w:lang w:eastAsia="en-GB"/>
        </w:rPr>
        <w:t>crease their ambition on renewable energies and streamline permit procedures. The Energy and Industry Geography Lab, a tool under development by the Commission’s Joint Research Centre in collaboration with industrial stakeholders, will provide geospatial i</w:t>
      </w:r>
      <w:r>
        <w:rPr>
          <w:rFonts w:ascii="Times New Roman" w:eastAsia="Times New Roman" w:hAnsi="Times New Roman" w:cs="Times New Roman"/>
          <w:noProof/>
          <w:sz w:val="24"/>
          <w:szCs w:val="24"/>
          <w:lang w:eastAsia="en-GB"/>
        </w:rPr>
        <w:t xml:space="preserve">nformation for </w:t>
      </w:r>
      <w:r>
        <w:rPr>
          <w:rFonts w:ascii="Times New Roman" w:eastAsia="Calibri" w:hAnsi="Times New Roman" w:cs="Times New Roman"/>
          <w:noProof/>
          <w:sz w:val="24"/>
          <w:szCs w:val="24"/>
          <w:lang w:eastAsia="en-GB"/>
        </w:rPr>
        <w:t>companies and energy infrastructure planners</w:t>
      </w:r>
      <w:r>
        <w:rPr>
          <w:rFonts w:ascii="Times New Roman" w:eastAsia="Times New Roman" w:hAnsi="Times New Roman" w:cs="Times New Roman"/>
          <w:noProof/>
          <w:sz w:val="24"/>
          <w:szCs w:val="24"/>
          <w:lang w:eastAsia="en-GB"/>
        </w:rPr>
        <w:t xml:space="preserve">. Industrial consumers, SMEs and communities can also work together for long-term price security to renewable power projects and improved environmental footprint. The Commission will </w:t>
      </w:r>
      <w:r>
        <w:rPr>
          <w:rFonts w:ascii="Times New Roman" w:eastAsia="Calibri" w:hAnsi="Times New Roman" w:cs="Times New Roman"/>
          <w:noProof/>
          <w:sz w:val="24"/>
          <w:szCs w:val="24"/>
          <w:lang w:eastAsia="en-GB"/>
        </w:rPr>
        <w:t>consider measu</w:t>
      </w:r>
      <w:r>
        <w:rPr>
          <w:rFonts w:ascii="Times New Roman" w:eastAsia="Calibri" w:hAnsi="Times New Roman" w:cs="Times New Roman"/>
          <w:noProof/>
          <w:sz w:val="24"/>
          <w:szCs w:val="24"/>
          <w:lang w:eastAsia="en-GB"/>
        </w:rPr>
        <w:t xml:space="preserve">res, as part of the revised Renewable Energy Directive in June 2021, to support the uptake of </w:t>
      </w:r>
      <w:r>
        <w:rPr>
          <w:rFonts w:ascii="Times New Roman" w:eastAsia="Times New Roman" w:hAnsi="Times New Roman" w:cs="Times New Roman"/>
          <w:b/>
          <w:noProof/>
          <w:sz w:val="24"/>
          <w:szCs w:val="24"/>
          <w:lang w:eastAsia="en-GB"/>
        </w:rPr>
        <w:t>corporate renewable Power Purchase Agreements,</w:t>
      </w:r>
      <w:r>
        <w:rPr>
          <w:rFonts w:ascii="Times New Roman" w:eastAsia="Calibri" w:hAnsi="Times New Roman" w:cs="Times New Roman"/>
          <w:noProof/>
          <w:sz w:val="24"/>
          <w:szCs w:val="24"/>
          <w:lang w:eastAsia="en-GB"/>
        </w:rPr>
        <w:t xml:space="preserve"> and remove any unjustified barriers. </w:t>
      </w:r>
    </w:p>
    <w:p w:rsidR="00795640" w:rsidRDefault="00A70A3B">
      <w:pPr>
        <w:spacing w:line="240" w:lineRule="auto"/>
        <w:ind w:left="-284"/>
        <w:jc w:val="both"/>
        <w:rPr>
          <w:rFonts w:ascii="Times New Roman" w:eastAsia="Times New Roman" w:hAnsi="Times New Roman" w:cs="Times New Roman"/>
          <w:noProof/>
          <w:sz w:val="24"/>
          <w:szCs w:val="24"/>
        </w:rPr>
      </w:pPr>
      <w:r>
        <w:rPr>
          <w:rFonts w:ascii="Times New Roman" w:hAnsi="Times New Roman" w:cs="Times New Roman"/>
          <w:noProof/>
          <w:sz w:val="24"/>
        </w:rPr>
        <w:t>The</w:t>
      </w:r>
      <w:r>
        <w:rPr>
          <w:noProof/>
          <w:sz w:val="24"/>
        </w:rPr>
        <w:t xml:space="preserve"> </w:t>
      </w:r>
      <w:r>
        <w:rPr>
          <w:rFonts w:ascii="Times New Roman" w:eastAsia="Times New Roman" w:hAnsi="Times New Roman" w:cs="Times New Roman"/>
          <w:b/>
          <w:noProof/>
          <w:sz w:val="24"/>
          <w:szCs w:val="24"/>
        </w:rPr>
        <w:t>market expansion</w:t>
      </w:r>
      <w:r>
        <w:rPr>
          <w:rFonts w:ascii="Times New Roman" w:eastAsia="Times New Roman" w:hAnsi="Times New Roman" w:cs="Times New Roman"/>
          <w:noProof/>
          <w:sz w:val="24"/>
          <w:szCs w:val="24"/>
        </w:rPr>
        <w:t xml:space="preserve"> and global growth in demand for wind turbines, solar PV panels, and smart energy technologies is a key opportunity, as greater scale should bring lower energy costs for industry as well as society at large. The Commission welcomes efforts to scale up manu</w:t>
      </w:r>
      <w:r>
        <w:rPr>
          <w:rFonts w:ascii="Times New Roman" w:eastAsia="Times New Roman" w:hAnsi="Times New Roman" w:cs="Times New Roman"/>
          <w:noProof/>
          <w:sz w:val="24"/>
          <w:szCs w:val="24"/>
        </w:rPr>
        <w:t>facturing of these technologies in the EU, such as the industry-led European Solar Initiative. The Commission is also working on ecodesign measures for solar panels, including possible requirements on carbon footprint.</w:t>
      </w:r>
    </w:p>
    <w:p w:rsidR="00795640" w:rsidRDefault="00A70A3B">
      <w:pPr>
        <w:spacing w:after="240" w:line="240" w:lineRule="auto"/>
        <w:ind w:left="-284"/>
        <w:jc w:val="both"/>
        <w:rPr>
          <w:rStyle w:val="CommentTextChar"/>
          <w:noProof/>
        </w:rPr>
      </w:pPr>
      <w:r>
        <w:rPr>
          <w:rFonts w:ascii="Times New Roman" w:eastAsia="Times New Roman" w:hAnsi="Times New Roman" w:cs="Times New Roman"/>
          <w:noProof/>
          <w:sz w:val="24"/>
          <w:szCs w:val="20"/>
          <w:lang w:eastAsia="en-GB"/>
        </w:rPr>
        <w:t xml:space="preserve">The European </w:t>
      </w:r>
      <w:r>
        <w:rPr>
          <w:rFonts w:ascii="Times New Roman" w:eastAsia="Times New Roman" w:hAnsi="Times New Roman" w:cs="Times New Roman"/>
          <w:b/>
          <w:noProof/>
          <w:sz w:val="24"/>
          <w:szCs w:val="20"/>
          <w:lang w:eastAsia="en-GB"/>
        </w:rPr>
        <w:t>Raw Materials</w:t>
      </w:r>
      <w:r>
        <w:rPr>
          <w:rFonts w:ascii="Times New Roman" w:eastAsia="Times New Roman" w:hAnsi="Times New Roman" w:cs="Times New Roman"/>
          <w:noProof/>
          <w:sz w:val="24"/>
          <w:szCs w:val="20"/>
          <w:lang w:eastAsia="en-GB"/>
        </w:rPr>
        <w:t xml:space="preserve"> Alliance (</w:t>
      </w:r>
      <w:r>
        <w:rPr>
          <w:rFonts w:ascii="Times New Roman" w:eastAsia="Times New Roman" w:hAnsi="Times New Roman" w:cs="Times New Roman"/>
          <w:noProof/>
          <w:sz w:val="24"/>
          <w:szCs w:val="20"/>
          <w:lang w:eastAsia="en-GB"/>
        </w:rPr>
        <w:t xml:space="preserve">ERMA) is establishing a project pipeline for both the rare earths and magnets value chains and on energy storage and conversion materials. </w:t>
      </w:r>
      <w:r>
        <w:rPr>
          <w:rFonts w:ascii="Times New Roman" w:eastAsia="Times New Roman" w:hAnsi="Times New Roman" w:cs="Times New Roman"/>
          <w:noProof/>
          <w:sz w:val="24"/>
          <w:szCs w:val="24"/>
          <w:lang w:eastAsia="en-GB"/>
        </w:rPr>
        <w:t>If all the projects identified by the ERMA were to be implemented, these could allow as much as 60% of the EU annuall</w:t>
      </w:r>
      <w:r>
        <w:rPr>
          <w:rFonts w:ascii="Times New Roman" w:eastAsia="Times New Roman" w:hAnsi="Times New Roman" w:cs="Times New Roman"/>
          <w:noProof/>
          <w:sz w:val="24"/>
          <w:szCs w:val="24"/>
          <w:lang w:eastAsia="en-GB"/>
        </w:rPr>
        <w:t>y installed wind energy capacity to rely on rare earths magnets made in the EU by 2030 and for EU supply to cover 20% of projected nickel demand by 2030.</w:t>
      </w:r>
      <w:r>
        <w:rPr>
          <w:rStyle w:val="FootnoteReference"/>
          <w:rFonts w:ascii="Times New Roman" w:eastAsia="Times New Roman" w:hAnsi="Times New Roman" w:cs="Times New Roman"/>
          <w:noProof/>
          <w:sz w:val="24"/>
          <w:szCs w:val="24"/>
          <w:lang w:eastAsia="en-GB"/>
        </w:rPr>
        <w:footnoteReference w:id="58"/>
      </w:r>
      <w:r>
        <w:rPr>
          <w:rFonts w:ascii="Times New Roman" w:eastAsia="Times New Roman" w:hAnsi="Times New Roman" w:cs="Times New Roman"/>
          <w:noProof/>
          <w:sz w:val="24"/>
          <w:szCs w:val="24"/>
          <w:lang w:eastAsia="en-GB"/>
        </w:rPr>
        <w:t xml:space="preserve"> </w:t>
      </w:r>
      <w:r>
        <w:rPr>
          <w:rStyle w:val="CommentTextChar"/>
          <w:rFonts w:ascii="Times New Roman" w:hAnsi="Times New Roman" w:cs="Times New Roman"/>
          <w:noProof/>
          <w:sz w:val="24"/>
          <w:szCs w:val="24"/>
        </w:rPr>
        <w:t xml:space="preserve"> </w:t>
      </w:r>
      <w:r>
        <w:rPr>
          <w:rStyle w:val="CommentTextChar"/>
          <w:noProof/>
        </w:rPr>
        <w:t xml:space="preserve"> </w:t>
      </w:r>
    </w:p>
    <w:p w:rsidR="00795640" w:rsidRDefault="00A70A3B">
      <w:pPr>
        <w:spacing w:after="240" w:line="240" w:lineRule="auto"/>
        <w:ind w:left="-284"/>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 xml:space="preserve">Continued efforts towards sustainable product design, a </w:t>
      </w:r>
      <w:r>
        <w:rPr>
          <w:rFonts w:ascii="Times New Roman" w:eastAsia="Times New Roman" w:hAnsi="Times New Roman" w:cs="Times New Roman"/>
          <w:b/>
          <w:noProof/>
          <w:sz w:val="24"/>
          <w:szCs w:val="20"/>
          <w:lang w:eastAsia="en-GB"/>
        </w:rPr>
        <w:t>circular economy</w:t>
      </w:r>
      <w:r>
        <w:rPr>
          <w:rFonts w:ascii="Times New Roman" w:eastAsia="Times New Roman" w:hAnsi="Times New Roman" w:cs="Times New Roman"/>
          <w:noProof/>
          <w:sz w:val="24"/>
          <w:szCs w:val="20"/>
          <w:lang w:eastAsia="en-GB"/>
        </w:rPr>
        <w:t xml:space="preserve"> and increased collection </w:t>
      </w:r>
      <w:r>
        <w:rPr>
          <w:rFonts w:ascii="Times New Roman" w:eastAsia="Times New Roman" w:hAnsi="Times New Roman" w:cs="Times New Roman"/>
          <w:noProof/>
          <w:sz w:val="24"/>
          <w:szCs w:val="20"/>
          <w:lang w:eastAsia="en-GB"/>
        </w:rPr>
        <w:t xml:space="preserve">and recycling of raw materials, as well as a functioning market for secondary raw materials, will be key. The Commission’s proposal for a Batteries Regulation provides an innovative regulatory framework for batteries covering their entire lifecycle. </w:t>
      </w:r>
    </w:p>
    <w:p w:rsidR="00795640" w:rsidRDefault="00A70A3B">
      <w:pPr>
        <w:spacing w:after="240" w:line="240" w:lineRule="auto"/>
        <w:ind w:left="-284"/>
        <w:jc w:val="both"/>
        <w:rPr>
          <w:rFonts w:ascii="Times New Roman" w:eastAsia="Times New Roman" w:hAnsi="Times New Roman" w:cs="Times New Roman"/>
          <w:noProof/>
          <w:sz w:val="24"/>
          <w:szCs w:val="20"/>
          <w:lang w:val="en-IE" w:eastAsia="en-GB"/>
        </w:rPr>
      </w:pPr>
      <w:r>
        <w:rPr>
          <w:rFonts w:ascii="Times New Roman" w:eastAsia="Calibri" w:hAnsi="Times New Roman" w:cs="Times New Roman"/>
          <w:b/>
          <w:noProof/>
          <w:sz w:val="24"/>
          <w:szCs w:val="24"/>
        </w:rPr>
        <w:t>SMEs</w:t>
      </w:r>
      <w:r>
        <w:rPr>
          <w:rFonts w:ascii="Times New Roman" w:eastAsia="Calibri" w:hAnsi="Times New Roman" w:cs="Times New Roman"/>
          <w:noProof/>
          <w:sz w:val="24"/>
          <w:szCs w:val="24"/>
        </w:rPr>
        <w:t xml:space="preserve"> can profit from the green transition but need advice and financial support to make the most out of it. The Enterprise Europe Network is already putting in place Sustainability Advisors to provide dedicated advice to SMEs and these will be fully in place a</w:t>
      </w:r>
      <w:r>
        <w:rPr>
          <w:rFonts w:ascii="Times New Roman" w:eastAsia="Calibri" w:hAnsi="Times New Roman" w:cs="Times New Roman"/>
          <w:noProof/>
          <w:sz w:val="24"/>
          <w:szCs w:val="24"/>
        </w:rPr>
        <w:t xml:space="preserve">s of 2022. They will promote both SME innovation in decarbonised electricity generation, including the use of solar panels and on energy efficiency. </w:t>
      </w:r>
      <w:r>
        <w:rPr>
          <w:rFonts w:ascii="Times New Roman" w:eastAsia="Times New Roman" w:hAnsi="Times New Roman" w:cs="Times New Roman"/>
          <w:noProof/>
          <w:sz w:val="24"/>
          <w:szCs w:val="24"/>
          <w:lang w:eastAsia="en-GB"/>
        </w:rPr>
        <w:t>Digitalisation is also essential for SMEs so all relevant platforms</w:t>
      </w:r>
      <w:r>
        <w:rPr>
          <w:rStyle w:val="FootnoteReference"/>
          <w:rFonts w:ascii="Times New Roman" w:eastAsia="Times New Roman" w:hAnsi="Times New Roman" w:cs="Times New Roman"/>
          <w:noProof/>
          <w:sz w:val="24"/>
          <w:szCs w:val="24"/>
          <w:lang w:eastAsia="en-GB"/>
        </w:rPr>
        <w:footnoteReference w:id="59"/>
      </w:r>
      <w:r>
        <w:rPr>
          <w:rFonts w:ascii="Times New Roman" w:eastAsia="Times New Roman" w:hAnsi="Times New Roman" w:cs="Times New Roman"/>
          <w:noProof/>
          <w:sz w:val="24"/>
          <w:szCs w:val="24"/>
          <w:lang w:eastAsia="en-GB"/>
        </w:rPr>
        <w:t xml:space="preserve"> will act together to support SMEs in t</w:t>
      </w:r>
      <w:r>
        <w:rPr>
          <w:rFonts w:ascii="Times New Roman" w:eastAsia="Times New Roman" w:hAnsi="Times New Roman" w:cs="Times New Roman"/>
          <w:noProof/>
          <w:sz w:val="24"/>
          <w:szCs w:val="24"/>
          <w:lang w:eastAsia="en-GB"/>
        </w:rPr>
        <w:t>heir ecosystems in e.g. adopting data-driven business models, and solutions against cyber threats. By 2023, the Digital Europe Programme will inject EUR 310 million into the European Digital Innovation Hubs that will offer SMEs local support in digital tra</w:t>
      </w:r>
      <w:r>
        <w:rPr>
          <w:rFonts w:ascii="Times New Roman" w:eastAsia="Times New Roman" w:hAnsi="Times New Roman" w:cs="Times New Roman"/>
          <w:noProof/>
          <w:sz w:val="24"/>
          <w:szCs w:val="24"/>
          <w:lang w:eastAsia="en-GB"/>
        </w:rPr>
        <w:t>nsformation and access to technology testing</w:t>
      </w:r>
      <w:r>
        <w:rPr>
          <w:rFonts w:ascii="Times New Roman" w:eastAsia="Times New Roman" w:hAnsi="Times New Roman" w:cs="Times New Roman"/>
          <w:noProof/>
          <w:sz w:val="24"/>
          <w:szCs w:val="20"/>
          <w:lang w:eastAsia="en-GB"/>
        </w:rPr>
        <w:t xml:space="preserve">.  </w:t>
      </w:r>
      <w:r>
        <w:rPr>
          <w:rFonts w:ascii="Times New Roman" w:eastAsia="Times New Roman" w:hAnsi="Times New Roman" w:cs="Times New Roman"/>
          <w:noProof/>
          <w:sz w:val="24"/>
          <w:szCs w:val="20"/>
          <w:lang w:val="en-IE" w:eastAsia="en-GB"/>
        </w:rPr>
        <w:t xml:space="preserve">In 2021, the European Innovation Council will also channel EUR 1.1 billion in grants and equity funding, mostly to start-ups and innovative SMEs. </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0"/>
          <w:lang w:eastAsia="en-GB"/>
        </w:rPr>
        <w:t xml:space="preserve">The Commission will work to reinforce the </w:t>
      </w:r>
      <w:r>
        <w:rPr>
          <w:rFonts w:ascii="Times New Roman" w:eastAsia="Times New Roman" w:hAnsi="Times New Roman" w:cs="Times New Roman"/>
          <w:b/>
          <w:noProof/>
          <w:sz w:val="24"/>
          <w:szCs w:val="20"/>
          <w:lang w:eastAsia="en-GB"/>
        </w:rPr>
        <w:t xml:space="preserve">synergies between the sustainable and digital transitions. </w:t>
      </w:r>
      <w:r>
        <w:rPr>
          <w:rFonts w:ascii="Times New Roman" w:eastAsia="Times New Roman" w:hAnsi="Times New Roman" w:cs="Times New Roman"/>
          <w:noProof/>
          <w:sz w:val="24"/>
          <w:szCs w:val="20"/>
          <w:lang w:eastAsia="en-GB"/>
        </w:rPr>
        <w:t xml:space="preserve">Digital solutions, such as </w:t>
      </w:r>
      <w:r>
        <w:rPr>
          <w:rFonts w:ascii="Times New Roman" w:eastAsia="Times New Roman" w:hAnsi="Times New Roman" w:cs="Times New Roman"/>
          <w:b/>
          <w:noProof/>
          <w:sz w:val="24"/>
          <w:szCs w:val="20"/>
          <w:lang w:eastAsia="en-GB"/>
        </w:rPr>
        <w:t xml:space="preserve">digital twins </w:t>
      </w:r>
      <w:r>
        <w:rPr>
          <w:rFonts w:ascii="Times New Roman" w:eastAsia="Times New Roman" w:hAnsi="Times New Roman" w:cs="Times New Roman"/>
          <w:noProof/>
          <w:sz w:val="24"/>
          <w:szCs w:val="20"/>
          <w:lang w:eastAsia="en-GB"/>
        </w:rPr>
        <w:t xml:space="preserve">in advanced manufacturing, can help optimise processes in all ecosystems. The industry-led </w:t>
      </w:r>
      <w:r>
        <w:rPr>
          <w:rFonts w:ascii="Times New Roman" w:eastAsia="Times New Roman" w:hAnsi="Times New Roman" w:cs="Times New Roman"/>
          <w:b/>
          <w:noProof/>
          <w:sz w:val="24"/>
          <w:szCs w:val="20"/>
          <w:lang w:eastAsia="en-GB"/>
        </w:rPr>
        <w:t>European</w:t>
      </w:r>
      <w:r>
        <w:rPr>
          <w:rFonts w:ascii="Times New Roman" w:eastAsia="Times New Roman" w:hAnsi="Times New Roman" w:cs="Times New Roman"/>
          <w:noProof/>
          <w:sz w:val="24"/>
          <w:szCs w:val="20"/>
          <w:lang w:eastAsia="en-GB"/>
        </w:rPr>
        <w:t xml:space="preserve"> </w:t>
      </w:r>
      <w:r>
        <w:rPr>
          <w:rFonts w:ascii="Times New Roman" w:eastAsia="Times New Roman" w:hAnsi="Times New Roman" w:cs="Times New Roman"/>
          <w:b/>
          <w:noProof/>
          <w:sz w:val="24"/>
          <w:szCs w:val="20"/>
          <w:lang w:eastAsia="en-GB"/>
        </w:rPr>
        <w:t>Green Digital Coalition</w:t>
      </w:r>
      <w:r>
        <w:rPr>
          <w:rFonts w:ascii="Times New Roman" w:eastAsia="Times New Roman" w:hAnsi="Times New Roman" w:cs="Times New Roman"/>
          <w:noProof/>
          <w:sz w:val="24"/>
          <w:szCs w:val="20"/>
          <w:lang w:eastAsia="en-GB"/>
        </w:rPr>
        <w:t xml:space="preserve"> will measure the impact and spee</w:t>
      </w:r>
      <w:r>
        <w:rPr>
          <w:rFonts w:ascii="Times New Roman" w:eastAsia="Times New Roman" w:hAnsi="Times New Roman" w:cs="Times New Roman"/>
          <w:noProof/>
          <w:sz w:val="24"/>
          <w:szCs w:val="20"/>
          <w:lang w:eastAsia="en-GB"/>
        </w:rPr>
        <w:t>d up the deployment of digital solutions to green key sectors</w:t>
      </w:r>
      <w:r>
        <w:rPr>
          <w:rFonts w:ascii="Times New Roman" w:eastAsia="Times New Roman" w:hAnsi="Times New Roman" w:cs="Times New Roman"/>
          <w:b/>
          <w:noProof/>
          <w:sz w:val="24"/>
          <w:szCs w:val="20"/>
          <w:lang w:eastAsia="en-GB"/>
        </w:rPr>
        <w:t xml:space="preserve">. </w:t>
      </w:r>
      <w:r>
        <w:rPr>
          <w:rFonts w:ascii="Times New Roman" w:eastAsia="Times New Roman" w:hAnsi="Times New Roman" w:cs="Times New Roman"/>
          <w:noProof/>
          <w:sz w:val="24"/>
          <w:szCs w:val="20"/>
          <w:lang w:eastAsia="en-GB"/>
        </w:rPr>
        <w:t>To deliver on the commitments made in the Digital Compass,</w:t>
      </w:r>
      <w:r>
        <w:rPr>
          <w:rFonts w:ascii="Times New Roman" w:eastAsia="Times New Roman" w:hAnsi="Times New Roman" w:cs="Times New Roman"/>
          <w:noProof/>
          <w:sz w:val="24"/>
          <w:szCs w:val="20"/>
          <w:vertAlign w:val="superscript"/>
          <w:lang w:eastAsia="en-GB"/>
        </w:rPr>
        <w:footnoteReference w:id="60"/>
      </w:r>
      <w:r>
        <w:rPr>
          <w:rFonts w:ascii="Times New Roman" w:eastAsia="Times New Roman" w:hAnsi="Times New Roman" w:cs="Times New Roman"/>
          <w:noProof/>
          <w:sz w:val="24"/>
          <w:szCs w:val="20"/>
          <w:lang w:eastAsia="en-GB"/>
        </w:rPr>
        <w:t xml:space="preserve"> the Commission is going to identify additional measures to reach the </w:t>
      </w:r>
      <w:r>
        <w:rPr>
          <w:rFonts w:ascii="Times New Roman" w:eastAsia="Times New Roman" w:hAnsi="Times New Roman" w:cs="Times New Roman"/>
          <w:b/>
          <w:noProof/>
          <w:sz w:val="24"/>
          <w:szCs w:val="20"/>
          <w:lang w:eastAsia="en-GB"/>
        </w:rPr>
        <w:t>carbon neutrality target of ICT technologies</w:t>
      </w:r>
      <w:r>
        <w:rPr>
          <w:rFonts w:ascii="Times New Roman" w:eastAsia="Times New Roman" w:hAnsi="Times New Roman" w:cs="Times New Roman"/>
          <w:noProof/>
          <w:sz w:val="24"/>
          <w:szCs w:val="20"/>
          <w:lang w:eastAsia="en-GB"/>
        </w:rPr>
        <w:t xml:space="preserve"> and to increase the</w:t>
      </w:r>
      <w:r>
        <w:rPr>
          <w:rFonts w:ascii="Times New Roman" w:eastAsia="Times New Roman" w:hAnsi="Times New Roman" w:cs="Times New Roman"/>
          <w:noProof/>
          <w:sz w:val="24"/>
          <w:szCs w:val="20"/>
          <w:lang w:eastAsia="en-GB"/>
        </w:rPr>
        <w:t xml:space="preserve"> uptake of digital technologies to lower the environmental footprint of other ecosystems. </w:t>
      </w:r>
    </w:p>
    <w:p w:rsidR="00795640" w:rsidRDefault="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0"/>
          <w:lang w:eastAsia="en-GB"/>
        </w:rPr>
        <w:t>The green and digital transitions cannot be realised without more and fair data sharing, in particular to optimise sustainability, and to develop innovative products</w:t>
      </w:r>
      <w:r>
        <w:rPr>
          <w:rFonts w:ascii="Times New Roman" w:eastAsia="Times New Roman" w:hAnsi="Times New Roman" w:cs="Times New Roman"/>
          <w:noProof/>
          <w:sz w:val="24"/>
          <w:szCs w:val="20"/>
          <w:lang w:eastAsia="en-GB"/>
        </w:rPr>
        <w:t xml:space="preserve"> and services. To help unleash the potential of data by companies and the public sector, the Commission will propose a </w:t>
      </w:r>
      <w:r>
        <w:rPr>
          <w:rFonts w:ascii="Times New Roman" w:eastAsia="Times New Roman" w:hAnsi="Times New Roman" w:cs="Times New Roman"/>
          <w:b/>
          <w:noProof/>
          <w:sz w:val="24"/>
          <w:szCs w:val="20"/>
          <w:lang w:eastAsia="en-GB"/>
        </w:rPr>
        <w:t>Data Act in 2021 and will continue to support the establishment of sectoral ‘Common European data spaces’</w:t>
      </w:r>
      <w:r>
        <w:rPr>
          <w:rFonts w:ascii="Times New Roman" w:eastAsia="Times New Roman" w:hAnsi="Times New Roman" w:cs="Times New Roman"/>
          <w:noProof/>
          <w:sz w:val="24"/>
          <w:szCs w:val="20"/>
          <w:lang w:eastAsia="en-GB"/>
        </w:rPr>
        <w:t>, in full compliance with fundam</w:t>
      </w:r>
      <w:r>
        <w:rPr>
          <w:rFonts w:ascii="Times New Roman" w:eastAsia="Times New Roman" w:hAnsi="Times New Roman" w:cs="Times New Roman"/>
          <w:noProof/>
          <w:sz w:val="24"/>
          <w:szCs w:val="20"/>
          <w:lang w:eastAsia="en-GB"/>
        </w:rPr>
        <w:t xml:space="preserve">ental rights, via the upcoming Digital Europe Programme. </w:t>
      </w:r>
      <w:r>
        <w:rPr>
          <w:rFonts w:ascii="Times New Roman" w:eastAsia="Calibri" w:hAnsi="Times New Roman" w:cs="Times New Roman"/>
          <w:noProof/>
          <w:sz w:val="24"/>
          <w:szCs w:val="20"/>
          <w:lang w:eastAsia="en-GB"/>
        </w:rPr>
        <w:t xml:space="preserve">At international level, the EU is engaging in the WTO Joint Statement initiative negotiations on e-commerce to shape the global rules on digital trade. </w:t>
      </w:r>
      <w:r>
        <w:rPr>
          <w:rFonts w:ascii="Times New Roman" w:eastAsia="Times New Roman" w:hAnsi="Times New Roman" w:cs="Times New Roman"/>
          <w:noProof/>
          <w:sz w:val="24"/>
          <w:lang w:eastAsia="en-GB"/>
        </w:rPr>
        <w:t xml:space="preserve">To promote the development of safe and </w:t>
      </w:r>
      <w:r>
        <w:rPr>
          <w:rFonts w:ascii="Times New Roman" w:eastAsia="Times New Roman" w:hAnsi="Times New Roman" w:cs="Times New Roman"/>
          <w:noProof/>
          <w:sz w:val="24"/>
          <w:lang w:eastAsia="en-GB"/>
        </w:rPr>
        <w:t>trustworthy Artificial Intelligence, the Commission presented a proposal for a regulatory framework on AI and a revised coordinated plan on AI on 21 April 2021.</w:t>
      </w:r>
    </w:p>
    <w:p w:rsidR="00795640" w:rsidRDefault="00A70A3B">
      <w:pPr>
        <w:spacing w:after="240" w:line="240" w:lineRule="auto"/>
        <w:ind w:left="-284"/>
        <w:jc w:val="both"/>
        <w:rPr>
          <w:rFonts w:ascii="Times New Roman" w:eastAsia="Calibri" w:hAnsi="Times New Roman" w:cs="Times New Roman"/>
          <w:noProof/>
          <w:sz w:val="24"/>
          <w:szCs w:val="20"/>
          <w:lang w:eastAsia="en-GB"/>
        </w:rPr>
      </w:pPr>
      <w:r>
        <w:rPr>
          <w:rFonts w:ascii="Times New Roman" w:eastAsia="Times New Roman" w:hAnsi="Times New Roman" w:cs="Times New Roman"/>
          <w:b/>
          <w:noProof/>
          <w:sz w:val="24"/>
          <w:szCs w:val="20"/>
          <w:lang w:eastAsia="en-GB"/>
        </w:rPr>
        <w:t xml:space="preserve">Investment in skills </w:t>
      </w:r>
      <w:r>
        <w:rPr>
          <w:rFonts w:ascii="Times New Roman" w:eastAsia="Times New Roman" w:hAnsi="Times New Roman" w:cs="Times New Roman"/>
          <w:noProof/>
          <w:sz w:val="24"/>
          <w:szCs w:val="20"/>
          <w:lang w:eastAsia="en-GB"/>
        </w:rPr>
        <w:t>is an important</w:t>
      </w:r>
      <w:r>
        <w:rPr>
          <w:rFonts w:ascii="Times New Roman" w:eastAsia="Times New Roman" w:hAnsi="Times New Roman" w:cs="Times New Roman"/>
          <w:b/>
          <w:noProof/>
          <w:sz w:val="24"/>
          <w:szCs w:val="20"/>
          <w:lang w:eastAsia="en-GB"/>
        </w:rPr>
        <w:t xml:space="preserve"> </w:t>
      </w:r>
      <w:r>
        <w:rPr>
          <w:rFonts w:ascii="Times New Roman" w:eastAsia="Times New Roman" w:hAnsi="Times New Roman" w:cs="Times New Roman"/>
          <w:noProof/>
          <w:sz w:val="24"/>
          <w:szCs w:val="20"/>
          <w:lang w:eastAsia="en-GB"/>
        </w:rPr>
        <w:t>component of investing in people, and will be essential to</w:t>
      </w:r>
      <w:r>
        <w:rPr>
          <w:rFonts w:ascii="Times New Roman" w:eastAsia="Times New Roman" w:hAnsi="Times New Roman" w:cs="Times New Roman"/>
          <w:noProof/>
          <w:sz w:val="24"/>
          <w:szCs w:val="20"/>
          <w:lang w:eastAsia="en-GB"/>
        </w:rPr>
        <w:t xml:space="preserve"> support the twin transition</w:t>
      </w:r>
      <w:r>
        <w:rPr>
          <w:noProof/>
        </w:rPr>
        <w:t xml:space="preserve"> </w:t>
      </w:r>
      <w:r>
        <w:rPr>
          <w:rFonts w:ascii="Times New Roman" w:eastAsia="Times New Roman" w:hAnsi="Times New Roman" w:cs="Times New Roman"/>
          <w:noProof/>
          <w:sz w:val="24"/>
          <w:szCs w:val="20"/>
          <w:lang w:eastAsia="en-GB"/>
        </w:rPr>
        <w:t>and to contribute to a fair recovery. The European Skills Agenda supports the green and digital transitions with initiatives like the Pact for Skills. It helps mobilise the private sector and other stakeholders to upskill and r</w:t>
      </w:r>
      <w:r>
        <w:rPr>
          <w:rFonts w:ascii="Times New Roman" w:eastAsia="Times New Roman" w:hAnsi="Times New Roman" w:cs="Times New Roman"/>
          <w:noProof/>
          <w:sz w:val="24"/>
          <w:szCs w:val="20"/>
          <w:lang w:eastAsia="en-GB"/>
        </w:rPr>
        <w:t>eskill Europe’s workforce. The Pact supports large-scale skills partnerships per ecosystem, some of which already put forward skilling commitments (automotive, microelectronics, and aerospace and defence industries). The Skills Roundtables, organised by th</w:t>
      </w:r>
      <w:r>
        <w:rPr>
          <w:rFonts w:ascii="Times New Roman" w:eastAsia="Times New Roman" w:hAnsi="Times New Roman" w:cs="Times New Roman"/>
          <w:noProof/>
          <w:sz w:val="24"/>
          <w:szCs w:val="20"/>
          <w:lang w:eastAsia="en-GB"/>
        </w:rPr>
        <w:t>e Commission with relevant stakeholders from each ecosystem, will have covered all ecosystems by mid-2021, and will contribute to the design and implementation of the pathways. The EU budget for 2021-2027 includes a number of instruments that can support u</w:t>
      </w:r>
      <w:r>
        <w:rPr>
          <w:rFonts w:ascii="Times New Roman" w:eastAsia="Times New Roman" w:hAnsi="Times New Roman" w:cs="Times New Roman"/>
          <w:noProof/>
          <w:sz w:val="24"/>
          <w:szCs w:val="20"/>
          <w:lang w:eastAsia="en-GB"/>
        </w:rPr>
        <w:t>pskilling and reskilling.</w:t>
      </w:r>
      <w:r>
        <w:rPr>
          <w:rStyle w:val="FootnoteReference"/>
          <w:rFonts w:ascii="Times New Roman" w:eastAsia="Times New Roman" w:hAnsi="Times New Roman" w:cs="Times New Roman"/>
          <w:noProof/>
          <w:sz w:val="24"/>
          <w:szCs w:val="20"/>
          <w:lang w:eastAsia="en-GB"/>
        </w:rPr>
        <w:footnoteReference w:id="61"/>
      </w:r>
      <w:r>
        <w:rPr>
          <w:rFonts w:ascii="Times New Roman" w:eastAsia="Times New Roman" w:hAnsi="Times New Roman" w:cs="Times New Roman"/>
          <w:noProof/>
          <w:sz w:val="24"/>
          <w:szCs w:val="20"/>
          <w:lang w:eastAsia="en-GB"/>
        </w:rPr>
        <w:t xml:space="preserve"> The national recovery and resilience plans can also contribute, as well as effective active support to employment.</w:t>
      </w:r>
      <w:r>
        <w:rPr>
          <w:rStyle w:val="FootnoteReference"/>
          <w:rFonts w:ascii="Times New Roman" w:eastAsia="Times New Roman" w:hAnsi="Times New Roman" w:cs="Times New Roman"/>
          <w:noProof/>
          <w:sz w:val="24"/>
          <w:szCs w:val="20"/>
          <w:lang w:eastAsia="en-GB"/>
        </w:rPr>
        <w:footnoteReference w:id="62"/>
      </w:r>
      <w:r>
        <w:rPr>
          <w:rFonts w:ascii="Times New Roman" w:eastAsia="Times New Roman" w:hAnsi="Times New Roman" w:cs="Times New Roman"/>
          <w:noProof/>
          <w:sz w:val="24"/>
          <w:szCs w:val="20"/>
          <w:lang w:eastAsia="en-GB"/>
        </w:rPr>
        <w:t xml:space="preserve"> </w:t>
      </w:r>
    </w:p>
    <w:tbl>
      <w:tblPr>
        <w:tblStyle w:val="TableGrid1"/>
        <w:tblW w:w="0" w:type="auto"/>
        <w:tblInd w:w="108" w:type="dxa"/>
        <w:tblLook w:val="04A0" w:firstRow="1" w:lastRow="0" w:firstColumn="1" w:lastColumn="0" w:noHBand="0" w:noVBand="1"/>
      </w:tblPr>
      <w:tblGrid>
        <w:gridCol w:w="5812"/>
        <w:gridCol w:w="2914"/>
      </w:tblGrid>
      <w:tr w:rsidR="00795640">
        <w:tc>
          <w:tcPr>
            <w:tcW w:w="5812"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Calibri" w:hAnsi="Times New Roman" w:cs="Times New Roman"/>
                <w:b/>
                <w:noProof/>
                <w:sz w:val="24"/>
                <w:szCs w:val="24"/>
                <w:lang w:val="en-IE"/>
              </w:rPr>
            </w:pPr>
            <w:r>
              <w:rPr>
                <w:rFonts w:ascii="Calibri" w:eastAsia="Calibri" w:hAnsi="Calibri" w:cs="Times New Roman"/>
                <w:b/>
                <w:noProof/>
                <w:szCs w:val="24"/>
              </w:rPr>
              <w:t xml:space="preserve">  </w:t>
            </w:r>
            <w:r>
              <w:rPr>
                <w:rFonts w:ascii="Calibri" w:eastAsia="Calibri" w:hAnsi="Calibri" w:cs="Times New Roman"/>
                <w:b/>
                <w:noProof/>
                <w:szCs w:val="24"/>
                <w:lang w:val="en-IE"/>
              </w:rPr>
              <w:t>KEY ACTIONS</w:t>
            </w:r>
          </w:p>
        </w:tc>
        <w:tc>
          <w:tcPr>
            <w:tcW w:w="2914"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Calibri" w:hAnsi="Times New Roman" w:cs="Times New Roman"/>
                <w:b/>
                <w:noProof/>
                <w:sz w:val="24"/>
                <w:szCs w:val="24"/>
                <w:lang w:val="en-IE"/>
              </w:rPr>
            </w:pPr>
            <w:r>
              <w:rPr>
                <w:rFonts w:ascii="Calibri" w:eastAsia="Calibri" w:hAnsi="Calibri" w:cs="Times New Roman"/>
                <w:b/>
                <w:noProof/>
                <w:szCs w:val="24"/>
                <w:lang w:val="en-IE"/>
              </w:rPr>
              <w:t>TIMING</w:t>
            </w:r>
          </w:p>
        </w:tc>
      </w:tr>
      <w:tr w:rsidR="00795640">
        <w:tc>
          <w:tcPr>
            <w:tcW w:w="5812"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rPr>
              <w:t>Co-creation of green and digital transition pathways for relevant ecosystems, starting wit</w:t>
            </w:r>
            <w:r>
              <w:rPr>
                <w:rFonts w:ascii="Times New Roman" w:eastAsia="Calibri" w:hAnsi="Times New Roman" w:cs="Times New Roman"/>
                <w:noProof/>
                <w:sz w:val="24"/>
                <w:szCs w:val="24"/>
              </w:rPr>
              <w:t>h tourism and energy intensive industries</w:t>
            </w:r>
          </w:p>
        </w:tc>
        <w:tc>
          <w:tcPr>
            <w:tcW w:w="2914"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As of Q2 2021  </w:t>
            </w:r>
          </w:p>
        </w:tc>
      </w:tr>
      <w:tr w:rsidR="00795640">
        <w:tc>
          <w:tcPr>
            <w:tcW w:w="5812"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rPr>
              <w:t>Actions to promote renewable Power Purchase Agreements in the proposal for a revised Renewable Energy Directive</w:t>
            </w:r>
          </w:p>
        </w:tc>
        <w:tc>
          <w:tcPr>
            <w:tcW w:w="2914"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Q2 2021</w:t>
            </w:r>
          </w:p>
        </w:tc>
      </w:tr>
      <w:tr w:rsidR="00795640">
        <w:tc>
          <w:tcPr>
            <w:tcW w:w="5812"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rPr>
              <w:t xml:space="preserve">Consider European approach for carbon contracts for difference in the </w:t>
            </w:r>
            <w:r>
              <w:rPr>
                <w:rFonts w:ascii="Times New Roman" w:eastAsia="Calibri" w:hAnsi="Times New Roman" w:cs="Times New Roman"/>
                <w:noProof/>
                <w:sz w:val="24"/>
                <w:szCs w:val="24"/>
              </w:rPr>
              <w:t>proposal for a revised ETS Directive</w:t>
            </w:r>
          </w:p>
        </w:tc>
        <w:tc>
          <w:tcPr>
            <w:tcW w:w="2914"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Q2 2021</w:t>
            </w:r>
          </w:p>
        </w:tc>
      </w:tr>
      <w:tr w:rsidR="00795640">
        <w:tc>
          <w:tcPr>
            <w:tcW w:w="5812"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rPr>
              <w:t>Energy and Industry Geography Lab</w:t>
            </w:r>
          </w:p>
        </w:tc>
        <w:tc>
          <w:tcPr>
            <w:tcW w:w="2914" w:type="dxa"/>
            <w:tcBorders>
              <w:top w:val="single" w:sz="4" w:space="0" w:color="auto"/>
              <w:left w:val="single" w:sz="4" w:space="0" w:color="auto"/>
              <w:bottom w:val="single" w:sz="4" w:space="0" w:color="auto"/>
              <w:right w:val="single" w:sz="4" w:space="0" w:color="auto"/>
            </w:tcBorders>
            <w:shd w:val="clear" w:color="auto" w:fill="F2F2F2"/>
            <w:hideMark/>
          </w:tcPr>
          <w:p w:rsidR="00795640" w:rsidRDefault="00A70A3B">
            <w:pPr>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As of Q4 2021 </w:t>
            </w:r>
          </w:p>
        </w:tc>
      </w:tr>
    </w:tbl>
    <w:p w:rsidR="00795640" w:rsidRDefault="00795640">
      <w:pPr>
        <w:spacing w:after="240" w:line="240" w:lineRule="auto"/>
        <w:ind w:left="482"/>
        <w:jc w:val="both"/>
        <w:rPr>
          <w:rFonts w:ascii="Times New Roman" w:eastAsia="Times New Roman" w:hAnsi="Times New Roman" w:cs="Times New Roman"/>
          <w:b/>
          <w:noProof/>
          <w:sz w:val="24"/>
          <w:szCs w:val="20"/>
          <w:lang w:val="en-IE" w:eastAsia="en-GB"/>
        </w:rPr>
      </w:pPr>
    </w:p>
    <w:p w:rsidR="00795640" w:rsidRDefault="00A70A3B">
      <w:pPr>
        <w:pStyle w:val="ListParagraph"/>
        <w:keepNext/>
        <w:numPr>
          <w:ilvl w:val="0"/>
          <w:numId w:val="3"/>
        </w:numPr>
        <w:spacing w:after="240" w:line="240" w:lineRule="auto"/>
        <w:jc w:val="both"/>
        <w:outlineLvl w:val="0"/>
        <w:rPr>
          <w:rFonts w:ascii="Times New Roman" w:eastAsia="Times New Roman" w:hAnsi="Times New Roman" w:cs="Times New Roman"/>
          <w:b/>
          <w:smallCaps/>
          <w:noProof/>
          <w:sz w:val="24"/>
          <w:szCs w:val="20"/>
          <w:lang w:val="en-IE" w:eastAsia="en-GB"/>
        </w:rPr>
      </w:pPr>
      <w:r>
        <w:rPr>
          <w:rFonts w:ascii="Times New Roman" w:eastAsia="Times New Roman" w:hAnsi="Times New Roman" w:cs="Times New Roman"/>
          <w:b/>
          <w:smallCaps/>
          <w:noProof/>
          <w:sz w:val="24"/>
          <w:szCs w:val="20"/>
          <w:lang w:val="en-IE" w:eastAsia="en-GB"/>
        </w:rPr>
        <w:t>Conclusion: coming back stronger in partnership</w:t>
      </w:r>
    </w:p>
    <w:p w:rsidR="00795640" w:rsidRDefault="00A70A3B" w:rsidP="00A70A3B">
      <w:pPr>
        <w:spacing w:after="240" w:line="240" w:lineRule="auto"/>
        <w:ind w:left="-284"/>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 xml:space="preserve">The new Industrial Strategy 2020 strategy laid the foundations for an industrial policy that would support the </w:t>
      </w:r>
      <w:r>
        <w:rPr>
          <w:rFonts w:ascii="Times New Roman" w:eastAsia="Times New Roman" w:hAnsi="Times New Roman" w:cs="Times New Roman"/>
          <w:noProof/>
          <w:sz w:val="24"/>
          <w:szCs w:val="20"/>
          <w:lang w:eastAsia="en-GB"/>
        </w:rPr>
        <w:t>twin transitions, make EU industry more competitive globally and enhance Europe’s strategic autonomy. It set out a new industrial way for Europe, fit for the ambitions of today and the realities of tomorrow. It is still work in progress, building on Europe</w:t>
      </w:r>
      <w:r>
        <w:rPr>
          <w:rFonts w:ascii="Times New Roman" w:eastAsia="Times New Roman" w:hAnsi="Times New Roman" w:cs="Times New Roman"/>
          <w:noProof/>
          <w:sz w:val="24"/>
          <w:szCs w:val="20"/>
          <w:lang w:eastAsia="en-GB"/>
        </w:rPr>
        <w:t>’s assets as the home of industry – our diversity and the talent of our people, our innovators and creators, our values and social market traditions. This new industrial strategy is entrepreneurial in spirit and action, and as valid as ever.</w:t>
      </w:r>
    </w:p>
    <w:p w:rsidR="00795640" w:rsidRDefault="00A70A3B" w:rsidP="00A70A3B">
      <w:pPr>
        <w:spacing w:after="240" w:line="240" w:lineRule="auto"/>
        <w:ind w:left="-284"/>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0"/>
          <w:lang w:eastAsia="en-GB"/>
        </w:rPr>
        <w:t>The EU, its Member States and industry are now drawing the lessons from the crisis and are ready to put Europe’s industry on a new sustainably competitive footing. This means implementing and building on the measures announced on industry, SMEs and the Sin</w:t>
      </w:r>
      <w:r>
        <w:rPr>
          <w:rFonts w:ascii="Times New Roman" w:eastAsia="Times New Roman" w:hAnsi="Times New Roman" w:cs="Times New Roman"/>
          <w:noProof/>
          <w:sz w:val="24"/>
          <w:szCs w:val="20"/>
          <w:lang w:eastAsia="en-GB"/>
        </w:rPr>
        <w:t xml:space="preserve">gle Market in the March 2020 Industrial package. It also means securing Europe’s central asset, its Single Market, ensuring open strategic autonomy and accelerating the green and digital transitions across the EU territory. </w:t>
      </w:r>
      <w:r>
        <w:rPr>
          <w:rFonts w:ascii="Times New Roman" w:eastAsia="Times New Roman" w:hAnsi="Times New Roman" w:cs="Times New Roman"/>
          <w:noProof/>
          <w:sz w:val="24"/>
          <w:szCs w:val="20"/>
          <w:lang w:val="en-IE" w:eastAsia="en-GB"/>
        </w:rPr>
        <w:t>Legislation, co-creation, invest</w:t>
      </w:r>
      <w:r>
        <w:rPr>
          <w:rFonts w:ascii="Times New Roman" w:eastAsia="Times New Roman" w:hAnsi="Times New Roman" w:cs="Times New Roman"/>
          <w:noProof/>
          <w:sz w:val="24"/>
          <w:szCs w:val="20"/>
          <w:lang w:val="en-IE" w:eastAsia="en-GB"/>
        </w:rPr>
        <w:t xml:space="preserve">ment, partnerships and international cooperation all have a role to play. </w:t>
      </w:r>
      <w:r>
        <w:rPr>
          <w:rFonts w:ascii="Times New Roman" w:eastAsia="Times New Roman" w:hAnsi="Times New Roman" w:cs="Times New Roman"/>
          <w:noProof/>
          <w:sz w:val="24"/>
          <w:szCs w:val="20"/>
          <w:lang w:eastAsia="en-GB"/>
        </w:rPr>
        <w:t xml:space="preserve">This update to the Industrial Policy Package will help achieve those goals. </w:t>
      </w:r>
    </w:p>
    <w:p w:rsidR="00795640" w:rsidRDefault="00A70A3B" w:rsidP="00A70A3B">
      <w:pPr>
        <w:spacing w:after="240" w:line="240" w:lineRule="auto"/>
        <w:ind w:left="-284"/>
        <w:jc w:val="both"/>
        <w:rPr>
          <w:rFonts w:ascii="Times New Roman" w:eastAsia="Times New Roman" w:hAnsi="Times New Roman" w:cs="Times New Roman"/>
          <w:noProof/>
          <w:sz w:val="24"/>
          <w:szCs w:val="20"/>
          <w:lang w:val="en-IE" w:eastAsia="en-GB"/>
        </w:rPr>
      </w:pPr>
      <w:r>
        <w:rPr>
          <w:rFonts w:ascii="Times New Roman" w:eastAsia="Times New Roman" w:hAnsi="Times New Roman" w:cs="Times New Roman"/>
          <w:noProof/>
          <w:sz w:val="24"/>
          <w:szCs w:val="20"/>
          <w:lang w:val="en-IE" w:eastAsia="en-GB"/>
        </w:rPr>
        <w:t>To be effective, these efforts must be supported by strong partnerships between the EU, Member States, so</w:t>
      </w:r>
      <w:r>
        <w:rPr>
          <w:rFonts w:ascii="Times New Roman" w:eastAsia="Times New Roman" w:hAnsi="Times New Roman" w:cs="Times New Roman"/>
          <w:noProof/>
          <w:sz w:val="24"/>
          <w:szCs w:val="20"/>
          <w:lang w:val="en-IE" w:eastAsia="en-GB"/>
        </w:rPr>
        <w:t>cial partners, industrial and other relevant stakeholders, between and within industrial ecosystems, building on the EU’s open and inclusive Industrial Forum. For the most relevant ecosystems and together with other relevant stakeholders, the Forum will su</w:t>
      </w:r>
      <w:r>
        <w:rPr>
          <w:rFonts w:ascii="Times New Roman" w:eastAsia="Times New Roman" w:hAnsi="Times New Roman" w:cs="Times New Roman"/>
          <w:noProof/>
          <w:sz w:val="24"/>
          <w:szCs w:val="20"/>
          <w:lang w:val="en-IE" w:eastAsia="en-GB"/>
        </w:rPr>
        <w:t xml:space="preserve">pport the development of transition pathways and the analysis of strategic dependencies. It will promote best practices and solutions across ecosystems and identify cross-border and cross-ecosystem investment needs and cooperation opportunities. </w:t>
      </w:r>
    </w:p>
    <w:p w:rsidR="00795640" w:rsidRDefault="00A70A3B" w:rsidP="00A70A3B">
      <w:pPr>
        <w:spacing w:after="240" w:line="240" w:lineRule="auto"/>
        <w:ind w:left="-284"/>
        <w:jc w:val="both"/>
        <w:rPr>
          <w:rFonts w:ascii="Times New Roman" w:eastAsia="Times New Roman" w:hAnsi="Times New Roman" w:cs="Times New Roman"/>
          <w:noProof/>
          <w:sz w:val="24"/>
          <w:szCs w:val="24"/>
          <w:lang w:val="en-IE" w:eastAsia="en-GB"/>
        </w:rPr>
      </w:pPr>
      <w:r>
        <w:rPr>
          <w:rFonts w:ascii="Times New Roman" w:eastAsia="Times New Roman" w:hAnsi="Times New Roman" w:cs="Times New Roman"/>
          <w:noProof/>
          <w:sz w:val="24"/>
          <w:szCs w:val="24"/>
          <w:lang w:val="en-IE" w:eastAsia="en-GB"/>
        </w:rPr>
        <w:t>The Commi</w:t>
      </w:r>
      <w:r>
        <w:rPr>
          <w:rFonts w:ascii="Times New Roman" w:eastAsia="Times New Roman" w:hAnsi="Times New Roman" w:cs="Times New Roman"/>
          <w:noProof/>
          <w:sz w:val="24"/>
          <w:szCs w:val="24"/>
          <w:lang w:val="en-IE" w:eastAsia="en-GB"/>
        </w:rPr>
        <w:t xml:space="preserve">ssion </w:t>
      </w:r>
      <w:r>
        <w:rPr>
          <w:rFonts w:ascii="Times New Roman" w:hAnsi="Times New Roman" w:cs="Times New Roman"/>
          <w:noProof/>
          <w:sz w:val="24"/>
          <w:szCs w:val="24"/>
        </w:rPr>
        <w:t xml:space="preserve">will continue promoting political ownership of the industrial strategy, continuing regular dialogues with the European Parliament and the Council. </w:t>
      </w:r>
    </w:p>
    <w:p w:rsidR="00795640" w:rsidRDefault="00A70A3B" w:rsidP="00A70A3B">
      <w:pPr>
        <w:spacing w:after="240" w:line="240" w:lineRule="auto"/>
        <w:ind w:left="-284"/>
        <w:jc w:val="both"/>
        <w:rPr>
          <w:rFonts w:ascii="Times New Roman" w:eastAsia="Times New Roman" w:hAnsi="Times New Roman" w:cs="Times New Roman"/>
          <w:noProof/>
          <w:sz w:val="24"/>
          <w:szCs w:val="20"/>
          <w:lang w:val="en-IE" w:eastAsia="en-GB"/>
        </w:rPr>
      </w:pPr>
      <w:r>
        <w:rPr>
          <w:rFonts w:ascii="Times New Roman" w:eastAsia="Times New Roman" w:hAnsi="Times New Roman" w:cs="Times New Roman"/>
          <w:noProof/>
          <w:sz w:val="24"/>
          <w:szCs w:val="20"/>
          <w:lang w:val="en-IE" w:eastAsia="en-GB"/>
        </w:rPr>
        <w:t>The EU will seek international cooperation wherever possible to build a strong global economy, based o</w:t>
      </w:r>
      <w:r>
        <w:rPr>
          <w:rFonts w:ascii="Times New Roman" w:eastAsia="Times New Roman" w:hAnsi="Times New Roman" w:cs="Times New Roman"/>
          <w:noProof/>
          <w:sz w:val="24"/>
          <w:szCs w:val="20"/>
          <w:lang w:val="en-IE" w:eastAsia="en-GB"/>
        </w:rPr>
        <w:t xml:space="preserve">n EU principles including a level playing field, leadership on standard setting and other regulatory priorities, and strengthening the resilience of global supply chains.  </w:t>
      </w:r>
    </w:p>
    <w:sectPr w:rsidR="00795640">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640" w:rsidRDefault="00A70A3B">
      <w:pPr>
        <w:spacing w:after="0" w:line="240" w:lineRule="auto"/>
      </w:pPr>
      <w:r>
        <w:separator/>
      </w:r>
    </w:p>
  </w:endnote>
  <w:endnote w:type="continuationSeparator" w:id="0">
    <w:p w:rsidR="00795640" w:rsidRDefault="00A70A3B">
      <w:pPr>
        <w:spacing w:after="0" w:line="240" w:lineRule="auto"/>
      </w:pPr>
      <w:r>
        <w:continuationSeparator/>
      </w:r>
    </w:p>
  </w:endnote>
  <w:endnote w:type="continuationNotice" w:id="1">
    <w:p w:rsidR="00795640" w:rsidRDefault="007956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640" w:rsidRDefault="007956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640" w:rsidRDefault="00A70A3B">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640" w:rsidRDefault="0079564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640" w:rsidRDefault="007956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2841705"/>
      <w:docPartObj>
        <w:docPartGallery w:val="Page Numbers (Bottom of Page)"/>
        <w:docPartUnique/>
      </w:docPartObj>
    </w:sdtPr>
    <w:sdtEndPr>
      <w:rPr>
        <w:noProof/>
      </w:rPr>
    </w:sdtEndPr>
    <w:sdtContent>
      <w:p w:rsidR="00795640" w:rsidRDefault="00A70A3B">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rsidR="00795640" w:rsidRDefault="0079564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640" w:rsidRDefault="007956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640" w:rsidRDefault="00A70A3B">
      <w:pPr>
        <w:spacing w:after="0" w:line="240" w:lineRule="auto"/>
      </w:pPr>
      <w:r>
        <w:separator/>
      </w:r>
    </w:p>
  </w:footnote>
  <w:footnote w:type="continuationSeparator" w:id="0">
    <w:p w:rsidR="00795640" w:rsidRDefault="00A70A3B">
      <w:pPr>
        <w:spacing w:after="0" w:line="240" w:lineRule="auto"/>
      </w:pPr>
      <w:r>
        <w:continuationSeparator/>
      </w:r>
    </w:p>
  </w:footnote>
  <w:footnote w:type="continuationNotice" w:id="1">
    <w:p w:rsidR="00795640" w:rsidRDefault="00795640">
      <w:pPr>
        <w:spacing w:after="0" w:line="240" w:lineRule="auto"/>
      </w:pPr>
    </w:p>
  </w:footnote>
  <w:footnote w:id="2">
    <w:p w:rsidR="00795640" w:rsidRDefault="00A70A3B">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pt-PT"/>
        </w:rPr>
        <w:t xml:space="preserve"> COM(2020) 102 final, </w:t>
      </w:r>
      <w:hyperlink r:id="rId1" w:history="1">
        <w:r>
          <w:rPr>
            <w:rStyle w:val="Hyperlink"/>
            <w:rFonts w:ascii="Times New Roman" w:hAnsi="Times New Roman" w:cs="Times New Roman"/>
            <w:lang w:val="pt-PT"/>
          </w:rPr>
          <w:t>https://ec.europa.eu/info/sites/info/files/communication-eu-industrial-strategy-march-2020_en.pdf</w:t>
        </w:r>
      </w:hyperlink>
      <w:r>
        <w:rPr>
          <w:rFonts w:ascii="Times New Roman" w:hAnsi="Times New Roman" w:cs="Times New Roman"/>
          <w:lang w:val="pt-PT"/>
        </w:rPr>
        <w:t xml:space="preserve">. </w:t>
      </w:r>
      <w:r>
        <w:rPr>
          <w:rFonts w:ascii="Times New Roman" w:eastAsia="Times New Roman" w:hAnsi="Times New Roman" w:cs="Times New Roman"/>
          <w:lang w:eastAsia="en-GB"/>
        </w:rPr>
        <w:t>‘The 2020 Industrial Policy package’ includes</w:t>
      </w:r>
      <w:r>
        <w:rPr>
          <w:rFonts w:ascii="Times New Roman" w:eastAsia="Times New Roman" w:hAnsi="Times New Roman" w:cs="Times New Roman"/>
          <w:lang w:eastAsia="en-GB"/>
        </w:rPr>
        <w:t xml:space="preserve"> also a dedicated Strategy for small and medium-sized enterprises (SMEs; COM(2020) 103 final) and Specific actions to address barriers to a well-functioning the Single Market and improve enforcement of commonly agreed rules, COM(2020) 93 final and COM(2020</w:t>
      </w:r>
      <w:r>
        <w:rPr>
          <w:rFonts w:ascii="Times New Roman" w:eastAsia="Times New Roman" w:hAnsi="Times New Roman" w:cs="Times New Roman"/>
          <w:lang w:eastAsia="en-GB"/>
        </w:rPr>
        <w:t>) 94 final.</w:t>
      </w:r>
    </w:p>
  </w:footnote>
  <w:footnote w:id="3">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SWD(2021) 351, Annual Single Market Report 2021 identifies the following 14 industrial ecosystems: 1. Aerospace &amp; Defence, 2. Agri-food, 3. Construction, 4. Cultural and Creative Industries, 5. Digital, 6. Electronics, 7. Energy Intensive Ind</w:t>
      </w:r>
      <w:r>
        <w:rPr>
          <w:rFonts w:ascii="Times New Roman" w:hAnsi="Times New Roman" w:cs="Times New Roman"/>
        </w:rPr>
        <w:t>ustries, 8. Energy-Renewables, 9. Health, 10. Mobility-Transport-Automotive, 11. Proximity, Social Economy and Civil Security, 12. Retail, 13. Textiles, 14. Tourism. Further ecosystems may be identified and their delineation adapted based on stakeholders d</w:t>
      </w:r>
      <w:r>
        <w:rPr>
          <w:rFonts w:ascii="Times New Roman" w:hAnsi="Times New Roman" w:cs="Times New Roman"/>
        </w:rPr>
        <w:t>ialogues and changing realities.</w:t>
      </w:r>
    </w:p>
  </w:footnote>
  <w:footnote w:id="4">
    <w:p w:rsidR="00795640" w:rsidRDefault="00A70A3B">
      <w:pPr>
        <w:pStyle w:val="FootnoteText"/>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Activation of the General Escape Clause under the Stability and Growth Pace, Temporary framework for State aid measures supporting the economy during the Covid-19 pandemic, European instrument for temporary support to mit</w:t>
      </w:r>
      <w:r>
        <w:rPr>
          <w:rFonts w:ascii="Times New Roman" w:hAnsi="Times New Roman" w:cs="Times New Roman"/>
        </w:rPr>
        <w:t>igate unemployment risks in an emergency (SURE), or the Coronavirus Response Investment Initiative.</w:t>
      </w:r>
    </w:p>
  </w:footnote>
  <w:footnote w:id="5">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COM(2020) 456 final.</w:t>
      </w:r>
    </w:p>
  </w:footnote>
  <w:footnote w:id="6">
    <w:p w:rsidR="00795640" w:rsidRDefault="00A70A3B">
      <w:pPr>
        <w:pStyle w:val="FootnoteText"/>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cs="Times New Roman"/>
        </w:rPr>
        <w:t xml:space="preserve"> SWD(2021) 351, Annual Single Market Report 2021.</w:t>
      </w:r>
    </w:p>
  </w:footnote>
  <w:footnote w:id="7">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SWD(2021) 351, Annual Single Market Report 2021. </w:t>
      </w:r>
    </w:p>
  </w:footnote>
  <w:footnote w:id="8">
    <w:p w:rsidR="00795640" w:rsidRDefault="00A70A3B">
      <w:pPr>
        <w:spacing w:after="0" w:line="240" w:lineRule="auto"/>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European Commission/European</w:t>
      </w:r>
      <w:r>
        <w:rPr>
          <w:rFonts w:ascii="Times New Roman" w:hAnsi="Times New Roman" w:cs="Times New Roman"/>
          <w:sz w:val="20"/>
          <w:szCs w:val="20"/>
        </w:rPr>
        <w:t xml:space="preserve"> Central Bank (November 2020), “Survey on the access to finance of enterprises (SAFE)”.</w:t>
      </w:r>
    </w:p>
  </w:footnote>
  <w:footnote w:id="9">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Conclusions of the European Council, 1 and 2 October 2020, EUCO 13/20.</w:t>
      </w:r>
    </w:p>
  </w:footnote>
  <w:footnote w:id="10">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European Parliament resolution of 25 November 2020 on a New Industrial Strategy for Europe, 2</w:t>
      </w:r>
      <w:r>
        <w:rPr>
          <w:rFonts w:ascii="Times New Roman" w:hAnsi="Times New Roman" w:cs="Times New Roman"/>
        </w:rPr>
        <w:t>020/2076(INI).</w:t>
      </w:r>
    </w:p>
  </w:footnote>
  <w:footnote w:id="11">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Competitiveness Council Conclusions, 11 September 2020, 16 November 2020.</w:t>
      </w:r>
    </w:p>
  </w:footnote>
  <w:footnote w:id="12">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SWD(2021) 351, Annual Single Market Report 2021.</w:t>
      </w:r>
    </w:p>
  </w:footnote>
  <w:footnote w:id="13">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 a response to the European Council request of 2 October 2020 to identify strategic dependencies, particularly</w:t>
      </w:r>
      <w:r>
        <w:rPr>
          <w:rFonts w:ascii="Times New Roman" w:hAnsi="Times New Roman" w:cs="Times New Roman"/>
        </w:rPr>
        <w:t xml:space="preserve"> in the most sensitive industrial ecosystems and to propose measures to reduce these dependencies.</w:t>
      </w:r>
    </w:p>
  </w:footnote>
  <w:footnote w:id="14">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SWD(2020) 104, </w:t>
      </w:r>
      <w:r>
        <w:rPr>
          <w:rFonts w:ascii="Times New Roman" w:hAnsi="Times New Roman" w:cs="Times New Roman"/>
          <w:color w:val="000000" w:themeColor="text1"/>
        </w:rPr>
        <w:t>Energy security: good practices to address pandemic risks.</w:t>
      </w:r>
    </w:p>
  </w:footnote>
  <w:footnote w:id="15">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Commission and Council recommendations on common coordinated approach as regard travel restrictions.</w:t>
      </w:r>
    </w:p>
  </w:footnote>
  <w:footnote w:id="16">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OECD analytical work has confirmed that global value chains not only maximize economic efficiency, but that resilient, supply chains are essential in ti</w:t>
      </w:r>
      <w:r>
        <w:rPr>
          <w:rFonts w:ascii="Times New Roman" w:hAnsi="Times New Roman" w:cs="Times New Roman"/>
        </w:rPr>
        <w:t>mes of crisis to absorb shocks, to offer options to adjust and to speed up recovery. Cf. Shocks, risks and global value chains: insights from the OECD METRO model, June 2020.</w:t>
      </w:r>
    </w:p>
  </w:footnote>
  <w:footnote w:id="17">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https://ec.europa.eu/commission/presscorner/detail/en/speech_21_745.</w:t>
      </w:r>
    </w:p>
  </w:footnote>
  <w:footnote w:id="18">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SWD(</w:t>
      </w:r>
      <w:r>
        <w:rPr>
          <w:rFonts w:ascii="Times New Roman" w:hAnsi="Times New Roman" w:cs="Times New Roman"/>
        </w:rPr>
        <w:t>2020) 54 final and SWD(2021) 351, Annual Single Market Report 2021.</w:t>
      </w:r>
    </w:p>
  </w:footnote>
  <w:footnote w:id="19">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It represents 70% of the EU’s GDP and an equivalent share of employment.</w:t>
      </w:r>
    </w:p>
  </w:footnote>
  <w:footnote w:id="20">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SMET is the high-level forum where the Commission and Member States collaboratively seek solutions for addressi</w:t>
      </w:r>
      <w:r>
        <w:rPr>
          <w:rFonts w:ascii="Times New Roman" w:hAnsi="Times New Roman" w:cs="Times New Roman"/>
        </w:rPr>
        <w:t>ng Single Market obstacles rooted in enforcement or implementation deficiencies. In this first year, it played an important role in assessing Member States’ measures on borders and measures on travel restrictions that restrict the  free movement within the</w:t>
      </w:r>
      <w:r>
        <w:rPr>
          <w:rFonts w:ascii="Times New Roman" w:hAnsi="Times New Roman" w:cs="Times New Roman"/>
        </w:rPr>
        <w:t xml:space="preserve"> EU.</w:t>
      </w:r>
    </w:p>
  </w:footnote>
  <w:footnote w:id="21">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SWD(2021) 351, Annual Single Market Report 2021, Annex I.</w:t>
      </w:r>
    </w:p>
  </w:footnote>
  <w:footnote w:id="22">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SWD(2021) 351, Annual Single Market Report 2021 and COM(2020) 93.</w:t>
      </w:r>
    </w:p>
  </w:footnote>
  <w:footnote w:id="23">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 thorough analysis to the potential of harmonised standards to facilitate cross-border activities, market potential and </w:t>
      </w:r>
      <w:r>
        <w:rPr>
          <w:rFonts w:ascii="Times New Roman" w:hAnsi="Times New Roman" w:cs="Times New Roman"/>
        </w:rPr>
        <w:t>opening and overall economic benefit, including for SMEs and women entrepreneurs, would be carried out to identify priority areas. Impacts on working conditions and workers’ rights will be subject to thorough considerations.</w:t>
      </w:r>
    </w:p>
  </w:footnote>
  <w:footnote w:id="24">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COM(2019) 426 final.</w:t>
      </w:r>
    </w:p>
  </w:footnote>
  <w:footnote w:id="25">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w:t>
      </w:r>
      <w:r>
        <w:rPr>
          <w:rFonts w:ascii="Times New Roman" w:hAnsi="Times New Roman" w:cs="Times New Roman"/>
        </w:rPr>
        <w:t>tion (EU) 2019/1020 of the European Parliament and of the Council of 20 June 2019 on market surveillance and compliance of products and amending Directive 2004/42/EC and Regulations (EC) No 765/2008 and (EU) No 305/2011.</w:t>
      </w:r>
    </w:p>
  </w:footnote>
  <w:footnote w:id="26">
    <w:p w:rsidR="00795640" w:rsidRDefault="00A70A3B">
      <w:pPr>
        <w:pStyle w:val="FootnoteText"/>
      </w:pPr>
      <w:r>
        <w:rPr>
          <w:rStyle w:val="FootnoteReference"/>
        </w:rPr>
        <w:footnoteRef/>
      </w:r>
      <w:r>
        <w:t xml:space="preserve"> </w:t>
      </w:r>
      <w:r>
        <w:rPr>
          <w:rFonts w:ascii="Times New Roman" w:hAnsi="Times New Roman" w:cs="Times New Roman"/>
        </w:rPr>
        <w:t xml:space="preserve">COM(2021) 219 Better Regulation: </w:t>
      </w:r>
      <w:r>
        <w:rPr>
          <w:rFonts w:ascii="Times New Roman" w:hAnsi="Times New Roman" w:cs="Times New Roman"/>
        </w:rPr>
        <w:t>Joining forces to make better laws, https://ec.europa.eu/info/sites/default/files/better_regulation_joining_forces_to_make_better_laws_en_0.pdf</w:t>
      </w:r>
    </w:p>
  </w:footnote>
  <w:footnote w:id="27">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One of the root causes of payment delays.</w:t>
      </w:r>
    </w:p>
  </w:footnote>
  <w:footnote w:id="28">
    <w:p w:rsidR="00795640" w:rsidRDefault="00A70A3B">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According to the Observatory, the EU construction ecosystem has th</w:t>
      </w:r>
      <w:r>
        <w:rPr>
          <w:rFonts w:ascii="Times New Roman" w:hAnsi="Times New Roman" w:cs="Times New Roman"/>
        </w:rPr>
        <w:t>e longest disputes duration in the world (average 20 months to solve a dispute).</w:t>
      </w:r>
    </w:p>
  </w:footnote>
  <w:footnote w:id="29">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Estimates suggest that 11.4% of all companies are likely to exit as support dries up if they fail to get access to fresh sources of credit. SWD(2021) 351, Annual Single Mark</w:t>
      </w:r>
      <w:r>
        <w:rPr>
          <w:rFonts w:ascii="Times New Roman" w:hAnsi="Times New Roman" w:cs="Times New Roman"/>
        </w:rPr>
        <w:t>et Report 2021.</w:t>
      </w:r>
    </w:p>
  </w:footnote>
  <w:footnote w:id="30">
    <w:p w:rsidR="00795640" w:rsidRDefault="00A70A3B">
      <w:pPr>
        <w:pStyle w:val="FootnoteText"/>
        <w:jc w:val="both"/>
        <w:rPr>
          <w:rFonts w:ascii="Times New Roman" w:hAnsi="Times New Roman" w:cs="Times New Roman"/>
          <w:lang w:val="lv-LV"/>
        </w:rPr>
      </w:pPr>
      <w:r>
        <w:rPr>
          <w:rStyle w:val="FootnoteReference"/>
          <w:rFonts w:ascii="Times New Roman" w:hAnsi="Times New Roman" w:cs="Times New Roman"/>
        </w:rPr>
        <w:footnoteRef/>
      </w:r>
      <w:r>
        <w:rPr>
          <w:rFonts w:ascii="Times New Roman" w:hAnsi="Times New Roman" w:cs="Times New Roman"/>
        </w:rPr>
        <w:t xml:space="preserve"> That, in accordance with Article 3(1)(g) of the InvestEU Regulation, were negatively affected by the COVID-19 crisis and were not already in difficulty in State aid terms at the end of 2019.</w:t>
      </w:r>
    </w:p>
  </w:footnote>
  <w:footnote w:id="31">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 Public-Private Fund to Support the EU IPO Market for SMEs” – European Commission’s study available at:  https://ec.europa.eu/info/evaluation-reports-economic-and-financial-affairs-policies-and-spending-activities_en suggests a public-private IPO fund w</w:t>
      </w:r>
      <w:r>
        <w:rPr>
          <w:rFonts w:ascii="Times New Roman" w:hAnsi="Times New Roman" w:cs="Times New Roman"/>
        </w:rPr>
        <w:t>ith a public investment of about 740 million EUR could increase IPOs of SMEs and midcaps in Europe by 10%.</w:t>
      </w:r>
    </w:p>
  </w:footnote>
  <w:footnote w:id="32">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 long-term and cross-cutting perspective on strengthening Europe’s open strategic autonomy will also be provided by the Commission’s 2021 Strategi</w:t>
      </w:r>
      <w:r>
        <w:rPr>
          <w:rFonts w:ascii="Times New Roman" w:hAnsi="Times New Roman" w:cs="Times New Roman"/>
        </w:rPr>
        <w:t>c Foresight Report.</w:t>
      </w:r>
    </w:p>
  </w:footnote>
  <w:footnote w:id="33">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“Executive Order on America’s Supply Chains”</w:t>
      </w:r>
    </w:p>
  </w:footnote>
  <w:footnote w:id="34">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Pharmaceutical Strategy for Europe provides for actions to address these issues as regards the supply of medicines (</w:t>
      </w:r>
      <w:r>
        <w:rPr>
          <w:rFonts w:ascii="Times New Roman" w:hAnsi="Times New Roman" w:cs="Times New Roman"/>
          <w:color w:val="444444"/>
          <w:shd w:val="clear" w:color="auto" w:fill="FFFFFF"/>
        </w:rPr>
        <w:t>COM/2020/761)</w:t>
      </w:r>
    </w:p>
  </w:footnote>
  <w:footnote w:id="35">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Commission will release an additional detailed analysis on critical supply chains for the energy sector by summer 2021. This analysis highlights that critical raw and processed materials are essential to ensure energy security and the success of the c</w:t>
      </w:r>
      <w:r>
        <w:rPr>
          <w:rFonts w:ascii="Times New Roman" w:hAnsi="Times New Roman" w:cs="Times New Roman"/>
        </w:rPr>
        <w:t>lean energy transition.</w:t>
      </w:r>
    </w:p>
  </w:footnote>
  <w:footnote w:id="36">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SWD on Strategic dependencies and capacities, SWD(2021) 352.</w:t>
      </w:r>
    </w:p>
  </w:footnote>
  <w:footnote w:id="37">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https://ec.europa.eu/health/human-use/strategy/dialogue_medicines-supply_en.</w:t>
      </w:r>
    </w:p>
  </w:footnote>
  <w:footnote w:id="38">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COM(2021) 70, Action Plan on synergies between civil, defence and space industries.</w:t>
      </w:r>
    </w:p>
  </w:footnote>
  <w:footnote w:id="39">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w:t>
      </w:r>
      <w:r>
        <w:rPr>
          <w:rFonts w:ascii="Times New Roman" w:hAnsi="Times New Roman" w:cs="Times New Roman"/>
        </w:rPr>
        <w:t>M(2021) 66.</w:t>
      </w:r>
    </w:p>
  </w:footnote>
  <w:footnote w:id="40">
    <w:p w:rsidR="00795640" w:rsidRDefault="00A70A3B">
      <w:pPr>
        <w:pStyle w:val="FootnoteText"/>
      </w:pPr>
      <w:r>
        <w:rPr>
          <w:rStyle w:val="FootnoteReference"/>
        </w:rPr>
        <w:footnoteRef/>
      </w:r>
      <w:r>
        <w:t xml:space="preserve"> </w:t>
      </w:r>
      <w:r>
        <w:rPr>
          <w:rFonts w:ascii="Times New Roman" w:hAnsi="Times New Roman" w:cs="Times New Roman"/>
        </w:rPr>
        <w:t>E.g. an analysis of sensitive ecosystems identifies about 20 products imported from China on which both the EU and the US are highly dependent (including in the health, energy intensive industries, renewables and digital/electronics ecosystem</w:t>
      </w:r>
      <w:r>
        <w:rPr>
          <w:rFonts w:ascii="Times New Roman" w:hAnsi="Times New Roman" w:cs="Times New Roman"/>
        </w:rPr>
        <w:t>s). The same holds true for other close EU trading partners.</w:t>
      </w:r>
    </w:p>
  </w:footnote>
  <w:footnote w:id="41">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Including the Strategic Research and Innovation Agendas of Horizon Europe partnerships supported by industry and Member States, which build the basis for ERA Industrial technology roadmaps (COM</w:t>
      </w:r>
      <w:r>
        <w:rPr>
          <w:rFonts w:ascii="Times New Roman" w:hAnsi="Times New Roman" w:cs="Times New Roman"/>
        </w:rPr>
        <w:t>(2020) 628),  page 10. There are 49 proposed public private partnerships in the Horizon Europe Programme and nearly EUR 25 billion of EU contribution, aiming at mobilising at least the same amount from private partners and Member States.</w:t>
      </w:r>
    </w:p>
  </w:footnote>
  <w:footnote w:id="42">
    <w:p w:rsidR="00795640" w:rsidRDefault="00A70A3B">
      <w:pPr>
        <w:pStyle w:val="FootnoteText"/>
      </w:pPr>
      <w:r>
        <w:rPr>
          <w:rStyle w:val="FootnoteReference"/>
        </w:rPr>
        <w:footnoteRef/>
      </w:r>
      <w:r>
        <w:t xml:space="preserve"> </w:t>
      </w:r>
      <w:r>
        <w:rPr>
          <w:rFonts w:ascii="Times New Roman" w:hAnsi="Times New Roman" w:cs="Times New Roman"/>
        </w:rPr>
        <w:t>COM(2020) 789 Su</w:t>
      </w:r>
      <w:r>
        <w:rPr>
          <w:rFonts w:ascii="Times New Roman" w:hAnsi="Times New Roman" w:cs="Times New Roman"/>
        </w:rPr>
        <w:t>stainable and Smart Mobility Strategy</w:t>
      </w:r>
    </w:p>
  </w:footnote>
  <w:footnote w:id="43">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https://ec.europa.eu/commission/presscorner/detail/en/IP_21_226.</w:t>
      </w:r>
    </w:p>
  </w:footnote>
  <w:footnote w:id="44">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https://ec.europa.eu/commission/presscorner/detail/et/ip_18_6862.</w:t>
      </w:r>
    </w:p>
  </w:footnote>
  <w:footnote w:id="45">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level of underinvestment in innovation procurement in Europe compared to its </w:t>
      </w:r>
      <w:r>
        <w:rPr>
          <w:rFonts w:ascii="Times New Roman" w:hAnsi="Times New Roman" w:cs="Times New Roman"/>
        </w:rPr>
        <w:t>major trading partners is the largest in digital solutions and in R&amp;D procurement (respectively a factor 3 and factor 5 underinvestment).</w:t>
      </w:r>
    </w:p>
    <w:p w:rsidR="00795640" w:rsidRDefault="00A70A3B">
      <w:pPr>
        <w:spacing w:after="0" w:line="240" w:lineRule="auto"/>
        <w:jc w:val="both"/>
        <w:rPr>
          <w:rFonts w:ascii="Times New Roman" w:hAnsi="Times New Roman" w:cs="Times New Roman"/>
          <w:sz w:val="20"/>
          <w:szCs w:val="20"/>
        </w:rPr>
      </w:pPr>
      <w:hyperlink r:id="rId2" w:history="1">
        <w:r>
          <w:rPr>
            <w:rStyle w:val="Hyperlink"/>
            <w:rFonts w:ascii="Times New Roman" w:hAnsi="Times New Roman" w:cs="Times New Roman"/>
            <w:sz w:val="20"/>
            <w:szCs w:val="20"/>
          </w:rPr>
          <w:t>https://digital-strategy.ec.europa.eu/en/news/final-report-available-benchmarking-innovation-procurement-investments-and-policy-frameworks-across</w:t>
        </w:r>
      </w:hyperlink>
      <w:r>
        <w:rPr>
          <w:rFonts w:ascii="Times New Roman" w:hAnsi="Times New Roman" w:cs="Times New Roman"/>
          <w:sz w:val="20"/>
          <w:szCs w:val="20"/>
        </w:rPr>
        <w:t xml:space="preserve">  </w:t>
      </w:r>
    </w:p>
  </w:footnote>
  <w:footnote w:id="46">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SWD(2021) 351, Annual Single Market Report 2021, section 3 and</w:t>
      </w:r>
      <w:r>
        <w:rPr>
          <w:rFonts w:ascii="Times New Roman" w:hAnsi="Times New Roman" w:cs="Times New Roman"/>
        </w:rPr>
        <w:t xml:space="preserve"> Annex II.</w:t>
      </w:r>
    </w:p>
  </w:footnote>
  <w:footnote w:id="47">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COM(2021) 118 final.</w:t>
      </w:r>
    </w:p>
  </w:footnote>
  <w:footnote w:id="48">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SWD(2021) 351, Annual Single Market Report 2021, Annex III.  </w:t>
      </w:r>
    </w:p>
  </w:footnote>
  <w:footnote w:id="49">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SWD(2021) 353, Toward Competitive and Clean European Steel.</w:t>
      </w:r>
    </w:p>
  </w:footnote>
  <w:footnote w:id="50">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COM(2020) 628 final, A new ERA for Research and Innovation.</w:t>
      </w:r>
    </w:p>
  </w:footnote>
  <w:footnote w:id="51">
    <w:p w:rsidR="00795640" w:rsidRDefault="00A70A3B">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COM(2021) 70 final, Action Plan </w:t>
      </w:r>
      <w:r>
        <w:rPr>
          <w:rFonts w:ascii="Times New Roman" w:hAnsi="Times New Roman" w:cs="Times New Roman"/>
        </w:rPr>
        <w:t>on synergies between civil, defence and space industries.</w:t>
      </w:r>
    </w:p>
  </w:footnote>
  <w:footnote w:id="52">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Synergies should be developed  between the transition pathways and the indicative voluntary roadmaps, as envisaged under the European Climate Law Regulation.</w:t>
      </w:r>
    </w:p>
  </w:footnote>
  <w:footnote w:id="53">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Taking into account the Sustainable</w:t>
      </w:r>
      <w:r>
        <w:rPr>
          <w:rFonts w:ascii="Times New Roman" w:hAnsi="Times New Roman" w:cs="Times New Roman"/>
        </w:rPr>
        <w:t xml:space="preserve"> and Smart Mobility Strategy (COM(2020) 789 final).</w:t>
      </w:r>
    </w:p>
  </w:footnote>
  <w:footnote w:id="54">
    <w:p w:rsidR="00795640" w:rsidRDefault="00A70A3B">
      <w:pPr>
        <w:pStyle w:val="FootnoteText"/>
      </w:pPr>
      <w:r>
        <w:rPr>
          <w:rStyle w:val="FootnoteReference"/>
        </w:rPr>
        <w:footnoteRef/>
      </w:r>
      <w:r>
        <w:t xml:space="preserve"> </w:t>
      </w:r>
      <w:r>
        <w:rPr>
          <w:rFonts w:ascii="Times New Roman" w:hAnsi="Times New Roman" w:cs="Times New Roman"/>
        </w:rPr>
        <w:t>Annual Sustainable Growth Strategy 2021, COM (2020) 575 final. The flagships are titled: Power Up; Renovate; Recharge &amp; refuel; Connect; Modernise; Scale-up; Reskill &amp; upskill.</w:t>
      </w:r>
    </w:p>
  </w:footnote>
  <w:footnote w:id="55">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 announced in the Communication “2030 Digital Compass”, COM (2021) 118 final.</w:t>
      </w:r>
    </w:p>
  </w:footnote>
  <w:footnote w:id="56">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Covering clean steel, process industries, hydrogen, batteries, zero-emission road transport, clean aviation, zero emission waterborne transport, sustainable built environment and advanced manufacturing, among others.</w:t>
      </w:r>
    </w:p>
  </w:footnote>
  <w:footnote w:id="57">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SWD(2020) 176 final, Impact Assessme</w:t>
      </w:r>
      <w:r>
        <w:rPr>
          <w:rFonts w:ascii="Times New Roman" w:hAnsi="Times New Roman" w:cs="Times New Roman"/>
        </w:rPr>
        <w:t xml:space="preserve">nt accompanying the 2030 Climate Target Plan (table 12); Agora-Energiewende &amp; EMBER (2021): The European Power Sector in 2020. The latest National Energy and Climate Plans indicate a 72 TWh/year increase of wind and solar power generation between 2020 and </w:t>
      </w:r>
      <w:r>
        <w:rPr>
          <w:rFonts w:ascii="Times New Roman" w:hAnsi="Times New Roman" w:cs="Times New Roman"/>
        </w:rPr>
        <w:t xml:space="preserve">2030, but 93-100 TWh/year would be required to achieve the 55% climate goal. </w:t>
      </w:r>
    </w:p>
  </w:footnote>
  <w:footnote w:id="58">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chapter 5.1 of SWD(2021) 352, Strategic Dependencies and Capacities for the underlying calculations.</w:t>
      </w:r>
    </w:p>
  </w:footnote>
  <w:footnote w:id="59">
    <w:p w:rsidR="00795640" w:rsidRDefault="00A70A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European Digital Innovation Hub (EDIH) network, ECCP, EEN, and Startu</w:t>
      </w:r>
      <w:r>
        <w:rPr>
          <w:rFonts w:ascii="Times New Roman" w:hAnsi="Times New Roman" w:cs="Times New Roman"/>
        </w:rPr>
        <w:t>p Europe.</w:t>
      </w:r>
    </w:p>
  </w:footnote>
  <w:footnote w:id="60">
    <w:p w:rsidR="00795640" w:rsidRDefault="00A70A3B">
      <w:pPr>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COM(2021) 118 final, 2030 Digital Compass: the European way for the Digital Decade.</w:t>
      </w:r>
    </w:p>
  </w:footnote>
  <w:footnote w:id="61">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Such as the European Social Fund, Erasmus or the Digital Europe Programme.</w:t>
      </w:r>
    </w:p>
  </w:footnote>
  <w:footnote w:id="62">
    <w:p w:rsidR="00795640" w:rsidRDefault="00A70A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Commission Recommendation for Effective Active Support to Employment (C(2021) 137</w:t>
      </w:r>
      <w:r>
        <w:rPr>
          <w:rFonts w:ascii="Times New Roman" w:hAnsi="Times New Roman" w:cs="Times New Roman"/>
        </w:rPr>
        <w:t xml:space="preserve">2 final).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640" w:rsidRDefault="007956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640" w:rsidRDefault="0079564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640" w:rsidRDefault="0079564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640" w:rsidRDefault="007956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640" w:rsidRDefault="0079564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640" w:rsidRDefault="00795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22C6D"/>
    <w:multiLevelType w:val="hybridMultilevel"/>
    <w:tmpl w:val="828EE494"/>
    <w:lvl w:ilvl="0" w:tplc="461031C4">
      <w:numFmt w:val="bullet"/>
      <w:lvlText w:val=""/>
      <w:lvlJc w:val="left"/>
      <w:pPr>
        <w:ind w:left="720" w:hanging="360"/>
      </w:pPr>
      <w:rPr>
        <w:rFonts w:ascii="Wingdings" w:eastAsiaTheme="minorHAnsi" w:hAnsi="Wingdings"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965CA"/>
    <w:multiLevelType w:val="hybridMultilevel"/>
    <w:tmpl w:val="08D8B6CE"/>
    <w:lvl w:ilvl="0" w:tplc="A1DAABB6">
      <w:numFmt w:val="bullet"/>
      <w:lvlText w:val=""/>
      <w:lvlJc w:val="left"/>
      <w:pPr>
        <w:ind w:left="720" w:hanging="360"/>
      </w:pPr>
      <w:rPr>
        <w:rFonts w:ascii="Wingdings" w:eastAsiaTheme="minorHAnsi" w:hAnsi="Wingdings"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AF1E69"/>
    <w:multiLevelType w:val="hybridMultilevel"/>
    <w:tmpl w:val="C6C65294"/>
    <w:lvl w:ilvl="0" w:tplc="350A2376">
      <w:start w:val="1"/>
      <w:numFmt w:val="upperRoman"/>
      <w:lvlText w:val="%1."/>
      <w:lvlJc w:val="left"/>
      <w:pPr>
        <w:ind w:left="644" w:hanging="720"/>
      </w:pPr>
      <w:rPr>
        <w:rFonts w:hint="default"/>
      </w:rPr>
    </w:lvl>
    <w:lvl w:ilvl="1" w:tplc="08090019" w:tentative="1">
      <w:start w:val="1"/>
      <w:numFmt w:val="lowerLetter"/>
      <w:lvlText w:val="%2."/>
      <w:lvlJc w:val="left"/>
      <w:pPr>
        <w:ind w:left="1004" w:hanging="360"/>
      </w:p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3" w15:restartNumberingAfterBreak="0">
    <w:nsid w:val="142D4985"/>
    <w:multiLevelType w:val="hybridMultilevel"/>
    <w:tmpl w:val="78D64D1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 w15:restartNumberingAfterBreak="0">
    <w:nsid w:val="16BF40F6"/>
    <w:multiLevelType w:val="hybridMultilevel"/>
    <w:tmpl w:val="B8FAD3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8F762D0"/>
    <w:multiLevelType w:val="hybridMultilevel"/>
    <w:tmpl w:val="186417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4C97650"/>
    <w:multiLevelType w:val="hybridMultilevel"/>
    <w:tmpl w:val="DDDE1D9A"/>
    <w:lvl w:ilvl="0" w:tplc="67CC991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9751ED"/>
    <w:multiLevelType w:val="hybridMultilevel"/>
    <w:tmpl w:val="8D1A9CBA"/>
    <w:lvl w:ilvl="0" w:tplc="2200D602">
      <w:numFmt w:val="bullet"/>
      <w:lvlText w:val="-"/>
      <w:lvlJc w:val="left"/>
      <w:pPr>
        <w:ind w:left="76" w:hanging="360"/>
      </w:pPr>
      <w:rPr>
        <w:rFonts w:ascii="Times New Roman" w:eastAsia="Times New Roman" w:hAnsi="Times New Roman" w:cs="Times New Roman"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num w:numId="1">
    <w:abstractNumId w:val="5"/>
  </w:num>
  <w:num w:numId="2">
    <w:abstractNumId w:val="2"/>
  </w:num>
  <w:num w:numId="3">
    <w:abstractNumId w:val="4"/>
  </w:num>
  <w:num w:numId="4">
    <w:abstractNumId w:val="7"/>
  </w:num>
  <w:num w:numId="5">
    <w:abstractNumId w:val="3"/>
  </w:num>
  <w:num w:numId="6">
    <w:abstractNumId w:val="1"/>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es-CL" w:vendorID="64" w:dllVersion="131078" w:nlCheck="1" w:checkStyle="0"/>
  <w:activeWritingStyle w:appName="MSWord" w:lang="es-ES" w:vendorID="64" w:dllVersion="131078" w:nlCheck="1" w:checkStyle="0"/>
  <w:activeWritingStyle w:appName="MSWord" w:lang="fr-BE" w:vendorID="64" w:dllVersion="131078" w:nlCheck="1" w:checkStyle="0"/>
  <w:activeWritingStyle w:appName="MSWord" w:lang="pt-PT" w:vendorID="64" w:dllVersion="131078" w:nlCheck="1" w:checkStyle="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82F33C9-7273-4E64-86EC-FABE8E864B4B"/>
    <w:docVar w:name="LW_COVERPAGE_TYPE" w:val="1"/>
    <w:docVar w:name="LW_CROSSREFERENCE" w:val="{SWD(2021) 351 final} - {SWD(2021) 352 final} - {SWD(2021) 353 final}"/>
    <w:docVar w:name="LW_DocType" w:val="NORMAL"/>
    <w:docVar w:name="LW_EMISSION" w:val="5.5.2021"/>
    <w:docVar w:name="LW_EMISSION_ISODATE" w:val="2021-05-0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3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pdating the 2020 New Industrial Strategy: _x000b_Building a stronger Single Market for Europe\u8217?s recovery_x000b_"/>
    <w:docVar w:name="LW_TYPE.DOC.CP" w:val="COMMUNICATION FROM THE COMMISSION TO THE EUROPEAN PARLIAMENT, THE COUNCIL, THE EUROPEAN ECONOMIC AND SOCIAL COMMITTEE AND THE COMMITTEE OF THE REGIONS"/>
    <w:docVar w:name="LW_TYPE.DOC.CP.USERTEXT" w:val="&lt;EMPTY&gt;"/>
  </w:docVars>
  <w:rsids>
    <w:rsidRoot w:val="00795640"/>
    <w:rsid w:val="00795640"/>
    <w:rsid w:val="00A70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Plonk"/>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Pr>
      <w:sz w:val="20"/>
      <w:szCs w:val="20"/>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basedOn w:val="DefaultParagraphFont"/>
    <w:link w:val="FootnotesymbolCarZchn"/>
    <w:uiPriority w:val="99"/>
    <w:unhideWhenUsed/>
    <w:qFormat/>
    <w:rPr>
      <w:vertAlign w:val="superscript"/>
    </w:rPr>
  </w:style>
  <w:style w:type="paragraph" w:styleId="NormalWeb">
    <w:name w:val="Normal (Web)"/>
    <w:basedOn w:val="Normal"/>
    <w:uiPriority w:val="99"/>
    <w:unhideWhenUsed/>
    <w:rPr>
      <w:rFonts w:ascii="Times New Roman" w:hAnsi="Times New Roman" w:cs="Times New Roman"/>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0" w:line="240" w:lineRule="auto"/>
      <w:jc w:val="both"/>
    </w:pPr>
    <w:rPr>
      <w:vertAlign w:val="superscript"/>
    </w:rPr>
  </w:style>
  <w:style w:type="table" w:customStyle="1" w:styleId="TableGrid1">
    <w:name w:val="Table Grid1"/>
    <w:basedOn w:val="TableNormal"/>
    <w:next w:val="TableGrid"/>
    <w:uiPriority w:val="39"/>
    <w:lock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locked/>
    <w:rPr>
      <w:color w:val="0563C1"/>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uiPriority w:val="99"/>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19457">
      <w:bodyDiv w:val="1"/>
      <w:marLeft w:val="0"/>
      <w:marRight w:val="0"/>
      <w:marTop w:val="0"/>
      <w:marBottom w:val="0"/>
      <w:divBdr>
        <w:top w:val="none" w:sz="0" w:space="0" w:color="auto"/>
        <w:left w:val="none" w:sz="0" w:space="0" w:color="auto"/>
        <w:bottom w:val="none" w:sz="0" w:space="0" w:color="auto"/>
        <w:right w:val="none" w:sz="0" w:space="0" w:color="auto"/>
      </w:divBdr>
    </w:div>
    <w:div w:id="124548727">
      <w:bodyDiv w:val="1"/>
      <w:marLeft w:val="0"/>
      <w:marRight w:val="0"/>
      <w:marTop w:val="0"/>
      <w:marBottom w:val="0"/>
      <w:divBdr>
        <w:top w:val="none" w:sz="0" w:space="0" w:color="auto"/>
        <w:left w:val="none" w:sz="0" w:space="0" w:color="auto"/>
        <w:bottom w:val="none" w:sz="0" w:space="0" w:color="auto"/>
        <w:right w:val="none" w:sz="0" w:space="0" w:color="auto"/>
      </w:divBdr>
    </w:div>
    <w:div w:id="127362418">
      <w:bodyDiv w:val="1"/>
      <w:marLeft w:val="0"/>
      <w:marRight w:val="0"/>
      <w:marTop w:val="0"/>
      <w:marBottom w:val="0"/>
      <w:divBdr>
        <w:top w:val="none" w:sz="0" w:space="0" w:color="auto"/>
        <w:left w:val="none" w:sz="0" w:space="0" w:color="auto"/>
        <w:bottom w:val="none" w:sz="0" w:space="0" w:color="auto"/>
        <w:right w:val="none" w:sz="0" w:space="0" w:color="auto"/>
      </w:divBdr>
    </w:div>
    <w:div w:id="133956510">
      <w:bodyDiv w:val="1"/>
      <w:marLeft w:val="0"/>
      <w:marRight w:val="0"/>
      <w:marTop w:val="0"/>
      <w:marBottom w:val="0"/>
      <w:divBdr>
        <w:top w:val="none" w:sz="0" w:space="0" w:color="auto"/>
        <w:left w:val="none" w:sz="0" w:space="0" w:color="auto"/>
        <w:bottom w:val="none" w:sz="0" w:space="0" w:color="auto"/>
        <w:right w:val="none" w:sz="0" w:space="0" w:color="auto"/>
      </w:divBdr>
    </w:div>
    <w:div w:id="198278577">
      <w:bodyDiv w:val="1"/>
      <w:marLeft w:val="0"/>
      <w:marRight w:val="0"/>
      <w:marTop w:val="0"/>
      <w:marBottom w:val="0"/>
      <w:divBdr>
        <w:top w:val="none" w:sz="0" w:space="0" w:color="auto"/>
        <w:left w:val="none" w:sz="0" w:space="0" w:color="auto"/>
        <w:bottom w:val="none" w:sz="0" w:space="0" w:color="auto"/>
        <w:right w:val="none" w:sz="0" w:space="0" w:color="auto"/>
      </w:divBdr>
    </w:div>
    <w:div w:id="272903306">
      <w:bodyDiv w:val="1"/>
      <w:marLeft w:val="0"/>
      <w:marRight w:val="0"/>
      <w:marTop w:val="0"/>
      <w:marBottom w:val="0"/>
      <w:divBdr>
        <w:top w:val="none" w:sz="0" w:space="0" w:color="auto"/>
        <w:left w:val="none" w:sz="0" w:space="0" w:color="auto"/>
        <w:bottom w:val="none" w:sz="0" w:space="0" w:color="auto"/>
        <w:right w:val="none" w:sz="0" w:space="0" w:color="auto"/>
      </w:divBdr>
    </w:div>
    <w:div w:id="375664994">
      <w:bodyDiv w:val="1"/>
      <w:marLeft w:val="0"/>
      <w:marRight w:val="0"/>
      <w:marTop w:val="0"/>
      <w:marBottom w:val="0"/>
      <w:divBdr>
        <w:top w:val="none" w:sz="0" w:space="0" w:color="auto"/>
        <w:left w:val="none" w:sz="0" w:space="0" w:color="auto"/>
        <w:bottom w:val="none" w:sz="0" w:space="0" w:color="auto"/>
        <w:right w:val="none" w:sz="0" w:space="0" w:color="auto"/>
      </w:divBdr>
    </w:div>
    <w:div w:id="456148458">
      <w:bodyDiv w:val="1"/>
      <w:marLeft w:val="0"/>
      <w:marRight w:val="0"/>
      <w:marTop w:val="0"/>
      <w:marBottom w:val="0"/>
      <w:divBdr>
        <w:top w:val="none" w:sz="0" w:space="0" w:color="auto"/>
        <w:left w:val="none" w:sz="0" w:space="0" w:color="auto"/>
        <w:bottom w:val="none" w:sz="0" w:space="0" w:color="auto"/>
        <w:right w:val="none" w:sz="0" w:space="0" w:color="auto"/>
      </w:divBdr>
    </w:div>
    <w:div w:id="958339000">
      <w:bodyDiv w:val="1"/>
      <w:marLeft w:val="0"/>
      <w:marRight w:val="0"/>
      <w:marTop w:val="0"/>
      <w:marBottom w:val="0"/>
      <w:divBdr>
        <w:top w:val="none" w:sz="0" w:space="0" w:color="auto"/>
        <w:left w:val="none" w:sz="0" w:space="0" w:color="auto"/>
        <w:bottom w:val="none" w:sz="0" w:space="0" w:color="auto"/>
        <w:right w:val="none" w:sz="0" w:space="0" w:color="auto"/>
      </w:divBdr>
    </w:div>
    <w:div w:id="1008021583">
      <w:bodyDiv w:val="1"/>
      <w:marLeft w:val="0"/>
      <w:marRight w:val="0"/>
      <w:marTop w:val="0"/>
      <w:marBottom w:val="0"/>
      <w:divBdr>
        <w:top w:val="none" w:sz="0" w:space="0" w:color="auto"/>
        <w:left w:val="none" w:sz="0" w:space="0" w:color="auto"/>
        <w:bottom w:val="none" w:sz="0" w:space="0" w:color="auto"/>
        <w:right w:val="none" w:sz="0" w:space="0" w:color="auto"/>
      </w:divBdr>
    </w:div>
    <w:div w:id="1055085388">
      <w:bodyDiv w:val="1"/>
      <w:marLeft w:val="0"/>
      <w:marRight w:val="0"/>
      <w:marTop w:val="0"/>
      <w:marBottom w:val="0"/>
      <w:divBdr>
        <w:top w:val="none" w:sz="0" w:space="0" w:color="auto"/>
        <w:left w:val="none" w:sz="0" w:space="0" w:color="auto"/>
        <w:bottom w:val="none" w:sz="0" w:space="0" w:color="auto"/>
        <w:right w:val="none" w:sz="0" w:space="0" w:color="auto"/>
      </w:divBdr>
    </w:div>
    <w:div w:id="1060783650">
      <w:bodyDiv w:val="1"/>
      <w:marLeft w:val="0"/>
      <w:marRight w:val="0"/>
      <w:marTop w:val="0"/>
      <w:marBottom w:val="0"/>
      <w:divBdr>
        <w:top w:val="none" w:sz="0" w:space="0" w:color="auto"/>
        <w:left w:val="none" w:sz="0" w:space="0" w:color="auto"/>
        <w:bottom w:val="none" w:sz="0" w:space="0" w:color="auto"/>
        <w:right w:val="none" w:sz="0" w:space="0" w:color="auto"/>
      </w:divBdr>
      <w:divsChild>
        <w:div w:id="1497646707">
          <w:marLeft w:val="0"/>
          <w:marRight w:val="0"/>
          <w:marTop w:val="0"/>
          <w:marBottom w:val="0"/>
          <w:divBdr>
            <w:top w:val="none" w:sz="0" w:space="0" w:color="auto"/>
            <w:left w:val="none" w:sz="0" w:space="0" w:color="auto"/>
            <w:bottom w:val="none" w:sz="0" w:space="0" w:color="auto"/>
            <w:right w:val="none" w:sz="0" w:space="0" w:color="auto"/>
          </w:divBdr>
        </w:div>
      </w:divsChild>
    </w:div>
    <w:div w:id="1188788308">
      <w:bodyDiv w:val="1"/>
      <w:marLeft w:val="0"/>
      <w:marRight w:val="0"/>
      <w:marTop w:val="0"/>
      <w:marBottom w:val="0"/>
      <w:divBdr>
        <w:top w:val="none" w:sz="0" w:space="0" w:color="auto"/>
        <w:left w:val="none" w:sz="0" w:space="0" w:color="auto"/>
        <w:bottom w:val="none" w:sz="0" w:space="0" w:color="auto"/>
        <w:right w:val="none" w:sz="0" w:space="0" w:color="auto"/>
      </w:divBdr>
    </w:div>
    <w:div w:id="1308051021">
      <w:bodyDiv w:val="1"/>
      <w:marLeft w:val="0"/>
      <w:marRight w:val="0"/>
      <w:marTop w:val="0"/>
      <w:marBottom w:val="0"/>
      <w:divBdr>
        <w:top w:val="none" w:sz="0" w:space="0" w:color="auto"/>
        <w:left w:val="none" w:sz="0" w:space="0" w:color="auto"/>
        <w:bottom w:val="none" w:sz="0" w:space="0" w:color="auto"/>
        <w:right w:val="none" w:sz="0" w:space="0" w:color="auto"/>
      </w:divBdr>
    </w:div>
    <w:div w:id="1349528390">
      <w:bodyDiv w:val="1"/>
      <w:marLeft w:val="0"/>
      <w:marRight w:val="0"/>
      <w:marTop w:val="0"/>
      <w:marBottom w:val="0"/>
      <w:divBdr>
        <w:top w:val="none" w:sz="0" w:space="0" w:color="auto"/>
        <w:left w:val="none" w:sz="0" w:space="0" w:color="auto"/>
        <w:bottom w:val="none" w:sz="0" w:space="0" w:color="auto"/>
        <w:right w:val="none" w:sz="0" w:space="0" w:color="auto"/>
      </w:divBdr>
    </w:div>
    <w:div w:id="1373843866">
      <w:bodyDiv w:val="1"/>
      <w:marLeft w:val="0"/>
      <w:marRight w:val="0"/>
      <w:marTop w:val="0"/>
      <w:marBottom w:val="0"/>
      <w:divBdr>
        <w:top w:val="none" w:sz="0" w:space="0" w:color="auto"/>
        <w:left w:val="none" w:sz="0" w:space="0" w:color="auto"/>
        <w:bottom w:val="none" w:sz="0" w:space="0" w:color="auto"/>
        <w:right w:val="none" w:sz="0" w:space="0" w:color="auto"/>
      </w:divBdr>
    </w:div>
    <w:div w:id="1515068917">
      <w:bodyDiv w:val="1"/>
      <w:marLeft w:val="0"/>
      <w:marRight w:val="0"/>
      <w:marTop w:val="0"/>
      <w:marBottom w:val="0"/>
      <w:divBdr>
        <w:top w:val="none" w:sz="0" w:space="0" w:color="auto"/>
        <w:left w:val="none" w:sz="0" w:space="0" w:color="auto"/>
        <w:bottom w:val="none" w:sz="0" w:space="0" w:color="auto"/>
        <w:right w:val="none" w:sz="0" w:space="0" w:color="auto"/>
      </w:divBdr>
    </w:div>
    <w:div w:id="1550416411">
      <w:bodyDiv w:val="1"/>
      <w:marLeft w:val="0"/>
      <w:marRight w:val="0"/>
      <w:marTop w:val="0"/>
      <w:marBottom w:val="0"/>
      <w:divBdr>
        <w:top w:val="none" w:sz="0" w:space="0" w:color="auto"/>
        <w:left w:val="none" w:sz="0" w:space="0" w:color="auto"/>
        <w:bottom w:val="none" w:sz="0" w:space="0" w:color="auto"/>
        <w:right w:val="none" w:sz="0" w:space="0" w:color="auto"/>
      </w:divBdr>
    </w:div>
    <w:div w:id="1603028293">
      <w:bodyDiv w:val="1"/>
      <w:marLeft w:val="0"/>
      <w:marRight w:val="0"/>
      <w:marTop w:val="0"/>
      <w:marBottom w:val="0"/>
      <w:divBdr>
        <w:top w:val="none" w:sz="0" w:space="0" w:color="auto"/>
        <w:left w:val="none" w:sz="0" w:space="0" w:color="auto"/>
        <w:bottom w:val="none" w:sz="0" w:space="0" w:color="auto"/>
        <w:right w:val="none" w:sz="0" w:space="0" w:color="auto"/>
      </w:divBdr>
      <w:divsChild>
        <w:div w:id="1376155912">
          <w:marLeft w:val="0"/>
          <w:marRight w:val="0"/>
          <w:marTop w:val="0"/>
          <w:marBottom w:val="0"/>
          <w:divBdr>
            <w:top w:val="none" w:sz="0" w:space="0" w:color="auto"/>
            <w:left w:val="none" w:sz="0" w:space="0" w:color="auto"/>
            <w:bottom w:val="none" w:sz="0" w:space="0" w:color="auto"/>
            <w:right w:val="none" w:sz="0" w:space="0" w:color="auto"/>
          </w:divBdr>
        </w:div>
      </w:divsChild>
    </w:div>
    <w:div w:id="1626085073">
      <w:bodyDiv w:val="1"/>
      <w:marLeft w:val="0"/>
      <w:marRight w:val="0"/>
      <w:marTop w:val="0"/>
      <w:marBottom w:val="0"/>
      <w:divBdr>
        <w:top w:val="none" w:sz="0" w:space="0" w:color="auto"/>
        <w:left w:val="none" w:sz="0" w:space="0" w:color="auto"/>
        <w:bottom w:val="none" w:sz="0" w:space="0" w:color="auto"/>
        <w:right w:val="none" w:sz="0" w:space="0" w:color="auto"/>
      </w:divBdr>
    </w:div>
    <w:div w:id="1782996219">
      <w:bodyDiv w:val="1"/>
      <w:marLeft w:val="0"/>
      <w:marRight w:val="0"/>
      <w:marTop w:val="0"/>
      <w:marBottom w:val="0"/>
      <w:divBdr>
        <w:top w:val="none" w:sz="0" w:space="0" w:color="auto"/>
        <w:left w:val="none" w:sz="0" w:space="0" w:color="auto"/>
        <w:bottom w:val="none" w:sz="0" w:space="0" w:color="auto"/>
        <w:right w:val="none" w:sz="0" w:space="0" w:color="auto"/>
      </w:divBdr>
    </w:div>
    <w:div w:id="1958634694">
      <w:bodyDiv w:val="1"/>
      <w:marLeft w:val="0"/>
      <w:marRight w:val="0"/>
      <w:marTop w:val="0"/>
      <w:marBottom w:val="0"/>
      <w:divBdr>
        <w:top w:val="none" w:sz="0" w:space="0" w:color="auto"/>
        <w:left w:val="none" w:sz="0" w:space="0" w:color="auto"/>
        <w:bottom w:val="none" w:sz="0" w:space="0" w:color="auto"/>
        <w:right w:val="none" w:sz="0" w:space="0" w:color="auto"/>
      </w:divBdr>
    </w:div>
    <w:div w:id="2010669412">
      <w:bodyDiv w:val="1"/>
      <w:marLeft w:val="0"/>
      <w:marRight w:val="0"/>
      <w:marTop w:val="0"/>
      <w:marBottom w:val="0"/>
      <w:divBdr>
        <w:top w:val="none" w:sz="0" w:space="0" w:color="auto"/>
        <w:left w:val="none" w:sz="0" w:space="0" w:color="auto"/>
        <w:bottom w:val="none" w:sz="0" w:space="0" w:color="auto"/>
        <w:right w:val="none" w:sz="0" w:space="0" w:color="auto"/>
      </w:divBdr>
    </w:div>
    <w:div w:id="2012446156">
      <w:bodyDiv w:val="1"/>
      <w:marLeft w:val="0"/>
      <w:marRight w:val="0"/>
      <w:marTop w:val="0"/>
      <w:marBottom w:val="0"/>
      <w:divBdr>
        <w:top w:val="none" w:sz="0" w:space="0" w:color="auto"/>
        <w:left w:val="none" w:sz="0" w:space="0" w:color="auto"/>
        <w:bottom w:val="none" w:sz="0" w:space="0" w:color="auto"/>
        <w:right w:val="none" w:sz="0" w:space="0" w:color="auto"/>
      </w:divBdr>
    </w:div>
    <w:div w:id="210333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en/news/final-report-available-benchmarking-innovation-procurement-investments-and-policy-frameworks-across" TargetMode="External"/><Relationship Id="rId1" Type="http://schemas.openxmlformats.org/officeDocument/2006/relationships/hyperlink" Target="https://ec.europa.eu/info/sites/info/files/communication-eu-industrial-strategy-march-2020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32F28-B332-4B52-8BC2-29958DDA6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8780</Words>
  <Characters>50315</Characters>
  <Application>Microsoft Office Word</Application>
  <DocSecurity>0</DocSecurity>
  <Lines>750</Lines>
  <Paragraphs>175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2021-05-04T14:30:00Z</dcterms:created>
  <dcterms:modified xsi:type="dcterms:W3CDTF">2021-05-04T15:25:00Z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