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alt="C0DB4EF2-5FF9-479F-9C2A-91554B381317" style="width:455.45pt;height:365pt">
            <v:imagedata r:id="rId12" o:title=""/>
          </v:shape>
        </w:pict>
      </w:r>
    </w:p>
    <w:bookmarkEnd w:id="0"/>
    <w:p>
      <w:pPr>
        <w:spacing w:line="276" w:lineRule="auto"/>
        <w:jc w:val="both"/>
        <w:rPr>
          <w:rFonts w:ascii="EC Square Sans Pro Light" w:hAnsi="EC Square Sans Pro Light"/>
          <w:noProof/>
          <w:sz w:val="24"/>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ascii="EC Square Sans Pro Light" w:eastAsiaTheme="minorHAnsi" w:hAnsi="EC Square Sans Pro Light" w:cstheme="minorBidi"/>
          <w:noProof/>
          <w:color w:val="auto"/>
          <w:sz w:val="22"/>
          <w:szCs w:val="22"/>
          <w:lang w:val="en-GB"/>
        </w:rPr>
        <w:id w:val="390862733"/>
        <w:docPartObj>
          <w:docPartGallery w:val="Table of Contents"/>
          <w:docPartUnique/>
        </w:docPartObj>
      </w:sdtPr>
      <w:sdtEndPr>
        <w:rPr>
          <w:b/>
          <w:bCs/>
          <w:sz w:val="24"/>
          <w:szCs w:val="24"/>
        </w:rPr>
      </w:sdtEndPr>
      <w:sdtContent>
        <w:p>
          <w:pPr>
            <w:pStyle w:val="TOCHeading"/>
            <w:spacing w:line="276" w:lineRule="auto"/>
            <w:jc w:val="both"/>
            <w:rPr>
              <w:rFonts w:ascii="EC Square Sans Pro Light" w:hAnsi="EC Square Sans Pro Light"/>
              <w:noProof/>
            </w:rPr>
          </w:pPr>
          <w:r>
            <w:rPr>
              <w:rFonts w:ascii="EC Square Sans Pro Light" w:hAnsi="EC Square Sans Pro Light"/>
              <w:noProof/>
            </w:rPr>
            <w:t>Table of Contents</w:t>
          </w:r>
        </w:p>
        <w:p>
          <w:pPr>
            <w:pStyle w:val="TOC1"/>
            <w:rPr>
              <w:rFonts w:eastAsiaTheme="minorEastAsia"/>
              <w:lang w:eastAsia="en-GB"/>
            </w:rPr>
          </w:pPr>
          <w:r>
            <w:rPr>
              <w:rFonts w:cs="Times New Roman"/>
              <w:sz w:val="24"/>
              <w:szCs w:val="24"/>
            </w:rPr>
            <w:fldChar w:fldCharType="begin"/>
          </w:r>
          <w:r>
            <w:rPr>
              <w:rFonts w:cs="Times New Roman"/>
              <w:sz w:val="24"/>
              <w:szCs w:val="24"/>
            </w:rPr>
            <w:instrText xml:space="preserve"> TOC \o "1-3" \h \z \u </w:instrText>
          </w:r>
          <w:r>
            <w:rPr>
              <w:rFonts w:cs="Times New Roman"/>
              <w:sz w:val="24"/>
              <w:szCs w:val="24"/>
            </w:rPr>
            <w:fldChar w:fldCharType="separate"/>
          </w:r>
          <w:hyperlink w:anchor="_Toc82165919" w:history="1">
            <w:r>
              <w:rPr>
                <w:rStyle w:val="Hyperlink"/>
              </w:rPr>
              <w:t>1.</w:t>
            </w:r>
            <w:r>
              <w:rPr>
                <w:rFonts w:eastAsiaTheme="minorEastAsia"/>
                <w:lang w:eastAsia="en-GB"/>
              </w:rPr>
              <w:tab/>
            </w:r>
            <w:r>
              <w:rPr>
                <w:rStyle w:val="Hyperlink"/>
              </w:rPr>
              <w:t>Introduction</w:t>
            </w:r>
            <w:r>
              <w:rPr>
                <w:webHidden/>
              </w:rPr>
              <w:tab/>
            </w:r>
            <w:r>
              <w:rPr>
                <w:webHidden/>
              </w:rPr>
              <w:fldChar w:fldCharType="begin"/>
            </w:r>
            <w:r>
              <w:rPr>
                <w:webHidden/>
              </w:rPr>
              <w:instrText xml:space="preserve"> PAGEREF _Toc82165919 \h </w:instrText>
            </w:r>
            <w:r>
              <w:rPr>
                <w:webHidden/>
              </w:rPr>
            </w:r>
            <w:r>
              <w:rPr>
                <w:webHidden/>
              </w:rPr>
              <w:fldChar w:fldCharType="separate"/>
            </w:r>
            <w:r>
              <w:rPr>
                <w:webHidden/>
              </w:rPr>
              <w:t>2</w:t>
            </w:r>
            <w:r>
              <w:rPr>
                <w:webHidden/>
              </w:rPr>
              <w:fldChar w:fldCharType="end"/>
            </w:r>
          </w:hyperlink>
        </w:p>
        <w:p>
          <w:pPr>
            <w:pStyle w:val="TOC1"/>
            <w:rPr>
              <w:rFonts w:eastAsiaTheme="minorEastAsia"/>
              <w:lang w:eastAsia="en-GB"/>
            </w:rPr>
          </w:pPr>
          <w:hyperlink w:anchor="_Toc82165920" w:history="1">
            <w:r>
              <w:rPr>
                <w:rStyle w:val="Hyperlink"/>
              </w:rPr>
              <w:t>2.</w:t>
            </w:r>
            <w:r>
              <w:rPr>
                <w:rFonts w:eastAsiaTheme="minorEastAsia"/>
                <w:lang w:eastAsia="en-GB"/>
              </w:rPr>
              <w:tab/>
            </w:r>
            <w:r>
              <w:rPr>
                <w:rStyle w:val="Hyperlink"/>
              </w:rPr>
              <w:t>Building on co-design: A transformational project by all of us for all of us</w:t>
            </w:r>
            <w:r>
              <w:rPr>
                <w:webHidden/>
              </w:rPr>
              <w:tab/>
            </w:r>
            <w:r>
              <w:rPr>
                <w:webHidden/>
              </w:rPr>
              <w:fldChar w:fldCharType="begin"/>
            </w:r>
            <w:r>
              <w:rPr>
                <w:webHidden/>
              </w:rPr>
              <w:instrText xml:space="preserve"> PAGEREF _Toc82165920 \h </w:instrText>
            </w:r>
            <w:r>
              <w:rPr>
                <w:webHidden/>
              </w:rPr>
            </w:r>
            <w:r>
              <w:rPr>
                <w:webHidden/>
              </w:rPr>
              <w:fldChar w:fldCharType="separate"/>
            </w:r>
            <w:r>
              <w:rPr>
                <w:webHidden/>
              </w:rPr>
              <w:t>3</w:t>
            </w:r>
            <w:r>
              <w:rPr>
                <w:webHidden/>
              </w:rPr>
              <w:fldChar w:fldCharType="end"/>
            </w:r>
          </w:hyperlink>
        </w:p>
        <w:p>
          <w:pPr>
            <w:pStyle w:val="TOC1"/>
            <w:rPr>
              <w:rFonts w:eastAsiaTheme="minorEastAsia"/>
              <w:lang w:eastAsia="en-GB"/>
            </w:rPr>
          </w:pPr>
          <w:hyperlink w:anchor="_Toc82165921" w:history="1">
            <w:r>
              <w:rPr>
                <w:rStyle w:val="Hyperlink"/>
              </w:rPr>
              <w:t>3.</w:t>
            </w:r>
            <w:r>
              <w:rPr>
                <w:rFonts w:eastAsiaTheme="minorEastAsia"/>
                <w:lang w:eastAsia="en-GB"/>
              </w:rPr>
              <w:tab/>
            </w:r>
            <w:r>
              <w:rPr>
                <w:rStyle w:val="Hyperlink"/>
              </w:rPr>
              <w:t>The shape of the New European Bauhaus</w:t>
            </w:r>
            <w:r>
              <w:rPr>
                <w:webHidden/>
              </w:rPr>
              <w:tab/>
            </w:r>
            <w:r>
              <w:rPr>
                <w:webHidden/>
              </w:rPr>
              <w:fldChar w:fldCharType="begin"/>
            </w:r>
            <w:r>
              <w:rPr>
                <w:webHidden/>
              </w:rPr>
              <w:instrText xml:space="preserve"> PAGEREF _Toc82165921 \h </w:instrText>
            </w:r>
            <w:r>
              <w:rPr>
                <w:webHidden/>
              </w:rPr>
            </w:r>
            <w:r>
              <w:rPr>
                <w:webHidden/>
              </w:rPr>
              <w:fldChar w:fldCharType="separate"/>
            </w:r>
            <w:r>
              <w:rPr>
                <w:webHidden/>
              </w:rPr>
              <w:t>4</w:t>
            </w:r>
            <w:r>
              <w:rPr>
                <w:webHidden/>
              </w:rPr>
              <w:fldChar w:fldCharType="end"/>
            </w:r>
          </w:hyperlink>
        </w:p>
        <w:p>
          <w:pPr>
            <w:pStyle w:val="TOC2"/>
            <w:tabs>
              <w:tab w:val="left" w:pos="880"/>
              <w:tab w:val="right" w:leader="dot" w:pos="9016"/>
            </w:tabs>
            <w:rPr>
              <w:rFonts w:ascii="EC Square Sans Pro Light" w:eastAsiaTheme="minorEastAsia" w:hAnsi="EC Square Sans Pro Light"/>
              <w:noProof/>
              <w:lang w:eastAsia="en-GB"/>
            </w:rPr>
          </w:pPr>
          <w:hyperlink w:anchor="_Toc82165922" w:history="1">
            <w:r>
              <w:rPr>
                <w:rStyle w:val="Hyperlink"/>
                <w:rFonts w:ascii="EC Square Sans Pro Light" w:hAnsi="EC Square Sans Pro Light"/>
                <w:noProof/>
              </w:rPr>
              <w:t>3.1.</w:t>
            </w:r>
            <w:r>
              <w:rPr>
                <w:rFonts w:ascii="EC Square Sans Pro Light" w:eastAsiaTheme="minorEastAsia" w:hAnsi="EC Square Sans Pro Light"/>
                <w:noProof/>
                <w:lang w:eastAsia="en-GB"/>
              </w:rPr>
              <w:tab/>
            </w:r>
            <w:r>
              <w:rPr>
                <w:rStyle w:val="Hyperlink"/>
                <w:rFonts w:ascii="EC Square Sans Pro Light" w:hAnsi="EC Square Sans Pro Light"/>
                <w:noProof/>
              </w:rPr>
              <w:t>From the historical movement to the New European Bauhaus</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_Toc82165922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4</w:t>
            </w:r>
            <w:r>
              <w:rPr>
                <w:rFonts w:ascii="EC Square Sans Pro Light" w:hAnsi="EC Square Sans Pro Light"/>
                <w:noProof/>
                <w:webHidden/>
              </w:rPr>
              <w:fldChar w:fldCharType="end"/>
            </w:r>
          </w:hyperlink>
        </w:p>
        <w:p>
          <w:pPr>
            <w:pStyle w:val="TOC2"/>
            <w:tabs>
              <w:tab w:val="left" w:pos="880"/>
              <w:tab w:val="right" w:leader="dot" w:pos="9016"/>
            </w:tabs>
            <w:rPr>
              <w:rFonts w:ascii="EC Square Sans Pro Light" w:eastAsiaTheme="minorEastAsia" w:hAnsi="EC Square Sans Pro Light"/>
              <w:noProof/>
              <w:lang w:eastAsia="en-GB"/>
            </w:rPr>
          </w:pPr>
          <w:hyperlink w:anchor="_Toc82165923" w:history="1">
            <w:r>
              <w:rPr>
                <w:rStyle w:val="Hyperlink"/>
                <w:rFonts w:ascii="EC Square Sans Pro Light" w:hAnsi="EC Square Sans Pro Light"/>
                <w:noProof/>
              </w:rPr>
              <w:t>3.2.</w:t>
            </w:r>
            <w:r>
              <w:rPr>
                <w:rFonts w:ascii="EC Square Sans Pro Light" w:eastAsiaTheme="minorEastAsia" w:hAnsi="EC Square Sans Pro Light"/>
                <w:noProof/>
                <w:lang w:eastAsia="en-GB"/>
              </w:rPr>
              <w:tab/>
            </w:r>
            <w:r>
              <w:rPr>
                <w:rStyle w:val="Hyperlink"/>
                <w:rFonts w:ascii="EC Square Sans Pro Light" w:hAnsi="EC Square Sans Pro Light"/>
                <w:noProof/>
              </w:rPr>
              <w:t>Three key principles</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_Toc82165923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5</w:t>
            </w:r>
            <w:r>
              <w:rPr>
                <w:rFonts w:ascii="EC Square Sans Pro Light" w:hAnsi="EC Square Sans Pro Light"/>
                <w:noProof/>
                <w:webHidden/>
              </w:rPr>
              <w:fldChar w:fldCharType="end"/>
            </w:r>
          </w:hyperlink>
        </w:p>
        <w:p>
          <w:pPr>
            <w:pStyle w:val="TOC3"/>
            <w:tabs>
              <w:tab w:val="left" w:pos="1320"/>
              <w:tab w:val="right" w:leader="dot" w:pos="9016"/>
            </w:tabs>
            <w:rPr>
              <w:rFonts w:ascii="EC Square Sans Pro Light" w:eastAsiaTheme="minorEastAsia" w:hAnsi="EC Square Sans Pro Light"/>
              <w:noProof/>
              <w:lang w:eastAsia="en-GB"/>
            </w:rPr>
          </w:pPr>
          <w:hyperlink w:anchor="_Toc82165924" w:history="1">
            <w:r>
              <w:rPr>
                <w:rStyle w:val="Hyperlink"/>
                <w:rFonts w:ascii="EC Square Sans Pro Light" w:hAnsi="EC Square Sans Pro Light"/>
                <w:noProof/>
              </w:rPr>
              <w:t>3.2.1.</w:t>
            </w:r>
            <w:r>
              <w:rPr>
                <w:rFonts w:ascii="EC Square Sans Pro Light" w:eastAsiaTheme="minorEastAsia" w:hAnsi="EC Square Sans Pro Light"/>
                <w:noProof/>
                <w:lang w:eastAsia="en-GB"/>
              </w:rPr>
              <w:tab/>
            </w:r>
            <w:r>
              <w:rPr>
                <w:rStyle w:val="Hyperlink"/>
                <w:rFonts w:ascii="EC Square Sans Pro Light" w:hAnsi="EC Square Sans Pro Light"/>
                <w:noProof/>
              </w:rPr>
              <w:t>A multilevel approach: from global to local</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_Toc82165924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5</w:t>
            </w:r>
            <w:r>
              <w:rPr>
                <w:rFonts w:ascii="EC Square Sans Pro Light" w:hAnsi="EC Square Sans Pro Light"/>
                <w:noProof/>
                <w:webHidden/>
              </w:rPr>
              <w:fldChar w:fldCharType="end"/>
            </w:r>
          </w:hyperlink>
        </w:p>
        <w:p>
          <w:pPr>
            <w:pStyle w:val="TOC3"/>
            <w:tabs>
              <w:tab w:val="left" w:pos="1320"/>
              <w:tab w:val="right" w:leader="dot" w:pos="9016"/>
            </w:tabs>
            <w:rPr>
              <w:rFonts w:ascii="EC Square Sans Pro Light" w:eastAsiaTheme="minorEastAsia" w:hAnsi="EC Square Sans Pro Light"/>
              <w:noProof/>
              <w:lang w:eastAsia="en-GB"/>
            </w:rPr>
          </w:pPr>
          <w:hyperlink w:anchor="_Toc82165925" w:history="1">
            <w:r>
              <w:rPr>
                <w:rStyle w:val="Hyperlink"/>
                <w:rFonts w:ascii="EC Square Sans Pro Light" w:hAnsi="EC Square Sans Pro Light"/>
                <w:noProof/>
              </w:rPr>
              <w:t>3.2.2.</w:t>
            </w:r>
            <w:r>
              <w:rPr>
                <w:rFonts w:ascii="EC Square Sans Pro Light" w:eastAsiaTheme="minorEastAsia" w:hAnsi="EC Square Sans Pro Light"/>
                <w:noProof/>
                <w:lang w:eastAsia="en-GB"/>
              </w:rPr>
              <w:tab/>
            </w:r>
            <w:r>
              <w:rPr>
                <w:rStyle w:val="Hyperlink"/>
                <w:rFonts w:ascii="EC Square Sans Pro Light" w:hAnsi="EC Square Sans Pro Light"/>
                <w:noProof/>
              </w:rPr>
              <w:t>A participatory approach</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_Toc82165925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5</w:t>
            </w:r>
            <w:r>
              <w:rPr>
                <w:rFonts w:ascii="EC Square Sans Pro Light" w:hAnsi="EC Square Sans Pro Light"/>
                <w:noProof/>
                <w:webHidden/>
              </w:rPr>
              <w:fldChar w:fldCharType="end"/>
            </w:r>
          </w:hyperlink>
        </w:p>
        <w:p>
          <w:pPr>
            <w:pStyle w:val="TOC3"/>
            <w:tabs>
              <w:tab w:val="left" w:pos="1320"/>
              <w:tab w:val="right" w:leader="dot" w:pos="9016"/>
            </w:tabs>
            <w:rPr>
              <w:rFonts w:ascii="EC Square Sans Pro Light" w:eastAsiaTheme="minorEastAsia" w:hAnsi="EC Square Sans Pro Light"/>
              <w:noProof/>
              <w:lang w:eastAsia="en-GB"/>
            </w:rPr>
          </w:pPr>
          <w:hyperlink w:anchor="_Toc82165926" w:history="1">
            <w:r>
              <w:rPr>
                <w:rStyle w:val="Hyperlink"/>
                <w:rFonts w:ascii="EC Square Sans Pro Light" w:hAnsi="EC Square Sans Pro Light"/>
                <w:noProof/>
              </w:rPr>
              <w:t>3.2.3.</w:t>
            </w:r>
            <w:r>
              <w:rPr>
                <w:rFonts w:ascii="EC Square Sans Pro Light" w:eastAsiaTheme="minorEastAsia" w:hAnsi="EC Square Sans Pro Light"/>
                <w:noProof/>
                <w:lang w:eastAsia="en-GB"/>
              </w:rPr>
              <w:tab/>
            </w:r>
            <w:r>
              <w:rPr>
                <w:rStyle w:val="Hyperlink"/>
                <w:rFonts w:ascii="EC Square Sans Pro Light" w:hAnsi="EC Square Sans Pro Light"/>
                <w:noProof/>
              </w:rPr>
              <w:t>A transdisciplinary approach</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_Toc82165926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5</w:t>
            </w:r>
            <w:r>
              <w:rPr>
                <w:rFonts w:ascii="EC Square Sans Pro Light" w:hAnsi="EC Square Sans Pro Light"/>
                <w:noProof/>
                <w:webHidden/>
              </w:rPr>
              <w:fldChar w:fldCharType="end"/>
            </w:r>
          </w:hyperlink>
        </w:p>
        <w:p>
          <w:pPr>
            <w:pStyle w:val="TOC2"/>
            <w:tabs>
              <w:tab w:val="left" w:pos="880"/>
              <w:tab w:val="right" w:leader="dot" w:pos="9016"/>
            </w:tabs>
            <w:rPr>
              <w:rFonts w:ascii="EC Square Sans Pro Light" w:eastAsiaTheme="minorEastAsia" w:hAnsi="EC Square Sans Pro Light"/>
              <w:noProof/>
              <w:lang w:eastAsia="en-GB"/>
            </w:rPr>
          </w:pPr>
          <w:hyperlink w:anchor="_Toc82165927" w:history="1">
            <w:r>
              <w:rPr>
                <w:rStyle w:val="Hyperlink"/>
                <w:rFonts w:ascii="EC Square Sans Pro Light" w:hAnsi="EC Square Sans Pro Light"/>
                <w:noProof/>
              </w:rPr>
              <w:t>3.3.</w:t>
            </w:r>
            <w:r>
              <w:rPr>
                <w:rFonts w:ascii="EC Square Sans Pro Light" w:eastAsiaTheme="minorEastAsia" w:hAnsi="EC Square Sans Pro Light"/>
                <w:noProof/>
                <w:lang w:eastAsia="en-GB"/>
              </w:rPr>
              <w:tab/>
            </w:r>
            <w:r>
              <w:rPr>
                <w:rStyle w:val="Hyperlink"/>
                <w:rFonts w:ascii="EC Square Sans Pro Light" w:hAnsi="EC Square Sans Pro Light"/>
                <w:noProof/>
              </w:rPr>
              <w:t>Thematic axes of the transformative path</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_Toc82165927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6</w:t>
            </w:r>
            <w:r>
              <w:rPr>
                <w:rFonts w:ascii="EC Square Sans Pro Light" w:hAnsi="EC Square Sans Pro Light"/>
                <w:noProof/>
                <w:webHidden/>
              </w:rPr>
              <w:fldChar w:fldCharType="end"/>
            </w:r>
          </w:hyperlink>
        </w:p>
        <w:p>
          <w:pPr>
            <w:pStyle w:val="TOC3"/>
            <w:tabs>
              <w:tab w:val="left" w:pos="1320"/>
              <w:tab w:val="right" w:leader="dot" w:pos="9016"/>
            </w:tabs>
            <w:rPr>
              <w:rFonts w:ascii="EC Square Sans Pro Light" w:eastAsiaTheme="minorEastAsia" w:hAnsi="EC Square Sans Pro Light"/>
              <w:noProof/>
              <w:lang w:eastAsia="en-GB"/>
            </w:rPr>
          </w:pPr>
          <w:hyperlink w:anchor="_Toc82165929" w:history="1">
            <w:r>
              <w:rPr>
                <w:rStyle w:val="Hyperlink"/>
                <w:rFonts w:ascii="EC Square Sans Pro Light" w:hAnsi="EC Square Sans Pro Light"/>
                <w:noProof/>
              </w:rPr>
              <w:t>3.3.1.</w:t>
            </w:r>
            <w:r>
              <w:rPr>
                <w:rFonts w:ascii="EC Square Sans Pro Light" w:eastAsiaTheme="minorEastAsia" w:hAnsi="EC Square Sans Pro Light"/>
                <w:noProof/>
                <w:lang w:eastAsia="en-GB"/>
              </w:rPr>
              <w:tab/>
            </w:r>
            <w:r>
              <w:rPr>
                <w:rStyle w:val="Hyperlink"/>
                <w:rFonts w:ascii="EC Square Sans Pro Light" w:hAnsi="EC Square Sans Pro Light"/>
                <w:noProof/>
              </w:rPr>
              <w:t>Reconnecting with nature</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_Toc82165929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6</w:t>
            </w:r>
            <w:r>
              <w:rPr>
                <w:rFonts w:ascii="EC Square Sans Pro Light" w:hAnsi="EC Square Sans Pro Light"/>
                <w:noProof/>
                <w:webHidden/>
              </w:rPr>
              <w:fldChar w:fldCharType="end"/>
            </w:r>
          </w:hyperlink>
        </w:p>
        <w:p>
          <w:pPr>
            <w:pStyle w:val="TOC3"/>
            <w:tabs>
              <w:tab w:val="left" w:pos="1320"/>
              <w:tab w:val="right" w:leader="dot" w:pos="9016"/>
            </w:tabs>
            <w:rPr>
              <w:rFonts w:ascii="EC Square Sans Pro Light" w:eastAsiaTheme="minorEastAsia" w:hAnsi="EC Square Sans Pro Light"/>
              <w:noProof/>
              <w:lang w:eastAsia="en-GB"/>
            </w:rPr>
          </w:pPr>
          <w:hyperlink w:anchor="_Toc82165931" w:history="1">
            <w:r>
              <w:rPr>
                <w:rStyle w:val="Hyperlink"/>
                <w:rFonts w:ascii="EC Square Sans Pro Light" w:hAnsi="EC Square Sans Pro Light"/>
                <w:noProof/>
              </w:rPr>
              <w:t>3.3.2.</w:t>
            </w:r>
            <w:r>
              <w:rPr>
                <w:rFonts w:ascii="EC Square Sans Pro Light" w:eastAsiaTheme="minorEastAsia" w:hAnsi="EC Square Sans Pro Light"/>
                <w:noProof/>
                <w:lang w:eastAsia="en-GB"/>
              </w:rPr>
              <w:tab/>
            </w:r>
            <w:r>
              <w:rPr>
                <w:rStyle w:val="Hyperlink"/>
                <w:rFonts w:ascii="EC Square Sans Pro Light" w:hAnsi="EC Square Sans Pro Light"/>
                <w:noProof/>
              </w:rPr>
              <w:t>Regaining a sense of belonging</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_Toc82165931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7</w:t>
            </w:r>
            <w:r>
              <w:rPr>
                <w:rFonts w:ascii="EC Square Sans Pro Light" w:hAnsi="EC Square Sans Pro Light"/>
                <w:noProof/>
                <w:webHidden/>
              </w:rPr>
              <w:fldChar w:fldCharType="end"/>
            </w:r>
          </w:hyperlink>
        </w:p>
        <w:p>
          <w:pPr>
            <w:pStyle w:val="TOC3"/>
            <w:tabs>
              <w:tab w:val="left" w:pos="1320"/>
              <w:tab w:val="right" w:leader="dot" w:pos="9016"/>
            </w:tabs>
            <w:rPr>
              <w:rFonts w:ascii="EC Square Sans Pro Light" w:eastAsiaTheme="minorEastAsia" w:hAnsi="EC Square Sans Pro Light"/>
              <w:noProof/>
              <w:lang w:eastAsia="en-GB"/>
            </w:rPr>
          </w:pPr>
          <w:hyperlink w:anchor="_Toc82165933" w:history="1">
            <w:r>
              <w:rPr>
                <w:rStyle w:val="Hyperlink"/>
                <w:rFonts w:ascii="EC Square Sans Pro Light" w:hAnsi="EC Square Sans Pro Light"/>
                <w:noProof/>
              </w:rPr>
              <w:t>3.3.3.</w:t>
            </w:r>
            <w:r>
              <w:rPr>
                <w:rFonts w:ascii="EC Square Sans Pro Light" w:eastAsiaTheme="minorEastAsia" w:hAnsi="EC Square Sans Pro Light"/>
                <w:noProof/>
                <w:lang w:eastAsia="en-GB"/>
              </w:rPr>
              <w:tab/>
            </w:r>
            <w:r>
              <w:rPr>
                <w:rStyle w:val="Hyperlink"/>
                <w:rFonts w:ascii="EC Square Sans Pro Light" w:hAnsi="EC Square Sans Pro Light"/>
                <w:noProof/>
              </w:rPr>
              <w:t>Prioritising the places and people that need it the most</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_Toc82165933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7</w:t>
            </w:r>
            <w:r>
              <w:rPr>
                <w:rFonts w:ascii="EC Square Sans Pro Light" w:hAnsi="EC Square Sans Pro Light"/>
                <w:noProof/>
                <w:webHidden/>
              </w:rPr>
              <w:fldChar w:fldCharType="end"/>
            </w:r>
          </w:hyperlink>
        </w:p>
        <w:p>
          <w:pPr>
            <w:pStyle w:val="TOC3"/>
            <w:tabs>
              <w:tab w:val="left" w:pos="1320"/>
              <w:tab w:val="right" w:leader="dot" w:pos="9016"/>
            </w:tabs>
            <w:rPr>
              <w:rFonts w:ascii="EC Square Sans Pro Light" w:eastAsiaTheme="minorEastAsia" w:hAnsi="EC Square Sans Pro Light"/>
              <w:noProof/>
              <w:lang w:eastAsia="en-GB"/>
            </w:rPr>
          </w:pPr>
          <w:hyperlink w:anchor="_Toc82165934" w:history="1">
            <w:r>
              <w:rPr>
                <w:rStyle w:val="Hyperlink"/>
                <w:rFonts w:ascii="EC Square Sans Pro Light" w:hAnsi="EC Square Sans Pro Light"/>
                <w:noProof/>
              </w:rPr>
              <w:t>3.3.4.</w:t>
            </w:r>
            <w:r>
              <w:rPr>
                <w:rFonts w:ascii="EC Square Sans Pro Light" w:eastAsiaTheme="minorEastAsia" w:hAnsi="EC Square Sans Pro Light"/>
                <w:noProof/>
                <w:lang w:eastAsia="en-GB"/>
              </w:rPr>
              <w:tab/>
            </w:r>
            <w:r>
              <w:rPr>
                <w:rStyle w:val="Hyperlink"/>
                <w:rFonts w:ascii="EC Square Sans Pro Light" w:hAnsi="EC Square Sans Pro Light"/>
                <w:noProof/>
              </w:rPr>
              <w:t>The need for long-term, life-cycle thinking in the industrial ecosystem.</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_Toc82165934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8</w:t>
            </w:r>
            <w:r>
              <w:rPr>
                <w:rFonts w:ascii="EC Square Sans Pro Light" w:hAnsi="EC Square Sans Pro Light"/>
                <w:noProof/>
                <w:webHidden/>
              </w:rPr>
              <w:fldChar w:fldCharType="end"/>
            </w:r>
          </w:hyperlink>
        </w:p>
        <w:p>
          <w:pPr>
            <w:pStyle w:val="TOC1"/>
            <w:rPr>
              <w:rFonts w:eastAsiaTheme="minorEastAsia"/>
              <w:lang w:eastAsia="en-GB"/>
            </w:rPr>
          </w:pPr>
          <w:hyperlink w:anchor="_Toc82165935" w:history="1">
            <w:r>
              <w:rPr>
                <w:rStyle w:val="Hyperlink"/>
              </w:rPr>
              <w:t>4.</w:t>
            </w:r>
            <w:r>
              <w:rPr>
                <w:rFonts w:eastAsiaTheme="minorEastAsia"/>
                <w:lang w:eastAsia="en-GB"/>
              </w:rPr>
              <w:tab/>
            </w:r>
            <w:r>
              <w:rPr>
                <w:rStyle w:val="Hyperlink"/>
              </w:rPr>
              <w:t>Delivering the New European</w:t>
            </w:r>
            <w:r>
              <w:rPr>
                <w:rStyle w:val="Hyperlink"/>
                <w:rFonts w:ascii="Calibri" w:hAnsi="Calibri" w:cs="Calibri"/>
              </w:rPr>
              <w:t> </w:t>
            </w:r>
            <w:r>
              <w:rPr>
                <w:rStyle w:val="Hyperlink"/>
              </w:rPr>
              <w:t>Bauhaus</w:t>
            </w:r>
            <w:r>
              <w:rPr>
                <w:webHidden/>
              </w:rPr>
              <w:tab/>
            </w:r>
            <w:r>
              <w:rPr>
                <w:webHidden/>
              </w:rPr>
              <w:fldChar w:fldCharType="begin"/>
            </w:r>
            <w:r>
              <w:rPr>
                <w:webHidden/>
              </w:rPr>
              <w:instrText xml:space="preserve"> PAGEREF _Toc82165935 \h </w:instrText>
            </w:r>
            <w:r>
              <w:rPr>
                <w:webHidden/>
              </w:rPr>
            </w:r>
            <w:r>
              <w:rPr>
                <w:webHidden/>
              </w:rPr>
              <w:fldChar w:fldCharType="separate"/>
            </w:r>
            <w:r>
              <w:rPr>
                <w:webHidden/>
              </w:rPr>
              <w:t>9</w:t>
            </w:r>
            <w:r>
              <w:rPr>
                <w:webHidden/>
              </w:rPr>
              <w:fldChar w:fldCharType="end"/>
            </w:r>
          </w:hyperlink>
        </w:p>
        <w:p>
          <w:pPr>
            <w:pStyle w:val="TOC2"/>
            <w:tabs>
              <w:tab w:val="left" w:pos="880"/>
              <w:tab w:val="right" w:leader="dot" w:pos="9016"/>
            </w:tabs>
            <w:rPr>
              <w:rFonts w:ascii="EC Square Sans Pro Light" w:eastAsiaTheme="minorEastAsia" w:hAnsi="EC Square Sans Pro Light"/>
              <w:noProof/>
              <w:lang w:eastAsia="en-GB"/>
            </w:rPr>
          </w:pPr>
          <w:hyperlink w:anchor="_Toc82165936" w:history="1">
            <w:r>
              <w:rPr>
                <w:rStyle w:val="Hyperlink"/>
                <w:rFonts w:ascii="EC Square Sans Pro Light" w:hAnsi="EC Square Sans Pro Light"/>
                <w:noProof/>
              </w:rPr>
              <w:t>4.1.</w:t>
            </w:r>
            <w:r>
              <w:rPr>
                <w:rFonts w:ascii="EC Square Sans Pro Light" w:eastAsiaTheme="minorEastAsia" w:hAnsi="EC Square Sans Pro Light"/>
                <w:noProof/>
                <w:lang w:eastAsia="en-GB"/>
              </w:rPr>
              <w:tab/>
            </w:r>
            <w:r>
              <w:rPr>
                <w:rStyle w:val="Hyperlink"/>
                <w:rFonts w:ascii="EC Square Sans Pro Light" w:hAnsi="EC Square Sans Pro Light"/>
                <w:noProof/>
              </w:rPr>
              <w:t>Working with the New European Bauhaus Community: the NEB</w:t>
            </w:r>
            <w:r>
              <w:rPr>
                <w:rStyle w:val="Hyperlink"/>
                <w:rFonts w:ascii="Calibri" w:hAnsi="Calibri" w:cs="Calibri"/>
                <w:noProof/>
              </w:rPr>
              <w:t> </w:t>
            </w:r>
            <w:r>
              <w:rPr>
                <w:rStyle w:val="Hyperlink"/>
                <w:rFonts w:ascii="EC Square Sans Pro Light" w:hAnsi="EC Square Sans Pro Light"/>
                <w:noProof/>
              </w:rPr>
              <w:t>Lab</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_Toc82165936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10</w:t>
            </w:r>
            <w:r>
              <w:rPr>
                <w:rFonts w:ascii="EC Square Sans Pro Light" w:hAnsi="EC Square Sans Pro Light"/>
                <w:noProof/>
                <w:webHidden/>
              </w:rPr>
              <w:fldChar w:fldCharType="end"/>
            </w:r>
          </w:hyperlink>
        </w:p>
        <w:p>
          <w:pPr>
            <w:pStyle w:val="TOC2"/>
            <w:tabs>
              <w:tab w:val="left" w:pos="880"/>
              <w:tab w:val="right" w:leader="dot" w:pos="9016"/>
            </w:tabs>
            <w:rPr>
              <w:rFonts w:ascii="EC Square Sans Pro Light" w:eastAsiaTheme="minorEastAsia" w:hAnsi="EC Square Sans Pro Light"/>
              <w:noProof/>
              <w:lang w:eastAsia="en-GB"/>
            </w:rPr>
          </w:pPr>
          <w:hyperlink w:anchor="_Toc82165938" w:history="1">
            <w:r>
              <w:rPr>
                <w:rStyle w:val="Hyperlink"/>
                <w:rFonts w:ascii="EC Square Sans Pro Light" w:hAnsi="EC Square Sans Pro Light"/>
                <w:noProof/>
              </w:rPr>
              <w:t>4.2.</w:t>
            </w:r>
            <w:r>
              <w:rPr>
                <w:rFonts w:ascii="EC Square Sans Pro Light" w:eastAsiaTheme="minorEastAsia" w:hAnsi="EC Square Sans Pro Light"/>
                <w:noProof/>
                <w:lang w:eastAsia="en-GB"/>
              </w:rPr>
              <w:tab/>
            </w:r>
            <w:r>
              <w:rPr>
                <w:rStyle w:val="Hyperlink"/>
                <w:rFonts w:ascii="EC Square Sans Pro Light" w:hAnsi="EC Square Sans Pro Light"/>
                <w:noProof/>
              </w:rPr>
              <w:t>A threefold transformation</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_Toc82165938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11</w:t>
            </w:r>
            <w:r>
              <w:rPr>
                <w:rFonts w:ascii="EC Square Sans Pro Light" w:hAnsi="EC Square Sans Pro Light"/>
                <w:noProof/>
                <w:webHidden/>
              </w:rPr>
              <w:fldChar w:fldCharType="end"/>
            </w:r>
          </w:hyperlink>
        </w:p>
        <w:p>
          <w:pPr>
            <w:pStyle w:val="TOC3"/>
            <w:tabs>
              <w:tab w:val="left" w:pos="1320"/>
              <w:tab w:val="right" w:leader="dot" w:pos="9016"/>
            </w:tabs>
            <w:rPr>
              <w:rFonts w:ascii="EC Square Sans Pro Light" w:eastAsiaTheme="minorEastAsia" w:hAnsi="EC Square Sans Pro Light"/>
              <w:noProof/>
              <w:lang w:eastAsia="en-GB"/>
            </w:rPr>
          </w:pPr>
          <w:hyperlink w:anchor="_Toc82165943" w:history="1">
            <w:r>
              <w:rPr>
                <w:rStyle w:val="Hyperlink"/>
                <w:rFonts w:ascii="EC Square Sans Pro Light" w:hAnsi="EC Square Sans Pro Light"/>
                <w:noProof/>
              </w:rPr>
              <w:t>4.2.1.</w:t>
            </w:r>
            <w:r>
              <w:rPr>
                <w:rFonts w:ascii="EC Square Sans Pro Light" w:eastAsiaTheme="minorEastAsia" w:hAnsi="EC Square Sans Pro Light"/>
                <w:noProof/>
                <w:lang w:eastAsia="en-GB"/>
              </w:rPr>
              <w:tab/>
            </w:r>
            <w:r>
              <w:rPr>
                <w:rStyle w:val="Hyperlink"/>
                <w:rFonts w:ascii="EC Square Sans Pro Light" w:hAnsi="EC Square Sans Pro Light"/>
                <w:noProof/>
              </w:rPr>
              <w:t>Transformation of places on the ground</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_Toc82165943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12</w:t>
            </w:r>
            <w:r>
              <w:rPr>
                <w:rFonts w:ascii="EC Square Sans Pro Light" w:hAnsi="EC Square Sans Pro Light"/>
                <w:noProof/>
                <w:webHidden/>
              </w:rPr>
              <w:fldChar w:fldCharType="end"/>
            </w:r>
          </w:hyperlink>
        </w:p>
        <w:p>
          <w:pPr>
            <w:pStyle w:val="TOC3"/>
            <w:tabs>
              <w:tab w:val="left" w:pos="1320"/>
              <w:tab w:val="right" w:leader="dot" w:pos="9016"/>
            </w:tabs>
            <w:rPr>
              <w:rFonts w:ascii="EC Square Sans Pro Light" w:eastAsiaTheme="minorEastAsia" w:hAnsi="EC Square Sans Pro Light"/>
              <w:noProof/>
              <w:lang w:eastAsia="en-GB"/>
            </w:rPr>
          </w:pPr>
          <w:hyperlink w:anchor="_Toc82165944" w:history="1">
            <w:r>
              <w:rPr>
                <w:rStyle w:val="Hyperlink"/>
                <w:rFonts w:ascii="EC Square Sans Pro Light" w:hAnsi="EC Square Sans Pro Light"/>
                <w:noProof/>
              </w:rPr>
              <w:t>4.2.2.</w:t>
            </w:r>
            <w:r>
              <w:rPr>
                <w:rFonts w:ascii="EC Square Sans Pro Light" w:eastAsiaTheme="minorEastAsia" w:hAnsi="EC Square Sans Pro Light"/>
                <w:noProof/>
                <w:lang w:eastAsia="en-GB"/>
              </w:rPr>
              <w:tab/>
            </w:r>
            <w:r>
              <w:rPr>
                <w:rStyle w:val="Hyperlink"/>
                <w:rFonts w:ascii="EC Square Sans Pro Light" w:hAnsi="EC Square Sans Pro Light"/>
                <w:noProof/>
              </w:rPr>
              <w:t>Transformation of the enabling environment for innovation</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_Toc82165944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13</w:t>
            </w:r>
            <w:r>
              <w:rPr>
                <w:rFonts w:ascii="EC Square Sans Pro Light" w:hAnsi="EC Square Sans Pro Light"/>
                <w:noProof/>
                <w:webHidden/>
              </w:rPr>
              <w:fldChar w:fldCharType="end"/>
            </w:r>
          </w:hyperlink>
        </w:p>
        <w:p>
          <w:pPr>
            <w:pStyle w:val="TOC3"/>
            <w:tabs>
              <w:tab w:val="left" w:pos="1320"/>
              <w:tab w:val="right" w:leader="dot" w:pos="9016"/>
            </w:tabs>
            <w:rPr>
              <w:rFonts w:ascii="EC Square Sans Pro Light" w:eastAsiaTheme="minorEastAsia" w:hAnsi="EC Square Sans Pro Light"/>
              <w:noProof/>
              <w:lang w:eastAsia="en-GB"/>
            </w:rPr>
          </w:pPr>
          <w:hyperlink w:anchor="_Toc82165945" w:history="1">
            <w:r>
              <w:rPr>
                <w:rStyle w:val="Hyperlink"/>
                <w:rFonts w:ascii="EC Square Sans Pro Light" w:hAnsi="EC Square Sans Pro Light"/>
                <w:noProof/>
              </w:rPr>
              <w:t>4.2.3.</w:t>
            </w:r>
            <w:r>
              <w:rPr>
                <w:rFonts w:ascii="EC Square Sans Pro Light" w:eastAsiaTheme="minorEastAsia" w:hAnsi="EC Square Sans Pro Light"/>
                <w:noProof/>
                <w:lang w:eastAsia="en-GB"/>
              </w:rPr>
              <w:tab/>
            </w:r>
            <w:r>
              <w:rPr>
                <w:rStyle w:val="Hyperlink"/>
                <w:rFonts w:ascii="EC Square Sans Pro Light" w:hAnsi="EC Square Sans Pro Light"/>
                <w:noProof/>
              </w:rPr>
              <w:t>Diffusion of new meanings</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_Toc82165945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15</w:t>
            </w:r>
            <w:r>
              <w:rPr>
                <w:rFonts w:ascii="EC Square Sans Pro Light" w:hAnsi="EC Square Sans Pro Light"/>
                <w:noProof/>
                <w:webHidden/>
              </w:rPr>
              <w:fldChar w:fldCharType="end"/>
            </w:r>
          </w:hyperlink>
        </w:p>
        <w:p>
          <w:pPr>
            <w:pStyle w:val="TOC1"/>
            <w:rPr>
              <w:rFonts w:eastAsiaTheme="minorEastAsia"/>
              <w:lang w:eastAsia="en-GB"/>
            </w:rPr>
          </w:pPr>
          <w:hyperlink w:anchor="_Toc82165946" w:history="1">
            <w:r>
              <w:rPr>
                <w:rStyle w:val="Hyperlink"/>
              </w:rPr>
              <w:t>5.</w:t>
            </w:r>
            <w:r>
              <w:rPr>
                <w:rFonts w:eastAsiaTheme="minorEastAsia"/>
                <w:lang w:eastAsia="en-GB"/>
              </w:rPr>
              <w:tab/>
            </w:r>
            <w:r>
              <w:rPr>
                <w:rStyle w:val="Hyperlink"/>
              </w:rPr>
              <w:t>Next steps</w:t>
            </w:r>
            <w:r>
              <w:rPr>
                <w:webHidden/>
              </w:rPr>
              <w:tab/>
            </w:r>
            <w:r>
              <w:rPr>
                <w:webHidden/>
              </w:rPr>
              <w:fldChar w:fldCharType="begin"/>
            </w:r>
            <w:r>
              <w:rPr>
                <w:webHidden/>
              </w:rPr>
              <w:instrText xml:space="preserve"> PAGEREF _Toc82165946 \h </w:instrText>
            </w:r>
            <w:r>
              <w:rPr>
                <w:webHidden/>
              </w:rPr>
            </w:r>
            <w:r>
              <w:rPr>
                <w:webHidden/>
              </w:rPr>
              <w:fldChar w:fldCharType="separate"/>
            </w:r>
            <w:r>
              <w:rPr>
                <w:webHidden/>
              </w:rPr>
              <w:t>16</w:t>
            </w:r>
            <w:r>
              <w:rPr>
                <w:webHidden/>
              </w:rPr>
              <w:fldChar w:fldCharType="end"/>
            </w:r>
          </w:hyperlink>
        </w:p>
        <w:p>
          <w:pP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b/>
              <w:bCs/>
              <w:noProof/>
              <w:sz w:val="24"/>
              <w:szCs w:val="24"/>
            </w:rPr>
            <w:fldChar w:fldCharType="end"/>
          </w:r>
        </w:p>
      </w:sdtContent>
    </w:sdt>
    <w:p>
      <w:pPr>
        <w:pStyle w:val="Heading1"/>
        <w:numPr>
          <w:ilvl w:val="0"/>
          <w:numId w:val="0"/>
        </w:numPr>
        <w:spacing w:line="276" w:lineRule="auto"/>
        <w:ind w:left="482"/>
        <w:rPr>
          <w:rFonts w:ascii="EC Square Sans Pro Light" w:hAnsi="EC Square Sans Pro Light"/>
          <w:noProof/>
        </w:rPr>
      </w:pPr>
    </w:p>
    <w:p>
      <w:pPr>
        <w:spacing w:line="276" w:lineRule="auto"/>
        <w:jc w:val="both"/>
        <w:rPr>
          <w:rFonts w:ascii="EC Square Sans Pro Light" w:hAnsi="EC Square Sans Pro Light"/>
          <w:noProof/>
        </w:rPr>
      </w:pPr>
      <w:r>
        <w:rPr>
          <w:rFonts w:ascii="EC Square Sans Pro Light" w:hAnsi="EC Square Sans Pro Light"/>
          <w:noProof/>
        </w:rPr>
        <w:br w:type="page"/>
      </w:r>
    </w:p>
    <w:p>
      <w:pPr>
        <w:pStyle w:val="Heading1"/>
        <w:spacing w:line="276" w:lineRule="auto"/>
        <w:rPr>
          <w:rFonts w:ascii="EC Square Sans Pro Light" w:hAnsi="EC Square Sans Pro Light"/>
          <w:noProof/>
        </w:rPr>
      </w:pPr>
      <w:bookmarkStart w:id="2" w:name="_Toc82165919"/>
      <w:r>
        <w:rPr>
          <w:rFonts w:ascii="EC Square Sans Pro Light" w:hAnsi="EC Square Sans Pro Light"/>
          <w:noProof/>
        </w:rPr>
        <w:lastRenderedPageBreak/>
        <w:t>Introduction</w:t>
      </w:r>
      <w:bookmarkEnd w:id="2"/>
      <w:r>
        <w:rPr>
          <w:rFonts w:ascii="EC Square Sans Pro Light" w:hAnsi="EC Square Sans Pro Light"/>
          <w:noProof/>
        </w:rPr>
        <w:t xml:space="preserve"> </w:t>
      </w:r>
    </w:p>
    <w:p>
      <w:pPr>
        <w:rPr>
          <w:noProof/>
        </w:rPr>
      </w:pPr>
    </w:p>
    <w:p>
      <w:pPr>
        <w:spacing w:line="276" w:lineRule="auto"/>
        <w:jc w:val="both"/>
        <w:rPr>
          <w:rFonts w:ascii="EC Square Sans Pro Light" w:hAnsi="EC Square Sans Pro Light" w:cs="Times New Roman"/>
          <w:noProof/>
          <w:sz w:val="24"/>
          <w:szCs w:val="24"/>
        </w:rPr>
      </w:pPr>
      <w:r>
        <w:rPr>
          <w:rFonts w:ascii="EC Square Sans Pro Light" w:hAnsi="EC Square Sans Pro Light" w:cs="Arial"/>
          <w:noProof/>
          <w:sz w:val="24"/>
          <w:szCs w:val="24"/>
        </w:rPr>
        <w:t xml:space="preserve">The New European Bauhaus </w:t>
      </w:r>
      <w:r>
        <w:rPr>
          <w:rFonts w:ascii="EC Square Sans Pro Light" w:hAnsi="EC Square Sans Pro Light" w:cs="Times New Roman"/>
          <w:noProof/>
          <w:sz w:val="24"/>
          <w:szCs w:val="24"/>
        </w:rPr>
        <w:t xml:space="preserve">expresses the EU’s ambition of creating beautiful, sustainable, and inclusive places, products and ways of living. It promotes a new lifestyle where sustainability matches style, thus accelerating the green transition in various sectors of our economy such as construction, furniture, fashion and in our societies as well as other areas of our daily life. </w:t>
      </w:r>
    </w:p>
    <w:p>
      <w:pPr>
        <w:spacing w:line="276" w:lineRule="auto"/>
        <w:jc w:val="both"/>
        <w:rPr>
          <w:rFonts w:ascii="EC Square Sans Pro Light" w:hAnsi="EC Square Sans Pro Light" w:cs="Arial"/>
          <w:noProof/>
        </w:rPr>
      </w:pPr>
      <w:r>
        <w:rPr>
          <w:rFonts w:ascii="EC Square Sans Pro Light" w:hAnsi="EC Square Sans Pro Light" w:cs="Times New Roman"/>
          <w:noProof/>
          <w:sz w:val="24"/>
          <w:szCs w:val="24"/>
        </w:rPr>
        <w:t xml:space="preserve">The aim is to provide all citizens with access to goods that are circular and less carbon-intensive, that support the regeneration of nature and protect biodiversity. </w:t>
      </w:r>
    </w:p>
    <w:p>
      <w:pPr>
        <w:spacing w:line="276" w:lineRule="auto"/>
        <w:jc w:val="both"/>
        <w:rPr>
          <w:rFonts w:ascii="EC Square Sans Pro Light" w:hAnsi="EC Square Sans Pro Light" w:cs="Arial"/>
          <w:noProof/>
          <w:sz w:val="24"/>
          <w:szCs w:val="24"/>
        </w:rPr>
      </w:pPr>
      <w:r>
        <w:rPr>
          <w:rFonts w:ascii="EC Square Sans Pro Light" w:hAnsi="EC Square Sans Pro Light" w:cs="Arial"/>
          <w:noProof/>
          <w:sz w:val="24"/>
          <w:szCs w:val="24"/>
        </w:rPr>
        <w:t xml:space="preserve">The New European Bauhaus (NEB) is a project of hope and perspectives. It brings a cultural and creative dimension to the European Green Deal to enhance sustainable innovation, technology and economy. It brings out the benefits of the environmental transition through tangible experiences at the local level. It improves our daily life. </w:t>
      </w:r>
    </w:p>
    <w:p>
      <w:pPr>
        <w:spacing w:after="150" w:line="276" w:lineRule="auto"/>
        <w:jc w:val="both"/>
        <w:rPr>
          <w:rFonts w:ascii="EC Square Sans Pro Light" w:hAnsi="EC Square Sans Pro Light" w:cs="Arial"/>
          <w:noProof/>
          <w:sz w:val="24"/>
          <w:szCs w:val="24"/>
        </w:rPr>
      </w:pPr>
      <w:r>
        <w:rPr>
          <w:rFonts w:ascii="EC Square Sans Pro Light" w:hAnsi="EC Square Sans Pro Light" w:cs="Arial"/>
          <w:noProof/>
          <w:sz w:val="24"/>
          <w:szCs w:val="24"/>
        </w:rPr>
        <w:t xml:space="preserve">This can only happen if people from different backgrounds and areas think and work together in a participatory way. That is why the Commission started the project with a six month co-design phase where everybody could contribute with ideas, visions, examples and challenges for the New European Bauhaus.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This Communication presents the concept of the New European Bauhaus based on the findings from the co-design phase and lays out the next steps. More details on the co-design process can be found in Annex 1.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To achieve the New European Bauhaus goals, the Commission will continue to build a </w:t>
      </w:r>
      <w:r>
        <w:rPr>
          <w:rFonts w:ascii="EC Square Sans Pro Light" w:hAnsi="EC Square Sans Pro Light" w:cs="Times New Roman"/>
          <w:b/>
          <w:noProof/>
          <w:sz w:val="24"/>
          <w:szCs w:val="24"/>
        </w:rPr>
        <w:t xml:space="preserve">movement </w:t>
      </w:r>
      <w:r>
        <w:rPr>
          <w:rFonts w:ascii="EC Square Sans Pro Light" w:hAnsi="EC Square Sans Pro Light" w:cs="Times New Roman"/>
          <w:noProof/>
          <w:sz w:val="24"/>
          <w:szCs w:val="24"/>
        </w:rPr>
        <w:t xml:space="preserve">of interested people and organisations. For the implementation, the Commission </w:t>
      </w:r>
      <w:r>
        <w:rPr>
          <w:rFonts w:ascii="EC Square Sans Pro Light" w:hAnsi="EC Square Sans Pro Light" w:cs="Times New Roman"/>
          <w:b/>
          <w:noProof/>
          <w:sz w:val="24"/>
          <w:szCs w:val="24"/>
        </w:rPr>
        <w:t>combines relevant EU initiatives and proposes a set of new actions and funding possibilities</w:t>
      </w:r>
      <w:r>
        <w:rPr>
          <w:rFonts w:ascii="EC Square Sans Pro Light" w:hAnsi="EC Square Sans Pro Light" w:cs="Times New Roman"/>
          <w:noProof/>
          <w:sz w:val="24"/>
          <w:szCs w:val="24"/>
        </w:rPr>
        <w:t xml:space="preserve"> that are summarised in Chapter 5 of this Communication. They cover for example:</w:t>
      </w:r>
    </w:p>
    <w:p>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cs="Times New Roman"/>
          <w:noProof/>
          <w:szCs w:val="24"/>
        </w:rPr>
        <w:t>The creation of the NEB Lab to grow the community and prepare policy actions</w:t>
      </w:r>
    </w:p>
    <w:p>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cs="Times New Roman"/>
          <w:noProof/>
          <w:szCs w:val="24"/>
        </w:rPr>
        <w:t>Seed funding for transformative NEB projects in the EU Member States</w:t>
      </w:r>
    </w:p>
    <w:p>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cs="Times New Roman"/>
          <w:noProof/>
          <w:szCs w:val="24"/>
        </w:rPr>
        <w:t>Funding for social housing projects that follow the New European Bauhaus values</w:t>
      </w:r>
    </w:p>
    <w:p>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cs="Times New Roman"/>
          <w:noProof/>
          <w:szCs w:val="24"/>
        </w:rPr>
        <w:t>A new approach to the Commission’s own building strategy</w:t>
      </w:r>
    </w:p>
    <w:p>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cs="Times New Roman"/>
          <w:noProof/>
          <w:szCs w:val="24"/>
        </w:rPr>
        <w:t>The co-creation of green transition pathways for the construction and the textiles ecosystems</w:t>
      </w:r>
    </w:p>
    <w:p>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cs="Times New Roman"/>
          <w:noProof/>
          <w:szCs w:val="24"/>
        </w:rPr>
        <w:t>Calls for Start Ups and citizen initiatives</w:t>
      </w:r>
    </w:p>
    <w:p>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cs="Times New Roman"/>
          <w:noProof/>
          <w:szCs w:val="24"/>
        </w:rPr>
        <w:t>A yearly New European Bauhaus Festival and Prize</w:t>
      </w:r>
    </w:p>
    <w:p>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cs="Times New Roman"/>
          <w:noProof/>
          <w:szCs w:val="24"/>
        </w:rPr>
        <w:t>eTwinning and DiscoverEU 2022 on the topic of the New European Bauhaus</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Change will not happen from one day to another. The New European Bauhaus will </w:t>
      </w:r>
      <w:r>
        <w:rPr>
          <w:rFonts w:ascii="EC Square Sans Pro Light" w:hAnsi="EC Square Sans Pro Light"/>
          <w:b/>
          <w:noProof/>
          <w:sz w:val="24"/>
          <w:szCs w:val="24"/>
        </w:rPr>
        <w:t xml:space="preserve">create the space to explore and test </w:t>
      </w:r>
      <w:r>
        <w:rPr>
          <w:rFonts w:ascii="EC Square Sans Pro Light" w:hAnsi="EC Square Sans Pro Light" w:cs="Times New Roman"/>
          <w:noProof/>
          <w:sz w:val="24"/>
          <w:szCs w:val="24"/>
        </w:rPr>
        <w:t xml:space="preserve">policy, funding and other tools for designing and building a better everyday life for all generations. </w:t>
      </w:r>
    </w:p>
    <w:p>
      <w:pPr>
        <w:pStyle w:val="Heading1"/>
        <w:spacing w:line="276" w:lineRule="auto"/>
        <w:rPr>
          <w:rFonts w:ascii="EC Square Sans Pro Light" w:hAnsi="EC Square Sans Pro Light"/>
          <w:noProof/>
        </w:rPr>
      </w:pPr>
      <w:bookmarkStart w:id="3" w:name="_Toc82165920"/>
      <w:r>
        <w:rPr>
          <w:rFonts w:ascii="EC Square Sans Pro Light" w:hAnsi="EC Square Sans Pro Light"/>
          <w:noProof/>
        </w:rPr>
        <w:t>Building on co-design: A transformational project by all of us for all of us</w:t>
      </w:r>
      <w:bookmarkEnd w:id="3"/>
      <w:r>
        <w:rPr>
          <w:rFonts w:ascii="EC Square Sans Pro Light" w:hAnsi="EC Square Sans Pro Light"/>
          <w:noProof/>
        </w:rPr>
        <w:t xml:space="preserve">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As a first step of this participatory project, the Commission reached out to civil society and stakeholders as part of the co-design phase. After the announcement of the project by President Ursula von der Leyen in September 2020</w:t>
      </w:r>
      <w:r>
        <w:rPr>
          <w:rStyle w:val="FootnoteReference"/>
          <w:rFonts w:ascii="EC Square Sans Pro Light" w:hAnsi="EC Square Sans Pro Light" w:cs="Times New Roman"/>
          <w:noProof/>
          <w:sz w:val="24"/>
          <w:szCs w:val="24"/>
        </w:rPr>
        <w:footnoteReference w:id="2"/>
      </w:r>
      <w:r>
        <w:rPr>
          <w:rFonts w:ascii="EC Square Sans Pro Light" w:hAnsi="EC Square Sans Pro Light" w:cs="Times New Roman"/>
          <w:noProof/>
          <w:sz w:val="24"/>
          <w:szCs w:val="24"/>
        </w:rPr>
        <w:t xml:space="preserve">, this </w:t>
      </w:r>
      <w:r>
        <w:rPr>
          <w:rFonts w:ascii="EC Square Sans Pro Light" w:hAnsi="EC Square Sans Pro Light" w:cs="Times New Roman"/>
          <w:b/>
          <w:noProof/>
          <w:sz w:val="24"/>
          <w:szCs w:val="24"/>
        </w:rPr>
        <w:t>co-design phase</w:t>
      </w:r>
      <w:r>
        <w:rPr>
          <w:rFonts w:ascii="EC Square Sans Pro Light" w:hAnsi="EC Square Sans Pro Light" w:cs="Times New Roman"/>
          <w:noProof/>
          <w:sz w:val="24"/>
          <w:szCs w:val="24"/>
        </w:rPr>
        <w:t xml:space="preserve"> was an open invitation for anyone to say what the New European Bauhaus should be about, to share the challenges it should address and ideas and expertise on how this can be done</w:t>
      </w:r>
      <w:r>
        <w:rPr>
          <w:rStyle w:val="FootnoteReference"/>
          <w:rFonts w:ascii="EC Square Sans Pro Light" w:hAnsi="EC Square Sans Pro Light" w:cs="Times New Roman"/>
          <w:noProof/>
          <w:sz w:val="24"/>
          <w:szCs w:val="24"/>
        </w:rPr>
        <w:footnoteReference w:id="3"/>
      </w:r>
      <w:r>
        <w:rPr>
          <w:rFonts w:ascii="EC Square Sans Pro Light" w:hAnsi="EC Square Sans Pro Light" w:cs="Times New Roman"/>
          <w:noProof/>
          <w:sz w:val="24"/>
          <w:szCs w:val="24"/>
        </w:rPr>
        <w:t>. The concept of the New European Bauhaus is based on the various inputs received during this phase.</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The co-design process relied on interested people, organisations, political institutions and companies to organise events, conversations and workshops. The official </w:t>
      </w:r>
      <w:r>
        <w:rPr>
          <w:rFonts w:ascii="EC Square Sans Pro Light" w:hAnsi="EC Square Sans Pro Light" w:cs="Times New Roman"/>
          <w:b/>
          <w:noProof/>
          <w:sz w:val="24"/>
          <w:szCs w:val="24"/>
        </w:rPr>
        <w:t>Partners of the New European Bauhaus</w:t>
      </w:r>
      <w:r>
        <w:rPr>
          <w:rStyle w:val="FootnoteReference"/>
          <w:rFonts w:ascii="EC Square Sans Pro Light" w:hAnsi="EC Square Sans Pro Light" w:cs="Times New Roman"/>
          <w:b/>
          <w:noProof/>
          <w:sz w:val="24"/>
          <w:szCs w:val="24"/>
        </w:rPr>
        <w:footnoteReference w:id="4"/>
      </w:r>
      <w:r>
        <w:rPr>
          <w:rFonts w:ascii="EC Square Sans Pro Light" w:hAnsi="EC Square Sans Pro Light" w:cs="Times New Roman"/>
          <w:noProof/>
          <w:sz w:val="24"/>
          <w:szCs w:val="24"/>
        </w:rPr>
        <w:t xml:space="preserve"> have contributed to multiply the messages and activities. Eighteen thinkers and practitioners formed a </w:t>
      </w:r>
      <w:r>
        <w:rPr>
          <w:rFonts w:ascii="EC Square Sans Pro Light" w:hAnsi="EC Square Sans Pro Light" w:cs="Times New Roman"/>
          <w:b/>
          <w:noProof/>
          <w:sz w:val="24"/>
          <w:szCs w:val="24"/>
        </w:rPr>
        <w:t xml:space="preserve">New European Bauhaus high-level roundtable </w:t>
      </w:r>
      <w:r>
        <w:rPr>
          <w:rFonts w:ascii="EC Square Sans Pro Light" w:hAnsi="EC Square Sans Pro Light" w:cs="Times New Roman"/>
          <w:noProof/>
          <w:sz w:val="24"/>
          <w:szCs w:val="24"/>
        </w:rPr>
        <w:t>to act as a sounding board for the initiative and to give their input on a regular basis</w:t>
      </w:r>
      <w:r>
        <w:rPr>
          <w:rStyle w:val="FootnoteReference"/>
          <w:rFonts w:ascii="EC Square Sans Pro Light" w:hAnsi="EC Square Sans Pro Light" w:cs="Times New Roman"/>
          <w:b/>
          <w:noProof/>
          <w:sz w:val="24"/>
          <w:szCs w:val="24"/>
        </w:rPr>
        <w:footnoteReference w:id="5"/>
      </w:r>
      <w:r>
        <w:rPr>
          <w:rFonts w:ascii="EC Square Sans Pro Light" w:hAnsi="EC Square Sans Pro Light" w:cs="Times New Roman"/>
          <w:noProof/>
          <w:sz w:val="24"/>
          <w:szCs w:val="24"/>
        </w:rPr>
        <w:t xml:space="preserve">. The first ever </w:t>
      </w:r>
      <w:r>
        <w:rPr>
          <w:rFonts w:ascii="EC Square Sans Pro Light" w:hAnsi="EC Square Sans Pro Light" w:cs="Times New Roman"/>
          <w:b/>
          <w:noProof/>
          <w:sz w:val="24"/>
          <w:szCs w:val="24"/>
        </w:rPr>
        <w:t>Conference on the New European Bauhaus in April 2021</w:t>
      </w:r>
      <w:r>
        <w:rPr>
          <w:rFonts w:ascii="EC Square Sans Pro Light" w:hAnsi="EC Square Sans Pro Light" w:cs="Times New Roman"/>
          <w:noProof/>
          <w:sz w:val="24"/>
          <w:szCs w:val="24"/>
        </w:rPr>
        <w:t xml:space="preserve"> was the culmination of this global conversation, with some 8,000 online participants from around the world, highlighting the need for the movement to connect globally. </w:t>
      </w:r>
    </w:p>
    <w:p>
      <w:pPr>
        <w:spacing w:after="150" w:line="276" w:lineRule="auto"/>
        <w:jc w:val="both"/>
        <w:rPr>
          <w:rFonts w:ascii="EC Square Sans Pro Light" w:hAnsi="EC Square Sans Pro Light"/>
          <w:noProof/>
          <w:sz w:val="24"/>
        </w:rPr>
      </w:pPr>
      <w:r>
        <w:rPr>
          <w:rFonts w:ascii="EC Square Sans Pro Light" w:hAnsi="EC Square Sans Pro Light" w:cs="Times New Roman"/>
          <w:noProof/>
          <w:sz w:val="24"/>
          <w:szCs w:val="24"/>
        </w:rPr>
        <w:t>Most of the activities took place in EU countries, but there is also a growing interest in other parts of the world; whether in the close neighbourhood or in South and North America. To underline the global dimension of the project, the Commission also invited explicitly contributions from beyond the EU .</w:t>
      </w:r>
    </w:p>
    <w:p>
      <w:pPr>
        <w:spacing w:after="150" w:line="276" w:lineRule="auto"/>
        <w:jc w:val="both"/>
        <w:rPr>
          <w:rFonts w:ascii="EC Square Sans Pro Light" w:hAnsi="EC Square Sans Pro Light"/>
          <w:noProof/>
          <w:sz w:val="24"/>
        </w:rPr>
      </w:pPr>
      <w:r>
        <w:rPr>
          <w:rFonts w:ascii="EC Square Sans Pro Light" w:hAnsi="EC Square Sans Pro Light"/>
          <w:noProof/>
          <w:sz w:val="24"/>
          <w:lang w:eastAsia="en-GB"/>
        </w:rPr>
        <w:drawing>
          <wp:inline distT="0" distB="0" distL="0" distR="0">
            <wp:extent cx="6187218" cy="1911350"/>
            <wp:effectExtent l="0" t="0" r="4445" b="0"/>
            <wp:docPr id="4" name="Picture 4" descr="C:\Users\baltthi\AppData\Local\Microsoft\Windows\INetCache\Content.Outlook\THI2SZOI\Timeline_Infograph_Com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altthi\AppData\Local\Microsoft\Windows\INetCache\Content.Outlook\THI2SZOI\Timeline_Infograph_Comm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94099" cy="1913476"/>
                    </a:xfrm>
                    <a:prstGeom prst="rect">
                      <a:avLst/>
                    </a:prstGeom>
                    <a:noFill/>
                    <a:ln>
                      <a:noFill/>
                    </a:ln>
                  </pic:spPr>
                </pic:pic>
              </a:graphicData>
            </a:graphic>
          </wp:inline>
        </w:drawing>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The New European Bauhaus is growing on fertile ground, where buildings, public spaces, businesses and social practices, cultural activities and education programmes are beacons of the initiative and inspire new ideas. The first </w:t>
      </w:r>
      <w:r>
        <w:rPr>
          <w:rFonts w:ascii="EC Square Sans Pro Light" w:hAnsi="EC Square Sans Pro Light" w:cs="Times New Roman"/>
          <w:b/>
          <w:noProof/>
          <w:sz w:val="24"/>
          <w:szCs w:val="24"/>
        </w:rPr>
        <w:t>New European Bauhaus prize</w:t>
      </w:r>
      <w:r>
        <w:rPr>
          <w:rStyle w:val="FootnoteReference"/>
          <w:rFonts w:ascii="EC Square Sans Pro Light" w:hAnsi="EC Square Sans Pro Light" w:cs="Times New Roman"/>
          <w:b/>
          <w:noProof/>
          <w:sz w:val="24"/>
          <w:szCs w:val="24"/>
        </w:rPr>
        <w:footnoteReference w:id="6"/>
      </w:r>
      <w:r>
        <w:rPr>
          <w:rFonts w:ascii="EC Square Sans Pro Light" w:hAnsi="EC Square Sans Pro Light" w:cs="Times New Roman"/>
          <w:noProof/>
          <w:sz w:val="24"/>
          <w:szCs w:val="24"/>
        </w:rPr>
        <w:t xml:space="preserve"> was launched as part of the co-design phase to put the </w:t>
      </w:r>
      <w:r>
        <w:rPr>
          <w:rFonts w:ascii="EC Square Sans Pro Light" w:hAnsi="EC Square Sans Pro Light" w:cs="Times New Roman"/>
          <w:b/>
          <w:noProof/>
          <w:sz w:val="24"/>
          <w:szCs w:val="24"/>
        </w:rPr>
        <w:t>spotlight</w:t>
      </w:r>
      <w:r>
        <w:rPr>
          <w:rFonts w:ascii="EC Square Sans Pro Light" w:hAnsi="EC Square Sans Pro Light" w:cs="Times New Roman"/>
          <w:noProof/>
          <w:sz w:val="24"/>
          <w:szCs w:val="24"/>
        </w:rPr>
        <w:t xml:space="preserve"> on those inspirational examples and ideas by young talents. </w:t>
      </w:r>
    </w:p>
    <w:p>
      <w:pPr>
        <w:spacing w:after="150" w:line="276" w:lineRule="auto"/>
        <w:jc w:val="both"/>
        <w:rPr>
          <w:rFonts w:ascii="EC Square Sans Pro Light" w:hAnsi="EC Square Sans Pro Light"/>
          <w:b/>
          <w:noProof/>
          <w:sz w:val="24"/>
          <w:lang w:val="en-IE"/>
        </w:rPr>
      </w:pPr>
    </w:p>
    <w:p>
      <w:pPr>
        <w:pStyle w:val="Heading1"/>
        <w:spacing w:line="276" w:lineRule="auto"/>
        <w:rPr>
          <w:rFonts w:ascii="EC Square Sans Pro Light" w:hAnsi="EC Square Sans Pro Light"/>
          <w:noProof/>
        </w:rPr>
      </w:pPr>
      <w:bookmarkStart w:id="4" w:name="_Toc82165921"/>
      <w:r>
        <w:rPr>
          <w:rFonts w:ascii="EC Square Sans Pro Light" w:hAnsi="EC Square Sans Pro Light"/>
          <w:noProof/>
        </w:rPr>
        <w:t>The shape of the New European Bauhaus</w:t>
      </w:r>
      <w:bookmarkEnd w:id="4"/>
    </w:p>
    <w:p>
      <w:pPr>
        <w:pStyle w:val="Heading2"/>
        <w:rPr>
          <w:noProof/>
        </w:rPr>
      </w:pPr>
      <w:bookmarkStart w:id="5" w:name="_Toc82165922"/>
      <w:r>
        <w:rPr>
          <w:noProof/>
        </w:rPr>
        <w:t>From the historical movement to the New European Bauhaus</w:t>
      </w:r>
      <w:bookmarkEnd w:id="5"/>
      <w:r>
        <w:rPr>
          <w:noProof/>
        </w:rPr>
        <w:t xml:space="preserve">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Several features of the historical Bauhaus served as a basis for the vision of the New European Bauhaus.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The historical Bauhaus, created in 1919, emerged at a moment </w:t>
      </w:r>
      <w:r>
        <w:rPr>
          <w:rFonts w:ascii="EC Square Sans Pro Light" w:hAnsi="EC Square Sans Pro Light" w:cs="Times New Roman"/>
          <w:b/>
          <w:noProof/>
          <w:sz w:val="24"/>
          <w:szCs w:val="24"/>
        </w:rPr>
        <w:t>of deep transformation</w:t>
      </w:r>
      <w:r>
        <w:rPr>
          <w:rFonts w:ascii="EC Square Sans Pro Light" w:hAnsi="EC Square Sans Pro Light" w:cs="Times New Roman"/>
          <w:noProof/>
          <w:sz w:val="24"/>
          <w:szCs w:val="24"/>
        </w:rPr>
        <w:t xml:space="preserve"> – towards the modern societal and industrial era. The founders addressed this transformation in their work and searched for solutions of the new challenges. It quickly became a global cultural movement. It brought together artists, designers, architects and craftspeople. This </w:t>
      </w:r>
      <w:r>
        <w:rPr>
          <w:rFonts w:ascii="EC Square Sans Pro Light" w:hAnsi="EC Square Sans Pro Light" w:cs="Times New Roman"/>
          <w:b/>
          <w:noProof/>
          <w:sz w:val="24"/>
          <w:szCs w:val="24"/>
        </w:rPr>
        <w:t>transdisciplinary</w:t>
      </w:r>
      <w:r>
        <w:rPr>
          <w:rFonts w:ascii="EC Square Sans Pro Light" w:hAnsi="EC Square Sans Pro Light" w:cs="Times New Roman"/>
          <w:noProof/>
          <w:sz w:val="24"/>
          <w:szCs w:val="24"/>
        </w:rPr>
        <w:t xml:space="preserve"> approach is also very much needed for the challenges of our times where we are once more facing profound transformation.</w:t>
      </w:r>
    </w:p>
    <w:p>
      <w:pPr>
        <w:spacing w:after="150" w:line="276" w:lineRule="auto"/>
        <w:jc w:val="both"/>
        <w:rPr>
          <w:noProof/>
          <w:sz w:val="24"/>
          <w:szCs w:val="24"/>
        </w:rPr>
      </w:pPr>
      <w:r>
        <w:rPr>
          <w:rFonts w:ascii="EC Square Sans Pro Light" w:hAnsi="EC Square Sans Pro Light" w:cs="Times New Roman"/>
          <w:noProof/>
          <w:sz w:val="24"/>
          <w:szCs w:val="24"/>
        </w:rPr>
        <w:t xml:space="preserve">Like one hundred years ago, the question of </w:t>
      </w:r>
      <w:r>
        <w:rPr>
          <w:rFonts w:ascii="EC Square Sans Pro Light" w:hAnsi="EC Square Sans Pro Light" w:cs="Times New Roman"/>
          <w:b/>
          <w:noProof/>
          <w:sz w:val="24"/>
          <w:szCs w:val="24"/>
        </w:rPr>
        <w:t>innovative materials</w:t>
      </w:r>
      <w:r>
        <w:rPr>
          <w:rFonts w:ascii="EC Square Sans Pro Light" w:hAnsi="EC Square Sans Pro Light" w:cs="Times New Roman"/>
          <w:noProof/>
          <w:sz w:val="24"/>
          <w:szCs w:val="24"/>
        </w:rPr>
        <w:t xml:space="preserve"> remains key. While at that time, the solution was cement and steel, we now need to explore more nature-based materials that are produced sustainably, and to develop low-carbon production solutions for all materials. This goes for construction as well as for fashion, design, furniture, transport or energy. A triangle of values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A triangle of </w:t>
      </w:r>
      <w:r>
        <w:rPr>
          <w:rFonts w:ascii="EC Square Sans Pro Light" w:hAnsi="EC Square Sans Pro Light" w:cs="Times New Roman"/>
          <w:b/>
          <w:noProof/>
          <w:sz w:val="24"/>
          <w:szCs w:val="24"/>
        </w:rPr>
        <w:t xml:space="preserve">three core inseparable values </w:t>
      </w:r>
      <w:r>
        <w:rPr>
          <w:rFonts w:ascii="EC Square Sans Pro Light" w:hAnsi="EC Square Sans Pro Light" w:cs="Times New Roman"/>
          <w:noProof/>
          <w:sz w:val="24"/>
          <w:szCs w:val="24"/>
        </w:rPr>
        <w:t>guides the New European Bauhaus:</w:t>
      </w:r>
    </w:p>
    <w:p>
      <w:pPr>
        <w:pStyle w:val="ListParagraph"/>
        <w:numPr>
          <w:ilvl w:val="0"/>
          <w:numId w:val="3"/>
        </w:numPr>
        <w:spacing w:line="276" w:lineRule="auto"/>
        <w:rPr>
          <w:rFonts w:ascii="EC Square Sans Pro Light" w:hAnsi="EC Square Sans Pro Light" w:cs="Times New Roman"/>
          <w:noProof/>
          <w:szCs w:val="24"/>
        </w:rPr>
      </w:pPr>
      <w:r>
        <w:rPr>
          <w:rFonts w:ascii="EC Square Sans Pro Light" w:hAnsi="EC Square Sans Pro Light" w:cs="Times New Roman"/>
          <w:b/>
          <w:noProof/>
          <w:szCs w:val="24"/>
        </w:rPr>
        <w:t>sustainability</w:t>
      </w:r>
      <w:r>
        <w:rPr>
          <w:rStyle w:val="FootnoteReference"/>
          <w:rFonts w:ascii="EC Square Sans Pro Light" w:hAnsi="EC Square Sans Pro Light" w:cs="Times New Roman"/>
          <w:b/>
          <w:noProof/>
          <w:szCs w:val="24"/>
        </w:rPr>
        <w:footnoteReference w:id="7"/>
      </w:r>
      <w:r>
        <w:rPr>
          <w:rFonts w:ascii="EC Square Sans Pro Light" w:hAnsi="EC Square Sans Pro Light" w:cs="Times New Roman"/>
          <w:noProof/>
          <w:szCs w:val="24"/>
        </w:rPr>
        <w:t xml:space="preserve">, from climate goals, to circularity, zero pollution, and biodiversity, </w:t>
      </w:r>
    </w:p>
    <w:p>
      <w:pPr>
        <w:pStyle w:val="ListParagraph"/>
        <w:numPr>
          <w:ilvl w:val="0"/>
          <w:numId w:val="3"/>
        </w:numPr>
        <w:spacing w:after="150" w:line="276" w:lineRule="auto"/>
        <w:rPr>
          <w:rFonts w:ascii="EC Square Sans Pro Light" w:hAnsi="EC Square Sans Pro Light" w:cs="Times New Roman"/>
          <w:noProof/>
          <w:szCs w:val="24"/>
        </w:rPr>
      </w:pPr>
      <w:r>
        <w:rPr>
          <w:rFonts w:ascii="EC Square Sans Pro Light" w:hAnsi="EC Square Sans Pro Light" w:cs="Times New Roman"/>
          <w:b/>
          <w:noProof/>
          <w:szCs w:val="24"/>
        </w:rPr>
        <w:t>aesthetics</w:t>
      </w:r>
      <w:r>
        <w:rPr>
          <w:rFonts w:ascii="EC Square Sans Pro Light" w:hAnsi="EC Square Sans Pro Light" w:cs="Times New Roman"/>
          <w:noProof/>
          <w:szCs w:val="24"/>
        </w:rPr>
        <w:t xml:space="preserve">, quality of experience and style, beyond functionality, </w:t>
      </w:r>
    </w:p>
    <w:p>
      <w:pPr>
        <w:pStyle w:val="ListParagraph"/>
        <w:numPr>
          <w:ilvl w:val="0"/>
          <w:numId w:val="3"/>
        </w:numPr>
        <w:spacing w:after="150" w:line="276" w:lineRule="auto"/>
        <w:rPr>
          <w:rFonts w:ascii="EC Square Sans Pro Light" w:hAnsi="EC Square Sans Pro Light" w:cs="Times New Roman"/>
          <w:noProof/>
          <w:szCs w:val="24"/>
        </w:rPr>
      </w:pPr>
      <w:r>
        <w:rPr>
          <w:rFonts w:ascii="EC Square Sans Pro Light" w:hAnsi="EC Square Sans Pro Light" w:cs="Times New Roman"/>
          <w:b/>
          <w:noProof/>
          <w:szCs w:val="24"/>
        </w:rPr>
        <w:t>inclusion</w:t>
      </w:r>
      <w:r>
        <w:rPr>
          <w:rFonts w:ascii="EC Square Sans Pro Light" w:hAnsi="EC Square Sans Pro Light" w:cs="Times New Roman"/>
          <w:noProof/>
          <w:szCs w:val="24"/>
        </w:rPr>
        <w:t xml:space="preserve">, valorising diversity,  equality for all, accessibility and affordability </w:t>
      </w:r>
    </w:p>
    <w:p>
      <w:pPr>
        <w:spacing w:after="150" w:line="276" w:lineRule="auto"/>
        <w:jc w:val="center"/>
        <w:rPr>
          <w:rFonts w:ascii="EC Square Sans Pro Light" w:hAnsi="EC Square Sans Pro Light" w:cs="Times New Roman"/>
          <w:noProof/>
          <w:szCs w:val="24"/>
        </w:rPr>
      </w:pPr>
      <w:r>
        <w:rPr>
          <w:noProof/>
          <w:lang w:eastAsia="en-GB"/>
        </w:rPr>
        <w:drawing>
          <wp:inline distT="0" distB="0" distL="0" distR="0">
            <wp:extent cx="3107833" cy="2256006"/>
            <wp:effectExtent l="0" t="0" r="0" b="0"/>
            <wp:docPr id="5" name="Picture 5" descr="C:\Users\trousxa\AppData\Local\Microsoft\Windows\INetCache\Content.Outlook\Q4YZ79VA\triangle-01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rousxa\AppData\Local\Microsoft\Windows\INetCache\Content.Outlook\Q4YZ79VA\triangle-01 (00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21066" cy="2265612"/>
                    </a:xfrm>
                    <a:prstGeom prst="rect">
                      <a:avLst/>
                    </a:prstGeom>
                    <a:noFill/>
                    <a:ln>
                      <a:noFill/>
                    </a:ln>
                  </pic:spPr>
                </pic:pic>
              </a:graphicData>
            </a:graphic>
          </wp:inline>
        </w:drawing>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The challenge is to address all three values simultaneously to develop the creative solutions that best address people’s needs at a lower overall cost.</w:t>
      </w:r>
    </w:p>
    <w:p>
      <w:pPr>
        <w:spacing w:after="150" w:line="276" w:lineRule="auto"/>
        <w:jc w:val="both"/>
        <w:rPr>
          <w:rFonts w:ascii="EC Square Sans Pro Light" w:hAnsi="EC Square Sans Pro Light" w:cs="Times New Roman"/>
          <w:noProof/>
          <w:sz w:val="24"/>
          <w:szCs w:val="24"/>
        </w:rPr>
      </w:pPr>
    </w:p>
    <w:p>
      <w:pPr>
        <w:pStyle w:val="Heading2"/>
        <w:rPr>
          <w:noProof/>
        </w:rPr>
      </w:pPr>
      <w:bookmarkStart w:id="6" w:name="_Toc82165923"/>
      <w:r>
        <w:rPr>
          <w:noProof/>
        </w:rPr>
        <w:t>Three key principles</w:t>
      </w:r>
      <w:bookmarkEnd w:id="6"/>
      <w:r>
        <w:rPr>
          <w:noProof/>
        </w:rPr>
        <w:t xml:space="preserve"> </w:t>
      </w:r>
    </w:p>
    <w:p>
      <w:pPr>
        <w:spacing w:line="276" w:lineRule="auto"/>
        <w:jc w:val="both"/>
        <w:rPr>
          <w:rFonts w:ascii="EC Square Sans Pro Light" w:hAnsi="EC Square Sans Pro Light" w:cs="Times New Roman"/>
          <w:noProof/>
          <w:sz w:val="24"/>
          <w:szCs w:val="24"/>
        </w:rPr>
      </w:pPr>
      <w:bookmarkStart w:id="7" w:name="_Toc77939721"/>
      <w:bookmarkStart w:id="8" w:name="_Toc77946821"/>
      <w:bookmarkEnd w:id="7"/>
      <w:bookmarkEnd w:id="8"/>
      <w:r>
        <w:rPr>
          <w:rFonts w:ascii="EC Square Sans Pro Light" w:hAnsi="EC Square Sans Pro Light" w:cs="Times New Roman"/>
          <w:b/>
          <w:noProof/>
          <w:sz w:val="24"/>
          <w:szCs w:val="24"/>
        </w:rPr>
        <w:t xml:space="preserve">Three key principles, </w:t>
      </w:r>
      <w:r>
        <w:rPr>
          <w:rFonts w:ascii="EC Square Sans Pro Light" w:hAnsi="EC Square Sans Pro Light" w:cs="Times New Roman"/>
          <w:noProof/>
          <w:sz w:val="24"/>
          <w:szCs w:val="24"/>
        </w:rPr>
        <w:t>emerging from the co-creation process were taken up by the Commission and should guide the New European Bauhaus:</w:t>
      </w:r>
    </w:p>
    <w:p>
      <w:pPr>
        <w:pStyle w:val="ListParagraph"/>
        <w:numPr>
          <w:ilvl w:val="0"/>
          <w:numId w:val="42"/>
        </w:numPr>
        <w:spacing w:line="276" w:lineRule="auto"/>
        <w:rPr>
          <w:rFonts w:ascii="EC Square Sans Pro Light" w:hAnsi="EC Square Sans Pro Light" w:cs="Times New Roman"/>
          <w:noProof/>
          <w:szCs w:val="24"/>
        </w:rPr>
      </w:pPr>
      <w:r>
        <w:rPr>
          <w:rFonts w:ascii="EC Square Sans Pro Light" w:hAnsi="EC Square Sans Pro Light" w:cs="Times New Roman"/>
          <w:noProof/>
          <w:szCs w:val="24"/>
        </w:rPr>
        <w:t>Combination of global and local dimension</w:t>
      </w:r>
    </w:p>
    <w:p>
      <w:pPr>
        <w:pStyle w:val="ListParagraph"/>
        <w:numPr>
          <w:ilvl w:val="0"/>
          <w:numId w:val="42"/>
        </w:numPr>
        <w:spacing w:line="276" w:lineRule="auto"/>
        <w:rPr>
          <w:rFonts w:ascii="EC Square Sans Pro Light" w:hAnsi="EC Square Sans Pro Light" w:cs="Times New Roman"/>
          <w:noProof/>
          <w:szCs w:val="24"/>
        </w:rPr>
      </w:pPr>
      <w:r>
        <w:rPr>
          <w:rFonts w:ascii="EC Square Sans Pro Light" w:hAnsi="EC Square Sans Pro Light" w:cs="Times New Roman"/>
          <w:noProof/>
          <w:szCs w:val="24"/>
        </w:rPr>
        <w:t>Participation</w:t>
      </w:r>
    </w:p>
    <w:p>
      <w:pPr>
        <w:pStyle w:val="ListParagraph"/>
        <w:numPr>
          <w:ilvl w:val="0"/>
          <w:numId w:val="42"/>
        </w:numPr>
        <w:spacing w:line="276" w:lineRule="auto"/>
        <w:rPr>
          <w:rFonts w:ascii="EC Square Sans Pro Light" w:hAnsi="EC Square Sans Pro Light" w:cs="Times New Roman"/>
          <w:noProof/>
          <w:szCs w:val="24"/>
        </w:rPr>
      </w:pPr>
      <w:r>
        <w:rPr>
          <w:rFonts w:ascii="EC Square Sans Pro Light" w:hAnsi="EC Square Sans Pro Light" w:cs="Times New Roman"/>
          <w:noProof/>
          <w:szCs w:val="24"/>
        </w:rPr>
        <w:t>Transdisciplinarity</w:t>
      </w:r>
    </w:p>
    <w:p>
      <w:pPr>
        <w:pStyle w:val="Heading3"/>
        <w:rPr>
          <w:noProof/>
        </w:rPr>
      </w:pPr>
      <w:bookmarkStart w:id="9" w:name="_Toc82165924"/>
      <w:r>
        <w:rPr>
          <w:noProof/>
        </w:rPr>
        <w:t>A multilevel approach: from global to local</w:t>
      </w:r>
      <w:bookmarkEnd w:id="9"/>
      <w:r>
        <w:rPr>
          <w:noProof/>
        </w:rPr>
        <w:t xml:space="preserve">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The New European Bauhaus endorses </w:t>
      </w:r>
      <w:r>
        <w:rPr>
          <w:rFonts w:ascii="EC Square Sans Pro Light" w:hAnsi="EC Square Sans Pro Light"/>
          <w:b/>
          <w:noProof/>
          <w:sz w:val="24"/>
        </w:rPr>
        <w:t>a multilevel approach to transformation – from global to local</w:t>
      </w:r>
      <w:r>
        <w:rPr>
          <w:rFonts w:ascii="EC Square Sans Pro Light" w:hAnsi="EC Square Sans Pro Light" w:cs="Times New Roman"/>
          <w:noProof/>
          <w:sz w:val="24"/>
          <w:szCs w:val="24"/>
        </w:rPr>
        <w:t>. Climate change and the green transition bring challenges that should be addressed globally. At the same time, it is at the local level that change is happening and makes sense for people</w:t>
      </w:r>
      <w:r>
        <w:rPr>
          <w:rStyle w:val="FootnoteReference"/>
          <w:rFonts w:ascii="EC Square Sans Pro Light" w:hAnsi="EC Square Sans Pro Light" w:cs="Times New Roman"/>
          <w:noProof/>
          <w:sz w:val="24"/>
          <w:szCs w:val="24"/>
        </w:rPr>
        <w:footnoteReference w:id="8"/>
      </w:r>
      <w:r>
        <w:rPr>
          <w:rFonts w:ascii="EC Square Sans Pro Light" w:hAnsi="EC Square Sans Pro Light" w:cs="Times New Roman"/>
          <w:noProof/>
          <w:sz w:val="24"/>
          <w:szCs w:val="24"/>
        </w:rPr>
        <w:t>. The New European Bauhaus therefore addresses different levels of the transformation, from the global to the neighbourhoods, village and city.</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Delivering on the New European Bauhaus means reaching out to local areas, following a </w:t>
      </w:r>
      <w:r>
        <w:rPr>
          <w:rFonts w:ascii="EC Square Sans Pro Light" w:hAnsi="EC Square Sans Pro Light" w:cs="Times New Roman"/>
          <w:b/>
          <w:noProof/>
          <w:sz w:val="24"/>
          <w:szCs w:val="24"/>
        </w:rPr>
        <w:t>place-based approach</w:t>
      </w:r>
      <w:r>
        <w:rPr>
          <w:rFonts w:ascii="EC Square Sans Pro Light" w:hAnsi="EC Square Sans Pro Light" w:cs="Times New Roman"/>
          <w:noProof/>
          <w:sz w:val="24"/>
          <w:szCs w:val="24"/>
        </w:rPr>
        <w:t xml:space="preserve">. Successful small-scale projects show that transformative initiatives, no matter their size, are doable for everyone, everywhere. The New European Bauhaus will explore ways to support </w:t>
      </w:r>
      <w:r>
        <w:rPr>
          <w:rFonts w:ascii="EC Square Sans Pro Light" w:hAnsi="EC Square Sans Pro Light" w:cs="Times New Roman"/>
          <w:b/>
          <w:noProof/>
          <w:sz w:val="24"/>
          <w:szCs w:val="24"/>
        </w:rPr>
        <w:t xml:space="preserve">small-scale initiatives </w:t>
      </w:r>
      <w:r>
        <w:rPr>
          <w:rFonts w:ascii="EC Square Sans Pro Light" w:hAnsi="EC Square Sans Pro Light" w:cs="Times New Roman"/>
          <w:noProof/>
          <w:sz w:val="24"/>
          <w:szCs w:val="24"/>
        </w:rPr>
        <w:t xml:space="preserve">by individuals, </w:t>
      </w:r>
      <w:r>
        <w:rPr>
          <w:rFonts w:ascii="Arial" w:hAnsi="Arial" w:cs="Arial"/>
          <w:noProof/>
          <w:sz w:val="24"/>
          <w:szCs w:val="24"/>
        </w:rPr>
        <w:t> </w:t>
      </w:r>
      <w:r>
        <w:rPr>
          <w:rFonts w:ascii="EC Square Sans Pro Light" w:hAnsi="EC Square Sans Pro Light" w:cs="Times New Roman"/>
          <w:noProof/>
          <w:sz w:val="24"/>
          <w:szCs w:val="24"/>
        </w:rPr>
        <w:t>neighbourhoods</w:t>
      </w:r>
      <w:r>
        <w:rPr>
          <w:rFonts w:ascii="Arial" w:hAnsi="Arial" w:cs="Arial"/>
          <w:noProof/>
          <w:sz w:val="24"/>
          <w:szCs w:val="24"/>
        </w:rPr>
        <w:t> </w:t>
      </w:r>
      <w:r>
        <w:rPr>
          <w:rFonts w:ascii="EC Square Sans Pro Light" w:hAnsi="EC Square Sans Pro Light" w:cs="Times New Roman"/>
          <w:noProof/>
          <w:sz w:val="24"/>
          <w:szCs w:val="24"/>
        </w:rPr>
        <w:t>and</w:t>
      </w:r>
      <w:r>
        <w:rPr>
          <w:rFonts w:ascii="Arial" w:hAnsi="Arial" w:cs="Arial"/>
          <w:noProof/>
          <w:sz w:val="24"/>
          <w:szCs w:val="24"/>
        </w:rPr>
        <w:t> </w:t>
      </w:r>
      <w:r>
        <w:rPr>
          <w:rFonts w:ascii="EC Square Sans Pro Light" w:hAnsi="EC Square Sans Pro Light" w:cs="Times New Roman"/>
          <w:noProof/>
          <w:sz w:val="24"/>
          <w:szCs w:val="24"/>
        </w:rPr>
        <w:t xml:space="preserve">local communities.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This cannot be limited to the European Union. The New European Bauhaus will reach out further beyond European borders over time with the aim of spreading its principles of sustainability, inclusion and aesthetics globally.</w:t>
      </w:r>
    </w:p>
    <w:p>
      <w:pPr>
        <w:pStyle w:val="Heading3"/>
        <w:rPr>
          <w:noProof/>
        </w:rPr>
      </w:pPr>
      <w:r>
        <w:rPr>
          <w:noProof/>
        </w:rPr>
        <w:t xml:space="preserve"> </w:t>
      </w:r>
      <w:bookmarkStart w:id="10" w:name="_Toc82165925"/>
      <w:r>
        <w:rPr>
          <w:noProof/>
        </w:rPr>
        <w:t>A participatory approach</w:t>
      </w:r>
      <w:bookmarkEnd w:id="10"/>
      <w:r>
        <w:rPr>
          <w:noProof/>
        </w:rPr>
        <w:t xml:space="preserve"> </w:t>
      </w:r>
    </w:p>
    <w:p>
      <w:pP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The European Commission is a strong advocate of a participatory approach, as evidenced by the on-going Conference on the Future of Europe, which has the vocation to deepen and sustain engagement with citizens. The Commission will continue to listen to and work together with those on the ground and explore together where policy, funding and other tools are really making a difference. This will mainly happen in the NEB Lab. The participatory approach </w:t>
      </w:r>
      <w:r>
        <w:rPr>
          <w:rFonts w:ascii="EC Square Sans Pro Light" w:hAnsi="EC Square Sans Pro Light" w:cs="Times New Roman"/>
          <w:b/>
          <w:noProof/>
          <w:sz w:val="24"/>
          <w:szCs w:val="24"/>
        </w:rPr>
        <w:t>involves civil society and people of all ages and in all their diversity</w:t>
      </w:r>
      <w:r>
        <w:rPr>
          <w:rFonts w:ascii="EC Square Sans Pro Light" w:hAnsi="EC Square Sans Pro Light" w:cs="Times New Roman"/>
          <w:noProof/>
          <w:sz w:val="24"/>
          <w:szCs w:val="24"/>
        </w:rPr>
        <w:t>, including women (under-represented in certain key sectors) and disadvantaged groups</w:t>
      </w:r>
      <w:r>
        <w:rPr>
          <w:rStyle w:val="FootnoteReference"/>
          <w:rFonts w:ascii="EC Square Sans Pro Light" w:hAnsi="EC Square Sans Pro Light" w:cs="Times New Roman"/>
          <w:noProof/>
          <w:sz w:val="24"/>
          <w:szCs w:val="24"/>
        </w:rPr>
        <w:footnoteReference w:id="9"/>
      </w:r>
      <w:r>
        <w:rPr>
          <w:rFonts w:ascii="EC Square Sans Pro Light" w:hAnsi="EC Square Sans Pro Light" w:cs="Times New Roman"/>
          <w:noProof/>
          <w:sz w:val="24"/>
          <w:szCs w:val="24"/>
        </w:rPr>
        <w:t xml:space="preserve">. This necessary focus on inclusion aims at leaving no one behind and acknowledges that the most creative solutions are born from collective thinking. New solutions should solve everyday problems and improve the quality of life for all. </w:t>
      </w:r>
    </w:p>
    <w:p>
      <w:pPr>
        <w:pStyle w:val="Heading3"/>
        <w:rPr>
          <w:noProof/>
        </w:rPr>
      </w:pPr>
      <w:bookmarkStart w:id="11" w:name="_Toc77947610"/>
      <w:bookmarkStart w:id="12" w:name="_Toc78182491"/>
      <w:bookmarkEnd w:id="11"/>
      <w:bookmarkEnd w:id="12"/>
      <w:r>
        <w:rPr>
          <w:noProof/>
        </w:rPr>
        <w:t xml:space="preserve"> </w:t>
      </w:r>
      <w:bookmarkStart w:id="13" w:name="_Toc82165926"/>
      <w:r>
        <w:rPr>
          <w:noProof/>
        </w:rPr>
        <w:t>A transdisciplinary approach</w:t>
      </w:r>
      <w:bookmarkEnd w:id="13"/>
      <w:r>
        <w:rPr>
          <w:noProof/>
        </w:rPr>
        <w:t xml:space="preserve">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The New European Bauhaus is about bridging silos between viewpoints and professions. Culture and technology, innovation and design, engineering, craft, the arts and science working hand in hand have the power to create a better tomorrow.</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The coronavirus pandemic has demonstrated that, more than ever, integrated approaches are needed to tackle the complex problems our planet and our society face. Meaningful transformation requires bringing in many different competences and knowledge. Working and learning across disciplines facilitates a cross-fertilisation of ideas, knowledge, skills and methods. </w:t>
      </w:r>
    </w:p>
    <w:p>
      <w:pPr>
        <w:spacing w:after="150" w:line="276" w:lineRule="auto"/>
        <w:jc w:val="both"/>
        <w:rPr>
          <w:rFonts w:ascii="EC Square Sans Pro Light" w:hAnsi="EC Square Sans Pro Light"/>
          <w:noProof/>
          <w:color w:val="FF0000"/>
          <w:sz w:val="24"/>
        </w:rPr>
      </w:pPr>
    </w:p>
    <w:p>
      <w:pPr>
        <w:pStyle w:val="Heading2"/>
        <w:rPr>
          <w:noProof/>
        </w:rPr>
      </w:pPr>
      <w:bookmarkStart w:id="14" w:name="_Toc82165927"/>
      <w:r>
        <w:rPr>
          <w:noProof/>
        </w:rPr>
        <w:t>Thematic axes of the transformative path</w:t>
      </w:r>
      <w:bookmarkEnd w:id="14"/>
    </w:p>
    <w:p>
      <w:pPr>
        <w:spacing w:after="150" w:line="276" w:lineRule="auto"/>
        <w:jc w:val="both"/>
        <w:rPr>
          <w:rFonts w:ascii="EC Square Sans Pro Light" w:eastAsiaTheme="majorEastAsia" w:hAnsi="EC Square Sans Pro Light" w:cs="Times New Roman"/>
          <w:b/>
          <w:noProof/>
          <w:sz w:val="24"/>
          <w:szCs w:val="24"/>
          <w:lang w:val="en-IE"/>
        </w:rPr>
      </w:pPr>
      <w:r>
        <w:rPr>
          <w:rFonts w:ascii="EC Square Sans Pro Light" w:hAnsi="EC Square Sans Pro Light" w:cs="Times New Roman"/>
          <w:noProof/>
          <w:sz w:val="24"/>
          <w:szCs w:val="24"/>
        </w:rPr>
        <w:t>Creating a movement means working with people and their interests, needs and motivations. The analysis of the input received during the co-design phase identified four thematic axes that the Commission decided to follow during the implementation of the New European Bauhaus.</w:t>
      </w:r>
      <w:r>
        <w:rPr>
          <w:rFonts w:ascii="EC Square Sans Pro Light" w:eastAsiaTheme="majorEastAsia" w:hAnsi="EC Square Sans Pro Light" w:cs="Times New Roman"/>
          <w:b/>
          <w:noProof/>
          <w:sz w:val="24"/>
          <w:szCs w:val="24"/>
          <w:lang w:val="en-IE"/>
        </w:rPr>
        <w:t xml:space="preserve"> </w:t>
      </w:r>
    </w:p>
    <w:p>
      <w:pPr>
        <w:spacing w:after="150" w:line="276" w:lineRule="auto"/>
        <w:jc w:val="both"/>
        <w:rPr>
          <w:rFonts w:ascii="EC Square Sans Pro Light" w:eastAsiaTheme="majorEastAsia" w:hAnsi="EC Square Sans Pro Light" w:cs="Times New Roman"/>
          <w:b/>
          <w:noProof/>
          <w:sz w:val="24"/>
          <w:szCs w:val="24"/>
          <w:lang w:val="en-IE"/>
        </w:rPr>
      </w:pPr>
      <w:r>
        <w:rPr>
          <w:rFonts w:ascii="EC Square Sans Pro Light" w:eastAsiaTheme="majorEastAsia" w:hAnsi="EC Square Sans Pro Light" w:cs="Times New Roman"/>
          <w:b/>
          <w:noProof/>
          <w:sz w:val="24"/>
          <w:szCs w:val="24"/>
          <w:lang w:eastAsia="en-GB"/>
        </w:rPr>
        <w:drawing>
          <wp:inline distT="0" distB="0" distL="0" distR="0">
            <wp:extent cx="5731510" cy="1503680"/>
            <wp:effectExtent l="0" t="0" r="254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1503680"/>
                    </a:xfrm>
                    <a:prstGeom prst="rect">
                      <a:avLst/>
                    </a:prstGeom>
                  </pic:spPr>
                </pic:pic>
              </a:graphicData>
            </a:graphic>
          </wp:inline>
        </w:drawing>
      </w:r>
    </w:p>
    <w:p>
      <w:pPr>
        <w:spacing w:after="150" w:line="276" w:lineRule="auto"/>
        <w:jc w:val="both"/>
        <w:rPr>
          <w:rFonts w:ascii="EC Square Sans Pro Light" w:eastAsiaTheme="majorEastAsia" w:hAnsi="EC Square Sans Pro Light" w:cs="Times New Roman"/>
          <w:b/>
          <w:noProof/>
          <w:sz w:val="24"/>
          <w:szCs w:val="24"/>
          <w:lang w:val="en-IE"/>
        </w:rPr>
      </w:pPr>
    </w:p>
    <w:p>
      <w:pPr>
        <w:pStyle w:val="Heading3"/>
        <w:rPr>
          <w:noProof/>
        </w:rPr>
      </w:pPr>
      <w:bookmarkStart w:id="15" w:name="_Toc82165928"/>
      <w:bookmarkStart w:id="16" w:name="_Toc82165929"/>
      <w:bookmarkEnd w:id="15"/>
      <w:r>
        <w:rPr>
          <w:noProof/>
        </w:rPr>
        <w:t>Reconnecting with nature</w:t>
      </w:r>
      <w:bookmarkEnd w:id="16"/>
    </w:p>
    <w:p>
      <w:pPr>
        <w:spacing w:line="276" w:lineRule="auto"/>
        <w:jc w:val="both"/>
        <w:rPr>
          <w:rFonts w:ascii="EC Square Sans Pro Light" w:hAnsi="EC Square Sans Pro Light" w:cs="Times New Roman"/>
          <w:noProof/>
          <w:sz w:val="24"/>
          <w:szCs w:val="24"/>
          <w:lang w:val="en-IE"/>
        </w:rPr>
      </w:pPr>
      <w:r>
        <w:rPr>
          <w:rFonts w:ascii="EC Square Sans Pro Light" w:hAnsi="EC Square Sans Pro Light" w:cs="Times New Roman"/>
          <w:noProof/>
          <w:sz w:val="24"/>
          <w:szCs w:val="24"/>
          <w:lang w:val="en-IE"/>
        </w:rPr>
        <w:t xml:space="preserve">Contributions have pointed out to more awareness and more willingness to address climate change (mitigation and adaptation) and to reduce exposure to pollution. </w:t>
      </w:r>
    </w:p>
    <w:p>
      <w:pPr>
        <w:spacing w:line="276" w:lineRule="auto"/>
        <w:jc w:val="both"/>
        <w:rPr>
          <w:rFonts w:ascii="EC Square Sans Pro Light" w:hAnsi="EC Square Sans Pro Light" w:cs="Times New Roman"/>
          <w:noProof/>
          <w:sz w:val="24"/>
          <w:szCs w:val="24"/>
          <w:lang w:val="en-IE"/>
        </w:rPr>
      </w:pPr>
      <w:r>
        <w:rPr>
          <w:rFonts w:ascii="EC Square Sans Pro Light" w:hAnsi="EC Square Sans Pro Light" w:cs="Times New Roman"/>
          <w:noProof/>
          <w:sz w:val="24"/>
          <w:szCs w:val="24"/>
          <w:lang w:val="en-IE"/>
        </w:rPr>
        <w:t>What people feel as a need to reconnect with nature, including for health and well-being, is supported by research: greater opportunities for contact with green public spaces translate into better health indices for the population and reduce income-related health inequalities</w:t>
      </w:r>
      <w:r>
        <w:rPr>
          <w:rFonts w:ascii="EC Square Sans Pro Light" w:hAnsi="EC Square Sans Pro Light"/>
          <w:noProof/>
          <w:sz w:val="24"/>
          <w:vertAlign w:val="superscript"/>
          <w:lang w:val="en-IE"/>
        </w:rPr>
        <w:footnoteReference w:id="10"/>
      </w:r>
      <w:r>
        <w:rPr>
          <w:rFonts w:ascii="EC Square Sans Pro Light" w:hAnsi="EC Square Sans Pro Light" w:cs="Times New Roman"/>
          <w:noProof/>
          <w:sz w:val="24"/>
          <w:szCs w:val="24"/>
          <w:lang w:val="en-IE"/>
        </w:rPr>
        <w:t xml:space="preserve">. Nature-based solutions in cities can help addressing floods and other extreme weather events while making the built environment more attractive. </w:t>
      </w:r>
    </w:p>
    <w:p>
      <w:pPr>
        <w:spacing w:line="276" w:lineRule="auto"/>
        <w:jc w:val="both"/>
        <w:rPr>
          <w:rFonts w:ascii="EC Square Sans Pro Light" w:hAnsi="EC Square Sans Pro Light" w:cs="Times New Roman"/>
          <w:noProof/>
          <w:sz w:val="24"/>
          <w:szCs w:val="24"/>
          <w:lang w:val="en-IE"/>
        </w:rPr>
      </w:pPr>
      <w:r>
        <w:rPr>
          <w:rFonts w:ascii="EC Square Sans Pro Light" w:hAnsi="EC Square Sans Pro Light" w:cs="Times New Roman"/>
          <w:noProof/>
          <w:sz w:val="24"/>
          <w:szCs w:val="24"/>
          <w:lang w:val="en-IE"/>
        </w:rPr>
        <w:t>Climate action is no longer seen as an abstract fight, but as an integral part of our daily lives that can improve air, water and soil quality and overall living conditions. This experience has been reinforced during the pandemic where our living spaces got limited and where people rediscovered their cities, villages, green spaces. The pandemic underlined the direct link between nature protection and physical and mental health for all of us.</w:t>
      </w:r>
    </w:p>
    <w:p>
      <w:pPr>
        <w:spacing w:line="276" w:lineRule="auto"/>
        <w:jc w:val="both"/>
        <w:rPr>
          <w:rFonts w:ascii="EC Square Sans Pro Light" w:hAnsi="EC Square Sans Pro Light" w:cs="Times New Roman"/>
          <w:noProof/>
          <w:sz w:val="24"/>
          <w:szCs w:val="24"/>
          <w:lang w:val="en-IE"/>
        </w:rPr>
      </w:pPr>
      <w:r>
        <w:rPr>
          <w:rFonts w:ascii="EC Square Sans Pro Light" w:hAnsi="EC Square Sans Pro Light" w:cs="Times New Roman"/>
          <w:noProof/>
          <w:sz w:val="24"/>
          <w:szCs w:val="24"/>
        </w:rPr>
        <w:t>There is a</w:t>
      </w:r>
      <w:r>
        <w:rPr>
          <w:rFonts w:ascii="EC Square Sans Pro Light" w:hAnsi="EC Square Sans Pro Light" w:cs="Times New Roman"/>
          <w:noProof/>
          <w:sz w:val="24"/>
          <w:szCs w:val="24"/>
          <w:lang w:val="en-IE"/>
        </w:rPr>
        <w:t xml:space="preserve"> need to go beyond a human-centred to a </w:t>
      </w:r>
      <w:r>
        <w:rPr>
          <w:rFonts w:ascii="EC Square Sans Pro Light" w:hAnsi="EC Square Sans Pro Light" w:cs="Times New Roman"/>
          <w:b/>
          <w:noProof/>
          <w:sz w:val="24"/>
          <w:szCs w:val="24"/>
          <w:lang w:val="en-IE"/>
        </w:rPr>
        <w:t>life-centred perspective</w:t>
      </w:r>
      <w:r>
        <w:rPr>
          <w:rFonts w:ascii="EC Square Sans Pro Light" w:hAnsi="EC Square Sans Pro Light" w:cs="Times New Roman"/>
          <w:noProof/>
          <w:sz w:val="24"/>
          <w:szCs w:val="24"/>
          <w:lang w:val="en-IE"/>
        </w:rPr>
        <w:t xml:space="preserve">, getting inspired by nature and learning from it. The ways are manifold: from making cities greener and using </w:t>
      </w:r>
      <w:r>
        <w:rPr>
          <w:rFonts w:ascii="EC Square Sans Pro Light" w:hAnsi="EC Square Sans Pro Light" w:cs="Times New Roman"/>
          <w:noProof/>
          <w:sz w:val="24"/>
          <w:szCs w:val="24"/>
        </w:rPr>
        <w:t xml:space="preserve">sustainably sourced </w:t>
      </w:r>
      <w:r>
        <w:rPr>
          <w:rFonts w:ascii="EC Square Sans Pro Light" w:hAnsi="EC Square Sans Pro Light" w:cs="Times New Roman"/>
          <w:noProof/>
          <w:sz w:val="24"/>
          <w:szCs w:val="24"/>
          <w:lang w:val="en-IE"/>
        </w:rPr>
        <w:t>nature-based materials to innovative solutions based on “mimicking” elements found in nature; from taking care of the soil to re-using or recycling waste; from building urban green corridors for active mobility to rethinking transport infrastructure.</w:t>
      </w:r>
    </w:p>
    <w:p>
      <w:pP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lang w:val="en-IE"/>
        </w:rPr>
        <w:t xml:space="preserve">The reconnection to nature starts at a young age. Millions of young people have called for more action for a better planet and woken up our environmental consciousness. The contributions of the co-design phase  highlight the crucial role </w:t>
      </w:r>
      <w:r>
        <w:rPr>
          <w:rFonts w:ascii="EC Square Sans Pro Light" w:hAnsi="EC Square Sans Pro Light"/>
          <w:b/>
          <w:noProof/>
          <w:sz w:val="24"/>
          <w:lang w:val="en-IE"/>
        </w:rPr>
        <w:t xml:space="preserve">education and culture play  in the shift of paradigm </w:t>
      </w:r>
      <w:r>
        <w:rPr>
          <w:rFonts w:ascii="EC Square Sans Pro Light" w:hAnsi="EC Square Sans Pro Light" w:cs="Times New Roman"/>
          <w:b/>
          <w:noProof/>
          <w:sz w:val="24"/>
          <w:szCs w:val="24"/>
          <w:lang w:val="en-IE"/>
        </w:rPr>
        <w:t>towards</w:t>
      </w:r>
      <w:r>
        <w:rPr>
          <w:rFonts w:ascii="EC Square Sans Pro Light" w:hAnsi="EC Square Sans Pro Light"/>
          <w:b/>
          <w:noProof/>
          <w:sz w:val="24"/>
          <w:lang w:val="en-IE"/>
        </w:rPr>
        <w:t xml:space="preserve"> new behaviour and values</w:t>
      </w:r>
      <w:r>
        <w:rPr>
          <w:rFonts w:ascii="EC Square Sans Pro Light" w:hAnsi="EC Square Sans Pro Light" w:cs="Times New Roman"/>
          <w:noProof/>
          <w:sz w:val="24"/>
          <w:szCs w:val="24"/>
          <w:lang w:val="en-IE"/>
        </w:rPr>
        <w:t>. Educating and empowering children and young people in a participatory way to understand, experience and embrace sustainability and inclusion will create strong connections to nature for the future generations.</w:t>
      </w:r>
      <w:r>
        <w:rPr>
          <w:rFonts w:ascii="EC Square Sans Pro Light" w:hAnsi="EC Square Sans Pro Light" w:cs="Times New Roman"/>
          <w:noProof/>
          <w:sz w:val="24"/>
          <w:szCs w:val="24"/>
        </w:rPr>
        <w:t xml:space="preserve"> </w:t>
      </w:r>
    </w:p>
    <w:p>
      <w:pPr>
        <w:spacing w:line="276" w:lineRule="auto"/>
        <w:jc w:val="both"/>
        <w:rPr>
          <w:rFonts w:ascii="EC Square Sans Pro Light" w:hAnsi="EC Square Sans Pro Light" w:cs="Times New Roman"/>
          <w:noProof/>
          <w:sz w:val="24"/>
          <w:szCs w:val="24"/>
          <w:lang w:val="en-IE"/>
        </w:rPr>
      </w:pPr>
      <w:r>
        <w:rPr>
          <w:rFonts w:ascii="EC Square Sans Pro Light" w:hAnsi="EC Square Sans Pro Light" w:cs="Times New Roman"/>
          <w:noProof/>
          <w:sz w:val="24"/>
          <w:szCs w:val="24"/>
          <w:lang w:eastAsia="en-GB"/>
        </w:rPr>
        <w:drawing>
          <wp:inline distT="0" distB="0" distL="0" distR="0">
            <wp:extent cx="5731510" cy="1536065"/>
            <wp:effectExtent l="0" t="0" r="254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eader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1536065"/>
                    </a:xfrm>
                    <a:prstGeom prst="rect">
                      <a:avLst/>
                    </a:prstGeom>
                  </pic:spPr>
                </pic:pic>
              </a:graphicData>
            </a:graphic>
          </wp:inline>
        </w:drawing>
      </w:r>
    </w:p>
    <w:p>
      <w:pPr>
        <w:pStyle w:val="Heading3"/>
        <w:rPr>
          <w:noProof/>
        </w:rPr>
      </w:pPr>
      <w:bookmarkStart w:id="17" w:name="_Toc82165930"/>
      <w:bookmarkStart w:id="18" w:name="_Toc82165931"/>
      <w:bookmarkEnd w:id="17"/>
      <w:r>
        <w:rPr>
          <w:noProof/>
        </w:rPr>
        <w:t>Regaining a sense of belonging</w:t>
      </w:r>
      <w:bookmarkEnd w:id="18"/>
    </w:p>
    <w:p>
      <w:pPr>
        <w:spacing w:line="276" w:lineRule="auto"/>
        <w:jc w:val="both"/>
        <w:rPr>
          <w:rFonts w:ascii="EC Square Sans Pro Light" w:hAnsi="EC Square Sans Pro Light" w:cs="Times New Roman"/>
          <w:noProof/>
          <w:sz w:val="24"/>
          <w:szCs w:val="24"/>
          <w:lang w:val="en-IE"/>
        </w:rPr>
      </w:pPr>
      <w:r>
        <w:rPr>
          <w:rFonts w:ascii="EC Square Sans Pro Light" w:hAnsi="EC Square Sans Pro Light" w:cs="Times New Roman"/>
          <w:noProof/>
          <w:sz w:val="24"/>
          <w:szCs w:val="24"/>
          <w:lang w:val="en-IE"/>
        </w:rPr>
        <w:t xml:space="preserve">The New European Bauhaus movement is about our collective and private experiences. Building bridges between people is a strong aspiration expressed by contributors. </w:t>
      </w:r>
    </w:p>
    <w:p>
      <w:pPr>
        <w:spacing w:line="276" w:lineRule="auto"/>
        <w:jc w:val="both"/>
        <w:rPr>
          <w:rFonts w:ascii="EC Square Sans Pro Light" w:hAnsi="EC Square Sans Pro Light"/>
          <w:noProof/>
          <w:sz w:val="24"/>
          <w:highlight w:val="yellow"/>
          <w:lang w:val="en-IE"/>
        </w:rPr>
      </w:pPr>
      <w:r>
        <w:rPr>
          <w:rFonts w:ascii="EC Square Sans Pro Light" w:hAnsi="EC Square Sans Pro Light" w:cs="Times New Roman"/>
          <w:noProof/>
          <w:sz w:val="24"/>
          <w:szCs w:val="24"/>
          <w:lang w:val="en-IE"/>
        </w:rPr>
        <w:t>It implies encouraging intergenerational solidarity,  developing links between education and the arts in local environments, improving our common spaces and places to meet. The proximity economy, with concepts like the “15 minute cities”</w:t>
      </w:r>
      <w:r>
        <w:rPr>
          <w:rStyle w:val="FootnoteReference"/>
          <w:rFonts w:ascii="EC Square Sans Pro Light" w:hAnsi="EC Square Sans Pro Light" w:cs="Times New Roman"/>
          <w:noProof/>
          <w:sz w:val="24"/>
          <w:szCs w:val="24"/>
          <w:lang w:val="en-IE"/>
        </w:rPr>
        <w:footnoteReference w:id="11"/>
      </w:r>
      <w:r>
        <w:rPr>
          <w:rFonts w:ascii="EC Square Sans Pro Light" w:hAnsi="EC Square Sans Pro Light" w:cs="Times New Roman"/>
          <w:noProof/>
          <w:sz w:val="24"/>
          <w:szCs w:val="24"/>
          <w:lang w:val="en-IE"/>
        </w:rPr>
        <w:t xml:space="preserve"> for citizens to access key services and amenities within walking distance, is also a way to strengthen connections and foster healthy, sustainable, active mobility. </w:t>
      </w:r>
    </w:p>
    <w:p>
      <w:pP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lang w:val="en-IE"/>
        </w:rPr>
        <w:t>Cultural assets (heritage, arts, local craft, know how, etc.), natural assets (landscapes, natural resources, etc.) as well as social assets (social economy enterprises, local organisations and associations etc.) make a place unique. Cultural life, arts events, concerts are opportunities for connection and social interaction, the binding element that creates a sense of belonging.</w:t>
      </w:r>
      <w:r>
        <w:rPr>
          <w:rFonts w:ascii="EC Square Sans Pro Light" w:hAnsi="EC Square Sans Pro Light" w:cs="Times New Roman"/>
          <w:noProof/>
          <w:sz w:val="24"/>
          <w:szCs w:val="24"/>
        </w:rPr>
        <w:t xml:space="preserve"> </w:t>
      </w:r>
    </w:p>
    <w:p>
      <w:pP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lang w:eastAsia="en-GB"/>
        </w:rPr>
        <w:drawing>
          <wp:inline distT="0" distB="0" distL="0" distR="0">
            <wp:extent cx="5731510" cy="1478915"/>
            <wp:effectExtent l="0" t="0" r="254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eader3.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1478915"/>
                    </a:xfrm>
                    <a:prstGeom prst="rect">
                      <a:avLst/>
                    </a:prstGeom>
                  </pic:spPr>
                </pic:pic>
              </a:graphicData>
            </a:graphic>
          </wp:inline>
        </w:drawing>
      </w:r>
    </w:p>
    <w:p>
      <w:pPr>
        <w:pStyle w:val="Heading3"/>
        <w:rPr>
          <w:noProof/>
        </w:rPr>
      </w:pPr>
      <w:bookmarkStart w:id="19" w:name="_Toc82165932"/>
      <w:bookmarkStart w:id="20" w:name="_Toc82165933"/>
      <w:bookmarkEnd w:id="19"/>
      <w:r>
        <w:rPr>
          <w:noProof/>
        </w:rPr>
        <w:t>Prioritising the places and people that need it the most</w:t>
      </w:r>
      <w:bookmarkEnd w:id="20"/>
      <w:r>
        <w:rPr>
          <w:noProof/>
        </w:rPr>
        <w:t xml:space="preserve"> </w:t>
      </w:r>
    </w:p>
    <w:p>
      <w:pPr>
        <w:spacing w:after="150" w:line="276" w:lineRule="auto"/>
        <w:jc w:val="both"/>
        <w:rPr>
          <w:rFonts w:ascii="EC Square Sans Pro Light" w:hAnsi="EC Square Sans Pro Light" w:cs="Times New Roman"/>
          <w:noProof/>
          <w:sz w:val="24"/>
          <w:szCs w:val="24"/>
          <w:lang w:val="en-IE"/>
        </w:rPr>
      </w:pPr>
      <w:r>
        <w:rPr>
          <w:rFonts w:ascii="EC Square Sans Pro Light" w:hAnsi="EC Square Sans Pro Light" w:cs="Times New Roman"/>
          <w:noProof/>
          <w:sz w:val="24"/>
          <w:szCs w:val="24"/>
          <w:lang w:val="en-IE"/>
        </w:rPr>
        <w:t xml:space="preserve">The co-design phase showed that the New European Bauhaus must be inclusive. This does not relate only to people but also to the places where they live. </w:t>
      </w:r>
    </w:p>
    <w:p>
      <w:pPr>
        <w:spacing w:after="150" w:line="276" w:lineRule="auto"/>
        <w:jc w:val="both"/>
        <w:rPr>
          <w:rFonts w:ascii="EC Square Sans Pro Light" w:hAnsi="EC Square Sans Pro Light" w:cs="Times New Roman"/>
          <w:noProof/>
          <w:sz w:val="24"/>
          <w:szCs w:val="24"/>
          <w:lang w:val="en-IE"/>
        </w:rPr>
      </w:pPr>
      <w:r>
        <w:rPr>
          <w:rFonts w:ascii="EC Square Sans Pro Light" w:hAnsi="EC Square Sans Pro Light" w:cs="Times New Roman"/>
          <w:noProof/>
          <w:sz w:val="24"/>
          <w:szCs w:val="24"/>
          <w:lang w:val="en-IE"/>
        </w:rPr>
        <w:t xml:space="preserve">Beautiful and sustainable solutions have to </w:t>
      </w:r>
      <w:r>
        <w:rPr>
          <w:rFonts w:ascii="EC Square Sans Pro Light" w:hAnsi="EC Square Sans Pro Light" w:cs="Times New Roman"/>
          <w:b/>
          <w:noProof/>
          <w:sz w:val="24"/>
          <w:szCs w:val="24"/>
          <w:lang w:val="en-IE"/>
        </w:rPr>
        <w:t>be affordable and accessible for all</w:t>
      </w:r>
      <w:r>
        <w:rPr>
          <w:rFonts w:ascii="EC Square Sans Pro Light" w:hAnsi="EC Square Sans Pro Light" w:cs="Times New Roman"/>
          <w:noProof/>
          <w:sz w:val="24"/>
          <w:szCs w:val="24"/>
          <w:lang w:val="en-IE"/>
        </w:rPr>
        <w:t>. Due consideration should be given to the specific situation of  groups and individuals who are  the most vulnerable, for instance, at risk of exclusion or poverty or experiencing homelessness. For example, 800 000 social housing units (5% of the total social housing stock) require renovation per year, and 450 000 new social homes are needed annually in the EU</w:t>
      </w:r>
      <w:r>
        <w:rPr>
          <w:rStyle w:val="FootnoteReference"/>
          <w:rFonts w:ascii="EC Square Sans Pro Light" w:hAnsi="EC Square Sans Pro Light" w:cs="Times New Roman"/>
          <w:noProof/>
          <w:sz w:val="24"/>
          <w:szCs w:val="24"/>
          <w:lang w:val="en-IE"/>
        </w:rPr>
        <w:footnoteReference w:id="12"/>
      </w:r>
      <w:r>
        <w:rPr>
          <w:rFonts w:ascii="EC Square Sans Pro Light" w:hAnsi="EC Square Sans Pro Light" w:cs="Times New Roman"/>
          <w:noProof/>
          <w:sz w:val="24"/>
          <w:szCs w:val="24"/>
          <w:lang w:val="en-IE"/>
        </w:rPr>
        <w:t>. Disadvantaged groups</w:t>
      </w:r>
      <w:r>
        <w:rPr>
          <w:rFonts w:ascii="EC Square Sans Pro Light" w:hAnsi="EC Square Sans Pro Light" w:cs="Times New Roman"/>
          <w:noProof/>
          <w:sz w:val="24"/>
          <w:szCs w:val="24"/>
        </w:rPr>
        <w:t xml:space="preserve"> </w:t>
      </w:r>
      <w:r>
        <w:rPr>
          <w:rFonts w:ascii="EC Square Sans Pro Light" w:hAnsi="EC Square Sans Pro Light" w:cs="Times New Roman"/>
          <w:noProof/>
          <w:sz w:val="24"/>
          <w:szCs w:val="24"/>
          <w:lang w:val="en-IE"/>
        </w:rPr>
        <w:t xml:space="preserve">are at greater risk of energy poverty and air pollution and have less access to public transport. </w:t>
      </w:r>
    </w:p>
    <w:p>
      <w:pPr>
        <w:spacing w:after="150" w:line="276" w:lineRule="auto"/>
        <w:jc w:val="both"/>
        <w:rPr>
          <w:rFonts w:ascii="EC Square Sans Pro Light" w:hAnsi="EC Square Sans Pro Light" w:cs="Times New Roman"/>
          <w:noProof/>
          <w:sz w:val="24"/>
          <w:szCs w:val="24"/>
          <w:lang w:val="en-IE"/>
        </w:rPr>
      </w:pPr>
      <w:r>
        <w:rPr>
          <w:rFonts w:ascii="EC Square Sans Pro Light" w:hAnsi="EC Square Sans Pro Light" w:cs="Times New Roman"/>
          <w:noProof/>
          <w:sz w:val="24"/>
          <w:szCs w:val="24"/>
          <w:lang w:val="en-IE"/>
        </w:rPr>
        <w:t xml:space="preserve">Inclusion also implies pursuing a </w:t>
      </w:r>
      <w:r>
        <w:rPr>
          <w:rFonts w:ascii="EC Square Sans Pro Light" w:hAnsi="EC Square Sans Pro Light" w:cs="Times New Roman"/>
          <w:b/>
          <w:noProof/>
          <w:sz w:val="24"/>
          <w:szCs w:val="24"/>
          <w:lang w:val="en-IE"/>
        </w:rPr>
        <w:t xml:space="preserve">Design for All approach </w:t>
      </w:r>
      <w:r>
        <w:rPr>
          <w:rFonts w:ascii="EC Square Sans Pro Light" w:hAnsi="EC Square Sans Pro Light" w:cs="Times New Roman"/>
          <w:noProof/>
          <w:sz w:val="24"/>
          <w:szCs w:val="24"/>
          <w:lang w:val="en-IE"/>
        </w:rPr>
        <w:t>to remove accessibility barriers to the built and virtual environments and to goods and services.</w:t>
      </w:r>
    </w:p>
    <w:p>
      <w:pPr>
        <w:spacing w:after="150" w:line="276" w:lineRule="auto"/>
        <w:jc w:val="both"/>
        <w:rPr>
          <w:rFonts w:ascii="EC Square Sans Pro Light" w:hAnsi="EC Square Sans Pro Light" w:cs="Times New Roman"/>
          <w:noProof/>
          <w:sz w:val="24"/>
          <w:szCs w:val="24"/>
          <w:lang w:val="en-IE"/>
        </w:rPr>
      </w:pPr>
      <w:r>
        <w:rPr>
          <w:rFonts w:ascii="EC Square Sans Pro Light" w:hAnsi="EC Square Sans Pro Light" w:cs="Times New Roman"/>
          <w:noProof/>
          <w:sz w:val="24"/>
          <w:szCs w:val="24"/>
        </w:rPr>
        <w:t>The New European Bauhaus clearly goes beyond large city centres and</w:t>
      </w:r>
      <w:r>
        <w:rPr>
          <w:rFonts w:ascii="EC Square Sans Pro Light" w:hAnsi="EC Square Sans Pro Light"/>
          <w:noProof/>
          <w:sz w:val="24"/>
        </w:rPr>
        <w:t xml:space="preserve"> </w:t>
      </w:r>
      <w:r>
        <w:rPr>
          <w:rFonts w:ascii="EC Square Sans Pro Light" w:hAnsi="EC Square Sans Pro Light" w:cs="Times New Roman"/>
          <w:noProof/>
          <w:sz w:val="24"/>
          <w:szCs w:val="24"/>
        </w:rPr>
        <w:t>encompasses</w:t>
      </w:r>
      <w:r>
        <w:rPr>
          <w:rFonts w:ascii="EC Square Sans Pro Light" w:hAnsi="EC Square Sans Pro Light"/>
          <w:noProof/>
          <w:sz w:val="24"/>
        </w:rPr>
        <w:t xml:space="preserve"> places </w:t>
      </w:r>
      <w:r>
        <w:rPr>
          <w:rFonts w:ascii="EC Square Sans Pro Light" w:hAnsi="EC Square Sans Pro Light" w:cs="Times New Roman"/>
          <w:noProof/>
          <w:sz w:val="24"/>
          <w:szCs w:val="24"/>
        </w:rPr>
        <w:t>in all their diversity, including small villages, rural areas, shrinking cities, degenerated city districts and de-industrialised areas.</w:t>
      </w:r>
      <w:r>
        <w:rPr>
          <w:rFonts w:ascii="EC Square Sans Pro Light" w:hAnsi="EC Square Sans Pro Light" w:cs="Times New Roman"/>
          <w:noProof/>
          <w:sz w:val="24"/>
          <w:szCs w:val="24"/>
          <w:lang w:val="en-IE"/>
        </w:rPr>
        <w:t xml:space="preserve"> This calls for territorial development </w:t>
      </w:r>
      <w:r>
        <w:rPr>
          <w:rFonts w:ascii="EC Square Sans Pro Light" w:hAnsi="EC Square Sans Pro Light" w:cs="Times New Roman"/>
          <w:b/>
          <w:noProof/>
          <w:sz w:val="24"/>
          <w:szCs w:val="24"/>
          <w:lang w:val="en-IE"/>
        </w:rPr>
        <w:t>avoiding spatial segregation</w:t>
      </w:r>
      <w:r>
        <w:rPr>
          <w:rFonts w:ascii="EC Square Sans Pro Light" w:hAnsi="EC Square Sans Pro Light" w:cs="Times New Roman"/>
          <w:noProof/>
          <w:sz w:val="24"/>
          <w:szCs w:val="24"/>
          <w:lang w:val="en-IE"/>
        </w:rPr>
        <w:t xml:space="preserve"> of social groups to create </w:t>
      </w:r>
      <w:r>
        <w:rPr>
          <w:rFonts w:ascii="EC Square Sans Pro Light" w:hAnsi="EC Square Sans Pro Light" w:cs="Times New Roman"/>
          <w:b/>
          <w:noProof/>
          <w:sz w:val="24"/>
          <w:szCs w:val="24"/>
          <w:lang w:val="en-IE"/>
        </w:rPr>
        <w:t>a sense of togetherness</w:t>
      </w:r>
      <w:r>
        <w:rPr>
          <w:rFonts w:ascii="EC Square Sans Pro Light" w:hAnsi="EC Square Sans Pro Light" w:cs="Times New Roman"/>
          <w:noProof/>
          <w:sz w:val="24"/>
          <w:szCs w:val="24"/>
          <w:lang w:val="en-IE"/>
        </w:rPr>
        <w:t xml:space="preserve">. The various parts of a city, a village or neighbourhood should be connected. Missing </w:t>
      </w:r>
      <w:r>
        <w:rPr>
          <w:rFonts w:ascii="EC Square Sans Pro Light" w:hAnsi="EC Square Sans Pro Light" w:cs="Times New Roman"/>
          <w:b/>
          <w:noProof/>
          <w:sz w:val="24"/>
          <w:szCs w:val="24"/>
          <w:lang w:val="en-IE"/>
        </w:rPr>
        <w:t>connections between rural and urban areas</w:t>
      </w:r>
      <w:r>
        <w:rPr>
          <w:rFonts w:ascii="EC Square Sans Pro Light" w:hAnsi="EC Square Sans Pro Light" w:cs="Times New Roman"/>
          <w:noProof/>
          <w:sz w:val="24"/>
          <w:szCs w:val="24"/>
          <w:lang w:val="en-IE"/>
        </w:rPr>
        <w:t xml:space="preserve"> should be addressed. </w:t>
      </w:r>
      <w:r>
        <w:rPr>
          <w:rFonts w:ascii="EC Square Sans Pro Light" w:hAnsi="EC Square Sans Pro Light" w:cs="Times New Roman"/>
          <w:b/>
          <w:noProof/>
          <w:sz w:val="24"/>
          <w:szCs w:val="24"/>
          <w:lang w:val="en-IE"/>
        </w:rPr>
        <w:t>Digitally connecting people</w:t>
      </w:r>
      <w:r>
        <w:rPr>
          <w:rFonts w:ascii="EC Square Sans Pro Light" w:hAnsi="EC Square Sans Pro Light" w:cs="Times New Roman"/>
          <w:noProof/>
          <w:sz w:val="24"/>
          <w:szCs w:val="24"/>
          <w:lang w:val="en-IE"/>
        </w:rPr>
        <w:t xml:space="preserve"> is an essential enabler for independent living, access to information, or attending cultural events as we experienced during the COVID-19 pandemic. </w:t>
      </w:r>
    </w:p>
    <w:p>
      <w:pPr>
        <w:spacing w:after="150" w:line="276" w:lineRule="auto"/>
        <w:jc w:val="both"/>
        <w:rPr>
          <w:rFonts w:ascii="EC Square Sans Pro Light" w:hAnsi="EC Square Sans Pro Light" w:cs="Times New Roman"/>
          <w:noProof/>
          <w:sz w:val="24"/>
          <w:szCs w:val="24"/>
          <w:lang w:val="en-IE"/>
        </w:rPr>
      </w:pPr>
      <w:r>
        <w:rPr>
          <w:rFonts w:ascii="EC Square Sans Pro Light" w:hAnsi="EC Square Sans Pro Light" w:cs="Times New Roman"/>
          <w:noProof/>
          <w:sz w:val="24"/>
          <w:szCs w:val="24"/>
          <w:lang w:val="en-IE"/>
        </w:rPr>
        <w:t>Delivering access to digital connectivity to all people</w:t>
      </w:r>
      <w:r>
        <w:rPr>
          <w:rStyle w:val="FootnoteReference"/>
          <w:rFonts w:ascii="EC Square Sans Pro Light" w:hAnsi="EC Square Sans Pro Light" w:cs="Times New Roman"/>
          <w:noProof/>
          <w:sz w:val="24"/>
          <w:szCs w:val="24"/>
          <w:lang w:val="en-IE"/>
        </w:rPr>
        <w:footnoteReference w:id="13"/>
      </w:r>
      <w:r>
        <w:rPr>
          <w:rFonts w:ascii="EC Square Sans Pro Light" w:hAnsi="EC Square Sans Pro Light" w:cs="Times New Roman"/>
          <w:noProof/>
          <w:sz w:val="24"/>
          <w:szCs w:val="24"/>
          <w:lang w:val="en-IE"/>
        </w:rPr>
        <w:t xml:space="preserve"> is an essential enabler for independent living and being actively involved in the green transition, access to information, or attending cultural events as we experienced during the COVID-19 pandemic.  </w:t>
      </w:r>
    </w:p>
    <w:p>
      <w:pPr>
        <w:spacing w:after="150" w:line="276" w:lineRule="auto"/>
        <w:jc w:val="both"/>
        <w:rPr>
          <w:rFonts w:ascii="EC Square Sans Pro Light" w:hAnsi="EC Square Sans Pro Light" w:cs="Times New Roman"/>
          <w:noProof/>
          <w:sz w:val="24"/>
          <w:szCs w:val="24"/>
          <w:lang w:val="en-IE"/>
        </w:rPr>
      </w:pPr>
      <w:r>
        <w:rPr>
          <w:rFonts w:ascii="EC Square Sans Pro Light" w:hAnsi="EC Square Sans Pro Light" w:cs="Times New Roman"/>
          <w:noProof/>
          <w:sz w:val="24"/>
          <w:szCs w:val="24"/>
          <w:lang w:eastAsia="en-GB"/>
        </w:rPr>
        <w:drawing>
          <wp:inline distT="0" distB="0" distL="0" distR="0">
            <wp:extent cx="5731510" cy="147129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eader4.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1471295"/>
                    </a:xfrm>
                    <a:prstGeom prst="rect">
                      <a:avLst/>
                    </a:prstGeom>
                  </pic:spPr>
                </pic:pic>
              </a:graphicData>
            </a:graphic>
          </wp:inline>
        </w:drawing>
      </w:r>
    </w:p>
    <w:p>
      <w:pPr>
        <w:spacing w:after="150" w:line="276" w:lineRule="auto"/>
        <w:jc w:val="both"/>
        <w:rPr>
          <w:rFonts w:ascii="EC Square Sans Pro Light" w:hAnsi="EC Square Sans Pro Light" w:cs="Times New Roman"/>
          <w:noProof/>
          <w:sz w:val="24"/>
          <w:szCs w:val="24"/>
          <w:lang w:val="en-IE"/>
        </w:rPr>
      </w:pPr>
    </w:p>
    <w:p>
      <w:pPr>
        <w:pStyle w:val="Heading3"/>
        <w:rPr>
          <w:noProof/>
        </w:rPr>
      </w:pPr>
      <w:bookmarkStart w:id="21" w:name="_Toc82165934"/>
      <w:r>
        <w:rPr>
          <w:noProof/>
        </w:rPr>
        <w:t>The need for long-term, life-cycle thinking in the industrial ecosystem.</w:t>
      </w:r>
      <w:bookmarkEnd w:id="21"/>
    </w:p>
    <w:p>
      <w:pPr>
        <w:spacing w:line="276" w:lineRule="auto"/>
        <w:jc w:val="both"/>
        <w:rPr>
          <w:rFonts w:ascii="EC Square Sans Pro Light" w:hAnsi="EC Square Sans Pro Light" w:cs="Times New Roman"/>
          <w:noProof/>
          <w:sz w:val="24"/>
          <w:szCs w:val="24"/>
          <w:lang w:val="en-IE"/>
        </w:rPr>
      </w:pPr>
      <w:r>
        <w:rPr>
          <w:rFonts w:ascii="EC Square Sans Pro Light" w:hAnsi="EC Square Sans Pro Light" w:cs="Times New Roman"/>
          <w:noProof/>
          <w:sz w:val="24"/>
          <w:szCs w:val="24"/>
          <w:lang w:val="en-IE"/>
        </w:rPr>
        <w:t xml:space="preserve">Respondents in the co-design phase identified a clear need for more circularity to </w:t>
      </w:r>
      <w:r>
        <w:rPr>
          <w:rFonts w:ascii="EC Square Sans Pro Light" w:hAnsi="EC Square Sans Pro Light" w:cs="Times New Roman"/>
          <w:b/>
          <w:noProof/>
          <w:sz w:val="24"/>
          <w:szCs w:val="24"/>
          <w:lang w:val="en-IE"/>
        </w:rPr>
        <w:t>tackle unsustainable use of resources and waste</w:t>
      </w:r>
      <w:r>
        <w:rPr>
          <w:rFonts w:ascii="EC Square Sans Pro Light" w:hAnsi="EC Square Sans Pro Light" w:cs="Times New Roman"/>
          <w:noProof/>
          <w:sz w:val="24"/>
          <w:szCs w:val="24"/>
          <w:lang w:val="en-IE"/>
        </w:rPr>
        <w:t>, including uses for obsolete buildings or infrastructures. Addressing these challenges concerns the entire industrial ecosystem, from production to delivery and consumption, with a circular economy mind-set.</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lang w:val="en-IE"/>
        </w:rPr>
        <w:t xml:space="preserve">For example, </w:t>
      </w:r>
      <w:r>
        <w:rPr>
          <w:rFonts w:ascii="EC Square Sans Pro Light" w:hAnsi="EC Square Sans Pro Light" w:cs="Times New Roman"/>
          <w:noProof/>
          <w:sz w:val="24"/>
          <w:szCs w:val="24"/>
        </w:rPr>
        <w:t>re-use, regeneration, life extension and transformation of existing buildings should be prioritised over the construction of new buildings whenever feasible. . Circular, sustainable design and architecture should become the new normal.</w:t>
      </w:r>
    </w:p>
    <w:p>
      <w:pPr>
        <w:spacing w:after="150" w:line="276" w:lineRule="auto"/>
        <w:jc w:val="both"/>
        <w:rPr>
          <w:rFonts w:ascii="EC Square Sans Pro Light" w:hAnsi="EC Square Sans Pro Light" w:cs="Times New Roman"/>
          <w:noProof/>
          <w:sz w:val="24"/>
          <w:szCs w:val="24"/>
        </w:rPr>
      </w:pPr>
      <w:r>
        <w:rPr>
          <w:rStyle w:val="normaltextrun"/>
          <w:rFonts w:ascii="EC Square Sans Pro Light" w:hAnsi="EC Square Sans Pro Light" w:cs="Times New Roman"/>
          <w:noProof/>
          <w:sz w:val="24"/>
          <w:szCs w:val="24"/>
          <w:shd w:val="clear" w:color="auto" w:fill="FFFFFF"/>
        </w:rPr>
        <w:t>Recovered and renewable materials should be better recognised by all relevant disciplines and</w:t>
      </w:r>
      <w:r>
        <w:rPr>
          <w:rStyle w:val="normaltextrun"/>
          <w:rFonts w:ascii="Calibri" w:hAnsi="Calibri" w:cs="Calibri"/>
          <w:noProof/>
          <w:sz w:val="24"/>
          <w:szCs w:val="24"/>
          <w:shd w:val="clear" w:color="auto" w:fill="FFFFFF"/>
        </w:rPr>
        <w:t> </w:t>
      </w:r>
      <w:r>
        <w:rPr>
          <w:rStyle w:val="normaltextrun"/>
          <w:rFonts w:ascii="EC Square Sans Pro Light" w:hAnsi="EC Square Sans Pro Light" w:cs="Times New Roman"/>
          <w:noProof/>
          <w:sz w:val="24"/>
          <w:szCs w:val="24"/>
          <w:shd w:val="clear" w:color="auto" w:fill="FFFFFF"/>
        </w:rPr>
        <w:t xml:space="preserve">become part of design paradigms. </w:t>
      </w:r>
      <w:r>
        <w:rPr>
          <w:rFonts w:ascii="EC Square Sans Pro Light" w:hAnsi="EC Square Sans Pro Light" w:cs="Times New Roman"/>
          <w:noProof/>
          <w:sz w:val="24"/>
          <w:szCs w:val="24"/>
        </w:rPr>
        <w:t>The use of sustainably produced and procured nature-based building materials, such as wood, bamboo, straw, cork or stone should be improved. New production technologies should help reduce the carbon footprint of steel or cement, recycle otherwise wasted textiles and accelerate the green transition of energy intensive industries.</w:t>
      </w:r>
    </w:p>
    <w:p>
      <w:pPr>
        <w:spacing w:after="0" w:line="276" w:lineRule="auto"/>
        <w:jc w:val="both"/>
        <w:textAlignment w:val="baseline"/>
        <w:rPr>
          <w:rFonts w:ascii="EC Square Sans Pro Light" w:hAnsi="EC Square Sans Pro Light" w:cs="Times New Roman"/>
          <w:noProof/>
          <w:sz w:val="24"/>
          <w:szCs w:val="24"/>
        </w:rPr>
      </w:pPr>
      <w:r>
        <w:rPr>
          <w:rFonts w:ascii="EC Square Sans Pro Light" w:eastAsia="Times New Roman" w:hAnsi="EC Square Sans Pro Light" w:cs="Times New Roman"/>
          <w:noProof/>
          <w:sz w:val="24"/>
          <w:szCs w:val="24"/>
          <w:lang w:eastAsia="en-GB"/>
        </w:rPr>
        <w:t>New business models, bioeconomy, social economy approaches and Design for Sustainability</w:t>
      </w:r>
      <w:r>
        <w:rPr>
          <w:rStyle w:val="FootnoteReference"/>
          <w:rFonts w:ascii="EC Square Sans Pro Light" w:eastAsia="Times New Roman" w:hAnsi="EC Square Sans Pro Light" w:cs="Times New Roman"/>
          <w:noProof/>
          <w:sz w:val="24"/>
          <w:szCs w:val="24"/>
          <w:lang w:eastAsia="en-GB"/>
        </w:rPr>
        <w:footnoteReference w:id="14"/>
      </w:r>
      <w:r>
        <w:rPr>
          <w:rFonts w:ascii="EC Square Sans Pro Light" w:eastAsia="Times New Roman" w:hAnsi="EC Square Sans Pro Light" w:cs="Times New Roman"/>
          <w:noProof/>
          <w:sz w:val="24"/>
          <w:szCs w:val="24"/>
          <w:lang w:eastAsia="en-GB"/>
        </w:rPr>
        <w:t xml:space="preserve"> can support the transformation of sectors such as textiles, tourism, waste management or energy production. </w:t>
      </w:r>
      <w:r>
        <w:rPr>
          <w:rFonts w:ascii="EC Square Sans Pro Light" w:hAnsi="EC Square Sans Pro Light" w:cs="Times New Roman"/>
          <w:noProof/>
          <w:sz w:val="24"/>
          <w:szCs w:val="24"/>
        </w:rPr>
        <w:t xml:space="preserve">The </w:t>
      </w:r>
      <w:r>
        <w:rPr>
          <w:rFonts w:ascii="EC Square Sans Pro Light" w:hAnsi="EC Square Sans Pro Light" w:cs="Times New Roman"/>
          <w:b/>
          <w:noProof/>
          <w:sz w:val="24"/>
          <w:szCs w:val="24"/>
        </w:rPr>
        <w:t>digital transition</w:t>
      </w:r>
      <w:r>
        <w:rPr>
          <w:rFonts w:ascii="EC Square Sans Pro Light" w:hAnsi="EC Square Sans Pro Light" w:cs="Times New Roman"/>
          <w:noProof/>
          <w:sz w:val="24"/>
          <w:szCs w:val="24"/>
        </w:rPr>
        <w:t xml:space="preserve"> will play a systemic role in the development and implementation of the New European Bauhaus. </w:t>
      </w:r>
      <w:r>
        <w:rPr>
          <w:rFonts w:ascii="EC Square Sans Pro Light" w:eastAsia="Times New Roman" w:hAnsi="EC Square Sans Pro Light" w:cs="Times New Roman"/>
          <w:noProof/>
          <w:sz w:val="24"/>
          <w:szCs w:val="24"/>
          <w:lang w:eastAsia="en-GB"/>
        </w:rPr>
        <w:t>D</w:t>
      </w:r>
      <w:r>
        <w:rPr>
          <w:rFonts w:ascii="EC Square Sans Pro Light" w:hAnsi="EC Square Sans Pro Light" w:cs="Times New Roman"/>
          <w:noProof/>
          <w:sz w:val="24"/>
          <w:szCs w:val="24"/>
        </w:rPr>
        <w:t xml:space="preserve">igital tools e.g. 5G, Artificial Intelligence, data-based tools, robotics and 3-Dimensional printing technologies or digital twins in the construction industry, can improve the sustainability performance of materials, products and buildings. </w:t>
      </w:r>
    </w:p>
    <w:p>
      <w:pPr>
        <w:spacing w:after="150" w:line="276" w:lineRule="auto"/>
        <w:jc w:val="both"/>
        <w:rPr>
          <w:rFonts w:ascii="EC Square Sans Pro Light" w:hAnsi="EC Square Sans Pro Light" w:cs="Times New Roman"/>
          <w:noProof/>
          <w:sz w:val="24"/>
          <w:szCs w:val="24"/>
        </w:rPr>
      </w:pP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lang w:eastAsia="en-GB"/>
        </w:rPr>
        <w:drawing>
          <wp:inline distT="0" distB="0" distL="0" distR="0">
            <wp:extent cx="5731510" cy="1501775"/>
            <wp:effectExtent l="0" t="0" r="254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eader5.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1501775"/>
                    </a:xfrm>
                    <a:prstGeom prst="rect">
                      <a:avLst/>
                    </a:prstGeom>
                  </pic:spPr>
                </pic:pic>
              </a:graphicData>
            </a:graphic>
          </wp:inline>
        </w:drawing>
      </w:r>
    </w:p>
    <w:p>
      <w:pPr>
        <w:pStyle w:val="Heading1"/>
        <w:spacing w:line="276" w:lineRule="auto"/>
        <w:rPr>
          <w:rFonts w:ascii="EC Square Sans Pro Light" w:hAnsi="EC Square Sans Pro Light"/>
          <w:noProof/>
        </w:rPr>
      </w:pPr>
      <w:bookmarkStart w:id="22" w:name="_Toc82165935"/>
      <w:r>
        <w:rPr>
          <w:rFonts w:ascii="EC Square Sans Pro Light" w:hAnsi="EC Square Sans Pro Light"/>
          <w:noProof/>
        </w:rPr>
        <w:t>Delivering the New European</w:t>
      </w:r>
      <w:r>
        <w:rPr>
          <w:rFonts w:ascii="Calibri" w:hAnsi="Calibri" w:cs="Calibri"/>
          <w:noProof/>
        </w:rPr>
        <w:t> </w:t>
      </w:r>
      <w:r>
        <w:rPr>
          <w:rFonts w:ascii="EC Square Sans Pro Light" w:hAnsi="EC Square Sans Pro Light"/>
          <w:noProof/>
        </w:rPr>
        <w:t>Bauhaus</w:t>
      </w:r>
      <w:bookmarkEnd w:id="22"/>
      <w:r>
        <w:rPr>
          <w:rFonts w:ascii="EC Square Sans Pro Light" w:hAnsi="EC Square Sans Pro Light"/>
          <w:noProof/>
        </w:rPr>
        <w:t xml:space="preserve"> </w:t>
      </w:r>
    </w:p>
    <w:p>
      <w:pP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The Commission, in cooperation with the European Parliament and the other EU institutions as well as with the Member States, wants to create an </w:t>
      </w:r>
      <w:r>
        <w:rPr>
          <w:rFonts w:ascii="EC Square Sans Pro Light" w:hAnsi="EC Square Sans Pro Light" w:cs="Times New Roman"/>
          <w:b/>
          <w:noProof/>
          <w:sz w:val="24"/>
          <w:szCs w:val="24"/>
        </w:rPr>
        <w:t>enabling framework</w:t>
      </w:r>
      <w:r>
        <w:rPr>
          <w:rFonts w:ascii="EC Square Sans Pro Light" w:hAnsi="EC Square Sans Pro Light" w:cs="Times New Roman"/>
          <w:noProof/>
          <w:sz w:val="24"/>
          <w:szCs w:val="24"/>
        </w:rPr>
        <w:t xml:space="preserve"> of the New European Bauhaus, integrated with the sustainable development goals (SDGs) and with relevant EU policies and initiatives. This enabling framework is designed to create a space to develop and test policy and funding instruments for the transformation of our societies and economy.</w:t>
      </w:r>
    </w:p>
    <w:p>
      <w:pPr>
        <w:spacing w:line="276" w:lineRule="auto"/>
        <w:jc w:val="both"/>
        <w:rPr>
          <w:rFonts w:ascii="EC Square Sans Pro Light" w:hAnsi="EC Square Sans Pro Light" w:cs="Times New Roman"/>
          <w:noProof/>
          <w:sz w:val="24"/>
          <w:szCs w:val="24"/>
        </w:rPr>
      </w:pPr>
      <w:r>
        <w:rPr>
          <w:noProof/>
          <w:lang w:eastAsia="en-GB"/>
        </w:rPr>
        <w:drawing>
          <wp:inline distT="0" distB="0" distL="0" distR="0">
            <wp:extent cx="5731510" cy="2230120"/>
            <wp:effectExtent l="0" t="0" r="2540" b="0"/>
            <wp:docPr id="11" name="Picture 11" descr="C:\Users\marinmt\AppData\Local\Microsoft\Windows\INetCache\Content.Word\Policies ecosyste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inmt\AppData\Local\Microsoft\Windows\INetCache\Content.Word\Policies ecosystem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1510" cy="2230120"/>
                    </a:xfrm>
                    <a:prstGeom prst="rect">
                      <a:avLst/>
                    </a:prstGeom>
                    <a:noFill/>
                    <a:ln>
                      <a:noFill/>
                    </a:ln>
                  </pic:spPr>
                </pic:pic>
              </a:graphicData>
            </a:graphic>
          </wp:inline>
        </w:drawing>
      </w:r>
    </w:p>
    <w:p>
      <w:pPr>
        <w:spacing w:line="276" w:lineRule="auto"/>
        <w:jc w:val="both"/>
        <w:rPr>
          <w:rFonts w:ascii="EC Square Sans Pro Light" w:hAnsi="EC Square Sans Pro Light"/>
          <w:noProof/>
          <w:sz w:val="24"/>
        </w:rPr>
      </w:pPr>
      <w:r>
        <w:rPr>
          <w:rFonts w:ascii="EC Square Sans Pro Light" w:hAnsi="EC Square Sans Pro Light" w:cs="Times New Roman"/>
          <w:noProof/>
          <w:sz w:val="24"/>
          <w:szCs w:val="24"/>
        </w:rPr>
        <w:t xml:space="preserve">This framework is first of all about </w:t>
      </w:r>
      <w:r>
        <w:rPr>
          <w:rFonts w:ascii="EC Square Sans Pro Light" w:hAnsi="EC Square Sans Pro Light" w:cs="Times New Roman"/>
          <w:b/>
          <w:noProof/>
          <w:sz w:val="24"/>
          <w:szCs w:val="24"/>
        </w:rPr>
        <w:t>achieving more</w:t>
      </w:r>
      <w:r>
        <w:rPr>
          <w:rFonts w:ascii="EC Square Sans Pro Light" w:hAnsi="EC Square Sans Pro Light" w:cs="Times New Roman"/>
          <w:noProof/>
          <w:sz w:val="24"/>
          <w:szCs w:val="24"/>
        </w:rPr>
        <w:t xml:space="preserve"> </w:t>
      </w:r>
      <w:r>
        <w:rPr>
          <w:rFonts w:ascii="EC Square Sans Pro Light" w:hAnsi="EC Square Sans Pro Light" w:cs="Times New Roman"/>
          <w:b/>
          <w:noProof/>
          <w:sz w:val="24"/>
          <w:szCs w:val="24"/>
        </w:rPr>
        <w:t>with the policies and funding instruments</w:t>
      </w:r>
      <w:r>
        <w:rPr>
          <w:rFonts w:ascii="EC Square Sans Pro Light" w:hAnsi="EC Square Sans Pro Light" w:cs="Times New Roman"/>
          <w:noProof/>
          <w:sz w:val="24"/>
          <w:szCs w:val="24"/>
        </w:rPr>
        <w:t xml:space="preserve"> </w:t>
      </w:r>
      <w:r>
        <w:rPr>
          <w:rFonts w:ascii="EC Square Sans Pro Light" w:hAnsi="EC Square Sans Pro Light" w:cs="Times New Roman"/>
          <w:b/>
          <w:noProof/>
          <w:sz w:val="24"/>
          <w:szCs w:val="24"/>
        </w:rPr>
        <w:t>that we have already</w:t>
      </w:r>
      <w:r>
        <w:rPr>
          <w:rFonts w:ascii="EC Square Sans Pro Light" w:hAnsi="EC Square Sans Pro Light" w:cs="Times New Roman"/>
          <w:noProof/>
          <w:sz w:val="24"/>
          <w:szCs w:val="24"/>
        </w:rPr>
        <w:t xml:space="preserve">. </w:t>
      </w:r>
      <w:r>
        <w:rPr>
          <w:rFonts w:ascii="EC Square Sans Pro Light" w:hAnsi="EC Square Sans Pro Light" w:cs="Times New Roman"/>
          <w:b/>
          <w:noProof/>
          <w:sz w:val="24"/>
          <w:szCs w:val="24"/>
        </w:rPr>
        <w:t xml:space="preserve">Synergies among existing and planned EU policies or programmes </w:t>
      </w:r>
      <w:r>
        <w:rPr>
          <w:rFonts w:ascii="EC Square Sans Pro Light" w:hAnsi="EC Square Sans Pro Light" w:cs="Times New Roman"/>
          <w:noProof/>
          <w:sz w:val="24"/>
          <w:szCs w:val="24"/>
        </w:rPr>
        <w:t>should be intensified so that they can support the New European Bauhaus objectives. They can all contribute to a cultural project bringing together sustainability, inclusion and aesthetics in the places where people live and in the way they live</w:t>
      </w:r>
      <w:r>
        <w:rPr>
          <w:rFonts w:ascii="EC Square Sans Pro Light" w:hAnsi="EC Square Sans Pro Light"/>
          <w:noProof/>
          <w:sz w:val="24"/>
        </w:rPr>
        <w:t>.</w:t>
      </w:r>
    </w:p>
    <w:p>
      <w:pP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The New European Bauhaus triggers issues that cannot be adequately addressed by a single instrument and which often “fall between the cracks”. </w:t>
      </w:r>
    </w:p>
    <w:p>
      <w:pP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In addition, the New European Bauhaus puts in place </w:t>
      </w:r>
      <w:r>
        <w:rPr>
          <w:rFonts w:ascii="EC Square Sans Pro Light" w:hAnsi="EC Square Sans Pro Light" w:cs="Times New Roman"/>
          <w:b/>
          <w:noProof/>
          <w:sz w:val="24"/>
          <w:szCs w:val="24"/>
        </w:rPr>
        <w:t xml:space="preserve">specific and dedicated actions </w:t>
      </w:r>
      <w:r>
        <w:rPr>
          <w:rFonts w:ascii="EC Square Sans Pro Light" w:hAnsi="EC Square Sans Pro Light" w:cs="Times New Roman"/>
          <w:noProof/>
          <w:sz w:val="24"/>
          <w:szCs w:val="24"/>
        </w:rPr>
        <w:t>that will help make the transformation happen.</w:t>
      </w:r>
    </w:p>
    <w:p>
      <w:pP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This first delivery framework will evolve in the light of the results, through iterative assessments and reviews.</w:t>
      </w:r>
    </w:p>
    <w:p>
      <w:pPr>
        <w:pStyle w:val="Heading2"/>
        <w:rPr>
          <w:noProof/>
        </w:rPr>
      </w:pPr>
      <w:bookmarkStart w:id="23" w:name="_Toc77588255"/>
      <w:bookmarkStart w:id="24" w:name="_Toc82165936"/>
      <w:bookmarkEnd w:id="23"/>
      <w:r>
        <w:rPr>
          <w:noProof/>
        </w:rPr>
        <w:t>Working with the New European Bauhaus Community: the NEB</w:t>
      </w:r>
      <w:r>
        <w:rPr>
          <w:rFonts w:ascii="Calibri" w:hAnsi="Calibri" w:cs="Calibri"/>
          <w:noProof/>
        </w:rPr>
        <w:t> </w:t>
      </w:r>
      <w:r>
        <w:rPr>
          <w:noProof/>
        </w:rPr>
        <w:t>Lab</w:t>
      </w:r>
      <w:bookmarkEnd w:id="24"/>
    </w:p>
    <w:p>
      <w:pPr>
        <w:spacing w:line="276" w:lineRule="auto"/>
        <w:jc w:val="both"/>
        <w:rPr>
          <w:rFonts w:ascii="EC Square Sans Pro Light" w:hAnsi="EC Square Sans Pro Light" w:cs="Times New Roman"/>
          <w:noProof/>
          <w:sz w:val="24"/>
          <w:szCs w:val="24"/>
        </w:rPr>
      </w:pPr>
      <w:r>
        <w:rPr>
          <w:rFonts w:ascii="EC Square Sans Pro Light" w:eastAsia="Calibri" w:hAnsi="EC Square Sans Pro Light" w:cs="Times New Roman"/>
          <w:noProof/>
          <w:sz w:val="24"/>
          <w:szCs w:val="24"/>
        </w:rPr>
        <w:t xml:space="preserve">In order to support the implementation of the New European Bauhaus, the Commission will establish the </w:t>
      </w:r>
      <w:r>
        <w:rPr>
          <w:rFonts w:ascii="EC Square Sans Pro Light" w:eastAsia="Calibri" w:hAnsi="EC Square Sans Pro Light" w:cs="Times New Roman"/>
          <w:b/>
          <w:noProof/>
          <w:sz w:val="24"/>
          <w:szCs w:val="24"/>
        </w:rPr>
        <w:t xml:space="preserve">NEB Lab, </w:t>
      </w:r>
      <w:r>
        <w:rPr>
          <w:rFonts w:ascii="EC Square Sans Pro Light" w:eastAsia="Calibri" w:hAnsi="EC Square Sans Pro Light" w:cs="Times New Roman"/>
          <w:noProof/>
          <w:sz w:val="24"/>
          <w:szCs w:val="24"/>
        </w:rPr>
        <w:t>the “think and do tank” to co-create, prototype and test the tools, solutions and policy actions that will facilitate transformation on the ground.</w:t>
      </w:r>
      <w:r>
        <w:rPr>
          <w:rFonts w:ascii="EC Square Sans Pro Light" w:hAnsi="EC Square Sans Pro Light" w:cs="Times New Roman"/>
          <w:noProof/>
          <w:sz w:val="24"/>
          <w:szCs w:val="24"/>
        </w:rPr>
        <w:t xml:space="preserve"> </w:t>
      </w:r>
      <w:r>
        <w:rPr>
          <w:rFonts w:ascii="EC Square Sans Pro Light" w:eastAsia="Calibri" w:hAnsi="EC Square Sans Pro Light" w:cs="Times New Roman"/>
          <w:noProof/>
          <w:sz w:val="24"/>
          <w:szCs w:val="24"/>
        </w:rPr>
        <w:t>The Lab will function as</w:t>
      </w:r>
      <w:r>
        <w:rPr>
          <w:rFonts w:ascii="EC Square Sans Pro Light" w:hAnsi="EC Square Sans Pro Light" w:cs="Times New Roman"/>
          <w:noProof/>
          <w:sz w:val="24"/>
          <w:szCs w:val="24"/>
        </w:rPr>
        <w:t xml:space="preserve"> an “accelerator and connector”. </w:t>
      </w:r>
    </w:p>
    <w:p>
      <w:pPr>
        <w:spacing w:line="276" w:lineRule="auto"/>
        <w:jc w:val="both"/>
        <w:rPr>
          <w:rFonts w:ascii="EC Square Sans Pro Light" w:eastAsia="Calibri" w:hAnsi="EC Square Sans Pro Light" w:cs="Times New Roman"/>
          <w:noProof/>
          <w:sz w:val="24"/>
          <w:szCs w:val="24"/>
        </w:rPr>
      </w:pPr>
      <w:r>
        <w:rPr>
          <w:rFonts w:ascii="EC Square Sans Pro Light" w:eastAsia="Calibri" w:hAnsi="EC Square Sans Pro Light" w:cs="Times New Roman"/>
          <w:noProof/>
          <w:sz w:val="24"/>
          <w:szCs w:val="24"/>
        </w:rPr>
        <w:t>Starting with the High Level Round Table and the official partners, the Lab will pursue its community-building journey to embrace the concrete projects inspired by the New European Bauhaus - whether supported by EU funds or by other initiatives – and connect them for mutual support and learning. It will also link up with established communities already working on relevant topics and reach out to politics, industry and society to bridge silos and experiment how they can work together.</w:t>
      </w:r>
    </w:p>
    <w:p>
      <w:pPr>
        <w:spacing w:line="276" w:lineRule="auto"/>
        <w:jc w:val="both"/>
        <w:rPr>
          <w:rFonts w:ascii="EC Square Sans Pro Light" w:eastAsia="Calibri" w:hAnsi="EC Square Sans Pro Light" w:cs="Times New Roman"/>
          <w:noProof/>
          <w:sz w:val="24"/>
          <w:szCs w:val="24"/>
        </w:rPr>
      </w:pPr>
      <w:r>
        <w:rPr>
          <w:rFonts w:ascii="EC Square Sans Pro Light" w:eastAsia="Calibri" w:hAnsi="EC Square Sans Pro Light" w:cs="Times New Roman"/>
          <w:noProof/>
          <w:sz w:val="24"/>
          <w:szCs w:val="24"/>
        </w:rPr>
        <w:t>While setting up the enabling infrastructure, including a digital platform, the Commission will invite the New European Bauhaus community to cooperate on the following topics and develop concrete recommendations:</w:t>
      </w:r>
    </w:p>
    <w:p>
      <w:pPr>
        <w:pStyle w:val="ListParagraph"/>
        <w:numPr>
          <w:ilvl w:val="0"/>
          <w:numId w:val="4"/>
        </w:numPr>
        <w:spacing w:line="276" w:lineRule="auto"/>
        <w:rPr>
          <w:rFonts w:ascii="EC Square Sans Pro Light" w:eastAsia="Calibri" w:hAnsi="EC Square Sans Pro Light" w:cs="Times New Roman"/>
          <w:noProof/>
          <w:szCs w:val="24"/>
        </w:rPr>
      </w:pPr>
      <w:r>
        <w:rPr>
          <w:rFonts w:ascii="EC Square Sans Pro Light" w:eastAsia="Calibri" w:hAnsi="EC Square Sans Pro Light" w:cs="Times New Roman"/>
          <w:b/>
          <w:i/>
          <w:noProof/>
          <w:szCs w:val="24"/>
        </w:rPr>
        <w:t>Labelling strategy:</w:t>
      </w:r>
      <w:r>
        <w:rPr>
          <w:rFonts w:ascii="EC Square Sans Pro Light" w:eastAsia="Calibri" w:hAnsi="EC Square Sans Pro Light" w:cs="Times New Roman"/>
          <w:noProof/>
          <w:szCs w:val="24"/>
        </w:rPr>
        <w:t xml:space="preserve"> How to characterise and recognise concrete initiatives to match the ambition of the New European Bauhaus? What makes a project a New European Bauhaus project? How can an EU New European Bauhaus label be integrated with access to funding for projects?</w:t>
      </w:r>
    </w:p>
    <w:p>
      <w:pPr>
        <w:pStyle w:val="ListParagraph"/>
        <w:spacing w:line="276" w:lineRule="auto"/>
        <w:rPr>
          <w:rFonts w:ascii="EC Square Sans Pro Light" w:eastAsia="Calibri" w:hAnsi="EC Square Sans Pro Light" w:cs="Times New Roman"/>
          <w:noProof/>
          <w:szCs w:val="24"/>
        </w:rPr>
      </w:pPr>
    </w:p>
    <w:p>
      <w:pPr>
        <w:pStyle w:val="ListParagraph"/>
        <w:numPr>
          <w:ilvl w:val="0"/>
          <w:numId w:val="4"/>
        </w:numPr>
        <w:spacing w:line="276" w:lineRule="auto"/>
        <w:rPr>
          <w:rFonts w:ascii="EC Square Sans Pro Light" w:eastAsia="Calibri" w:hAnsi="EC Square Sans Pro Light" w:cs="Times New Roman"/>
          <w:noProof/>
          <w:szCs w:val="24"/>
        </w:rPr>
      </w:pPr>
      <w:r>
        <w:rPr>
          <w:rFonts w:ascii="EC Square Sans Pro Light" w:eastAsia="Calibri" w:hAnsi="EC Square Sans Pro Light" w:cs="Times New Roman"/>
          <w:b/>
          <w:i/>
          <w:noProof/>
          <w:szCs w:val="24"/>
        </w:rPr>
        <w:t>Innovative funding:</w:t>
      </w:r>
      <w:r>
        <w:rPr>
          <w:rFonts w:ascii="EC Square Sans Pro Light" w:eastAsia="Calibri" w:hAnsi="EC Square Sans Pro Light" w:cs="Times New Roman"/>
          <w:noProof/>
          <w:szCs w:val="24"/>
        </w:rPr>
        <w:t xml:space="preserve"> Can crowdfunding be usefully combined with public financing to reach out to grassroots initiatives and improve project selection? What approach could best mobilise private funding, including from philanthropists, to support New European Bauhaus projects? How to incentivise investors in various sectors such as real estate, tourism infrastructures, etc. to embrace the ambition of the New European Bauhaus? How can the social economy support the New European Bauhaus?  </w:t>
      </w:r>
    </w:p>
    <w:p>
      <w:pPr>
        <w:pStyle w:val="ListParagraph"/>
        <w:spacing w:line="276" w:lineRule="auto"/>
        <w:rPr>
          <w:rFonts w:ascii="EC Square Sans Pro Light" w:eastAsia="Calibri" w:hAnsi="EC Square Sans Pro Light" w:cs="Times New Roman"/>
          <w:noProof/>
          <w:szCs w:val="24"/>
        </w:rPr>
      </w:pPr>
    </w:p>
    <w:p>
      <w:pPr>
        <w:pStyle w:val="ListParagraph"/>
        <w:numPr>
          <w:ilvl w:val="0"/>
          <w:numId w:val="4"/>
        </w:numPr>
        <w:spacing w:line="276" w:lineRule="auto"/>
        <w:rPr>
          <w:rFonts w:ascii="EC Square Sans Pro Light" w:eastAsia="Calibri" w:hAnsi="EC Square Sans Pro Light" w:cs="Times New Roman"/>
          <w:noProof/>
          <w:szCs w:val="24"/>
        </w:rPr>
      </w:pPr>
      <w:r>
        <w:rPr>
          <w:rFonts w:ascii="EC Square Sans Pro Light" w:eastAsia="Calibri" w:hAnsi="EC Square Sans Pro Light" w:cs="Times New Roman"/>
          <w:b/>
          <w:i/>
          <w:noProof/>
          <w:szCs w:val="24"/>
        </w:rPr>
        <w:t>Regulatory analysis and experimentation:</w:t>
      </w:r>
      <w:r>
        <w:rPr>
          <w:rFonts w:ascii="EC Square Sans Pro Light" w:eastAsia="Calibri" w:hAnsi="EC Square Sans Pro Light" w:cs="Times New Roman"/>
          <w:noProof/>
          <w:szCs w:val="24"/>
        </w:rPr>
        <w:t xml:space="preserve"> How can the regulatory framework support the development of New European Bauhaus projects in construction, energy intensive industries, mobility, proximity and social economy, cultural and creative industries, tourism, textiles? How can the NEB make a full use of new technological development including the digital transformation? What are the remaining obstacles and regulatory bottlenecks? How can public procurement and regulatory simplification promote New European Bauhaus priorities at the European, national and regional level? Can regulatory experimental settings be envisaged in cooperation with Member States and local authorities to test new regulatory approaches driving more ambition along the New European Bauhaus axis?</w:t>
      </w:r>
    </w:p>
    <w:p>
      <w:pPr>
        <w:pStyle w:val="ListParagraph"/>
        <w:rPr>
          <w:rFonts w:ascii="EC Square Sans Pro Light" w:eastAsia="Calibri" w:hAnsi="EC Square Sans Pro Light" w:cs="Times New Roman"/>
          <w:noProof/>
          <w:szCs w:val="24"/>
        </w:rPr>
      </w:pPr>
    </w:p>
    <w:p>
      <w:pPr>
        <w:pStyle w:val="ListParagraph"/>
        <w:numPr>
          <w:ilvl w:val="0"/>
          <w:numId w:val="4"/>
        </w:numPr>
        <w:spacing w:line="276" w:lineRule="auto"/>
        <w:rPr>
          <w:rFonts w:ascii="EC Square Sans Pro Light" w:eastAsia="Calibri" w:hAnsi="EC Square Sans Pro Light" w:cs="Times New Roman"/>
          <w:noProof/>
          <w:szCs w:val="24"/>
        </w:rPr>
      </w:pPr>
      <w:r>
        <w:rPr>
          <w:rFonts w:ascii="EC Square Sans Pro Light" w:eastAsia="Calibri" w:hAnsi="EC Square Sans Pro Light" w:cs="Times New Roman"/>
          <w:b/>
          <w:i/>
          <w:noProof/>
          <w:szCs w:val="24"/>
        </w:rPr>
        <w:t>Key performance indicators</w:t>
      </w:r>
      <w:r>
        <w:rPr>
          <w:rFonts w:ascii="EC Square Sans Pro Light" w:eastAsia="Calibri" w:hAnsi="EC Square Sans Pro Light" w:cs="Times New Roman"/>
          <w:noProof/>
          <w:szCs w:val="24"/>
        </w:rPr>
        <w:t xml:space="preserve"> How can the success of the New European can be measured both in 2024 and 2030? What are the deliverables that we want to see at the different stages of the project? How can we evaluate the results in a meaningful way? </w:t>
      </w:r>
    </w:p>
    <w:p>
      <w:pPr>
        <w:spacing w:line="276" w:lineRule="auto"/>
        <w:jc w:val="both"/>
        <w:rPr>
          <w:rFonts w:ascii="EC Square Sans Pro Light" w:eastAsia="Calibri" w:hAnsi="EC Square Sans Pro Light" w:cs="Times New Roman"/>
          <w:noProof/>
          <w:sz w:val="24"/>
          <w:szCs w:val="24"/>
        </w:rPr>
      </w:pPr>
      <w:r>
        <w:rPr>
          <w:rFonts w:ascii="EC Square Sans Pro Light" w:eastAsia="Calibri" w:hAnsi="EC Square Sans Pro Light" w:cs="Times New Roman"/>
          <w:noProof/>
          <w:sz w:val="24"/>
          <w:szCs w:val="24"/>
        </w:rPr>
        <w:t>The Commission will follow up on the results of the work in the NEB Lab with further action as well as initiatives involving the Member States, the European Parliament, the Committee of the Regions and other partners. It will monitor and analyse developments, facilitate connections between stakeholders, collect and validate positive results and findings. It will identify new topics to explore through the Lab and contribute to the adaptation of the EU support framework over time.</w:t>
      </w:r>
    </w:p>
    <w:p>
      <w:pPr>
        <w:pStyle w:val="Heading2"/>
        <w:rPr>
          <w:noProof/>
        </w:rPr>
      </w:pPr>
      <w:bookmarkStart w:id="25" w:name="_Toc82165937"/>
      <w:bookmarkStart w:id="26" w:name="_Toc82165938"/>
      <w:bookmarkEnd w:id="25"/>
      <w:r>
        <w:rPr>
          <w:noProof/>
        </w:rPr>
        <w:t>A threefold transformation</w:t>
      </w:r>
      <w:bookmarkEnd w:id="26"/>
    </w:p>
    <w:p>
      <w:pPr>
        <w:spacing w:line="276" w:lineRule="auto"/>
        <w:jc w:val="both"/>
        <w:rPr>
          <w:rFonts w:ascii="EC Square Sans Pro Light" w:eastAsia="Times New Roman" w:hAnsi="EC Square Sans Pro Light" w:cs="Times New Roman"/>
          <w:noProof/>
          <w:sz w:val="24"/>
          <w:szCs w:val="24"/>
          <w:lang w:eastAsia="en-GB"/>
        </w:rPr>
      </w:pPr>
      <w:r>
        <w:rPr>
          <w:rFonts w:ascii="EC Square Sans Pro Light" w:hAnsi="EC Square Sans Pro Light" w:cs="Times New Roman"/>
          <w:noProof/>
          <w:sz w:val="24"/>
          <w:szCs w:val="24"/>
        </w:rPr>
        <w:t xml:space="preserve">Considering the </w:t>
      </w:r>
      <w:r>
        <w:rPr>
          <w:rFonts w:ascii="EC Square Sans Pro Light" w:eastAsia="Times New Roman" w:hAnsi="EC Square Sans Pro Light" w:cs="Times New Roman"/>
          <w:noProof/>
          <w:sz w:val="24"/>
          <w:szCs w:val="24"/>
          <w:lang w:eastAsia="en-GB"/>
        </w:rPr>
        <w:t xml:space="preserve">many stories, conversations and essays collected during the co-design phase, three leverage points have been identified, where specific actions should be implemented: (i) making change happen </w:t>
      </w:r>
      <w:r>
        <w:rPr>
          <w:rFonts w:ascii="EC Square Sans Pro Light" w:eastAsia="Times New Roman" w:hAnsi="EC Square Sans Pro Light" w:cs="Times New Roman"/>
          <w:i/>
          <w:iCs/>
          <w:noProof/>
          <w:sz w:val="24"/>
          <w:szCs w:val="24"/>
          <w:lang w:eastAsia="en-GB"/>
        </w:rPr>
        <w:t>in specific places</w:t>
      </w:r>
      <w:r>
        <w:rPr>
          <w:rFonts w:ascii="EC Square Sans Pro Light" w:eastAsia="Times New Roman" w:hAnsi="EC Square Sans Pro Light" w:cs="Times New Roman"/>
          <w:noProof/>
          <w:sz w:val="24"/>
          <w:szCs w:val="24"/>
          <w:lang w:eastAsia="en-GB"/>
        </w:rPr>
        <w:t xml:space="preserve"> on the ground, (ii) the need for </w:t>
      </w:r>
      <w:r>
        <w:rPr>
          <w:rFonts w:ascii="EC Square Sans Pro Light" w:eastAsia="Times New Roman" w:hAnsi="EC Square Sans Pro Light" w:cs="Times New Roman"/>
          <w:i/>
          <w:noProof/>
          <w:sz w:val="24"/>
          <w:szCs w:val="24"/>
          <w:lang w:eastAsia="en-GB"/>
        </w:rPr>
        <w:t>doing things differently</w:t>
      </w:r>
      <w:r>
        <w:rPr>
          <w:rFonts w:ascii="EC Square Sans Pro Light" w:eastAsia="Times New Roman" w:hAnsi="EC Square Sans Pro Light" w:cs="Times New Roman"/>
          <w:noProof/>
          <w:sz w:val="24"/>
          <w:szCs w:val="24"/>
          <w:lang w:eastAsia="en-GB"/>
        </w:rPr>
        <w:t xml:space="preserve"> in making innovation happen, including by improving our skills and methods and (iii) the need for adapting the intentions and the </w:t>
      </w:r>
      <w:r>
        <w:rPr>
          <w:rFonts w:ascii="EC Square Sans Pro Light" w:eastAsia="Times New Roman" w:hAnsi="EC Square Sans Pro Light" w:cs="Times New Roman"/>
          <w:i/>
          <w:noProof/>
          <w:sz w:val="24"/>
          <w:szCs w:val="24"/>
          <w:lang w:eastAsia="en-GB"/>
        </w:rPr>
        <w:t xml:space="preserve">way of thinking </w:t>
      </w:r>
      <w:r>
        <w:rPr>
          <w:rFonts w:ascii="EC Square Sans Pro Light" w:eastAsia="Times New Roman" w:hAnsi="EC Square Sans Pro Light" w:cs="Times New Roman"/>
          <w:noProof/>
          <w:sz w:val="24"/>
          <w:szCs w:val="24"/>
          <w:lang w:eastAsia="en-GB"/>
        </w:rPr>
        <w:t>that is behind our actions.</w:t>
      </w:r>
      <w:r>
        <w:rPr>
          <w:rFonts w:ascii="EC Square Sans Pro Light" w:eastAsia="Times New Roman" w:hAnsi="EC Square Sans Pro Light" w:cs="Times New Roman"/>
          <w:noProof/>
          <w:sz w:val="24"/>
          <w:szCs w:val="24"/>
          <w:vertAlign w:val="superscript"/>
          <w:lang w:eastAsia="en-GB"/>
        </w:rPr>
        <w:footnoteReference w:id="15"/>
      </w:r>
      <w:r>
        <w:rPr>
          <w:rFonts w:ascii="EC Square Sans Pro Light" w:eastAsia="Times New Roman" w:hAnsi="EC Square Sans Pro Light" w:cs="Times New Roman"/>
          <w:noProof/>
          <w:sz w:val="24"/>
          <w:szCs w:val="24"/>
          <w:lang w:eastAsia="en-GB"/>
        </w:rPr>
        <w:t xml:space="preserve"> The support and funding instruments are designed around these three points.</w:t>
      </w:r>
    </w:p>
    <w:p>
      <w:pPr>
        <w:spacing w:line="276" w:lineRule="auto"/>
        <w:ind w:left="720"/>
        <w:jc w:val="both"/>
        <w:rPr>
          <w:rFonts w:ascii="EC Square Sans Pro Light" w:hAnsi="EC Square Sans Pro Light"/>
          <w:noProof/>
          <w:sz w:val="24"/>
          <w:szCs w:val="24"/>
          <w:lang w:eastAsia="en-GB"/>
        </w:rPr>
      </w:pPr>
      <w:bookmarkStart w:id="27" w:name="_Toc82165939"/>
      <w:bookmarkEnd w:id="27"/>
      <w:r>
        <w:rPr>
          <w:rFonts w:ascii="EC Square Sans Pro Light" w:hAnsi="EC Square Sans Pro Light"/>
          <w:noProof/>
          <w:sz w:val="24"/>
          <w:szCs w:val="24"/>
          <w:lang w:eastAsia="en-GB"/>
        </w:rPr>
        <w:t>Creating a sense of community and showcasing innovation is key for the New European Bauhaus. In order to allow visibility for the change makers, to share and debate progresses and results, and to foster the engagement of citizens, the Commission will convene a ‘</w:t>
      </w:r>
      <w:r>
        <w:rPr>
          <w:rFonts w:ascii="EC Square Sans Pro Light" w:hAnsi="EC Square Sans Pro Light"/>
          <w:b/>
          <w:bCs/>
          <w:noProof/>
          <w:sz w:val="24"/>
          <w:szCs w:val="24"/>
          <w:lang w:eastAsia="en-GB"/>
        </w:rPr>
        <w:t>New European Bauhaus Festival</w:t>
      </w:r>
      <w:r>
        <w:rPr>
          <w:rFonts w:ascii="EC Square Sans Pro Light" w:hAnsi="EC Square Sans Pro Light"/>
          <w:noProof/>
          <w:sz w:val="24"/>
          <w:szCs w:val="24"/>
          <w:lang w:eastAsia="en-GB"/>
        </w:rPr>
        <w:t>’ for the first time in spring 2022.</w:t>
      </w:r>
    </w:p>
    <w:p>
      <w:pPr>
        <w:spacing w:line="276" w:lineRule="auto"/>
        <w:ind w:left="720"/>
        <w:jc w:val="both"/>
        <w:rPr>
          <w:rFonts w:ascii="EC Square Sans Pro Light" w:hAnsi="EC Square Sans Pro Light"/>
          <w:noProof/>
          <w:sz w:val="24"/>
          <w:szCs w:val="24"/>
          <w:lang w:eastAsia="en-GB"/>
        </w:rPr>
      </w:pPr>
      <w:r>
        <w:rPr>
          <w:rFonts w:ascii="EC Square Sans Pro Light" w:hAnsi="EC Square Sans Pro Light"/>
          <w:noProof/>
          <w:sz w:val="24"/>
          <w:szCs w:val="24"/>
          <w:lang w:eastAsia="en-GB"/>
        </w:rPr>
        <w:t>It will be a gathering – both physical and virtual - for the entire community to meet, debate, share, learn and celebrate.</w:t>
      </w:r>
      <w:r>
        <w:rPr>
          <w:noProof/>
          <w:sz w:val="24"/>
          <w:szCs w:val="24"/>
          <w:lang w:eastAsia="en-GB"/>
        </w:rPr>
        <w:t> </w:t>
      </w:r>
      <w:r>
        <w:rPr>
          <w:rFonts w:ascii="EC Square Sans Pro Light" w:hAnsi="EC Square Sans Pro Light"/>
          <w:noProof/>
          <w:sz w:val="24"/>
          <w:szCs w:val="24"/>
          <w:lang w:eastAsia="en-GB"/>
        </w:rPr>
        <w:t xml:space="preserve"> </w:t>
      </w:r>
    </w:p>
    <w:p>
      <w:pPr>
        <w:spacing w:line="276" w:lineRule="auto"/>
        <w:ind w:left="720"/>
        <w:jc w:val="both"/>
        <w:rPr>
          <w:rFonts w:ascii="EC Square Sans Pro Light" w:hAnsi="EC Square Sans Pro Light"/>
          <w:noProof/>
          <w:sz w:val="24"/>
          <w:szCs w:val="24"/>
          <w:lang w:eastAsia="en-GB"/>
        </w:rPr>
      </w:pPr>
      <w:r>
        <w:rPr>
          <w:rFonts w:ascii="EC Square Sans Pro Light" w:hAnsi="EC Square Sans Pro Light"/>
          <w:noProof/>
          <w:sz w:val="24"/>
          <w:szCs w:val="24"/>
          <w:lang w:eastAsia="en-GB"/>
        </w:rPr>
        <w:t xml:space="preserve">The Festival will include three components: </w:t>
      </w:r>
    </w:p>
    <w:p>
      <w:pPr>
        <w:pStyle w:val="ListParagraph"/>
        <w:numPr>
          <w:ilvl w:val="0"/>
          <w:numId w:val="44"/>
        </w:numPr>
        <w:spacing w:line="276" w:lineRule="auto"/>
        <w:ind w:left="1440"/>
        <w:rPr>
          <w:rFonts w:ascii="EC Square Sans Pro Light" w:hAnsi="EC Square Sans Pro Light"/>
          <w:noProof/>
          <w:szCs w:val="24"/>
          <w:lang w:eastAsia="en-GB"/>
        </w:rPr>
      </w:pPr>
      <w:r>
        <w:rPr>
          <w:rFonts w:ascii="EC Square Sans Pro Light" w:hAnsi="EC Square Sans Pro Light"/>
          <w:noProof/>
        </w:rPr>
        <w:t xml:space="preserve">A </w:t>
      </w:r>
      <w:r>
        <w:rPr>
          <w:rFonts w:ascii="EC Square Sans Pro Light" w:hAnsi="EC Square Sans Pro Light"/>
          <w:b/>
          <w:bCs/>
          <w:noProof/>
        </w:rPr>
        <w:t>Forum</w:t>
      </w:r>
      <w:r>
        <w:rPr>
          <w:rFonts w:ascii="EC Square Sans Pro Light" w:hAnsi="EC Square Sans Pro Light"/>
          <w:noProof/>
        </w:rPr>
        <w:t xml:space="preserve"> with debates to shape the project. It will gather thinkers, policy makers and practitioners in a global conversation from science and technology to culture and education, from regional and local development to international perspectives; </w:t>
      </w:r>
    </w:p>
    <w:p>
      <w:pPr>
        <w:pStyle w:val="ListParagraph"/>
        <w:numPr>
          <w:ilvl w:val="0"/>
          <w:numId w:val="44"/>
        </w:numPr>
        <w:spacing w:line="276" w:lineRule="auto"/>
        <w:ind w:left="1440"/>
        <w:rPr>
          <w:rFonts w:ascii="EC Square Sans Pro Light" w:hAnsi="EC Square Sans Pro Light"/>
          <w:noProof/>
          <w:sz w:val="20"/>
          <w:szCs w:val="20"/>
        </w:rPr>
      </w:pPr>
      <w:r>
        <w:rPr>
          <w:rFonts w:ascii="EC Square Sans Pro Light" w:hAnsi="EC Square Sans Pro Light"/>
          <w:noProof/>
        </w:rPr>
        <w:t xml:space="preserve">A </w:t>
      </w:r>
      <w:r>
        <w:rPr>
          <w:rFonts w:ascii="EC Square Sans Pro Light" w:hAnsi="EC Square Sans Pro Light"/>
          <w:b/>
          <w:bCs/>
          <w:noProof/>
        </w:rPr>
        <w:t>Fair</w:t>
      </w:r>
      <w:r>
        <w:rPr>
          <w:rFonts w:ascii="EC Square Sans Pro Light" w:hAnsi="EC Square Sans Pro Light"/>
          <w:noProof/>
        </w:rPr>
        <w:t xml:space="preserve"> to showcase projects, prototypes and outputs contributing to the New European Bauhaus and award the New European Bauhaus prize;</w:t>
      </w:r>
    </w:p>
    <w:p>
      <w:pPr>
        <w:pStyle w:val="ListParagraph"/>
        <w:numPr>
          <w:ilvl w:val="0"/>
          <w:numId w:val="44"/>
        </w:numPr>
        <w:spacing w:line="276" w:lineRule="auto"/>
        <w:ind w:left="1440"/>
        <w:rPr>
          <w:rFonts w:ascii="EC Square Sans Pro Light" w:hAnsi="EC Square Sans Pro Light"/>
          <w:noProof/>
        </w:rPr>
      </w:pPr>
      <w:r>
        <w:rPr>
          <w:rFonts w:ascii="EC Square Sans Pro Light" w:hAnsi="EC Square Sans Pro Light"/>
          <w:noProof/>
        </w:rPr>
        <w:t xml:space="preserve">A </w:t>
      </w:r>
      <w:r>
        <w:rPr>
          <w:rFonts w:ascii="EC Square Sans Pro Light" w:hAnsi="EC Square Sans Pro Light"/>
          <w:b/>
          <w:bCs/>
          <w:noProof/>
        </w:rPr>
        <w:t>Fest</w:t>
      </w:r>
      <w:r>
        <w:rPr>
          <w:rFonts w:ascii="EC Square Sans Pro Light" w:hAnsi="EC Square Sans Pro Light"/>
          <w:noProof/>
        </w:rPr>
        <w:t xml:space="preserve"> with a cultural programme combining physical and virtual exhibitions, performances and art works.</w:t>
      </w:r>
    </w:p>
    <w:p>
      <w:pPr>
        <w:ind w:left="720"/>
        <w:rPr>
          <w:rFonts w:ascii="Calibri" w:hAnsi="Calibri"/>
          <w:noProof/>
        </w:rPr>
      </w:pPr>
      <w:r>
        <w:rPr>
          <w:rFonts w:ascii="EC Square Sans Pro Light" w:hAnsi="EC Square Sans Pro Light"/>
          <w:noProof/>
          <w:sz w:val="24"/>
          <w:szCs w:val="24"/>
          <w:lang w:eastAsia="en-GB"/>
        </w:rPr>
        <w:t>The first edition of the festival will take place in Brussels and will be organised and financed</w:t>
      </w:r>
      <w:r>
        <w:rPr>
          <w:noProof/>
          <w:sz w:val="24"/>
          <w:szCs w:val="24"/>
          <w:lang w:eastAsia="en-GB"/>
        </w:rPr>
        <w:t> </w:t>
      </w:r>
      <w:r>
        <w:rPr>
          <w:rFonts w:ascii="EC Square Sans Pro Light" w:hAnsi="EC Square Sans Pro Light"/>
          <w:noProof/>
          <w:sz w:val="24"/>
          <w:szCs w:val="24"/>
          <w:lang w:eastAsia="en-GB"/>
        </w:rPr>
        <w:t>by the European Commission. From 2023 onwards, based on the experience from the first edition, the Commission will envisage a concept for a yearly event that should ideally include places in- and outside the EU</w:t>
      </w:r>
    </w:p>
    <w:p>
      <w:pPr>
        <w:pStyle w:val="Heading3"/>
        <w:rPr>
          <w:noProof/>
        </w:rPr>
      </w:pPr>
      <w:bookmarkStart w:id="28" w:name="_Toc82165940"/>
      <w:bookmarkStart w:id="29" w:name="_Toc82165941"/>
      <w:bookmarkStart w:id="30" w:name="_Toc82165942"/>
      <w:bookmarkStart w:id="31" w:name="_Toc82165943"/>
      <w:bookmarkEnd w:id="28"/>
      <w:bookmarkEnd w:id="29"/>
      <w:bookmarkEnd w:id="30"/>
      <w:r>
        <w:rPr>
          <w:noProof/>
        </w:rPr>
        <w:t>Transformation of places on the ground</w:t>
      </w:r>
      <w:bookmarkEnd w:id="31"/>
    </w:p>
    <w:p>
      <w:pP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lang w:eastAsia="en-GB"/>
        </w:rPr>
        <mc:AlternateContent>
          <mc:Choice Requires="wps">
            <w:drawing>
              <wp:anchor distT="45720" distB="45720" distL="114300" distR="114300" simplePos="0" relativeHeight="251659264" behindDoc="0" locked="0" layoutInCell="1" allowOverlap="0">
                <wp:simplePos x="0" y="0"/>
                <wp:positionH relativeFrom="column">
                  <wp:posOffset>1598062</wp:posOffset>
                </wp:positionH>
                <wp:positionV relativeFrom="page">
                  <wp:posOffset>3117481</wp:posOffset>
                </wp:positionV>
                <wp:extent cx="4114800" cy="2890800"/>
                <wp:effectExtent l="0" t="0" r="19050"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2890800"/>
                        </a:xfrm>
                        <a:prstGeom prst="rect">
                          <a:avLst/>
                        </a:prstGeom>
                        <a:solidFill>
                          <a:srgbClr val="FFFFFF"/>
                        </a:solidFill>
                        <a:ln w="9525">
                          <a:solidFill>
                            <a:schemeClr val="accent1">
                              <a:lumMod val="40000"/>
                              <a:lumOff val="60000"/>
                            </a:schemeClr>
                          </a:solidFill>
                          <a:miter lim="800000"/>
                          <a:headEnd/>
                          <a:tailEnd/>
                        </a:ln>
                      </wps:spPr>
                      <wps:txbx>
                        <w:txbxContent>
                          <w:p>
                            <w:pPr>
                              <w:rPr>
                                <w:rFonts w:ascii="EC Square Sans Pro Light" w:hAnsi="EC Square Sans Pro Light" w:cs="Times New Roman"/>
                                <w:b/>
                                <w:i/>
                                <w:sz w:val="24"/>
                              </w:rPr>
                            </w:pPr>
                            <w:r>
                              <w:rPr>
                                <w:rFonts w:ascii="EC Square Sans Pro Light" w:hAnsi="EC Square Sans Pro Light" w:cs="Times New Roman"/>
                                <w:b/>
                                <w:i/>
                                <w:sz w:val="24"/>
                              </w:rPr>
                              <w:t>The Commission’s building strategy</w:t>
                            </w:r>
                          </w:p>
                          <w:p>
                            <w:pPr>
                              <w:jc w:val="both"/>
                              <w:rPr>
                                <w:rFonts w:ascii="Times New Roman" w:hAnsi="Times New Roman" w:cs="Times New Roman"/>
                                <w:i/>
                                <w:sz w:val="24"/>
                              </w:rPr>
                            </w:pPr>
                            <w:r>
                              <w:rPr>
                                <w:rFonts w:ascii="EC Square Sans Pro Light" w:hAnsi="EC Square Sans Pro Light" w:cs="Times New Roman"/>
                                <w:i/>
                                <w:sz w:val="24"/>
                              </w:rPr>
                              <w:t xml:space="preserve"> </w:t>
                            </w:r>
                            <w:r>
                              <w:rPr>
                                <w:rFonts w:ascii="Times New Roman" w:hAnsi="Times New Roman" w:cs="Times New Roman"/>
                                <w:i/>
                                <w:sz w:val="24"/>
                              </w:rPr>
                              <w:t xml:space="preserve">The Commission has started integrating all three dimensions of the New European Bauhaus in the development of its presence and actions in the places where it services are established. In Brussels, those values will be implemented in the renovation of the Commission Visitors’ Centre, and the Commission will propose a partnership in the design of the new European Quarter Urban planning to the relevant authorities of the Brussels region. Consultations are to be launched in autumn 2021 and will ensure a citizens dialogue around the European neighbourhood. </w:t>
                            </w:r>
                            <w:r>
                              <w:rPr>
                                <w:rFonts w:ascii="Times New Roman" w:hAnsi="Times New Roman" w:cs="Times New Roman"/>
                                <w:i/>
                                <w:iCs/>
                                <w:sz w:val="24"/>
                                <w:szCs w:val="24"/>
                              </w:rPr>
                              <w:t>The New European Bauhaus values will also be implemented in the new construction and refurbishment projects proposed by the Commission for the Joint Research Centre sites’ in Sevilla and Geel</w:t>
                            </w:r>
                            <w:r>
                              <w:rPr>
                                <w:rFonts w:ascii="Times New Roman" w:hAnsi="Times New Roman" w:cs="Times New Roman"/>
                                <w:i/>
                                <w:sz w:val="24"/>
                              </w:rPr>
                              <w:t xml:space="preserve">. </w:t>
                            </w:r>
                          </w:p>
                          <w:p>
                            <w:pPr>
                              <w:jc w:val="both"/>
                              <w:rPr>
                                <w:rFonts w:ascii="EC Square Sans Pro Light" w:hAnsi="EC Square Sans Pro Light" w:cs="Times New Roman"/>
                                <w:i/>
                                <w:sz w:val="24"/>
                              </w:rPr>
                            </w:pPr>
                          </w:p>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25.85pt;margin-top:245.45pt;width:324pt;height:227.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" o:allowoverlap="f" strokecolor="#bdd6ee [1300]">
                <v:textbox>
                  <w:txbxContent>
                    <w:p>
                      <w:pPr>
                        <w:rPr>
                          <w:rFonts w:ascii="EC Square Sans Pro Light" w:hAnsi="EC Square Sans Pro Light" w:cs="Times New Roman"/>
                          <w:b/>
                          <w:i/>
                          <w:sz w:val="24"/>
                        </w:rPr>
                      </w:pPr>
                      <w:r>
                        <w:rPr>
                          <w:rFonts w:ascii="EC Square Sans Pro Light" w:hAnsi="EC Square Sans Pro Light" w:cs="Times New Roman"/>
                          <w:b/>
                          <w:i/>
                          <w:sz w:val="24"/>
                        </w:rPr>
                        <w:t>The Commission’s building strategy</w:t>
                      </w:r>
                    </w:p>
                    <w:p>
                      <w:pPr>
                        <w:jc w:val="both"/>
                        <w:rPr>
                          <w:rFonts w:ascii="Times New Roman" w:hAnsi="Times New Roman" w:cs="Times New Roman"/>
                          <w:i/>
                          <w:sz w:val="24"/>
                        </w:rPr>
                      </w:pPr>
                      <w:r>
                        <w:rPr>
                          <w:rFonts w:ascii="EC Square Sans Pro Light" w:hAnsi="EC Square Sans Pro Light" w:cs="Times New Roman"/>
                          <w:i/>
                          <w:sz w:val="24"/>
                        </w:rPr>
                        <w:t xml:space="preserve"> </w:t>
                      </w:r>
                      <w:r>
                        <w:rPr>
                          <w:rFonts w:ascii="Times New Roman" w:hAnsi="Times New Roman" w:cs="Times New Roman"/>
                          <w:i/>
                          <w:sz w:val="24"/>
                        </w:rPr>
                        <w:t xml:space="preserve">The Commission has started integrating all three dimensions of the New European Bauhaus in the development of its presence and actions in the places where it services are established. In Brussels, those values will be implemented in the renovation of the Commission Visitors’ Centre, and the Commission will propose a partnership in the design of the new European Quarter Urban planning to the relevant authorities of the Brussels region. Consultations are to be launched in autumn 2021 and will ensure a citizens dialogue around the European neighbourhood. </w:t>
                      </w:r>
                      <w:r>
                        <w:rPr>
                          <w:rFonts w:ascii="Times New Roman" w:hAnsi="Times New Roman" w:cs="Times New Roman"/>
                          <w:i/>
                          <w:iCs/>
                          <w:sz w:val="24"/>
                          <w:szCs w:val="24"/>
                        </w:rPr>
                        <w:t>The New European Bauhaus values will also be implemented in the new construction and refurbishment projects proposed by the Commission for the Joint Research Centre sites’ in Sevilla and Geel</w:t>
                      </w:r>
                      <w:r>
                        <w:rPr>
                          <w:rFonts w:ascii="Times New Roman" w:hAnsi="Times New Roman" w:cs="Times New Roman"/>
                          <w:i/>
                          <w:sz w:val="24"/>
                        </w:rPr>
                        <w:t xml:space="preserve">. </w:t>
                      </w:r>
                    </w:p>
                    <w:p>
                      <w:pPr>
                        <w:jc w:val="both"/>
                        <w:rPr>
                          <w:rFonts w:ascii="EC Square Sans Pro Light" w:hAnsi="EC Square Sans Pro Light" w:cs="Times New Roman"/>
                          <w:i/>
                          <w:sz w:val="24"/>
                        </w:rPr>
                      </w:pPr>
                    </w:p>
                    <w:p/>
                  </w:txbxContent>
                </v:textbox>
                <w10:wrap type="square" anchory="page"/>
              </v:shape>
            </w:pict>
          </mc:Fallback>
        </mc:AlternateContent>
      </w:r>
      <w:r>
        <w:rPr>
          <w:rFonts w:ascii="EC Square Sans Pro Light" w:hAnsi="EC Square Sans Pro Light" w:cs="Times New Roman"/>
          <w:noProof/>
          <w:sz w:val="24"/>
          <w:szCs w:val="24"/>
        </w:rPr>
        <w:t>Changes should happen in specific places and in as many places as possible, at the levels of homes, neighbourhoods, urban and rural areas, physical and virtual meeting spaces. The successful deployment of the New European Bauhaus will require an effective learning and sharing from innovative and emblematic projects. Putting such “pilot demonstrators” in the spotlight spurs enthusiasm to engage and repeat. At the same time, initiative often comes from the grassroots actors, and support for small-scale projects will also be needed.</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b/>
          <w:noProof/>
          <w:sz w:val="24"/>
          <w:szCs w:val="24"/>
        </w:rPr>
      </w:pPr>
      <w:r>
        <w:rPr>
          <w:rFonts w:ascii="EC Square Sans Pro Light" w:hAnsi="EC Square Sans Pro Light" w:cs="Times New Roman"/>
          <w:b/>
          <w:noProof/>
          <w:sz w:val="24"/>
          <w:szCs w:val="24"/>
        </w:rPr>
        <w:t xml:space="preserve">The European Commission will </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b/>
          <w:noProof/>
          <w:sz w:val="24"/>
          <w:szCs w:val="24"/>
        </w:rPr>
      </w:pPr>
      <w:r>
        <w:rPr>
          <w:rFonts w:ascii="EC Square Sans Pro Light" w:hAnsi="EC Square Sans Pro Light" w:cs="Times New Roman"/>
          <w:noProof/>
          <w:sz w:val="24"/>
          <w:szCs w:val="24"/>
        </w:rPr>
        <w:t xml:space="preserve">- launch calls for proposals, starting in September 2021 to </w:t>
      </w:r>
      <w:r>
        <w:rPr>
          <w:rFonts w:ascii="EC Square Sans Pro Light" w:hAnsi="EC Square Sans Pro Light" w:cs="Times New Roman"/>
          <w:b/>
          <w:noProof/>
          <w:sz w:val="24"/>
          <w:szCs w:val="24"/>
        </w:rPr>
        <w:t>select innovative pilot projects</w:t>
      </w:r>
      <w:r>
        <w:rPr>
          <w:rFonts w:ascii="EC Square Sans Pro Light" w:hAnsi="EC Square Sans Pro Light" w:cs="Times New Roman"/>
          <w:noProof/>
          <w:sz w:val="24"/>
          <w:szCs w:val="24"/>
        </w:rPr>
        <w:t xml:space="preserve"> that are emblematic of the New European Bauhaus values, including dedicated calls under Horizon Europe on </w:t>
      </w:r>
      <w:r>
        <w:rPr>
          <w:rFonts w:ascii="EC Square Sans Pro Light" w:hAnsi="EC Square Sans Pro Light" w:cs="Times New Roman"/>
          <w:b/>
          <w:noProof/>
          <w:sz w:val="24"/>
          <w:szCs w:val="24"/>
        </w:rPr>
        <w:t>lighthouse demonstrators</w:t>
      </w:r>
      <w:r>
        <w:rPr>
          <w:rFonts w:ascii="EC Square Sans Pro Light" w:hAnsi="EC Square Sans Pro Light" w:cs="Times New Roman"/>
          <w:noProof/>
          <w:sz w:val="24"/>
          <w:szCs w:val="24"/>
        </w:rPr>
        <w:t xml:space="preserve"> and on </w:t>
      </w:r>
      <w:r>
        <w:rPr>
          <w:rFonts w:ascii="EC Square Sans Pro Light" w:hAnsi="EC Square Sans Pro Light" w:cs="Times New Roman"/>
          <w:b/>
          <w:noProof/>
          <w:sz w:val="24"/>
          <w:szCs w:val="24"/>
        </w:rPr>
        <w:t xml:space="preserve">social, affordable and sustainable  housing districts demonstrators. </w:t>
      </w:r>
      <w:r>
        <w:rPr>
          <w:rFonts w:ascii="EC Square Sans Pro Light" w:hAnsi="EC Square Sans Pro Light" w:cs="Times New Roman"/>
          <w:noProof/>
          <w:sz w:val="24"/>
          <w:szCs w:val="24"/>
        </w:rPr>
        <w:t xml:space="preserve">In 2022, additional New European Bauhaus demonstrators will be supported by </w:t>
      </w:r>
      <w:r>
        <w:rPr>
          <w:rFonts w:ascii="EC Square Sans Pro Light" w:hAnsi="EC Square Sans Pro Light" w:cs="Times New Roman"/>
          <w:b/>
          <w:noProof/>
          <w:sz w:val="24"/>
          <w:szCs w:val="24"/>
        </w:rPr>
        <w:t>cohesion policy’s European Urban initiative</w:t>
      </w:r>
      <w:r>
        <w:rPr>
          <w:rStyle w:val="FootnoteReference"/>
          <w:rFonts w:ascii="EC Square Sans Pro Light" w:hAnsi="EC Square Sans Pro Light" w:cs="Times New Roman"/>
          <w:b/>
          <w:noProof/>
          <w:sz w:val="24"/>
          <w:szCs w:val="24"/>
        </w:rPr>
        <w:footnoteReference w:id="16"/>
      </w:r>
      <w:r>
        <w:rPr>
          <w:rFonts w:ascii="EC Square Sans Pro Light" w:hAnsi="EC Square Sans Pro Light" w:cs="Times New Roman"/>
          <w:b/>
          <w:noProof/>
          <w:sz w:val="24"/>
          <w:szCs w:val="24"/>
        </w:rPr>
        <w:t>.</w:t>
      </w:r>
      <w:r>
        <w:rPr>
          <w:rFonts w:ascii="EC Square Sans Pro Light" w:hAnsi="EC Square Sans Pro Light"/>
          <w:b/>
          <w:noProof/>
          <w:sz w:val="24"/>
        </w:rPr>
        <w:t xml:space="preserve"> </w:t>
      </w:r>
      <w:r>
        <w:rPr>
          <w:rFonts w:ascii="EC Square Sans Pro Light" w:hAnsi="EC Square Sans Pro Light" w:cs="Times New Roman"/>
          <w:noProof/>
          <w:sz w:val="24"/>
          <w:szCs w:val="24"/>
        </w:rPr>
        <w:t>Beyond 2022,</w:t>
      </w:r>
      <w:r>
        <w:rPr>
          <w:rFonts w:ascii="EC Square Sans Pro Light" w:hAnsi="EC Square Sans Pro Light" w:cs="Times New Roman"/>
          <w:b/>
          <w:noProof/>
          <w:sz w:val="24"/>
          <w:szCs w:val="24"/>
        </w:rPr>
        <w:t xml:space="preserve"> </w:t>
      </w:r>
      <w:r>
        <w:rPr>
          <w:rFonts w:ascii="EC Square Sans Pro Light" w:hAnsi="EC Square Sans Pro Light" w:cs="Times New Roman"/>
          <w:noProof/>
          <w:sz w:val="24"/>
          <w:szCs w:val="24"/>
        </w:rPr>
        <w:t>the approach will be pursued</w:t>
      </w:r>
      <w:r>
        <w:rPr>
          <w:rFonts w:ascii="EC Square Sans Pro Light" w:hAnsi="EC Square Sans Pro Light" w:cs="Times New Roman"/>
          <w:b/>
          <w:noProof/>
          <w:sz w:val="24"/>
          <w:szCs w:val="24"/>
        </w:rPr>
        <w:t xml:space="preserve"> </w:t>
      </w:r>
      <w:r>
        <w:rPr>
          <w:rFonts w:ascii="EC Square Sans Pro Light" w:hAnsi="EC Square Sans Pro Light" w:cs="Times New Roman"/>
          <w:noProof/>
          <w:sz w:val="24"/>
          <w:szCs w:val="24"/>
        </w:rPr>
        <w:t xml:space="preserve">through synergies with the activities launched under the </w:t>
      </w:r>
      <w:r>
        <w:rPr>
          <w:rFonts w:ascii="EC Square Sans Pro Light" w:hAnsi="EC Square Sans Pro Light" w:cs="Times New Roman"/>
          <w:b/>
          <w:noProof/>
          <w:sz w:val="24"/>
          <w:szCs w:val="24"/>
        </w:rPr>
        <w:t>Horizon Europe Missions</w:t>
      </w:r>
      <w:r>
        <w:rPr>
          <w:rStyle w:val="FootnoteReference"/>
          <w:rFonts w:ascii="EC Square Sans Pro Light" w:hAnsi="EC Square Sans Pro Light" w:cs="Times New Roman"/>
          <w:b/>
          <w:noProof/>
          <w:sz w:val="24"/>
          <w:szCs w:val="24"/>
        </w:rPr>
        <w:footnoteReference w:id="17"/>
      </w:r>
      <w:r>
        <w:rPr>
          <w:rFonts w:ascii="EC Square Sans Pro Light" w:hAnsi="EC Square Sans Pro Light" w:cs="Times New Roman"/>
          <w:b/>
          <w:noProof/>
          <w:sz w:val="24"/>
          <w:szCs w:val="24"/>
        </w:rPr>
        <w:t>;</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color w:val="000000"/>
          <w:sz w:val="24"/>
          <w:szCs w:val="24"/>
          <w:highlight w:val="yellow"/>
        </w:rPr>
      </w:pPr>
      <w:r>
        <w:rPr>
          <w:rFonts w:ascii="EC Square Sans Pro Light" w:hAnsi="EC Square Sans Pro Light" w:cs="Times New Roman"/>
          <w:noProof/>
          <w:sz w:val="24"/>
          <w:szCs w:val="24"/>
        </w:rPr>
        <w:t xml:space="preserve">- provide </w:t>
      </w:r>
      <w:r>
        <w:rPr>
          <w:rFonts w:ascii="EC Square Sans Pro Light" w:hAnsi="EC Square Sans Pro Light" w:cs="Times New Roman"/>
          <w:b/>
          <w:noProof/>
          <w:sz w:val="24"/>
          <w:szCs w:val="24"/>
        </w:rPr>
        <w:t>technical assistance to support interested stakeholders,</w:t>
      </w:r>
      <w:r>
        <w:rPr>
          <w:rFonts w:ascii="EC Square Sans Pro Light" w:hAnsi="EC Square Sans Pro Light" w:cs="Times New Roman"/>
          <w:noProof/>
          <w:sz w:val="24"/>
          <w:szCs w:val="24"/>
        </w:rPr>
        <w:t xml:space="preserve"> such as regional and local administrations, to develop and deliver New European Bauhaus projects, with a first focus </w:t>
      </w:r>
      <w:r>
        <w:rPr>
          <w:rStyle w:val="normaltextrun"/>
          <w:rFonts w:ascii="EC Square Sans Pro Light" w:hAnsi="EC Square Sans Pro Light" w:cs="Times New Roman"/>
          <w:noProof/>
          <w:color w:val="000000"/>
          <w:sz w:val="24"/>
          <w:szCs w:val="24"/>
        </w:rPr>
        <w:t xml:space="preserve">on citizen engagement </w:t>
      </w:r>
      <w:r>
        <w:rPr>
          <w:rFonts w:ascii="EC Square Sans Pro Light" w:hAnsi="EC Square Sans Pro Light" w:cs="Times New Roman"/>
          <w:noProof/>
          <w:sz w:val="24"/>
          <w:szCs w:val="24"/>
        </w:rPr>
        <w:t xml:space="preserve">and </w:t>
      </w:r>
      <w:r>
        <w:rPr>
          <w:rFonts w:ascii="EC Square Sans Pro Light" w:hAnsi="EC Square Sans Pro Light" w:cs="Times New Roman"/>
          <w:noProof/>
          <w:color w:val="000000"/>
          <w:sz w:val="24"/>
          <w:szCs w:val="24"/>
        </w:rPr>
        <w:t>interdisciplinary methods for project incubation</w:t>
      </w:r>
      <w:r>
        <w:rPr>
          <w:rStyle w:val="normaltextrun"/>
          <w:rFonts w:ascii="EC Square Sans Pro Light" w:hAnsi="EC Square Sans Pro Light" w:cs="Times New Roman"/>
          <w:noProof/>
          <w:color w:val="000000"/>
          <w:sz w:val="24"/>
          <w:szCs w:val="24"/>
        </w:rPr>
        <w:t xml:space="preserve"> and co-design</w:t>
      </w:r>
      <w:r>
        <w:rPr>
          <w:rStyle w:val="normaltextrun"/>
          <w:rFonts w:ascii="EC Square Sans Pro Light" w:hAnsi="EC Square Sans Pro Light"/>
          <w:noProof/>
        </w:rPr>
        <w:t>;</w:t>
      </w:r>
      <w:r>
        <w:rPr>
          <w:rFonts w:ascii="EC Square Sans Pro Light" w:hAnsi="EC Square Sans Pro Light" w:cs="Times New Roman"/>
          <w:noProof/>
          <w:color w:val="000000"/>
          <w:sz w:val="24"/>
          <w:szCs w:val="24"/>
          <w:highlight w:val="yellow"/>
        </w:rPr>
        <w:t xml:space="preserve"> </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color w:val="000000"/>
          <w:sz w:val="24"/>
          <w:szCs w:val="24"/>
        </w:rPr>
        <w:t>- introduce a dedicated</w:t>
      </w:r>
      <w:r>
        <w:rPr>
          <w:rFonts w:ascii="EC Square Sans Pro Light" w:hAnsi="EC Square Sans Pro Light" w:cs="Times New Roman"/>
          <w:b/>
          <w:noProof/>
          <w:color w:val="000000"/>
          <w:sz w:val="24"/>
          <w:szCs w:val="24"/>
        </w:rPr>
        <w:t xml:space="preserve"> urban development financial instrument </w:t>
      </w:r>
      <w:r>
        <w:rPr>
          <w:rFonts w:ascii="EC Square Sans Pro Light" w:hAnsi="EC Square Sans Pro Light" w:cs="Times New Roman"/>
          <w:noProof/>
          <w:color w:val="000000"/>
          <w:sz w:val="24"/>
          <w:szCs w:val="24"/>
        </w:rPr>
        <w:t>leveraging EU and private investment to support New European Bauhaus projects in Member States. Beyond project financing, it will also grant support for training and project implementation;</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 explore how to best </w:t>
      </w:r>
      <w:r>
        <w:rPr>
          <w:rFonts w:ascii="EC Square Sans Pro Light" w:hAnsi="EC Square Sans Pro Light" w:cs="Times New Roman"/>
          <w:b/>
          <w:noProof/>
          <w:sz w:val="24"/>
          <w:szCs w:val="24"/>
        </w:rPr>
        <w:t>support small scale projects</w:t>
      </w:r>
      <w:r>
        <w:rPr>
          <w:rFonts w:ascii="EC Square Sans Pro Light" w:hAnsi="EC Square Sans Pro Light" w:cs="Times New Roman"/>
          <w:noProof/>
          <w:sz w:val="24"/>
          <w:szCs w:val="24"/>
        </w:rPr>
        <w:t xml:space="preserve"> building on the work of the European Institute for Innovation and technology</w:t>
      </w:r>
      <w:r>
        <w:rPr>
          <w:rStyle w:val="FootnoteReference"/>
          <w:rFonts w:ascii="EC Square Sans Pro Light" w:hAnsi="EC Square Sans Pro Light" w:cs="Times New Roman"/>
          <w:noProof/>
          <w:sz w:val="24"/>
          <w:szCs w:val="24"/>
        </w:rPr>
        <w:footnoteReference w:id="18"/>
      </w:r>
      <w:r>
        <w:rPr>
          <w:rFonts w:ascii="EC Square Sans Pro Light" w:hAnsi="EC Square Sans Pro Light" w:cs="Times New Roman"/>
          <w:noProof/>
          <w:sz w:val="24"/>
          <w:szCs w:val="24"/>
        </w:rPr>
        <w:t>.</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 establish a </w:t>
      </w:r>
      <w:r>
        <w:rPr>
          <w:rFonts w:ascii="EC Square Sans Pro Light" w:hAnsi="EC Square Sans Pro Light" w:cs="Times New Roman"/>
          <w:b/>
          <w:noProof/>
          <w:sz w:val="24"/>
          <w:szCs w:val="24"/>
        </w:rPr>
        <w:t>New European Bauhaus Seal of Excellence</w:t>
      </w:r>
      <w:r>
        <w:rPr>
          <w:rFonts w:ascii="EC Square Sans Pro Light" w:hAnsi="EC Square Sans Pro Light" w:cs="Times New Roman"/>
          <w:noProof/>
          <w:sz w:val="24"/>
          <w:szCs w:val="24"/>
        </w:rPr>
        <w:t xml:space="preserve"> to highlight projects of high quality that could not be financed by EU programmes because of budgetary constraints. The Seal of Excellence can be seen as a first step towards a </w:t>
      </w:r>
      <w:r>
        <w:rPr>
          <w:rFonts w:ascii="EC Square Sans Pro Light" w:hAnsi="EC Square Sans Pro Light" w:cs="Times New Roman"/>
          <w:b/>
          <w:noProof/>
          <w:sz w:val="24"/>
          <w:szCs w:val="24"/>
        </w:rPr>
        <w:t>New European Bauhaus label</w:t>
      </w:r>
      <w:r>
        <w:rPr>
          <w:rFonts w:ascii="EC Square Sans Pro Light" w:hAnsi="EC Square Sans Pro Light" w:cs="Times New Roman"/>
          <w:noProof/>
          <w:sz w:val="24"/>
          <w:szCs w:val="24"/>
        </w:rPr>
        <w:t>. Selected projects will be integrated in the New European Bauhaus community and promoted towards other potential funders.</w:t>
      </w:r>
    </w:p>
    <w:p>
      <w:pP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Beyond Commission-led initiatives, the funding of transformative New European Bauhaus projects will require strong cooperation with Member States. </w:t>
      </w:r>
      <w:r>
        <w:rPr>
          <w:rFonts w:ascii="EC Square Sans Pro Thin" w:hAnsi="EC Square Sans Pro Thin" w:cs="Times New Roman"/>
          <w:noProof/>
          <w:sz w:val="24"/>
          <w:szCs w:val="24"/>
        </w:rPr>
        <w:t>The place-based and community-led local development approaches of cohesion</w:t>
      </w:r>
      <w:r>
        <w:rPr>
          <w:rFonts w:ascii="EC Square Sans Pro Thin" w:hAnsi="EC Square Sans Pro Thin"/>
          <w:noProof/>
          <w:sz w:val="24"/>
        </w:rPr>
        <w:t xml:space="preserve"> policy </w:t>
      </w:r>
      <w:r>
        <w:rPr>
          <w:rFonts w:ascii="EC Square Sans Pro Thin" w:hAnsi="EC Square Sans Pro Thin" w:cs="Times New Roman"/>
          <w:noProof/>
          <w:sz w:val="24"/>
          <w:szCs w:val="24"/>
        </w:rPr>
        <w:t>can promote</w:t>
      </w:r>
      <w:r>
        <w:rPr>
          <w:rFonts w:ascii="EC Square Sans Pro Thin" w:hAnsi="EC Square Sans Pro Thin"/>
          <w:noProof/>
          <w:sz w:val="24"/>
        </w:rPr>
        <w:t xml:space="preserve"> New European Bauhaus</w:t>
      </w:r>
      <w:r>
        <w:rPr>
          <w:rFonts w:ascii="EC Square Sans Pro Thin" w:hAnsi="EC Square Sans Pro Thin" w:cs="Times New Roman"/>
          <w:noProof/>
          <w:sz w:val="24"/>
          <w:szCs w:val="24"/>
        </w:rPr>
        <w:t xml:space="preserve"> projects at the regional and local level with the participation of local communities</w:t>
      </w:r>
      <w:r>
        <w:rPr>
          <w:rFonts w:ascii="EC Square Sans Pro Thin" w:hAnsi="EC Square Sans Pro Thin"/>
          <w:noProof/>
          <w:sz w:val="24"/>
        </w:rPr>
        <w:t>.</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b/>
          <w:noProof/>
          <w:sz w:val="24"/>
          <w:szCs w:val="24"/>
        </w:rPr>
        <w:t>The European Commission will invite Member States to</w:t>
      </w:r>
      <w:r>
        <w:rPr>
          <w:rFonts w:ascii="EC Square Sans Pro Light" w:hAnsi="EC Square Sans Pro Light" w:cs="Times New Roman"/>
          <w:noProof/>
          <w:sz w:val="24"/>
          <w:szCs w:val="24"/>
        </w:rPr>
        <w:t>:</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 introduce the New European Bauhaus in their socio-economic and territorial development strategies and to reflect their </w:t>
      </w:r>
      <w:r>
        <w:rPr>
          <w:rFonts w:ascii="EC Square Sans Pro Light" w:hAnsi="EC Square Sans Pro Light"/>
          <w:noProof/>
          <w:sz w:val="24"/>
        </w:rPr>
        <w:t>commitment</w:t>
      </w:r>
      <w:r>
        <w:rPr>
          <w:rFonts w:ascii="EC Square Sans Pro Light" w:hAnsi="EC Square Sans Pro Light" w:cs="Times New Roman"/>
          <w:noProof/>
          <w:sz w:val="24"/>
          <w:szCs w:val="24"/>
        </w:rPr>
        <w:t xml:space="preserve"> to support and mainstream the New European Bauhaus in the implementation of </w:t>
      </w:r>
      <w:r>
        <w:rPr>
          <w:rFonts w:ascii="EC Square Sans Pro Light" w:hAnsi="EC Square Sans Pro Light" w:cs="Times New Roman"/>
          <w:b/>
          <w:noProof/>
          <w:sz w:val="24"/>
          <w:szCs w:val="24"/>
        </w:rPr>
        <w:t>cohesion policy</w:t>
      </w:r>
      <w:r>
        <w:rPr>
          <w:rFonts w:ascii="EC Square Sans Pro Light" w:hAnsi="EC Square Sans Pro Light"/>
          <w:noProof/>
          <w:sz w:val="24"/>
        </w:rPr>
        <w:t xml:space="preserve"> 2021-2027</w:t>
      </w:r>
      <w:r>
        <w:rPr>
          <w:rFonts w:ascii="EC Square Sans Pro Light" w:hAnsi="EC Square Sans Pro Light" w:cs="Times New Roman"/>
          <w:noProof/>
          <w:sz w:val="24"/>
          <w:szCs w:val="24"/>
        </w:rPr>
        <w:t xml:space="preserve"> as part of the </w:t>
      </w:r>
      <w:r>
        <w:rPr>
          <w:rFonts w:ascii="EC Square Sans Pro Light" w:hAnsi="EC Square Sans Pro Light"/>
          <w:noProof/>
          <w:sz w:val="24"/>
        </w:rPr>
        <w:t xml:space="preserve">Partnership </w:t>
      </w:r>
      <w:r>
        <w:rPr>
          <w:rFonts w:ascii="EC Square Sans Pro Light" w:hAnsi="EC Square Sans Pro Light" w:cs="Times New Roman"/>
          <w:noProof/>
          <w:sz w:val="24"/>
          <w:szCs w:val="24"/>
        </w:rPr>
        <w:t>Agreements</w:t>
      </w:r>
      <w:r>
        <w:rPr>
          <w:rFonts w:ascii="EC Square Sans Pro Light" w:hAnsi="EC Square Sans Pro Light"/>
          <w:noProof/>
          <w:sz w:val="24"/>
        </w:rPr>
        <w:t xml:space="preserve"> and relevant operational programmes</w:t>
      </w:r>
      <w:r>
        <w:rPr>
          <w:rFonts w:ascii="EC Square Sans Pro Light" w:hAnsi="EC Square Sans Pro Light" w:cs="Times New Roman"/>
          <w:noProof/>
          <w:sz w:val="24"/>
          <w:szCs w:val="24"/>
        </w:rPr>
        <w:t xml:space="preserve">; </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take up the New European Bauhaus financial instrument to finance projects on the ground</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mobilise</w:t>
      </w:r>
      <w:r>
        <w:rPr>
          <w:rFonts w:ascii="EC Square Sans Pro Light" w:hAnsi="EC Square Sans Pro Light" w:cs="Times New Roman"/>
          <w:b/>
          <w:noProof/>
          <w:sz w:val="24"/>
          <w:szCs w:val="24"/>
        </w:rPr>
        <w:t xml:space="preserve"> the relevant parts of their recovery and resilience plans </w:t>
      </w:r>
      <w:r>
        <w:rPr>
          <w:rFonts w:ascii="EC Square Sans Pro Light" w:hAnsi="EC Square Sans Pro Light" w:cs="Times New Roman"/>
          <w:noProof/>
          <w:sz w:val="24"/>
          <w:szCs w:val="24"/>
        </w:rPr>
        <w:t>(e.g. on renovation or infrastructures) on New European Bauhaus transformative projects.</w:t>
      </w:r>
    </w:p>
    <w:p>
      <w:pPr>
        <w:pStyle w:val="Heading3"/>
        <w:rPr>
          <w:noProof/>
        </w:rPr>
      </w:pPr>
      <w:bookmarkStart w:id="32" w:name="_Toc82165944"/>
      <w:r>
        <w:rPr>
          <w:noProof/>
        </w:rPr>
        <w:t>Transformation of the enabling environment for innovation</w:t>
      </w:r>
      <w:bookmarkEnd w:id="32"/>
    </w:p>
    <w:p>
      <w:pP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New European Bauhaus transformation depends on the industrial ecosystems, from construction to lifestyle and creative industries, from materials to business models, from digital to farming, to provide tailored and affordable solutions. As the design phase has shown, innovation plays a key role. This is not only innovation in the sense of new technologies, but can also be a combination of new and traditional technics or a new adaptation of local crafts and knowledge.</w:t>
      </w:r>
    </w:p>
    <w:p>
      <w:pP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The diversity and complexity of relevant legislation and the length of administrative processes can become a challenge for transformation projects and even an obstacle to innovation. Innovative approaches should be tested and implemented in experimental settings in close cooperation with Member States national, regional and local authorities. </w:t>
      </w:r>
    </w:p>
    <w:p>
      <w:pP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The effective use of new materials, production process and other tools, will require (re-)skilling, also through Vocational Education and Training, in several sectors and on different levels. </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b/>
          <w:noProof/>
          <w:sz w:val="24"/>
          <w:szCs w:val="24"/>
        </w:rPr>
      </w:pPr>
      <w:r>
        <w:rPr>
          <w:rFonts w:ascii="EC Square Sans Pro Light" w:hAnsi="EC Square Sans Pro Light" w:cs="Times New Roman"/>
          <w:b/>
          <w:noProof/>
          <w:sz w:val="24"/>
          <w:szCs w:val="24"/>
        </w:rPr>
        <w:t>The Commission will:</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 co-create, by 2022, </w:t>
      </w:r>
      <w:r>
        <w:rPr>
          <w:rFonts w:ascii="EC Square Sans Pro Light" w:hAnsi="EC Square Sans Pro Light" w:cs="Times New Roman"/>
          <w:b/>
          <w:noProof/>
          <w:sz w:val="24"/>
          <w:szCs w:val="24"/>
        </w:rPr>
        <w:t>transition pathways</w:t>
      </w:r>
      <w:r>
        <w:rPr>
          <w:rFonts w:ascii="EC Square Sans Pro Light" w:hAnsi="EC Square Sans Pro Light" w:cs="Times New Roman"/>
          <w:noProof/>
          <w:sz w:val="24"/>
          <w:szCs w:val="24"/>
        </w:rPr>
        <w:t xml:space="preserve"> towards (i) a green, digital and resilient construction ecosystem</w:t>
      </w:r>
      <w:r>
        <w:rPr>
          <w:rFonts w:ascii="EC Square Sans Pro Light" w:hAnsi="EC Square Sans Pro Light" w:cs="Times New Roman"/>
          <w:noProof/>
          <w:sz w:val="24"/>
        </w:rPr>
        <w:t xml:space="preserve"> through the </w:t>
      </w:r>
      <w:r>
        <w:rPr>
          <w:rFonts w:ascii="EC Square Sans Pro Light" w:hAnsi="EC Square Sans Pro Light" w:cs="Times New Roman"/>
          <w:i/>
          <w:noProof/>
          <w:sz w:val="24"/>
        </w:rPr>
        <w:t>High Level Forum on Construction</w:t>
      </w:r>
      <w:r>
        <w:rPr>
          <w:rFonts w:ascii="EC Square Sans Pro Light" w:hAnsi="EC Square Sans Pro Light" w:cs="Times New Roman"/>
          <w:noProof/>
          <w:sz w:val="24"/>
        </w:rPr>
        <w:t>,</w:t>
      </w:r>
      <w:r>
        <w:rPr>
          <w:rFonts w:ascii="EC Square Sans Pro Light" w:hAnsi="EC Square Sans Pro Light" w:cs="Times New Roman"/>
          <w:noProof/>
          <w:sz w:val="24"/>
          <w:szCs w:val="24"/>
        </w:rPr>
        <w:t xml:space="preserve"> (ii) a green, digital and resilient ecosystem on proximity and social economy, to complement the EU Action Plan on social economy, and (iii) a green, digital and resilient textiles ecosystem, to complement the EU strategy on textiles;</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 develop a </w:t>
      </w:r>
      <w:r>
        <w:rPr>
          <w:rFonts w:ascii="EC Square Sans Pro Light" w:hAnsi="EC Square Sans Pro Light" w:cs="Times New Roman"/>
          <w:b/>
          <w:noProof/>
          <w:sz w:val="24"/>
          <w:szCs w:val="24"/>
        </w:rPr>
        <w:t>self-assessment tool</w:t>
      </w:r>
      <w:r>
        <w:rPr>
          <w:rFonts w:ascii="EC Square Sans Pro Light" w:hAnsi="EC Square Sans Pro Light" w:cs="Times New Roman"/>
          <w:noProof/>
          <w:sz w:val="24"/>
          <w:szCs w:val="24"/>
        </w:rPr>
        <w:t xml:space="preserve"> to measure to what extent a project is sustainable, inclusive and aesthetic and help to identify where improvement is possible. This would combine all existing standards, rules and guidance in the relevant areas. In addition, </w:t>
      </w:r>
      <w:r>
        <w:rPr>
          <w:rFonts w:ascii="EC Square Sans Pro Light" w:hAnsi="EC Square Sans Pro Light"/>
          <w:noProof/>
        </w:rPr>
        <w:t xml:space="preserve">develop digital tools for e-learning and assessment to support the use of the Level(s) framework that </w:t>
      </w:r>
      <w:r>
        <w:rPr>
          <w:rFonts w:ascii="EC Square Sans Pro Light" w:hAnsi="EC Square Sans Pro Light" w:cs="Times New Roman"/>
          <w:noProof/>
          <w:sz w:val="24"/>
          <w:szCs w:val="24"/>
        </w:rPr>
        <w:t xml:space="preserve">promotes </w:t>
      </w:r>
      <w:r>
        <w:rPr>
          <w:rFonts w:ascii="EC Square Sans Pro Light" w:hAnsi="EC Square Sans Pro Light" w:cs="Times New Roman"/>
          <w:b/>
          <w:noProof/>
          <w:sz w:val="24"/>
          <w:szCs w:val="24"/>
        </w:rPr>
        <w:t>life-cycle and whole life carbon assessment</w:t>
      </w:r>
      <w:r>
        <w:rPr>
          <w:rFonts w:ascii="EC Square Sans Pro Light" w:hAnsi="EC Square Sans Pro Light" w:cs="Times New Roman"/>
          <w:noProof/>
          <w:sz w:val="24"/>
          <w:szCs w:val="24"/>
        </w:rPr>
        <w:t xml:space="preserve"> for the environmental performance of buildings</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 mobilise further the </w:t>
      </w:r>
      <w:r>
        <w:rPr>
          <w:rFonts w:ascii="EC Square Sans Pro Light" w:hAnsi="EC Square Sans Pro Light" w:cs="Times New Roman"/>
          <w:b/>
          <w:noProof/>
          <w:sz w:val="24"/>
          <w:szCs w:val="24"/>
        </w:rPr>
        <w:t>Horizon Europe programme</w:t>
      </w:r>
      <w:r>
        <w:rPr>
          <w:rFonts w:ascii="EC Square Sans Pro Light" w:hAnsi="EC Square Sans Pro Light" w:cs="Times New Roman"/>
          <w:noProof/>
          <w:sz w:val="24"/>
          <w:szCs w:val="24"/>
        </w:rPr>
        <w:t xml:space="preserve"> to support the New European Bauhaus through research and innovation. The Commission will organise a </w:t>
      </w:r>
      <w:r>
        <w:rPr>
          <w:rFonts w:ascii="EC Square Sans Pro Light" w:hAnsi="EC Square Sans Pro Light" w:cs="Times New Roman"/>
          <w:b/>
          <w:noProof/>
          <w:sz w:val="24"/>
          <w:szCs w:val="24"/>
        </w:rPr>
        <w:t>high-level workshop on “research and innovation for the New European Bauhaus’</w:t>
      </w:r>
      <w:r>
        <w:rPr>
          <w:rFonts w:ascii="EC Square Sans Pro Light" w:hAnsi="EC Square Sans Pro Light" w:cs="Times New Roman"/>
          <w:noProof/>
          <w:sz w:val="24"/>
          <w:szCs w:val="24"/>
        </w:rPr>
        <w:t xml:space="preserve"> to bring together leading experts to provide a forward-looking research and innovation agenda supporting the New European Bauhaus and feed into the co-creation process of future Horizon Europe Work Programmes;</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 mobilise </w:t>
      </w:r>
      <w:r>
        <w:rPr>
          <w:rFonts w:ascii="EC Square Sans Pro Light" w:hAnsi="EC Square Sans Pro Light" w:cs="Times New Roman"/>
          <w:b/>
          <w:noProof/>
          <w:sz w:val="24"/>
          <w:szCs w:val="24"/>
        </w:rPr>
        <w:t>the European Institute of Innovation and Technology</w:t>
      </w:r>
      <w:r>
        <w:rPr>
          <w:rStyle w:val="FootnoteReference"/>
          <w:rFonts w:ascii="EC Square Sans Pro Light" w:hAnsi="EC Square Sans Pro Light" w:cs="Times New Roman"/>
          <w:noProof/>
          <w:sz w:val="24"/>
          <w:szCs w:val="24"/>
        </w:rPr>
        <w:footnoteReference w:id="19"/>
      </w:r>
      <w:r>
        <w:rPr>
          <w:rFonts w:ascii="EC Square Sans Pro Light" w:hAnsi="EC Square Sans Pro Light" w:cs="Times New Roman"/>
          <w:noProof/>
          <w:sz w:val="24"/>
          <w:szCs w:val="24"/>
        </w:rPr>
        <w:t xml:space="preserve"> (EIT) and </w:t>
      </w:r>
      <w:r>
        <w:rPr>
          <w:rFonts w:ascii="EC Square Sans Pro Light" w:hAnsi="EC Square Sans Pro Light" w:cs="Times New Roman"/>
          <w:b/>
          <w:noProof/>
          <w:sz w:val="24"/>
          <w:szCs w:val="24"/>
        </w:rPr>
        <w:t>the European Innovation Council</w:t>
      </w:r>
      <w:r>
        <w:rPr>
          <w:rFonts w:ascii="EC Square Sans Pro Light" w:hAnsi="EC Square Sans Pro Light" w:cs="Times New Roman"/>
          <w:noProof/>
          <w:sz w:val="24"/>
          <w:szCs w:val="24"/>
        </w:rPr>
        <w:t xml:space="preserve"> </w:t>
      </w:r>
      <w:r>
        <w:rPr>
          <w:rStyle w:val="FootnoteReference"/>
          <w:rFonts w:ascii="EC Square Sans Pro Light" w:hAnsi="EC Square Sans Pro Light" w:cs="Times New Roman"/>
          <w:noProof/>
          <w:sz w:val="24"/>
          <w:szCs w:val="24"/>
        </w:rPr>
        <w:footnoteReference w:id="20"/>
      </w:r>
      <w:r>
        <w:rPr>
          <w:rFonts w:ascii="EC Square Sans Pro Light" w:hAnsi="EC Square Sans Pro Light" w:cs="Times New Roman"/>
          <w:noProof/>
          <w:sz w:val="24"/>
          <w:szCs w:val="24"/>
        </w:rPr>
        <w:t>(EIC) capacities to launch a first set of coordinated calls for proposals to address the key innovation challenges that will emerge from the transformation projects on the ground;</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 integrate the New European Bauhaus among the priorities of the </w:t>
      </w:r>
      <w:r>
        <w:rPr>
          <w:rFonts w:ascii="EC Square Sans Pro Light" w:hAnsi="EC Square Sans Pro Light" w:cs="Times New Roman"/>
          <w:b/>
          <w:noProof/>
          <w:sz w:val="24"/>
          <w:szCs w:val="24"/>
        </w:rPr>
        <w:t>LIFE Programme</w:t>
      </w:r>
      <w:r>
        <w:rPr>
          <w:rStyle w:val="FootnoteReference"/>
          <w:rFonts w:ascii="EC Square Sans Pro Light" w:hAnsi="EC Square Sans Pro Light" w:cs="Times New Roman"/>
          <w:noProof/>
          <w:sz w:val="24"/>
          <w:szCs w:val="24"/>
        </w:rPr>
        <w:footnoteReference w:id="21"/>
      </w:r>
      <w:r>
        <w:rPr>
          <w:rFonts w:ascii="EC Square Sans Pro Light" w:hAnsi="EC Square Sans Pro Light" w:cs="Times New Roman"/>
          <w:noProof/>
          <w:sz w:val="24"/>
          <w:szCs w:val="24"/>
        </w:rPr>
        <w:t xml:space="preserve"> to support in particular projects promoting circularity, zero pollution and biodiversity;</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 mobilise the </w:t>
      </w:r>
      <w:r>
        <w:rPr>
          <w:rFonts w:ascii="EC Square Sans Pro Light" w:hAnsi="EC Square Sans Pro Light" w:cs="Times New Roman"/>
          <w:b/>
          <w:bCs/>
          <w:noProof/>
          <w:sz w:val="24"/>
        </w:rPr>
        <w:t>Single Market Programme</w:t>
      </w:r>
      <w:r>
        <w:rPr>
          <w:rStyle w:val="FootnoteReference"/>
          <w:rFonts w:ascii="EC Square Sans Pro Light" w:hAnsi="EC Square Sans Pro Light" w:cs="Times New Roman"/>
          <w:b/>
          <w:bCs/>
          <w:noProof/>
          <w:sz w:val="24"/>
        </w:rPr>
        <w:footnoteReference w:id="22"/>
      </w:r>
      <w:r>
        <w:rPr>
          <w:rFonts w:ascii="EC Square Sans Pro Light" w:hAnsi="EC Square Sans Pro Light" w:cs="Times New Roman"/>
          <w:b/>
          <w:noProof/>
          <w:sz w:val="24"/>
        </w:rPr>
        <w:t xml:space="preserve"> and its </w:t>
      </w:r>
      <w:r>
        <w:rPr>
          <w:rFonts w:ascii="EC Square Sans Pro Light" w:hAnsi="EC Square Sans Pro Light" w:cs="Times New Roman"/>
          <w:b/>
          <w:noProof/>
          <w:sz w:val="24"/>
          <w:szCs w:val="24"/>
        </w:rPr>
        <w:t xml:space="preserve">COSME pillar </w:t>
      </w:r>
      <w:r>
        <w:rPr>
          <w:rStyle w:val="FootnoteReference"/>
          <w:rFonts w:ascii="EC Square Sans Pro Light" w:hAnsi="EC Square Sans Pro Light" w:cs="Times New Roman"/>
          <w:noProof/>
          <w:sz w:val="24"/>
          <w:szCs w:val="24"/>
        </w:rPr>
        <w:footnoteReference w:id="23"/>
      </w:r>
      <w:r>
        <w:rPr>
          <w:rFonts w:ascii="EC Square Sans Pro Light" w:hAnsi="EC Square Sans Pro Light" w:cs="Times New Roman"/>
          <w:noProof/>
          <w:sz w:val="24"/>
          <w:szCs w:val="24"/>
        </w:rPr>
        <w:t xml:space="preserve"> to support business partnerships </w:t>
      </w:r>
      <w:r>
        <w:rPr>
          <w:rFonts w:ascii="EC Square Sans Pro Light" w:hAnsi="EC Square Sans Pro Light" w:cs="Times New Roman"/>
          <w:b/>
          <w:noProof/>
          <w:sz w:val="24"/>
          <w:szCs w:val="24"/>
        </w:rPr>
        <w:t xml:space="preserve">in the lifestyle sector </w:t>
      </w:r>
      <w:r>
        <w:rPr>
          <w:rFonts w:ascii="EC Square Sans Pro Light" w:hAnsi="EC Square Sans Pro Light" w:cs="Times New Roman"/>
          <w:noProof/>
          <w:sz w:val="24"/>
          <w:szCs w:val="24"/>
        </w:rPr>
        <w:t>(fashion, design, furniture etc.)</w:t>
      </w:r>
      <w:r>
        <w:rPr>
          <w:rFonts w:ascii="EC Square Sans Pro Light" w:hAnsi="EC Square Sans Pro Light" w:cs="Times New Roman"/>
          <w:b/>
          <w:noProof/>
          <w:sz w:val="24"/>
          <w:szCs w:val="24"/>
        </w:rPr>
        <w:t xml:space="preserve"> </w:t>
      </w:r>
      <w:r>
        <w:rPr>
          <w:rFonts w:ascii="EC Square Sans Pro Light" w:hAnsi="EC Square Sans Pro Light" w:cs="Times New Roman"/>
          <w:noProof/>
          <w:sz w:val="24"/>
          <w:szCs w:val="24"/>
        </w:rPr>
        <w:t xml:space="preserve">between designers, manufacturers, craftsmen and -women and technology providers </w:t>
      </w:r>
      <w:r>
        <w:rPr>
          <w:rFonts w:ascii="EC Square Sans Pro Light" w:hAnsi="EC Square Sans Pro Light" w:cs="Times New Roman"/>
          <w:noProof/>
          <w:sz w:val="24"/>
        </w:rPr>
        <w:t>(Worth Partnership Project)</w:t>
      </w:r>
      <w:r>
        <w:rPr>
          <w:rStyle w:val="FootnoteReference"/>
          <w:rFonts w:ascii="EC Square Sans Pro Light" w:hAnsi="EC Square Sans Pro Light" w:cs="Times New Roman"/>
          <w:noProof/>
          <w:sz w:val="24"/>
        </w:rPr>
        <w:footnoteReference w:id="24"/>
      </w:r>
      <w:r>
        <w:rPr>
          <w:rFonts w:ascii="EC Square Sans Pro Light" w:hAnsi="EC Square Sans Pro Light" w:cs="Times New Roman"/>
          <w:noProof/>
          <w:sz w:val="24"/>
        </w:rPr>
        <w:t xml:space="preserve"> </w:t>
      </w:r>
      <w:r>
        <w:rPr>
          <w:rFonts w:ascii="EC Square Sans Pro Light" w:hAnsi="EC Square Sans Pro Light" w:cs="Times New Roman"/>
          <w:noProof/>
          <w:sz w:val="24"/>
          <w:szCs w:val="24"/>
        </w:rPr>
        <w:t xml:space="preserve">and to support </w:t>
      </w:r>
      <w:r>
        <w:rPr>
          <w:rFonts w:ascii="EC Square Sans Pro Light" w:hAnsi="EC Square Sans Pro Light" w:cs="Times New Roman"/>
          <w:b/>
          <w:noProof/>
          <w:sz w:val="24"/>
          <w:szCs w:val="24"/>
        </w:rPr>
        <w:t>partnerships</w:t>
      </w:r>
      <w:r>
        <w:rPr>
          <w:rFonts w:ascii="EC Square Sans Pro Light" w:hAnsi="EC Square Sans Pro Light" w:cs="Times New Roman"/>
          <w:b/>
          <w:noProof/>
          <w:sz w:val="24"/>
        </w:rPr>
        <w:t xml:space="preserve"> on Social Economy and Local Green Deals</w:t>
      </w:r>
      <w:r>
        <w:rPr>
          <w:rStyle w:val="FootnoteReference"/>
          <w:rFonts w:ascii="EC Square Sans Pro Light" w:hAnsi="EC Square Sans Pro Light" w:cs="Times New Roman"/>
          <w:noProof/>
          <w:sz w:val="24"/>
        </w:rPr>
        <w:footnoteReference w:id="25"/>
      </w:r>
      <w:r>
        <w:rPr>
          <w:rFonts w:ascii="EC Square Sans Pro Light" w:hAnsi="EC Square Sans Pro Light" w:cs="Times New Roman"/>
          <w:noProof/>
          <w:sz w:val="24"/>
          <w:szCs w:val="24"/>
        </w:rPr>
        <w:t>;</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 foster trans-disciplinary innovation for sustainability, inclusion and well-being among the cultural and creative sectors under the </w:t>
      </w:r>
      <w:r>
        <w:rPr>
          <w:rFonts w:ascii="EC Square Sans Pro Light" w:hAnsi="EC Square Sans Pro Light" w:cs="Times New Roman"/>
          <w:b/>
          <w:noProof/>
          <w:sz w:val="24"/>
          <w:szCs w:val="24"/>
        </w:rPr>
        <w:t>Creative Europe Programme</w:t>
      </w:r>
      <w:r>
        <w:rPr>
          <w:rFonts w:ascii="EC Square Sans Pro Light" w:hAnsi="EC Square Sans Pro Light" w:cs="Times New Roman"/>
          <w:noProof/>
          <w:sz w:val="24"/>
          <w:szCs w:val="24"/>
        </w:rPr>
        <w:t>, notably through Creative Innovation Labs;</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 mobilise </w:t>
      </w:r>
      <w:r>
        <w:rPr>
          <w:rFonts w:ascii="EC Square Sans Pro Light" w:hAnsi="EC Square Sans Pro Light" w:cs="Times New Roman"/>
          <w:b/>
          <w:noProof/>
          <w:sz w:val="24"/>
          <w:szCs w:val="24"/>
        </w:rPr>
        <w:t>Digital Innovation Hubs</w:t>
      </w:r>
      <w:r>
        <w:rPr>
          <w:rFonts w:ascii="EC Square Sans Pro Light" w:hAnsi="EC Square Sans Pro Light" w:cs="Times New Roman"/>
          <w:noProof/>
          <w:sz w:val="24"/>
          <w:szCs w:val="24"/>
        </w:rPr>
        <w:t xml:space="preserve"> in the relevant sectors (including the construction sector) to develop real and virtual environments and experiences involving deep digital technologies (AI, High Performance computing, big data) to support the New European Bauhaus;</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b/>
          <w:noProof/>
          <w:sz w:val="24"/>
          <w:szCs w:val="24"/>
        </w:rPr>
      </w:pPr>
      <w:r>
        <w:rPr>
          <w:rFonts w:ascii="EC Square Sans Pro Light" w:hAnsi="EC Square Sans Pro Light" w:cs="Times New Roman"/>
          <w:noProof/>
          <w:sz w:val="24"/>
          <w:szCs w:val="24"/>
        </w:rPr>
        <w:t xml:space="preserve">- propose, as from 2021, topics and priorities contributing to the New European Bauhaus initiative in the </w:t>
      </w:r>
      <w:r>
        <w:rPr>
          <w:rFonts w:ascii="EC Square Sans Pro Light" w:hAnsi="EC Square Sans Pro Light" w:cs="Times New Roman"/>
          <w:b/>
          <w:noProof/>
          <w:sz w:val="24"/>
          <w:szCs w:val="24"/>
        </w:rPr>
        <w:t>Digital Europe Work Programmes;</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b/>
          <w:noProof/>
          <w:sz w:val="24"/>
          <w:szCs w:val="24"/>
        </w:rPr>
        <w:t xml:space="preserve">- </w:t>
      </w:r>
      <w:r>
        <w:rPr>
          <w:rFonts w:ascii="EC Square Sans Pro Light" w:hAnsi="EC Square Sans Pro Light" w:cs="Times New Roman"/>
          <w:noProof/>
          <w:sz w:val="24"/>
          <w:szCs w:val="24"/>
        </w:rPr>
        <w:t xml:space="preserve">promote </w:t>
      </w:r>
      <w:r>
        <w:rPr>
          <w:rFonts w:ascii="EC Square Sans Pro Light" w:hAnsi="EC Square Sans Pro Light" w:cs="Times New Roman"/>
          <w:b/>
          <w:noProof/>
          <w:sz w:val="24"/>
          <w:szCs w:val="24"/>
        </w:rPr>
        <w:t>innovative procurement</w:t>
      </w:r>
      <w:r>
        <w:rPr>
          <w:rFonts w:ascii="EC Square Sans Pro Light" w:hAnsi="EC Square Sans Pro Light" w:cs="Times New Roman"/>
          <w:noProof/>
          <w:sz w:val="24"/>
          <w:szCs w:val="24"/>
        </w:rPr>
        <w:t xml:space="preserve"> in the context of the New European Bauhaus to foster an approach based on quality, sustainability, inclusion rather than just cost, including through the ”Big Buyers” initiative</w:t>
      </w:r>
      <w:r>
        <w:rPr>
          <w:rStyle w:val="FootnoteReference"/>
          <w:rFonts w:ascii="EC Square Sans Pro Light" w:hAnsi="EC Square Sans Pro Light" w:cs="Times New Roman"/>
          <w:noProof/>
          <w:sz w:val="24"/>
          <w:szCs w:val="24"/>
        </w:rPr>
        <w:footnoteReference w:id="26"/>
      </w:r>
      <w:r>
        <w:rPr>
          <w:rFonts w:ascii="EC Square Sans Pro Light" w:hAnsi="EC Square Sans Pro Light" w:cs="Times New Roman"/>
          <w:noProof/>
          <w:sz w:val="24"/>
          <w:szCs w:val="24"/>
        </w:rPr>
        <w:t xml:space="preserve">; </w:t>
      </w:r>
    </w:p>
    <w:p>
      <w:pPr>
        <w:pStyle w:val="Heading3"/>
        <w:rPr>
          <w:noProof/>
        </w:rPr>
      </w:pPr>
      <w:r>
        <w:rPr>
          <w:noProof/>
        </w:rPr>
        <w:t xml:space="preserve"> </w:t>
      </w:r>
      <w:bookmarkStart w:id="33" w:name="_Toc82165945"/>
      <w:r>
        <w:rPr>
          <w:noProof/>
        </w:rPr>
        <w:t>Diffusion of new meanings</w:t>
      </w:r>
      <w:bookmarkEnd w:id="33"/>
    </w:p>
    <w:p>
      <w:pP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Inspiring a movement starts with values. It is essential to work with those who reflect on, study and convey our values, such as artists, social scientists, educators and education institutions and youth organisations. </w:t>
      </w:r>
    </w:p>
    <w:p>
      <w:pP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lang w:eastAsia="en-GB"/>
        </w:rPr>
        <mc:AlternateContent>
          <mc:Choice Requires="wps">
            <w:drawing>
              <wp:anchor distT="45720" distB="45720" distL="114300" distR="114300" simplePos="0" relativeHeight="251657216" behindDoc="0" locked="0" layoutInCell="1" allowOverlap="1">
                <wp:simplePos x="0" y="0"/>
                <wp:positionH relativeFrom="column">
                  <wp:posOffset>2567305</wp:posOffset>
                </wp:positionH>
                <wp:positionV relativeFrom="paragraph">
                  <wp:posOffset>467360</wp:posOffset>
                </wp:positionV>
                <wp:extent cx="3303270" cy="2018665"/>
                <wp:effectExtent l="0" t="0" r="11430" b="1968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3270" cy="201866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pPr>
                              <w:jc w:val="both"/>
                              <w:rPr>
                                <w:rFonts w:ascii="Times New Roman" w:hAnsi="Times New Roman" w:cs="Times New Roman"/>
                                <w:i/>
                                <w:sz w:val="24"/>
                                <w:szCs w:val="24"/>
                              </w:rPr>
                            </w:pPr>
                            <w:r>
                              <w:rPr>
                                <w:rFonts w:ascii="Times New Roman" w:hAnsi="Times New Roman" w:cs="Times New Roman"/>
                                <w:i/>
                                <w:sz w:val="24"/>
                                <w:szCs w:val="24"/>
                              </w:rPr>
                              <w:t xml:space="preserve">In close collaboration with the Education for Climate Coalition (*), the Commission will launch a call for expression of interest for places of education and knowledge (from public libraries to schools and universities) to develop their own New European Bauhaus projects. The Commission will connect these projects and provide them visibility. A dedicated New European Bauhaus prize in 2023 will allow the best projects to shine.                       (* </w:t>
                            </w:r>
                            <w:hyperlink r:id="rId27" w:history="1">
                              <w:r>
                                <w:rPr>
                                  <w:rStyle w:val="Hyperlink"/>
                                  <w:rFonts w:ascii="Times New Roman" w:hAnsi="Times New Roman" w:cs="Times New Roman"/>
                                  <w:i/>
                                  <w:sz w:val="24"/>
                                  <w:szCs w:val="24"/>
                                </w:rPr>
                                <w:t>https://education-for-climate.ec.europa.eu/_en</w:t>
                              </w:r>
                            </w:hyperlink>
                            <w:r>
                              <w:rPr>
                                <w:rFonts w:ascii="Times New Roman" w:hAnsi="Times New Roman" w:cs="Times New Roman"/>
                                <w:i/>
                                <w:sz w:val="24"/>
                                <w:szCs w:val="24"/>
                              </w:rPr>
                              <w:t xml:space="preserve"> )</w:t>
                            </w:r>
                          </w:p>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02.15pt;margin-top:36.8pt;width:260.1pt;height:158.9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" fillcolor="white [3201]" strokecolor="#5b9bd5 [3204]" strokeweight="1pt">
                <v:textbox>
                  <w:txbxContent>
                    <w:p>
                      <w:pPr>
                        <w:jc w:val="both"/>
                        <w:rPr>
                          <w:rFonts w:ascii="Times New Roman" w:hAnsi="Times New Roman" w:cs="Times New Roman"/>
                          <w:i/>
                          <w:sz w:val="24"/>
                          <w:szCs w:val="24"/>
                        </w:rPr>
                      </w:pPr>
                      <w:r>
                        <w:rPr>
                          <w:rFonts w:ascii="Times New Roman" w:hAnsi="Times New Roman" w:cs="Times New Roman"/>
                          <w:i/>
                          <w:sz w:val="24"/>
                          <w:szCs w:val="24"/>
                        </w:rPr>
                        <w:t xml:space="preserve">In close collaboration with the Education for Climate Coalition (*), the Commission will launch a call for expression of interest for places of education and knowledge (from public libraries to schools and universities) to develop their own New European Bauhaus projects. The Commission will connect these projects and provide them visibility. A dedicated New European Bauhaus prize in 2023 will allow the best projects to shine.                       (* </w:t>
                      </w:r>
                      <w:hyperlink r:id="rId28" w:history="1">
                        <w:r>
                          <w:rPr>
                            <w:rStyle w:val="Hyperlink"/>
                            <w:rFonts w:ascii="Times New Roman" w:hAnsi="Times New Roman" w:cs="Times New Roman"/>
                            <w:i/>
                            <w:sz w:val="24"/>
                            <w:szCs w:val="24"/>
                          </w:rPr>
                          <w:t>https://education-for-climate.ec.europa.eu/_en</w:t>
                        </w:r>
                      </w:hyperlink>
                      <w:r>
                        <w:rPr>
                          <w:rFonts w:ascii="Times New Roman" w:hAnsi="Times New Roman" w:cs="Times New Roman"/>
                          <w:i/>
                          <w:sz w:val="24"/>
                          <w:szCs w:val="24"/>
                        </w:rPr>
                        <w:t xml:space="preserve"> )</w:t>
                      </w:r>
                    </w:p>
                    <w:p/>
                  </w:txbxContent>
                </v:textbox>
                <w10:wrap type="square"/>
              </v:shape>
            </w:pict>
          </mc:Fallback>
        </mc:AlternateContent>
      </w:r>
      <w:r>
        <w:rPr>
          <w:rFonts w:ascii="EC Square Sans Pro Light" w:hAnsi="EC Square Sans Pro Light" w:cs="Times New Roman"/>
          <w:noProof/>
          <w:sz w:val="24"/>
          <w:szCs w:val="24"/>
        </w:rPr>
        <w:t xml:space="preserve">Artists and creative professionals from all fields have long contributed to raise awareness of the socio-economic and environmental challenges of our times. Their critical stance and challenging works on contemporary society can act as eye-openers and help reshape our future world. This is also true for the notions of aesthetics and beauty, for which there are no universal standards or canons any more. </w:t>
      </w:r>
    </w:p>
    <w:p>
      <w:pP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Together with education, training and youth organisations, cultural and creative industries and sectors are new sources of smart, sustainable and inclusive growth and jobs. Their contribution to innovation is increasingly driven by non-technological factors such as creativity, design and new organisational processes or business models and cooperation. This is why sustainability is a major focus for EU youth and education policy, including higher education and support framework, allowing many synergies with the New European Bauhaus initiative.</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b/>
          <w:noProof/>
          <w:sz w:val="24"/>
          <w:szCs w:val="24"/>
        </w:rPr>
      </w:pPr>
      <w:r>
        <w:rPr>
          <w:rFonts w:ascii="EC Square Sans Pro Light" w:hAnsi="EC Square Sans Pro Light" w:cs="Times New Roman"/>
          <w:b/>
          <w:noProof/>
          <w:sz w:val="24"/>
          <w:szCs w:val="24"/>
        </w:rPr>
        <w:t>The Commission will:</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propose to include under</w:t>
      </w:r>
      <w:r>
        <w:rPr>
          <w:rFonts w:ascii="EC Square Sans Pro Light" w:hAnsi="EC Square Sans Pro Light" w:cs="Times New Roman"/>
          <w:b/>
          <w:noProof/>
          <w:sz w:val="24"/>
          <w:szCs w:val="24"/>
        </w:rPr>
        <w:t xml:space="preserve"> Erasmus +</w:t>
      </w:r>
      <w:r>
        <w:rPr>
          <w:rFonts w:ascii="EC Square Sans Pro Light" w:hAnsi="EC Square Sans Pro Light" w:cs="Times New Roman"/>
          <w:noProof/>
          <w:sz w:val="24"/>
          <w:szCs w:val="24"/>
        </w:rPr>
        <w:t xml:space="preserve"> a dedicated priority on the New European Bauhaus in the </w:t>
      </w:r>
      <w:r>
        <w:rPr>
          <w:rFonts w:ascii="EC Square Sans Pro Light" w:hAnsi="EC Square Sans Pro Light" w:cs="Times New Roman"/>
          <w:b/>
          <w:noProof/>
          <w:sz w:val="24"/>
          <w:szCs w:val="24"/>
        </w:rPr>
        <w:t>2022 call for Alliances for innovation</w:t>
      </w:r>
      <w:r>
        <w:rPr>
          <w:rStyle w:val="FootnoteReference"/>
          <w:rFonts w:ascii="EC Square Sans Pro Light" w:hAnsi="EC Square Sans Pro Light" w:cs="Times New Roman"/>
          <w:b/>
          <w:noProof/>
          <w:sz w:val="24"/>
          <w:szCs w:val="24"/>
        </w:rPr>
        <w:footnoteReference w:id="27"/>
      </w:r>
      <w:r>
        <w:rPr>
          <w:rFonts w:ascii="EC Square Sans Pro Light" w:hAnsi="EC Square Sans Pro Light" w:cs="Times New Roman"/>
          <w:b/>
          <w:noProof/>
          <w:sz w:val="24"/>
          <w:szCs w:val="24"/>
        </w:rPr>
        <w:t xml:space="preserve">, </w:t>
      </w:r>
      <w:r>
        <w:rPr>
          <w:rFonts w:ascii="EC Square Sans Pro Light" w:hAnsi="EC Square Sans Pro Light" w:cs="Times New Roman"/>
          <w:noProof/>
          <w:sz w:val="24"/>
          <w:szCs w:val="24"/>
        </w:rPr>
        <w:t xml:space="preserve">targeting both higher education and vocational education and training sectors and propose a priority for the New European Bauhaus in the Erasmus+ </w:t>
      </w:r>
      <w:r>
        <w:rPr>
          <w:rFonts w:ascii="EC Square Sans Pro Light" w:hAnsi="EC Square Sans Pro Light" w:cs="Times New Roman"/>
          <w:b/>
          <w:noProof/>
          <w:sz w:val="24"/>
          <w:szCs w:val="24"/>
        </w:rPr>
        <w:t>European Youth Together 2022</w:t>
      </w:r>
      <w:r>
        <w:rPr>
          <w:rFonts w:ascii="EC Square Sans Pro Light" w:hAnsi="EC Square Sans Pro Light" w:cs="Times New Roman"/>
          <w:noProof/>
          <w:sz w:val="24"/>
          <w:szCs w:val="24"/>
        </w:rPr>
        <w:t xml:space="preserve"> call for projects supporting transnational partnerships for youth organisations </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 propose to support through Creative Europe </w:t>
      </w:r>
      <w:r>
        <w:rPr>
          <w:rFonts w:ascii="EC Square Sans Pro Light" w:hAnsi="EC Square Sans Pro Light" w:cs="Times New Roman"/>
          <w:b/>
          <w:noProof/>
          <w:sz w:val="24"/>
          <w:szCs w:val="24"/>
        </w:rPr>
        <w:t>‘artists’ residencies</w:t>
      </w:r>
      <w:r>
        <w:rPr>
          <w:rFonts w:ascii="EC Square Sans Pro Light" w:hAnsi="EC Square Sans Pro Light" w:cs="Times New Roman"/>
          <w:noProof/>
          <w:sz w:val="24"/>
          <w:szCs w:val="24"/>
        </w:rPr>
        <w:t xml:space="preserve"> and other types of place-bound cultural activities in spaces identified or labelled by the New European Bauhaus; </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 - organise the </w:t>
      </w:r>
      <w:r>
        <w:rPr>
          <w:rFonts w:ascii="EC Square Sans Pro Light" w:hAnsi="EC Square Sans Pro Light" w:cs="Times New Roman"/>
          <w:b/>
          <w:noProof/>
          <w:sz w:val="24"/>
          <w:szCs w:val="24"/>
        </w:rPr>
        <w:t>New European Bauhaus prize</w:t>
      </w:r>
      <w:r>
        <w:rPr>
          <w:rFonts w:ascii="EC Square Sans Pro Light" w:hAnsi="EC Square Sans Pro Light" w:cs="Times New Roman"/>
          <w:noProof/>
          <w:sz w:val="24"/>
          <w:szCs w:val="24"/>
        </w:rPr>
        <w:t xml:space="preserve"> annually, highlighting different dimensions of the New European Bauhaus each year;</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w:t>
      </w:r>
      <w:r>
        <w:rPr>
          <w:rFonts w:ascii="EC Square Sans Pro Light" w:hAnsi="EC Square Sans Pro Light"/>
          <w:noProof/>
          <w:sz w:val="24"/>
        </w:rPr>
        <w:t xml:space="preserve"> </w:t>
      </w:r>
      <w:r>
        <w:rPr>
          <w:rFonts w:ascii="EC Square Sans Pro Light" w:hAnsi="EC Square Sans Pro Light" w:cs="Times New Roman"/>
          <w:noProof/>
          <w:sz w:val="24"/>
          <w:szCs w:val="24"/>
        </w:rPr>
        <w:t xml:space="preserve">develop a </w:t>
      </w:r>
      <w:r>
        <w:rPr>
          <w:rFonts w:ascii="EC Square Sans Pro Light" w:hAnsi="EC Square Sans Pro Light"/>
          <w:b/>
          <w:noProof/>
          <w:sz w:val="24"/>
        </w:rPr>
        <w:t>peer learning</w:t>
      </w:r>
      <w:r>
        <w:rPr>
          <w:rFonts w:ascii="EC Square Sans Pro Light" w:hAnsi="EC Square Sans Pro Light"/>
          <w:noProof/>
          <w:sz w:val="24"/>
        </w:rPr>
        <w:t xml:space="preserve"> </w:t>
      </w:r>
      <w:r>
        <w:rPr>
          <w:rFonts w:ascii="EC Square Sans Pro Light" w:hAnsi="EC Square Sans Pro Light" w:cs="Times New Roman"/>
          <w:noProof/>
          <w:sz w:val="24"/>
          <w:szCs w:val="24"/>
        </w:rPr>
        <w:t xml:space="preserve">action to help local authorities to integrate and implement </w:t>
      </w:r>
      <w:r>
        <w:rPr>
          <w:rFonts w:ascii="EC Square Sans Pro Light" w:hAnsi="EC Square Sans Pro Light" w:cs="Times New Roman"/>
          <w:b/>
          <w:noProof/>
          <w:sz w:val="24"/>
          <w:szCs w:val="24"/>
        </w:rPr>
        <w:t>quality principles in the built environment</w:t>
      </w:r>
      <w:r>
        <w:rPr>
          <w:rFonts w:ascii="EC Square Sans Pro Light" w:hAnsi="EC Square Sans Pro Light" w:cs="Times New Roman"/>
          <w:noProof/>
          <w:sz w:val="24"/>
          <w:szCs w:val="24"/>
        </w:rPr>
        <w:t xml:space="preserve"> as developed by the Davos process</w:t>
      </w:r>
      <w:r>
        <w:rPr>
          <w:rStyle w:val="FootnoteReference"/>
          <w:rFonts w:ascii="EC Square Sans Pro Light" w:hAnsi="EC Square Sans Pro Light" w:cs="Times New Roman"/>
          <w:noProof/>
          <w:sz w:val="24"/>
          <w:szCs w:val="24"/>
        </w:rPr>
        <w:footnoteReference w:id="28"/>
      </w:r>
      <w:r>
        <w:rPr>
          <w:rFonts w:ascii="EC Square Sans Pro Light" w:hAnsi="EC Square Sans Pro Light" w:cs="Times New Roman"/>
          <w:noProof/>
          <w:sz w:val="24"/>
          <w:szCs w:val="24"/>
        </w:rPr>
        <w:t xml:space="preserve">  and the Member States’ expert group</w:t>
      </w:r>
      <w:r>
        <w:rPr>
          <w:rStyle w:val="FootnoteReference"/>
          <w:rFonts w:ascii="EC Square Sans Pro Light" w:hAnsi="EC Square Sans Pro Light" w:cs="Times New Roman"/>
          <w:noProof/>
          <w:sz w:val="24"/>
          <w:szCs w:val="24"/>
        </w:rPr>
        <w:footnoteReference w:id="29"/>
      </w:r>
      <w:r>
        <w:rPr>
          <w:rFonts w:ascii="EC Square Sans Pro Light" w:hAnsi="EC Square Sans Pro Light" w:cs="Times New Roman"/>
          <w:noProof/>
          <w:sz w:val="24"/>
          <w:szCs w:val="24"/>
        </w:rPr>
        <w:t xml:space="preserve"> established under the New European Agenda for Culture. ;</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 focus the </w:t>
      </w:r>
      <w:r>
        <w:rPr>
          <w:rFonts w:ascii="EC Square Sans Pro Light" w:hAnsi="EC Square Sans Pro Light" w:cs="Times New Roman"/>
          <w:b/>
          <w:noProof/>
          <w:sz w:val="24"/>
          <w:szCs w:val="24"/>
        </w:rPr>
        <w:t>eTwinning 2022</w:t>
      </w:r>
      <w:r>
        <w:rPr>
          <w:rStyle w:val="FootnoteReference"/>
          <w:rFonts w:ascii="EC Square Sans Pro Light" w:hAnsi="EC Square Sans Pro Light" w:cs="Times New Roman"/>
          <w:b/>
          <w:noProof/>
          <w:sz w:val="24"/>
          <w:szCs w:val="24"/>
        </w:rPr>
        <w:footnoteReference w:id="30"/>
      </w:r>
      <w:r>
        <w:rPr>
          <w:rFonts w:ascii="EC Square Sans Pro Light" w:hAnsi="EC Square Sans Pro Light" w:cs="Times New Roman"/>
          <w:b/>
          <w:noProof/>
          <w:sz w:val="24"/>
          <w:szCs w:val="24"/>
        </w:rPr>
        <w:t>annual theme on topics related to the New European Bauhaus</w:t>
      </w:r>
      <w:r>
        <w:rPr>
          <w:rFonts w:ascii="EC Square Sans Pro Light" w:hAnsi="EC Square Sans Pro Light" w:cs="Times New Roman"/>
          <w:noProof/>
          <w:sz w:val="24"/>
          <w:szCs w:val="24"/>
        </w:rPr>
        <w:t xml:space="preserve"> </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b/>
          <w:noProof/>
          <w:sz w:val="24"/>
        </w:rPr>
      </w:pPr>
      <w:r>
        <w:rPr>
          <w:rFonts w:ascii="EC Square Sans Pro Light" w:hAnsi="EC Square Sans Pro Light" w:cs="Times New Roman"/>
          <w:noProof/>
          <w:sz w:val="24"/>
          <w:szCs w:val="24"/>
        </w:rPr>
        <w:t xml:space="preserve">- </w:t>
      </w:r>
      <w:r>
        <w:rPr>
          <w:rFonts w:ascii="EC Square Sans Pro Light" w:hAnsi="EC Square Sans Pro Light" w:cs="Times New Roman"/>
          <w:b/>
          <w:noProof/>
          <w:sz w:val="24"/>
          <w:szCs w:val="24"/>
        </w:rPr>
        <w:t xml:space="preserve">propose topics </w:t>
      </w:r>
      <w:r>
        <w:rPr>
          <w:rFonts w:ascii="EC Square Sans Pro Light" w:hAnsi="EC Square Sans Pro Light" w:cs="Times New Roman"/>
          <w:noProof/>
          <w:sz w:val="24"/>
          <w:szCs w:val="24"/>
        </w:rPr>
        <w:t>related to the New European Bauhaus as part of the thematic priorities</w:t>
      </w:r>
      <w:r>
        <w:rPr>
          <w:rFonts w:ascii="EC Square Sans Pro Light" w:hAnsi="EC Square Sans Pro Light" w:cs="Times New Roman"/>
          <w:b/>
          <w:noProof/>
          <w:sz w:val="24"/>
          <w:szCs w:val="24"/>
        </w:rPr>
        <w:t xml:space="preserve"> for the European Innovative Teaching Award 2022</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b/>
          <w:noProof/>
          <w:sz w:val="24"/>
          <w:szCs w:val="24"/>
        </w:rPr>
      </w:pPr>
      <w:r>
        <w:rPr>
          <w:rFonts w:ascii="EC Square Sans Pro Light" w:hAnsi="EC Square Sans Pro Light" w:cs="Times New Roman"/>
          <w:b/>
          <w:noProof/>
          <w:sz w:val="24"/>
          <w:szCs w:val="24"/>
        </w:rPr>
        <w:t xml:space="preserve">- </w:t>
      </w:r>
      <w:r>
        <w:rPr>
          <w:rFonts w:ascii="EC Square Sans Pro Light" w:hAnsi="EC Square Sans Pro Light" w:cs="Times New Roman"/>
          <w:noProof/>
          <w:sz w:val="24"/>
          <w:szCs w:val="24"/>
        </w:rPr>
        <w:t>link the annual theme of the</w:t>
      </w:r>
      <w:r>
        <w:rPr>
          <w:rFonts w:ascii="EC Square Sans Pro Light" w:hAnsi="EC Square Sans Pro Light" w:cs="Times New Roman"/>
          <w:b/>
          <w:noProof/>
          <w:sz w:val="24"/>
          <w:szCs w:val="24"/>
        </w:rPr>
        <w:t xml:space="preserve"> 2022 DiscoverEU action</w:t>
      </w:r>
      <w:r>
        <w:rPr>
          <w:rStyle w:val="FootnoteReference"/>
          <w:rFonts w:ascii="EC Square Sans Pro Light" w:hAnsi="EC Square Sans Pro Light" w:cs="Times New Roman"/>
          <w:b/>
          <w:noProof/>
          <w:sz w:val="24"/>
          <w:szCs w:val="24"/>
        </w:rPr>
        <w:footnoteReference w:id="31"/>
      </w:r>
      <w:r>
        <w:rPr>
          <w:rFonts w:ascii="EC Square Sans Pro Light" w:hAnsi="EC Square Sans Pro Light" w:cs="Times New Roman"/>
          <w:b/>
          <w:noProof/>
          <w:sz w:val="24"/>
          <w:szCs w:val="24"/>
        </w:rPr>
        <w:t xml:space="preserve"> </w:t>
      </w:r>
      <w:r>
        <w:rPr>
          <w:rFonts w:ascii="EC Square Sans Pro Light" w:hAnsi="EC Square Sans Pro Light" w:cs="Times New Roman"/>
          <w:noProof/>
          <w:sz w:val="24"/>
          <w:szCs w:val="24"/>
        </w:rPr>
        <w:t>to the New European Bauhaus</w:t>
      </w:r>
      <w:r>
        <w:rPr>
          <w:rFonts w:ascii="EC Square Sans Pro Light" w:hAnsi="EC Square Sans Pro Light" w:cs="Times New Roman"/>
          <w:b/>
          <w:noProof/>
          <w:sz w:val="24"/>
          <w:szCs w:val="24"/>
        </w:rPr>
        <w:t>;</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 for the </w:t>
      </w:r>
      <w:r>
        <w:rPr>
          <w:rFonts w:ascii="EC Square Sans Pro Light" w:hAnsi="EC Square Sans Pro Light" w:cs="Times New Roman"/>
          <w:b/>
          <w:noProof/>
          <w:sz w:val="24"/>
          <w:szCs w:val="24"/>
        </w:rPr>
        <w:t>European Solidarity Corps 2022 annual call</w:t>
      </w:r>
      <w:r>
        <w:rPr>
          <w:rFonts w:ascii="EC Square Sans Pro Light" w:hAnsi="EC Square Sans Pro Light" w:cs="Times New Roman"/>
          <w:noProof/>
          <w:sz w:val="24"/>
          <w:szCs w:val="24"/>
        </w:rPr>
        <w:t>, propose projects that can contribute to the New European Bauhaus initiative.</w:t>
      </w:r>
    </w:p>
    <w:p>
      <w:pPr>
        <w:pStyle w:val="Heading1"/>
        <w:spacing w:line="276" w:lineRule="auto"/>
        <w:rPr>
          <w:rFonts w:ascii="EC Square Sans Pro Light" w:hAnsi="EC Square Sans Pro Light"/>
          <w:noProof/>
        </w:rPr>
      </w:pPr>
      <w:bookmarkStart w:id="34" w:name="_Toc82165946"/>
      <w:r>
        <w:rPr>
          <w:rFonts w:ascii="EC Square Sans Pro Light" w:hAnsi="EC Square Sans Pro Light"/>
          <w:noProof/>
        </w:rPr>
        <w:t>Next steps</w:t>
      </w:r>
      <w:bookmarkEnd w:id="34"/>
    </w:p>
    <w:p>
      <w:pP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The New European Bauhaus will build on the strength of its growing community. Over the past six months, the initiative gathered enthusiasm and thousands of ideas, which this communication builds upon. The mobilisation of interested actors will continue and the conversation will widen both across Europe and beyond, in cooperation with the European External Action Service, European Union Delegations as well as the interested international organisations and networks. In this respect, synergies with relevant policy and cooperation frameworks will be identified in particular in the EU’s neighbourhood.</w:t>
      </w:r>
    </w:p>
    <w:p>
      <w:pP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The European Commission will count on the cooperation of the European Parliament, the Council, the Committee of the Regions and the European Economic and Social Committee to raise awareness and promote the debate in their constituencies, mobilise citizens and private sector actors and share available resources to support the New European Bauhaus.</w:t>
      </w:r>
    </w:p>
    <w:p>
      <w:pP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 xml:space="preserve">The cooperation of Member States and of the public authorities at international, national, regional and local levels, including participation of civil society and representatives of diverse communities, will be crucial. From the promotion of participatory co-design processes to the ability to support the financing of local transformation projects, the New European Bauhaus will require strong cooperation across this multilevel governance framework. </w:t>
      </w:r>
    </w:p>
    <w:p>
      <w:pP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As a starting point, Member States will be invited to entrust an entity as a contact point for the New European Bauhaus initiative to connect and coordinate efforts in their respective country and participate in an EU wide informal network for exchange of information and experience.</w:t>
      </w:r>
    </w:p>
    <w:p>
      <w:pP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The European Commission will report on the progress of the initiative in 2022.</w:t>
      </w:r>
    </w:p>
    <w:p>
      <w:pPr>
        <w:spacing w:line="276" w:lineRule="auto"/>
        <w:jc w:val="both"/>
        <w:rPr>
          <w:rFonts w:ascii="EC Square Sans Pro Light" w:hAnsi="EC Square Sans Pro Light" w:cs="Times New Roman"/>
          <w:b/>
          <w:noProof/>
          <w:sz w:val="24"/>
          <w:szCs w:val="24"/>
        </w:rPr>
      </w:pPr>
    </w:p>
    <w:p>
      <w:pP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b/>
          <w:noProof/>
          <w:sz w:val="24"/>
          <w:szCs w:val="24"/>
        </w:rPr>
        <w:t>Annexes</w:t>
      </w:r>
      <w:r>
        <w:rPr>
          <w:rFonts w:ascii="EC Square Sans Pro Light" w:hAnsi="EC Square Sans Pro Light" w:cs="Times New Roman"/>
          <w:noProof/>
          <w:sz w:val="24"/>
          <w:szCs w:val="24"/>
        </w:rPr>
        <w:t>:</w:t>
      </w:r>
    </w:p>
    <w:p>
      <w:pPr>
        <w:spacing w:after="0"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1.</w:t>
      </w:r>
      <w:r>
        <w:rPr>
          <w:rFonts w:ascii="EC Square Sans Pro Light" w:hAnsi="EC Square Sans Pro Light" w:cs="Times New Roman"/>
          <w:noProof/>
          <w:sz w:val="24"/>
          <w:szCs w:val="24"/>
        </w:rPr>
        <w:tab/>
        <w:t>Report on the co-design phase</w:t>
      </w:r>
    </w:p>
    <w:p>
      <w:pPr>
        <w:spacing w:after="0"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2.</w:t>
      </w:r>
      <w:r>
        <w:rPr>
          <w:rFonts w:ascii="EC Square Sans Pro Light" w:hAnsi="EC Square Sans Pro Light" w:cs="Times New Roman"/>
          <w:noProof/>
          <w:sz w:val="24"/>
          <w:szCs w:val="24"/>
        </w:rPr>
        <w:tab/>
        <w:t>Mobilising EU programmes</w:t>
      </w:r>
    </w:p>
    <w:p>
      <w:pPr>
        <w:spacing w:after="0"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t>3.</w:t>
      </w:r>
      <w:r>
        <w:rPr>
          <w:rFonts w:ascii="EC Square Sans Pro Light" w:hAnsi="EC Square Sans Pro Light" w:cs="Times New Roman"/>
          <w:noProof/>
          <w:sz w:val="24"/>
          <w:szCs w:val="24"/>
        </w:rPr>
        <w:tab/>
        <w:t>New European Bauhaus policy ecosystem</w:t>
      </w:r>
    </w:p>
    <w:p>
      <w:pPr>
        <w:spacing w:after="0" w:line="276" w:lineRule="auto"/>
        <w:jc w:val="both"/>
        <w:rPr>
          <w:rFonts w:ascii="EC Square Sans Pro Light" w:hAnsi="EC Square Sans Pro Light" w:cs="Times New Roman"/>
          <w:noProof/>
          <w:sz w:val="24"/>
          <w:szCs w:val="24"/>
        </w:rPr>
      </w:pPr>
    </w:p>
    <w:p>
      <w:pPr>
        <w:spacing w:after="0" w:line="276" w:lineRule="auto"/>
        <w:jc w:val="both"/>
        <w:rPr>
          <w:rFonts w:ascii="EC Square Sans Pro Light" w:hAnsi="EC Square Sans Pro Light" w:cs="Times New Roman"/>
          <w:noProof/>
          <w:sz w:val="24"/>
          <w:szCs w:val="24"/>
        </w:rPr>
      </w:pPr>
    </w:p>
    <w:p>
      <w:pPr>
        <w:spacing w:line="276" w:lineRule="auto"/>
        <w:jc w:val="both"/>
        <w:rPr>
          <w:rFonts w:ascii="EC Square Sans Pro Light" w:hAnsi="EC Square Sans Pro Light" w:cs="Times New Roman"/>
          <w:b/>
          <w:noProof/>
          <w:sz w:val="24"/>
          <w:szCs w:val="24"/>
        </w:rPr>
      </w:pPr>
      <w:r>
        <w:rPr>
          <w:rFonts w:ascii="EC Square Sans Pro Light" w:hAnsi="EC Square Sans Pro Light" w:cs="Times New Roman"/>
          <w:b/>
          <w:noProof/>
          <w:sz w:val="24"/>
          <w:szCs w:val="24"/>
        </w:rPr>
        <w:t>Credits</w:t>
      </w:r>
    </w:p>
    <w:p>
      <w:p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cs="Lucida Console"/>
          <w:noProof/>
          <w:sz w:val="20"/>
          <w:szCs w:val="20"/>
        </w:rPr>
        <w:t>COVER:</w:t>
      </w:r>
    </w:p>
    <w:p>
      <w:pPr>
        <w:pStyle w:val="ListParagraph"/>
        <w:numPr>
          <w:ilvl w:val="0"/>
          <w:numId w:val="46"/>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cs="Lucida Console"/>
          <w:noProof/>
          <w:sz w:val="20"/>
          <w:szCs w:val="20"/>
        </w:rPr>
        <w:t>Tree-House School © Valentino Gareri</w:t>
      </w:r>
    </w:p>
    <w:p>
      <w:pPr>
        <w:pStyle w:val="ListParagraph"/>
        <w:numPr>
          <w:ilvl w:val="0"/>
          <w:numId w:val="46"/>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cs="Lucida Console"/>
          <w:noProof/>
          <w:sz w:val="20"/>
          <w:szCs w:val="20"/>
        </w:rPr>
        <w:t>Architecture © Adobe Stock – lilymary</w:t>
      </w:r>
    </w:p>
    <w:p>
      <w:pPr>
        <w:pStyle w:val="ListParagraph"/>
        <w:numPr>
          <w:ilvl w:val="0"/>
          <w:numId w:val="46"/>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cs="Lucida Console"/>
          <w:noProof/>
          <w:sz w:val="20"/>
          <w:szCs w:val="20"/>
        </w:rPr>
        <w:t>Top view of people are resting on the lawn in the park © Adobe Stock – Watman</w:t>
      </w:r>
    </w:p>
    <w:p>
      <w:pPr>
        <w:autoSpaceDE w:val="0"/>
        <w:autoSpaceDN w:val="0"/>
        <w:adjustRightInd w:val="0"/>
        <w:spacing w:after="0" w:line="240" w:lineRule="auto"/>
        <w:rPr>
          <w:rFonts w:ascii="EC Square Sans Pro Light" w:hAnsi="EC Square Sans Pro Light" w:cs="Segoe UI Symbol"/>
          <w:noProof/>
          <w:sz w:val="20"/>
          <w:szCs w:val="20"/>
        </w:rPr>
      </w:pPr>
    </w:p>
    <w:p>
      <w:pPr>
        <w:autoSpaceDE w:val="0"/>
        <w:autoSpaceDN w:val="0"/>
        <w:adjustRightInd w:val="0"/>
        <w:spacing w:after="0" w:line="240" w:lineRule="auto"/>
        <w:rPr>
          <w:rFonts w:ascii="EC Square Sans Pro Light" w:hAnsi="EC Square Sans Pro Light" w:cs="Segoe UI Symbol"/>
          <w:noProof/>
          <w:sz w:val="20"/>
          <w:szCs w:val="20"/>
        </w:rPr>
      </w:pPr>
      <w:r>
        <w:rPr>
          <w:rFonts w:ascii="EC Square Sans Pro Light" w:hAnsi="EC Square Sans Pro Light" w:cs="Segoe UI Symbol"/>
          <w:noProof/>
          <w:sz w:val="20"/>
          <w:szCs w:val="20"/>
        </w:rPr>
        <w:t>Internal pages</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cs="Lucida Console"/>
          <w:noProof/>
          <w:sz w:val="20"/>
          <w:szCs w:val="20"/>
        </w:rPr>
        <w:t>Nautilus shell © Adobe Stock – Dean Pennala</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cs="Lucida Console"/>
          <w:noProof/>
          <w:sz w:val="20"/>
          <w:szCs w:val="20"/>
        </w:rPr>
        <w:t>Green foliage texture © Adobe Stock – Vera Kuttelvaserova</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cs="Lucida Console"/>
          <w:noProof/>
          <w:sz w:val="20"/>
          <w:szCs w:val="20"/>
        </w:rPr>
        <w:t>Top view of people are resting on the lawn in the park © Adobe Stock – Watman</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cs="Lucida Console"/>
          <w:noProof/>
          <w:sz w:val="20"/>
          <w:szCs w:val="20"/>
        </w:rPr>
        <w:t>Laracha Health Centre © H. Santos-Díez</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cs="Lucida Console"/>
          <w:noProof/>
          <w:sz w:val="20"/>
          <w:szCs w:val="20"/>
        </w:rPr>
        <w:t xml:space="preserve">Domo - sustainable architecture education in secondary school © Dolores Victoria </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lang w:val="fr-BE"/>
        </w:rPr>
      </w:pPr>
      <w:r>
        <w:rPr>
          <w:rFonts w:ascii="EC Square Sans Pro Light" w:hAnsi="EC Square Sans Pro Light" w:cs="Lucida Console"/>
          <w:noProof/>
          <w:sz w:val="20"/>
          <w:szCs w:val="20"/>
          <w:lang w:val="fr-BE"/>
        </w:rPr>
        <w:t>La Ferme du Rail © Myr Muratet.</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cs="Lucida Console"/>
          <w:noProof/>
          <w:sz w:val="20"/>
          <w:szCs w:val="20"/>
        </w:rPr>
        <w:t>The Arch © O.S.T. &amp; Constructlab</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cs="Lucida Console"/>
          <w:noProof/>
          <w:sz w:val="20"/>
          <w:szCs w:val="20"/>
        </w:rPr>
        <w:t>Wunderbugs © Francesco Lipari</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cs="Lucida Console"/>
          <w:noProof/>
          <w:sz w:val="20"/>
          <w:szCs w:val="20"/>
        </w:rPr>
        <w:t>Palaluxottica © Simone Bossi</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cs="Lucida Console"/>
          <w:noProof/>
          <w:sz w:val="20"/>
          <w:szCs w:val="20"/>
        </w:rPr>
        <w:t>Holmes Road Studios © Peter Barber Architects</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cs="Lucida Console"/>
          <w:noProof/>
          <w:sz w:val="20"/>
          <w:szCs w:val="20"/>
        </w:rPr>
        <w:t>Proto-Habitat © Flavien Menu</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cs="Lucida Console"/>
          <w:noProof/>
          <w:sz w:val="20"/>
          <w:szCs w:val="20"/>
        </w:rPr>
        <w:t>Rain gardens at Rundelsgatan in Vellinge © Source: edge</w:t>
      </w:r>
      <w:r>
        <w:rPr>
          <w:rFonts w:ascii="Arial" w:hAnsi="Arial" w:cs="Arial"/>
          <w:noProof/>
          <w:sz w:val="20"/>
          <w:szCs w:val="20"/>
        </w:rPr>
        <w:t>​</w:t>
      </w:r>
      <w:r>
        <w:rPr>
          <w:rFonts w:ascii="EC Square Sans Pro Light" w:hAnsi="EC Square Sans Pro Light" w:cs="Lucida Console"/>
          <w:noProof/>
          <w:sz w:val="20"/>
          <w:szCs w:val="20"/>
        </w:rPr>
        <w:t>s</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cs="Lucida Console"/>
          <w:noProof/>
          <w:sz w:val="20"/>
          <w:szCs w:val="20"/>
        </w:rPr>
        <w:t>Tree-House School © Valentino Gareri</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cs="Lucida Console"/>
          <w:noProof/>
          <w:sz w:val="20"/>
          <w:szCs w:val="20"/>
        </w:rPr>
        <w:t xml:space="preserve">Domo - sustainable architecture education in secondary school © Dolores Victoria </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cs="Lucida Console"/>
          <w:noProof/>
          <w:sz w:val="20"/>
          <w:szCs w:val="20"/>
        </w:rPr>
        <w:t>Gleis 21 © H. Hurnaus</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cs="Lucida Console"/>
          <w:noProof/>
          <w:sz w:val="20"/>
          <w:szCs w:val="20"/>
        </w:rPr>
        <w:t>Garden house © C. Pavlou</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cs="Lucida Console"/>
          <w:noProof/>
          <w:sz w:val="20"/>
          <w:szCs w:val="20"/>
        </w:rPr>
        <w:t>Garden house © C. Pavlou</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cs="Lucida Console"/>
          <w:noProof/>
          <w:sz w:val="20"/>
          <w:szCs w:val="20"/>
        </w:rPr>
        <w:t>The Salt House © R. Hofmanis</w:t>
      </w:r>
    </w:p>
    <w:p>
      <w:pPr>
        <w:spacing w:line="276" w:lineRule="auto"/>
        <w:jc w:val="both"/>
        <w:rPr>
          <w:rFonts w:ascii="EC Square Sans Pro Light" w:hAnsi="EC Square Sans Pro Light" w:cs="Times New Roman"/>
          <w:b/>
          <w:noProof/>
          <w:sz w:val="24"/>
          <w:szCs w:val="24"/>
        </w:rPr>
      </w:pPr>
    </w:p>
    <w:sectPr>
      <w:headerReference w:type="even" r:id="rId29"/>
      <w:headerReference w:type="default" r:id="rId30"/>
      <w:footerReference w:type="even" r:id="rId31"/>
      <w:footerReference w:type="default" r:id="rId32"/>
      <w:headerReference w:type="first" r:id="rId33"/>
      <w:footerReference w:type="first" r:id="rId3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EC Square Sans Pro Light">
    <w:panose1 w:val="020B0506000000020004"/>
    <w:charset w:val="00"/>
    <w:family w:val="swiss"/>
    <w:pitch w:val="variable"/>
    <w:sig w:usb0="A00002BF" w:usb1="5000E0FB" w:usb2="00000000" w:usb3="00000000" w:csb0="0000019F" w:csb1="00000000"/>
  </w:font>
  <w:font w:name="EC Square Sans Pro Thin">
    <w:panose1 w:val="020B0506040000020004"/>
    <w:charset w:val="00"/>
    <w:family w:val="swiss"/>
    <w:pitch w:val="variable"/>
    <w:sig w:usb0="A00002BF" w:usb1="5000E0FB"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Console">
    <w:panose1 w:val="020B0609040504020204"/>
    <w:charset w:val="00"/>
    <w:family w:val="modern"/>
    <w:pitch w:val="fixed"/>
    <w:sig w:usb0="8000028F" w:usb1="00001800" w:usb2="00000000" w:usb3="00000000" w:csb0="0000001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453378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pPr>
      <w:r>
        <w:rPr>
          <w:rStyle w:val="FootnoteReference"/>
        </w:rPr>
        <w:footnoteRef/>
      </w:r>
      <w:r>
        <w:t xml:space="preserve"> </w:t>
      </w:r>
      <w:hyperlink r:id="rId1" w:history="1">
        <w:r>
          <w:rPr>
            <w:color w:val="0000FF"/>
            <w:u w:val="single"/>
          </w:rPr>
          <w:t>New European Bauhaus: Commission launches design phase (europa.eu)</w:t>
        </w:r>
      </w:hyperlink>
    </w:p>
  </w:footnote>
  <w:footnote w:id="3">
    <w:p>
      <w:pPr>
        <w:pStyle w:val="FootnoteText"/>
      </w:pPr>
      <w:r>
        <w:rPr>
          <w:rStyle w:val="FootnoteReference"/>
        </w:rPr>
        <w:footnoteRef/>
      </w:r>
      <w:r>
        <w:t xml:space="preserve"> </w:t>
      </w:r>
      <w:hyperlink r:id="rId2" w:history="1">
        <w:r>
          <w:rPr>
            <w:color w:val="0000FF"/>
            <w:u w:val="single"/>
          </w:rPr>
          <w:t>Co-designing the New European Bauhaus (europa.eu)</w:t>
        </w:r>
      </w:hyperlink>
    </w:p>
  </w:footnote>
  <w:footnote w:id="4">
    <w:p>
      <w:pPr>
        <w:pStyle w:val="FootnoteText"/>
      </w:pPr>
      <w:r>
        <w:rPr>
          <w:rStyle w:val="FootnoteReference"/>
        </w:rPr>
        <w:footnoteRef/>
      </w:r>
      <w:r>
        <w:t xml:space="preserve"> </w:t>
      </w:r>
      <w:hyperlink r:id="rId3" w:history="1">
        <w:r>
          <w:rPr>
            <w:rFonts w:cstheme="minorBidi"/>
            <w:color w:val="0000FF"/>
            <w:u w:val="single"/>
          </w:rPr>
          <w:t>Partners (europa.eu)</w:t>
        </w:r>
      </w:hyperlink>
    </w:p>
  </w:footnote>
  <w:footnote w:id="5">
    <w:p>
      <w:pPr>
        <w:pStyle w:val="FootnoteText"/>
      </w:pPr>
      <w:r>
        <w:rPr>
          <w:rStyle w:val="FootnoteReference"/>
        </w:rPr>
        <w:footnoteRef/>
      </w:r>
      <w:r>
        <w:t xml:space="preserve"> </w:t>
      </w:r>
      <w:hyperlink r:id="rId4" w:history="1">
        <w:r>
          <w:rPr>
            <w:rFonts w:cstheme="minorBidi"/>
            <w:color w:val="0000FF"/>
            <w:u w:val="single"/>
          </w:rPr>
          <w:t>High-level roundtable (europa.eu)</w:t>
        </w:r>
      </w:hyperlink>
    </w:p>
  </w:footnote>
  <w:footnote w:id="6">
    <w:p>
      <w:pPr>
        <w:pStyle w:val="FootnoteText"/>
      </w:pPr>
      <w:r>
        <w:rPr>
          <w:rStyle w:val="FootnoteReference"/>
        </w:rPr>
        <w:footnoteRef/>
      </w:r>
      <w:r>
        <w:t xml:space="preserve"> </w:t>
      </w:r>
      <w:hyperlink r:id="rId5" w:history="1">
        <w:r>
          <w:rPr>
            <w:rFonts w:cstheme="minorBidi"/>
            <w:color w:val="0000FF"/>
            <w:u w:val="single"/>
          </w:rPr>
          <w:t>2021 Prizes (europa.eu)</w:t>
        </w:r>
      </w:hyperlink>
    </w:p>
  </w:footnote>
  <w:footnote w:id="7">
    <w:p>
      <w:pPr>
        <w:pStyle w:val="FootnoteText"/>
      </w:pPr>
      <w:r>
        <w:rPr>
          <w:rStyle w:val="FootnoteReference"/>
        </w:rPr>
        <w:footnoteRef/>
      </w:r>
      <w:r>
        <w:t xml:space="preserve"> </w:t>
      </w:r>
      <w:r>
        <w:tab/>
        <w:t>For the purpose of the New European Bauhaus initiative, “sustainability” is understood as “environmental sustainability”.</w:t>
      </w:r>
    </w:p>
  </w:footnote>
  <w:footnote w:id="8">
    <w:p>
      <w:pPr>
        <w:pStyle w:val="FootnoteText"/>
      </w:pPr>
      <w:r>
        <w:rPr>
          <w:rStyle w:val="FootnoteReference"/>
        </w:rPr>
        <w:footnoteRef/>
      </w:r>
      <w:r>
        <w:t xml:space="preserve"> </w:t>
      </w:r>
      <w:r>
        <w:tab/>
        <w:t>This local context has multiple facets which, once combined, may determine the quality of life in the place: proximity to a rewarding job market, access to various types of infrastructures and facilities, affordability of housing, etc.</w:t>
      </w:r>
    </w:p>
  </w:footnote>
  <w:footnote w:id="9">
    <w:p>
      <w:pPr>
        <w:pStyle w:val="FootnoteText"/>
      </w:pPr>
      <w:r>
        <w:rPr>
          <w:rStyle w:val="FootnoteReference"/>
        </w:rPr>
        <w:footnoteRef/>
      </w:r>
      <w:r>
        <w:t xml:space="preserve"> </w:t>
      </w:r>
      <w:r>
        <w:tab/>
        <w:t>This includes persons at a higher risk of poverty, marginalisation and/or discrimination, such as young and older people, people with disabilities, lesbian, gay, bisexual, trans, non-binary, intersex and queer (LGBTIQ) people and people with a minority racial or ethnic background, like the Roma, and religious minorities.</w:t>
      </w:r>
    </w:p>
  </w:footnote>
  <w:footnote w:id="10">
    <w:p>
      <w:pPr>
        <w:pStyle w:val="FootnoteText"/>
      </w:pPr>
      <w:r>
        <w:rPr>
          <w:rStyle w:val="FootnoteReference"/>
        </w:rPr>
        <w:footnoteRef/>
      </w:r>
      <w:r>
        <w:t xml:space="preserve"> </w:t>
      </w:r>
      <w:r>
        <w:tab/>
        <w:t xml:space="preserve">See EEA Report No 21/2019, Chapter 3 on “Healthy environment, healthy lives: how the environment influences health and well-being in Europe” </w:t>
      </w:r>
    </w:p>
  </w:footnote>
  <w:footnote w:id="11">
    <w:p>
      <w:pPr>
        <w:pStyle w:val="FootnoteText"/>
      </w:pPr>
      <w:r>
        <w:rPr>
          <w:rStyle w:val="FootnoteReference"/>
        </w:rPr>
        <w:footnoteRef/>
      </w:r>
      <w:r>
        <w:t xml:space="preserve"> </w:t>
      </w:r>
      <w:r>
        <w:tab/>
      </w:r>
      <w:hyperlink r:id="rId6" w:history="1">
        <w:r>
          <w:rPr>
            <w:rFonts w:cstheme="minorBidi"/>
            <w:color w:val="0000FF"/>
            <w:u w:val="single"/>
          </w:rPr>
          <w:t>15-Minute City (15minutecity.com)</w:t>
        </w:r>
      </w:hyperlink>
    </w:p>
  </w:footnote>
  <w:footnote w:id="12">
    <w:p>
      <w:pPr>
        <w:pStyle w:val="FootnoteText"/>
      </w:pPr>
      <w:r>
        <w:rPr>
          <w:rStyle w:val="FootnoteReference"/>
        </w:rPr>
        <w:footnoteRef/>
      </w:r>
      <w:r>
        <w:t xml:space="preserve"> Boosting investment in social infrastructure in Europe - Publications Office of the EU (europa.eu) </w:t>
      </w:r>
      <w:hyperlink r:id="rId7" w:history="1">
        <w:r>
          <w:rPr>
            <w:rStyle w:val="Hyperlink"/>
          </w:rPr>
          <w:t>https://op.europa.eu/en/publication-detail/-/publication/d3129b80-6f7c-11e8-9483-01aa75ed71a1/language-en/format-PDF</w:t>
        </w:r>
      </w:hyperlink>
      <w:r>
        <w:t xml:space="preserve"> </w:t>
      </w:r>
    </w:p>
  </w:footnote>
  <w:footnote w:id="13">
    <w:p>
      <w:pPr>
        <w:pStyle w:val="FootnoteText"/>
      </w:pPr>
      <w:r>
        <w:rPr>
          <w:rStyle w:val="FootnoteReference"/>
        </w:rPr>
        <w:footnoteRef/>
      </w:r>
      <w:r>
        <w:t xml:space="preserve"> </w:t>
      </w:r>
      <w:hyperlink r:id="rId8" w:history="1">
        <w:r>
          <w:rPr>
            <w:rStyle w:val="Hyperlink"/>
          </w:rPr>
          <w:t>https://digital-strategy.ec.europa.eu/en/policies/digital-compass</w:t>
        </w:r>
      </w:hyperlink>
      <w:r>
        <w:t xml:space="preserve"> </w:t>
      </w:r>
    </w:p>
  </w:footnote>
  <w:footnote w:id="14">
    <w:p>
      <w:pPr>
        <w:pStyle w:val="FootnoteText"/>
      </w:pPr>
      <w:r>
        <w:rPr>
          <w:rStyle w:val="FootnoteReference"/>
        </w:rPr>
        <w:footnoteRef/>
      </w:r>
      <w:r>
        <w:t xml:space="preserve"> </w:t>
      </w:r>
      <w:hyperlink r:id="rId9" w:tgtFrame="_blank" w:history="1">
        <w:r>
          <w:rPr>
            <w:rStyle w:val="normaltextrun"/>
            <w:color w:val="0563C1"/>
            <w:u w:val="single"/>
            <w:shd w:val="clear" w:color="auto" w:fill="FFFFFF"/>
          </w:rPr>
          <w:t>https://www.routledge.com/Design-for-Sustainability-A-Multi-level-Framework-from-Products-to-Socio-technical/Gaziulusoy/p/book/9781032089959</w:t>
        </w:r>
      </w:hyperlink>
    </w:p>
  </w:footnote>
  <w:footnote w:id="15">
    <w:p>
      <w:pPr>
        <w:spacing w:after="0"/>
        <w:rPr>
          <w:rFonts w:ascii="EC Square Sans Pro Thin" w:eastAsia="Times New Roman" w:hAnsi="EC Square Sans Pro Thin"/>
          <w:lang w:eastAsia="en-GB"/>
        </w:rPr>
      </w:pPr>
      <w:r>
        <w:rPr>
          <w:rStyle w:val="FootnoteReference"/>
          <w:rFonts w:ascii="EC Square Sans Pro Thin" w:hAnsi="EC Square Sans Pro Thin"/>
        </w:rPr>
        <w:footnoteRef/>
      </w:r>
      <w:r>
        <w:rPr>
          <w:rFonts w:ascii="EC Square Sans Pro Thin" w:hAnsi="EC Square Sans Pro Thin"/>
        </w:rPr>
        <w:t xml:space="preserve"> </w:t>
      </w:r>
      <w:hyperlink r:id="rId10" w:history="1">
        <w:r>
          <w:rPr>
            <w:rStyle w:val="Hyperlink"/>
            <w:rFonts w:ascii="EC Square Sans Pro Thin" w:eastAsia="Times New Roman" w:hAnsi="EC Square Sans Pro Thin" w:cs="Times New Roman"/>
            <w:lang w:eastAsia="en-GB"/>
          </w:rPr>
          <w:t>http://revistas.unisinos.br/index.php/sdrj/article/view/sdrj.2021.141.02</w:t>
        </w:r>
      </w:hyperlink>
      <w:r>
        <w:rPr>
          <w:rFonts w:ascii="EC Square Sans Pro Thin" w:eastAsia="Times New Roman" w:hAnsi="EC Square Sans Pro Thin" w:cs="Times New Roman"/>
          <w:sz w:val="20"/>
          <w:szCs w:val="20"/>
          <w:lang w:eastAsia="en-GB"/>
        </w:rPr>
        <w:t xml:space="preserve"> </w:t>
      </w:r>
    </w:p>
  </w:footnote>
  <w:footnote w:id="16">
    <w:p>
      <w:pPr>
        <w:pStyle w:val="FootnoteText"/>
      </w:pPr>
      <w:r>
        <w:rPr>
          <w:rStyle w:val="FootnoteReference"/>
        </w:rPr>
        <w:footnoteRef/>
      </w:r>
      <w:r>
        <w:t xml:space="preserve"> </w:t>
      </w:r>
      <w:r>
        <w:tab/>
      </w:r>
      <w:hyperlink r:id="rId11" w:history="1">
        <w:r>
          <w:rPr>
            <w:color w:val="0000FF"/>
            <w:u w:val="single"/>
          </w:rPr>
          <w:t>Explanatory MEMO: European Urban Initiative- POST 2020 (Europa.Eu)</w:t>
        </w:r>
      </w:hyperlink>
    </w:p>
  </w:footnote>
  <w:footnote w:id="17">
    <w:p>
      <w:pPr>
        <w:pStyle w:val="FootnoteText"/>
      </w:pPr>
      <w:r>
        <w:rPr>
          <w:rStyle w:val="FootnoteReference"/>
        </w:rPr>
        <w:footnoteRef/>
      </w:r>
      <w:r>
        <w:t xml:space="preserve"> </w:t>
      </w:r>
      <w:r>
        <w:tab/>
      </w:r>
      <w:hyperlink r:id="rId12" w:history="1">
        <w:r>
          <w:rPr>
            <w:color w:val="0000FF"/>
            <w:u w:val="single"/>
          </w:rPr>
          <w:t>Missions in Horizon Europe | European Commission (europa.eu)</w:t>
        </w:r>
      </w:hyperlink>
    </w:p>
  </w:footnote>
  <w:footnote w:id="18">
    <w:p>
      <w:pPr>
        <w:pStyle w:val="FootnoteText"/>
      </w:pPr>
      <w:r>
        <w:rPr>
          <w:rStyle w:val="FootnoteReference"/>
        </w:rPr>
        <w:footnoteRef/>
      </w:r>
      <w:r>
        <w:t xml:space="preserve"> The European Institute of Innovation and technology has launched a Call for Proposals for Citizens engagement aligned with New European Bauhaus initiative. The aim is to work on activities where citizens are not only asked to identify relevant challenges of their city, but also empowered to co-create together potential solutions in an ideation process (</w:t>
      </w:r>
      <w:hyperlink r:id="rId13" w:history="1">
        <w:r>
          <w:rPr>
            <w:rStyle w:val="Hyperlink"/>
          </w:rPr>
          <w:t>https://www.eiturbanmobility.eu/launch-of-cross-kic-new-european-bauhaus-call-for-proposals-for-citizen-engagement</w:t>
        </w:r>
      </w:hyperlink>
      <w:r>
        <w:t xml:space="preserve"> /)</w:t>
      </w:r>
    </w:p>
  </w:footnote>
  <w:footnote w:id="19">
    <w:p>
      <w:pPr>
        <w:pStyle w:val="FootnoteText"/>
      </w:pPr>
      <w:r>
        <w:rPr>
          <w:rStyle w:val="FootnoteReference"/>
        </w:rPr>
        <w:footnoteRef/>
      </w:r>
      <w:r>
        <w:t xml:space="preserve"> </w:t>
      </w:r>
      <w:hyperlink r:id="rId14" w:history="1">
        <w:r>
          <w:rPr>
            <w:rStyle w:val="Hyperlink"/>
          </w:rPr>
          <w:t>European Institute of Innovation &amp; Technology (EIT) (europa.eu)</w:t>
        </w:r>
      </w:hyperlink>
    </w:p>
  </w:footnote>
  <w:footnote w:id="20">
    <w:p>
      <w:pPr>
        <w:pStyle w:val="FootnoteText"/>
      </w:pPr>
      <w:r>
        <w:rPr>
          <w:rStyle w:val="FootnoteReference"/>
        </w:rPr>
        <w:footnoteRef/>
      </w:r>
      <w:r>
        <w:t xml:space="preserve"> </w:t>
      </w:r>
      <w:hyperlink r:id="rId15" w:history="1">
        <w:r>
          <w:rPr>
            <w:rStyle w:val="Hyperlink"/>
          </w:rPr>
          <w:t>European Innovation Council (europa.eu)</w:t>
        </w:r>
      </w:hyperlink>
    </w:p>
  </w:footnote>
  <w:footnote w:id="21">
    <w:p>
      <w:pPr>
        <w:pStyle w:val="FootnoteText"/>
      </w:pPr>
      <w:r>
        <w:rPr>
          <w:rStyle w:val="FootnoteReference"/>
        </w:rPr>
        <w:footnoteRef/>
      </w:r>
      <w:r>
        <w:t xml:space="preserve"> The LIFE Nature and Biodiversity and LIFE Circular Economy and Quality of Life sub-programmes </w:t>
      </w:r>
      <w:hyperlink r:id="rId16" w:history="1">
        <w:r>
          <w:rPr>
            <w:rStyle w:val="Hyperlink"/>
          </w:rPr>
          <w:t>LIFE (europa.eu)</w:t>
        </w:r>
      </w:hyperlink>
    </w:p>
  </w:footnote>
  <w:footnote w:id="22">
    <w:p>
      <w:pPr>
        <w:pStyle w:val="FootnoteText"/>
      </w:pPr>
      <w:r>
        <w:rPr>
          <w:rStyle w:val="FootnoteReference"/>
        </w:rPr>
        <w:footnoteRef/>
      </w:r>
      <w:r>
        <w:t xml:space="preserve"> </w:t>
      </w:r>
      <w:hyperlink r:id="rId17" w:history="1">
        <w:r>
          <w:rPr>
            <w:color w:val="0000FF"/>
            <w:u w:val="single"/>
          </w:rPr>
          <w:t>Single Market Programme | European Commission (europa.eu)</w:t>
        </w:r>
      </w:hyperlink>
    </w:p>
  </w:footnote>
  <w:footnote w:id="23">
    <w:p>
      <w:pPr>
        <w:pStyle w:val="FootnoteText"/>
      </w:pPr>
      <w:r>
        <w:rPr>
          <w:rStyle w:val="FootnoteReference"/>
        </w:rPr>
        <w:footnoteRef/>
      </w:r>
      <w:r>
        <w:t xml:space="preserve"> </w:t>
      </w:r>
      <w:hyperlink r:id="rId18" w:history="1">
        <w:r>
          <w:rPr>
            <w:rStyle w:val="Hyperlink"/>
          </w:rPr>
          <w:t>COSME. Europe’s programme for small and medium-sized enterprises. | Internal Market, Industry, Entrepreneurship and SMEs (europa.eu)</w:t>
        </w:r>
      </w:hyperlink>
    </w:p>
  </w:footnote>
  <w:footnote w:id="24">
    <w:p>
      <w:pPr>
        <w:pStyle w:val="FootnoteText"/>
      </w:pPr>
      <w:r>
        <w:rPr>
          <w:rStyle w:val="FootnoteReference"/>
        </w:rPr>
        <w:footnoteRef/>
      </w:r>
      <w:r>
        <w:t xml:space="preserve"> </w:t>
      </w:r>
      <w:hyperlink r:id="rId19" w:history="1">
        <w:r>
          <w:rPr>
            <w:color w:val="0000FF"/>
            <w:u w:val="single"/>
          </w:rPr>
          <w:t>WORTH Partnership Project (worthproject.eu)</w:t>
        </w:r>
      </w:hyperlink>
    </w:p>
  </w:footnote>
  <w:footnote w:id="25">
    <w:p>
      <w:pPr>
        <w:pStyle w:val="FootnoteText"/>
      </w:pPr>
      <w:r>
        <w:rPr>
          <w:rStyle w:val="FootnoteReference"/>
        </w:rPr>
        <w:footnoteRef/>
      </w:r>
      <w:r>
        <w:t xml:space="preserve"> Add link to the call if ready to launch by 14 September</w:t>
      </w:r>
    </w:p>
  </w:footnote>
  <w:footnote w:id="26">
    <w:p>
      <w:pPr>
        <w:pStyle w:val="FootnoteText"/>
      </w:pPr>
      <w:r>
        <w:rPr>
          <w:rStyle w:val="FootnoteReference"/>
        </w:rPr>
        <w:footnoteRef/>
      </w:r>
      <w:r>
        <w:t xml:space="preserve"> https://bigbuyers.eu/</w:t>
      </w:r>
    </w:p>
  </w:footnote>
  <w:footnote w:id="27">
    <w:p>
      <w:pPr>
        <w:pStyle w:val="FootnoteText"/>
      </w:pPr>
      <w:r>
        <w:rPr>
          <w:rStyle w:val="FootnoteReference"/>
        </w:rPr>
        <w:footnoteRef/>
      </w:r>
      <w:r>
        <w:t xml:space="preserve"> </w:t>
      </w:r>
      <w:r>
        <w:tab/>
        <w:t>It targets cooperation between a wider range of stakeholders: students, universities, companies, NGOs, civil society, etc.)</w:t>
      </w:r>
    </w:p>
  </w:footnote>
  <w:footnote w:id="28">
    <w:p>
      <w:pPr>
        <w:pStyle w:val="FootnoteText"/>
      </w:pPr>
      <w:r>
        <w:rPr>
          <w:rStyle w:val="FootnoteReference"/>
        </w:rPr>
        <w:footnoteRef/>
      </w:r>
      <w:r>
        <w:t xml:space="preserve"> </w:t>
      </w:r>
      <w:r>
        <w:tab/>
        <w:t>See Davos Baukultur Quality System - Davos Declaration 2018</w:t>
      </w:r>
    </w:p>
  </w:footnote>
  <w:footnote w:id="29">
    <w:p>
      <w:pPr>
        <w:pStyle w:val="FootnoteText"/>
      </w:pPr>
      <w:r>
        <w:rPr>
          <w:rStyle w:val="FootnoteReference"/>
        </w:rPr>
        <w:footnoteRef/>
      </w:r>
      <w:r>
        <w:t xml:space="preserve"> </w:t>
      </w:r>
      <w:r>
        <w:tab/>
        <w:t>The final report of the expert group on high- quality architecture  and built environment for everyone will be published in the second half of September 2021</w:t>
      </w:r>
    </w:p>
  </w:footnote>
  <w:footnote w:id="30">
    <w:p>
      <w:pPr>
        <w:pStyle w:val="FootnoteText"/>
      </w:pPr>
      <w:r>
        <w:rPr>
          <w:rStyle w:val="FootnoteReference"/>
        </w:rPr>
        <w:footnoteRef/>
      </w:r>
      <w:r>
        <w:t xml:space="preserve"> </w:t>
      </w:r>
      <w:r>
        <w:tab/>
      </w:r>
      <w:hyperlink r:id="rId20" w:history="1">
        <w:r>
          <w:rPr>
            <w:rStyle w:val="Hyperlink"/>
          </w:rPr>
          <w:t>eTwinning - Homepage</w:t>
        </w:r>
      </w:hyperlink>
    </w:p>
  </w:footnote>
  <w:footnote w:id="31">
    <w:p>
      <w:pPr>
        <w:pStyle w:val="FootnoteText"/>
      </w:pPr>
      <w:r>
        <w:rPr>
          <w:rStyle w:val="FootnoteReference"/>
        </w:rPr>
        <w:footnoteRef/>
      </w:r>
      <w:r>
        <w:t xml:space="preserve"> </w:t>
      </w:r>
      <w:r>
        <w:tab/>
      </w:r>
      <w:hyperlink r:id="rId21" w:history="1">
        <w:r>
          <w:rPr>
            <w:color w:val="0000FF"/>
            <w:u w:val="single"/>
          </w:rPr>
          <w:t>DiscoverEU | European Youth Portal (europa.eu)</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D22BE"/>
    <w:multiLevelType w:val="hybridMultilevel"/>
    <w:tmpl w:val="14844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1314135"/>
    <w:multiLevelType w:val="hybridMultilevel"/>
    <w:tmpl w:val="CDB89BB8"/>
    <w:lvl w:ilvl="0" w:tplc="78609E2E">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18681514"/>
    <w:multiLevelType w:val="hybridMultilevel"/>
    <w:tmpl w:val="A4446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C191041"/>
    <w:multiLevelType w:val="hybridMultilevel"/>
    <w:tmpl w:val="12B8A43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nsid w:val="22153457"/>
    <w:multiLevelType w:val="hybridMultilevel"/>
    <w:tmpl w:val="4C2A6834"/>
    <w:lvl w:ilvl="0" w:tplc="2DBA92A6">
      <w:numFmt w:val="bullet"/>
      <w:lvlText w:val="-"/>
      <w:lvlJc w:val="left"/>
      <w:pPr>
        <w:ind w:left="720" w:hanging="360"/>
      </w:pPr>
      <w:rPr>
        <w:rFonts w:ascii="EC Square Sans Pro Light" w:eastAsiaTheme="minorHAnsi" w:hAnsi="EC Square Sans Pro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11D6AB7"/>
    <w:multiLevelType w:val="hybridMultilevel"/>
    <w:tmpl w:val="5AB68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55412DA"/>
    <w:multiLevelType w:val="hybridMultilevel"/>
    <w:tmpl w:val="D04A3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76278B2"/>
    <w:multiLevelType w:val="hybridMultilevel"/>
    <w:tmpl w:val="81982496"/>
    <w:lvl w:ilvl="0" w:tplc="2DBA92A6">
      <w:numFmt w:val="bullet"/>
      <w:lvlText w:val="-"/>
      <w:lvlJc w:val="left"/>
      <w:pPr>
        <w:ind w:left="720" w:hanging="360"/>
      </w:pPr>
      <w:rPr>
        <w:rFonts w:ascii="EC Square Sans Pro Light" w:eastAsiaTheme="minorHAnsi" w:hAnsi="EC Square Sans Pro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C374D0F"/>
    <w:multiLevelType w:val="hybridMultilevel"/>
    <w:tmpl w:val="09045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A0450D1"/>
    <w:multiLevelType w:val="hybridMultilevel"/>
    <w:tmpl w:val="88E6717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B9A4F90"/>
    <w:multiLevelType w:val="hybridMultilevel"/>
    <w:tmpl w:val="15781426"/>
    <w:lvl w:ilvl="0" w:tplc="34C6DB18">
      <w:start w:val="1"/>
      <w:numFmt w:val="lowerLetter"/>
      <w:lvlText w:val="%1)"/>
      <w:lvlJc w:val="left"/>
      <w:pPr>
        <w:ind w:left="720" w:hanging="360"/>
      </w:pPr>
      <w:rPr>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04721DD"/>
    <w:multiLevelType w:val="hybridMultilevel"/>
    <w:tmpl w:val="18D292E8"/>
    <w:lvl w:ilvl="0" w:tplc="44F6FC4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3DA4B5B"/>
    <w:multiLevelType w:val="multilevel"/>
    <w:tmpl w:val="602853A8"/>
    <w:lvl w:ilvl="0">
      <w:start w:val="1"/>
      <w:numFmt w:val="decimal"/>
      <w:pStyle w:val="Heading1"/>
      <w:lvlText w:val="%1."/>
      <w:lvlJc w:val="left"/>
      <w:pPr>
        <w:tabs>
          <w:tab w:val="left" w:pos="482"/>
        </w:tabs>
        <w:ind w:left="482" w:hanging="482"/>
        <w:jc w:val="both"/>
      </w:pPr>
    </w:lvl>
    <w:lvl w:ilvl="1">
      <w:start w:val="1"/>
      <w:numFmt w:val="decimal"/>
      <w:pStyle w:val="Heading2"/>
      <w:lvlText w:val="%1.%2."/>
      <w:lvlJc w:val="left"/>
      <w:pPr>
        <w:tabs>
          <w:tab w:val="left" w:pos="2586"/>
        </w:tabs>
        <w:ind w:left="2586" w:hanging="601"/>
        <w:jc w:val="both"/>
      </w:pPr>
      <w:rPr>
        <w:b w:val="0"/>
      </w:rPr>
    </w:lvl>
    <w:lvl w:ilvl="2">
      <w:start w:val="1"/>
      <w:numFmt w:val="decimal"/>
      <w:pStyle w:val="Heading3"/>
      <w:lvlText w:val="%1.%2.%3."/>
      <w:lvlJc w:val="left"/>
      <w:pPr>
        <w:tabs>
          <w:tab w:val="left" w:pos="7784"/>
        </w:tabs>
        <w:ind w:left="7784" w:hanging="839"/>
        <w:jc w:val="both"/>
      </w:pPr>
    </w:lvl>
    <w:lvl w:ilvl="3">
      <w:start w:val="1"/>
      <w:numFmt w:val="decimal"/>
      <w:pStyle w:val="Heading4"/>
      <w:lvlText w:val="%1.%2.%3.%4."/>
      <w:lvlJc w:val="left"/>
      <w:pPr>
        <w:tabs>
          <w:tab w:val="left" w:pos="5919"/>
        </w:tabs>
        <w:ind w:left="5919" w:hanging="958"/>
        <w:jc w:val="both"/>
      </w:pPr>
      <w:rPr>
        <w:color w:val="auto"/>
      </w:rPr>
    </w:lvl>
    <w:lvl w:ilvl="4">
      <w:start w:val="1"/>
      <w:numFmt w:val="decimal"/>
      <w:pStyle w:val="Heading5"/>
      <w:lvlText w:val="%1.%2.%3.%4.%5."/>
      <w:lvlJc w:val="left"/>
      <w:pPr>
        <w:tabs>
          <w:tab w:val="left" w:pos="2880"/>
        </w:tabs>
        <w:ind w:left="3838" w:hanging="958"/>
        <w:jc w:val="both"/>
      </w:pPr>
    </w:lvl>
    <w:lvl w:ilvl="5">
      <w:start w:val="1"/>
      <w:numFmt w:val="decimal"/>
      <w:pStyle w:val="Heading6"/>
      <w:lvlText w:val="%1.%2.%3.%4.%5.%6."/>
      <w:lvlJc w:val="left"/>
      <w:pPr>
        <w:tabs>
          <w:tab w:val="left" w:pos="2880"/>
        </w:tabs>
        <w:ind w:left="3838" w:hanging="958"/>
        <w:jc w:val="both"/>
      </w:pPr>
    </w:lvl>
    <w:lvl w:ilvl="6">
      <w:start w:val="1"/>
      <w:numFmt w:val="decimal"/>
      <w:pStyle w:val="Heading7"/>
      <w:lvlText w:val="%1.%2.%3.%4.%5.%6.%7."/>
      <w:lvlJc w:val="left"/>
      <w:pPr>
        <w:tabs>
          <w:tab w:val="left" w:pos="2880"/>
        </w:tabs>
        <w:ind w:left="3838" w:hanging="958"/>
        <w:jc w:val="both"/>
      </w:pPr>
    </w:lvl>
    <w:lvl w:ilvl="7">
      <w:start w:val="1"/>
      <w:numFmt w:val="decimal"/>
      <w:pStyle w:val="Heading8"/>
      <w:lvlText w:val="%1.%2.%3.%4.%5.%6.%7.%8."/>
      <w:lvlJc w:val="left"/>
      <w:pPr>
        <w:tabs>
          <w:tab w:val="left" w:pos="2880"/>
        </w:tabs>
        <w:ind w:left="3838" w:hanging="958"/>
        <w:jc w:val="both"/>
      </w:pPr>
    </w:lvl>
    <w:lvl w:ilvl="8">
      <w:start w:val="1"/>
      <w:numFmt w:val="decimal"/>
      <w:pStyle w:val="Heading9"/>
      <w:lvlText w:val="%1.%2.%3.%4.%5.%6.%7.%8.%9."/>
      <w:lvlJc w:val="left"/>
      <w:pPr>
        <w:tabs>
          <w:tab w:val="left" w:pos="2880"/>
        </w:tabs>
        <w:ind w:left="3838" w:hanging="958"/>
        <w:jc w:val="both"/>
      </w:pPr>
    </w:lvl>
  </w:abstractNum>
  <w:abstractNum w:abstractNumId="14">
    <w:nsid w:val="742D3BC2"/>
    <w:multiLevelType w:val="hybridMultilevel"/>
    <w:tmpl w:val="F7621AB2"/>
    <w:lvl w:ilvl="0" w:tplc="08090001">
      <w:start w:val="1"/>
      <w:numFmt w:val="bullet"/>
      <w:lvlText w:val=""/>
      <w:lvlJc w:val="left"/>
      <w:pPr>
        <w:ind w:left="720" w:hanging="360"/>
      </w:pPr>
      <w:rPr>
        <w:rFonts w:ascii="Symbol" w:hAnsi="Symbol" w:hint="default"/>
      </w:rPr>
    </w:lvl>
    <w:lvl w:ilvl="1" w:tplc="62F0EDDA">
      <w:numFmt w:val="bullet"/>
      <w:lvlText w:val="•"/>
      <w:lvlJc w:val="left"/>
      <w:pPr>
        <w:ind w:left="1813" w:hanging="733"/>
      </w:pPr>
      <w:rPr>
        <w:rFonts w:ascii="EC Square Sans Pro Light" w:eastAsia="Times New Roman" w:hAnsi="EC Square Sans Pro Light"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9874E4"/>
    <w:multiLevelType w:val="hybridMultilevel"/>
    <w:tmpl w:val="1C24F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BA125D9"/>
    <w:multiLevelType w:val="hybridMultilevel"/>
    <w:tmpl w:val="FDE6FB32"/>
    <w:lvl w:ilvl="0" w:tplc="5D7819C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2"/>
  </w:num>
  <w:num w:numId="3">
    <w:abstractNumId w:val="0"/>
  </w:num>
  <w:num w:numId="4">
    <w:abstractNumId w:val="14"/>
  </w:num>
  <w:num w:numId="5">
    <w:abstractNumId w:val="11"/>
  </w:num>
  <w:num w:numId="6">
    <w:abstractNumId w:val="13"/>
  </w:num>
  <w:num w:numId="7">
    <w:abstractNumId w:val="13"/>
  </w:num>
  <w:num w:numId="8">
    <w:abstractNumId w:val="13"/>
  </w:num>
  <w:num w:numId="9">
    <w:abstractNumId w:val="13"/>
  </w:num>
  <w:num w:numId="10">
    <w:abstractNumId w:val="13"/>
  </w:num>
  <w:num w:numId="11">
    <w:abstractNumId w:val="13"/>
  </w:num>
  <w:num w:numId="12">
    <w:abstractNumId w:val="13"/>
  </w:num>
  <w:num w:numId="13">
    <w:abstractNumId w:val="13"/>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4"/>
  </w:num>
  <w:num w:numId="30">
    <w:abstractNumId w:val="1"/>
  </w:num>
  <w:num w:numId="31">
    <w:abstractNumId w:val="13"/>
  </w:num>
  <w:num w:numId="32">
    <w:abstractNumId w:val="16"/>
  </w:num>
  <w:num w:numId="33">
    <w:abstractNumId w:val="12"/>
  </w:num>
  <w:num w:numId="34">
    <w:abstractNumId w:val="13"/>
  </w:num>
  <w:num w:numId="35">
    <w:abstractNumId w:val="13"/>
  </w:num>
  <w:num w:numId="36">
    <w:abstractNumId w:val="13"/>
  </w:num>
  <w:num w:numId="37">
    <w:abstractNumId w:val="13"/>
  </w:num>
  <w:num w:numId="38">
    <w:abstractNumId w:val="10"/>
  </w:num>
  <w:num w:numId="39">
    <w:abstractNumId w:val="8"/>
  </w:num>
  <w:num w:numId="40">
    <w:abstractNumId w:val="5"/>
  </w:num>
  <w:num w:numId="41">
    <w:abstractNumId w:val="15"/>
  </w:num>
  <w:num w:numId="42">
    <w:abstractNumId w:val="6"/>
  </w:num>
  <w:num w:numId="43">
    <w:abstractNumId w:val="9"/>
  </w:num>
  <w:num w:numId="44">
    <w:abstractNumId w:val="14"/>
  </w:num>
  <w:num w:numId="45">
    <w:abstractNumId w:val="7"/>
  </w:num>
  <w:num w:numId="46">
    <w:abstractNumId w:val="3"/>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USSO Lucia Maria (JRC)">
    <w15:presenceInfo w15:providerId="AD" w15:userId="S-1-5-21-1606980848-2025429265-839522115-11799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activeWritingStyle w:appName="MSWord" w:lang="it-IT"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n-IE" w:vendorID="64" w:dllVersion="131078" w:nlCheck="1" w:checkStyle="1"/>
  <w:activeWritingStyle w:appName="MSWord" w:lang="fr-FR" w:vendorID="64" w:dllVersion="131078" w:nlCheck="1" w:checkStyle="0"/>
  <w:activeWritingStyle w:appName="MSWord" w:lang="fr-BE" w:vendorID="64" w:dllVersion="131078" w:nlCheck="1" w:checkStyle="0"/>
  <w:defaultTabStop w:val="720"/>
  <w:hyphenationZone w:val="425"/>
  <w:characterSpacingControl w:val="doNotCompress"/>
  <w:hdrShapeDefaults>
    <o:shapedefaults v:ext="edit" spidmax="552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0DB4EF2-5FF9-479F-9C2A-91554B381317"/>
    <w:docVar w:name="LW_COVERPAGE_TYPE" w:val="1"/>
    <w:docVar w:name="LW_CROSSREFERENCE" w:val="&lt;UNUSED&gt;"/>
    <w:docVar w:name="LW_DocType" w:val="NORMAL"/>
    <w:docVar w:name="LW_EMISSION" w:val="15.9.2021"/>
    <w:docVar w:name="LW_EMISSION_ISODATE" w:val="2021-09-15"/>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1) 57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New European Bauhaus_x000d__x000d__x000d__x000d__x000b__x000d__x000d__x000d__x000d__x000b_Beautiful, Sustainable, Together_x000d__x000d__x000d__x000d_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pPr>
      <w:keepNext/>
      <w:keepLines/>
      <w:numPr>
        <w:numId w:val="1"/>
      </w:numPr>
      <w:tabs>
        <w:tab w:val="left" w:pos="2586"/>
      </w:tabs>
      <w:spacing w:before="240" w:after="0" w:line="240" w:lineRule="auto"/>
      <w:outlineLvl w:val="0"/>
    </w:pPr>
    <w:rPr>
      <w:rFonts w:ascii="EC Square Sans Pro Thin" w:eastAsiaTheme="majorEastAsia" w:hAnsi="EC Square Sans Pro Thin" w:cs="Times New Roman"/>
      <w:b/>
      <w:color w:val="5B9BD5" w:themeColor="accent1"/>
      <w:sz w:val="32"/>
      <w:szCs w:val="32"/>
    </w:rPr>
  </w:style>
  <w:style w:type="paragraph" w:styleId="Heading2">
    <w:name w:val="heading 2"/>
    <w:basedOn w:val="Normal"/>
    <w:next w:val="Normal"/>
    <w:link w:val="Heading2Char"/>
    <w:autoRedefine/>
    <w:uiPriority w:val="9"/>
    <w:unhideWhenUsed/>
    <w:qFormat/>
    <w:pPr>
      <w:keepNext/>
      <w:keepLines/>
      <w:numPr>
        <w:ilvl w:val="1"/>
        <w:numId w:val="1"/>
      </w:numPr>
      <w:tabs>
        <w:tab w:val="left" w:pos="426"/>
        <w:tab w:val="left" w:pos="482"/>
        <w:tab w:val="left" w:pos="567"/>
      </w:tabs>
      <w:spacing w:before="40" w:after="0" w:line="276" w:lineRule="auto"/>
      <w:ind w:hanging="2586"/>
      <w:outlineLvl w:val="1"/>
    </w:pPr>
    <w:rPr>
      <w:rFonts w:ascii="EC Square Sans Pro Light" w:eastAsiaTheme="majorEastAsia" w:hAnsi="EC Square Sans Pro Light" w:cs="Times New Roman"/>
      <w:color w:val="5B9BD5" w:themeColor="accent1"/>
      <w:sz w:val="28"/>
      <w:szCs w:val="26"/>
    </w:rPr>
  </w:style>
  <w:style w:type="paragraph" w:styleId="Heading3">
    <w:name w:val="heading 3"/>
    <w:basedOn w:val="Normal"/>
    <w:next w:val="Normal"/>
    <w:link w:val="Heading3Char"/>
    <w:autoRedefine/>
    <w:uiPriority w:val="9"/>
    <w:unhideWhenUsed/>
    <w:qFormat/>
    <w:pPr>
      <w:keepNext/>
      <w:keepLines/>
      <w:numPr>
        <w:ilvl w:val="2"/>
        <w:numId w:val="1"/>
      </w:numPr>
      <w:tabs>
        <w:tab w:val="left" w:pos="482"/>
      </w:tabs>
      <w:spacing w:before="40" w:after="0" w:line="240" w:lineRule="auto"/>
      <w:ind w:left="839"/>
      <w:outlineLvl w:val="2"/>
    </w:pPr>
    <w:rPr>
      <w:rFonts w:ascii="EC Square Sans Pro Light" w:eastAsiaTheme="majorEastAsia" w:hAnsi="EC Square Sans Pro Light" w:cstheme="majorBidi"/>
      <w:i/>
      <w:color w:val="5B9BD5" w:themeColor="accent1"/>
      <w:sz w:val="24"/>
      <w:szCs w:val="24"/>
    </w:rPr>
  </w:style>
  <w:style w:type="paragraph" w:styleId="Heading4">
    <w:name w:val="heading 4"/>
    <w:basedOn w:val="Normal"/>
    <w:next w:val="Normal"/>
    <w:link w:val="Heading4Char"/>
    <w:uiPriority w:val="9"/>
    <w:unhideWhenUsed/>
    <w:qFormat/>
    <w:pPr>
      <w:keepNext/>
      <w:keepLines/>
      <w:numPr>
        <w:ilvl w:val="3"/>
        <w:numId w:val="1"/>
      </w:numPr>
      <w:tabs>
        <w:tab w:val="left" w:pos="482"/>
      </w:tabs>
      <w:spacing w:before="40" w:after="0" w:line="240" w:lineRule="auto"/>
      <w:outlineLvl w:val="3"/>
    </w:pPr>
    <w:rPr>
      <w:rFonts w:asciiTheme="majorHAnsi" w:eastAsiaTheme="majorEastAsia" w:hAnsiTheme="majorHAnsi" w:cstheme="majorBidi"/>
      <w:i/>
      <w:iCs/>
      <w:color w:val="2E74B5" w:themeColor="accent1" w:themeShade="BF"/>
      <w:sz w:val="24"/>
    </w:rPr>
  </w:style>
  <w:style w:type="paragraph" w:styleId="Heading5">
    <w:name w:val="heading 5"/>
    <w:basedOn w:val="Normal"/>
    <w:next w:val="Normal"/>
    <w:link w:val="Heading5Char"/>
    <w:uiPriority w:val="9"/>
    <w:unhideWhenUsed/>
    <w:qFormat/>
    <w:pPr>
      <w:keepNext/>
      <w:keepLines/>
      <w:numPr>
        <w:ilvl w:val="4"/>
        <w:numId w:val="1"/>
      </w:numPr>
      <w:tabs>
        <w:tab w:val="left" w:pos="482"/>
      </w:tabs>
      <w:spacing w:before="40" w:after="0" w:line="240" w:lineRule="auto"/>
      <w:outlineLvl w:val="4"/>
    </w:pPr>
    <w:rPr>
      <w:rFonts w:asciiTheme="majorHAnsi" w:eastAsiaTheme="majorEastAsia" w:hAnsiTheme="majorHAnsi" w:cstheme="majorBidi"/>
      <w:color w:val="2E74B5" w:themeColor="accent1" w:themeShade="BF"/>
      <w:sz w:val="24"/>
    </w:rPr>
  </w:style>
  <w:style w:type="paragraph" w:styleId="Heading6">
    <w:name w:val="heading 6"/>
    <w:basedOn w:val="Normal"/>
    <w:next w:val="Normal"/>
    <w:link w:val="Heading6Char"/>
    <w:uiPriority w:val="9"/>
    <w:semiHidden/>
    <w:unhideWhenUsed/>
    <w:qFormat/>
    <w:pPr>
      <w:keepNext/>
      <w:keepLines/>
      <w:numPr>
        <w:ilvl w:val="5"/>
        <w:numId w:val="1"/>
      </w:numPr>
      <w:tabs>
        <w:tab w:val="left" w:pos="482"/>
      </w:tabs>
      <w:spacing w:before="40" w:after="0" w:line="240" w:lineRule="auto"/>
      <w:outlineLvl w:val="5"/>
    </w:pPr>
    <w:rPr>
      <w:rFonts w:asciiTheme="majorHAnsi" w:eastAsiaTheme="majorEastAsia" w:hAnsiTheme="majorHAnsi" w:cstheme="majorBidi"/>
      <w:color w:val="1F4D78" w:themeColor="accent1" w:themeShade="7F"/>
      <w:sz w:val="24"/>
    </w:rPr>
  </w:style>
  <w:style w:type="paragraph" w:styleId="Heading7">
    <w:name w:val="heading 7"/>
    <w:basedOn w:val="Normal"/>
    <w:next w:val="Normal"/>
    <w:link w:val="Heading7Char"/>
    <w:uiPriority w:val="9"/>
    <w:semiHidden/>
    <w:unhideWhenUsed/>
    <w:qFormat/>
    <w:pPr>
      <w:keepNext/>
      <w:keepLines/>
      <w:numPr>
        <w:ilvl w:val="6"/>
        <w:numId w:val="1"/>
      </w:numPr>
      <w:tabs>
        <w:tab w:val="left" w:pos="482"/>
      </w:tabs>
      <w:spacing w:before="40" w:after="0" w:line="240" w:lineRule="auto"/>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pPr>
      <w:keepNext/>
      <w:keepLines/>
      <w:numPr>
        <w:ilvl w:val="7"/>
        <w:numId w:val="1"/>
      </w:numPr>
      <w:tabs>
        <w:tab w:val="left" w:pos="482"/>
      </w:tabs>
      <w:spacing w:before="40" w:after="0" w:line="240"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numPr>
        <w:ilvl w:val="8"/>
        <w:numId w:val="1"/>
      </w:numPr>
      <w:tabs>
        <w:tab w:val="left" w:pos="482"/>
      </w:tab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EC Square Sans Pro Thin" w:eastAsiaTheme="majorEastAsia" w:hAnsi="EC Square Sans Pro Thin" w:cs="Times New Roman"/>
      <w:b/>
      <w:color w:val="5B9BD5" w:themeColor="accent1"/>
      <w:sz w:val="32"/>
      <w:szCs w:val="32"/>
    </w:rPr>
  </w:style>
  <w:style w:type="character" w:customStyle="1" w:styleId="Heading2Char">
    <w:name w:val="Heading 2 Char"/>
    <w:basedOn w:val="DefaultParagraphFont"/>
    <w:link w:val="Heading2"/>
    <w:uiPriority w:val="9"/>
    <w:rPr>
      <w:rFonts w:ascii="EC Square Sans Pro Light" w:eastAsiaTheme="majorEastAsia" w:hAnsi="EC Square Sans Pro Light" w:cs="Times New Roman"/>
      <w:color w:val="5B9BD5" w:themeColor="accent1"/>
      <w:sz w:val="28"/>
      <w:szCs w:val="26"/>
    </w:rPr>
  </w:style>
  <w:style w:type="character" w:customStyle="1" w:styleId="Heading3Char">
    <w:name w:val="Heading 3 Char"/>
    <w:basedOn w:val="DefaultParagraphFont"/>
    <w:link w:val="Heading3"/>
    <w:uiPriority w:val="9"/>
    <w:rPr>
      <w:rFonts w:ascii="EC Square Sans Pro Light" w:eastAsiaTheme="majorEastAsia" w:hAnsi="EC Square Sans Pro Light" w:cstheme="majorBidi"/>
      <w:i/>
      <w:color w:val="5B9BD5" w:themeColor="accent1"/>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jc w:val="both"/>
    </w:pPr>
    <w:rPr>
      <w:rFonts w:ascii="Times New Roman" w:hAnsi="Times New Roman"/>
      <w:sz w:val="24"/>
    </w:r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unhideWhenUsed/>
    <w:pPr>
      <w:tabs>
        <w:tab w:val="center" w:pos="4513"/>
        <w:tab w:val="right" w:pos="9026"/>
      </w:tabs>
      <w:spacing w:after="0" w:line="240" w:lineRule="auto"/>
      <w:jc w:val="both"/>
    </w:pPr>
    <w:rPr>
      <w:rFonts w:ascii="Times New Roman" w:hAnsi="Times New Roman"/>
      <w:sz w:val="24"/>
    </w:rPr>
  </w:style>
  <w:style w:type="character" w:customStyle="1" w:styleId="FooterChar">
    <w:name w:val="Footer Char"/>
    <w:basedOn w:val="DefaultParagraphFont"/>
    <w:link w:val="Footer"/>
    <w:uiPriority w:val="99"/>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ListParagraph">
    <w:name w:val="List Paragraph"/>
    <w:aliases w:val="Fiche List Paragraph,Task Body,Viñetas (Inicio Parrafo),3 Txt tabla,Zerrenda-paragrafoa,Lista multicolor - Énfasis 11,Paragrafo elenco,Dot pt,No Spacing1,List Paragraph Char Char Char,Indicator Text,Bullet 1,Numbered Para 1,Bullet Points"/>
    <w:basedOn w:val="Normal"/>
    <w:link w:val="ListParagraphChar"/>
    <w:uiPriority w:val="34"/>
    <w:qFormat/>
    <w:pPr>
      <w:spacing w:after="240" w:line="240" w:lineRule="auto"/>
      <w:ind w:left="720"/>
      <w:contextualSpacing/>
      <w:jc w:val="both"/>
    </w:pPr>
    <w:rPr>
      <w:rFonts w:ascii="Times New Roman" w:hAnsi="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40" w:line="240" w:lineRule="auto"/>
      <w:jc w:val="both"/>
    </w:pPr>
    <w:rPr>
      <w:rFonts w:ascii="Times New Roman" w:hAnsi="Times New Roman"/>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rPr>
  </w:style>
  <w:style w:type="paragraph" w:styleId="BalloonText">
    <w:name w:val="Balloon Text"/>
    <w:basedOn w:val="Normal"/>
    <w:link w:val="BalloonTextChar"/>
    <w:uiPriority w:val="99"/>
    <w:semiHidden/>
    <w:unhideWhenUsed/>
    <w:pPr>
      <w:spacing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otnoteReference">
    <w:name w:val="footnote reference"/>
    <w:aliases w:val="Footnote Reference Superscript,Footnote Reference/,Footnote symbol,Odwołanie przypisu,Times 10 Point,Exposant 3 Point,footnote ref, Exposant 3 Point,EN Footnote Reference,number,SUPERS,ftref,Footnote reference number,Ref,B2,BVI fnr,fr"/>
    <w:basedOn w:val="DefaultParagraphFont"/>
    <w:link w:val="BVIfnrCarCarCarCarCharCharCharCharCar"/>
    <w:uiPriority w:val="99"/>
    <w:qFormat/>
    <w:rPr>
      <w:vertAlign w:val="superscript"/>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autoRedefine/>
    <w:uiPriority w:val="99"/>
    <w:unhideWhenUsed/>
    <w:qFormat/>
    <w:pPr>
      <w:spacing w:after="0" w:line="240" w:lineRule="auto"/>
      <w:ind w:left="284" w:hanging="284"/>
      <w:jc w:val="both"/>
    </w:pPr>
    <w:rPr>
      <w:rFonts w:ascii="EC Square Sans Pro Thin" w:hAnsi="EC Square Sans Pro Thi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EC Square Sans Pro Thin" w:hAnsi="EC Square Sans Pro Thin" w:cs="Times New Roman"/>
      <w:sz w:val="20"/>
      <w:szCs w:val="20"/>
    </w:rPr>
  </w:style>
  <w:style w:type="character" w:styleId="Hyperlink">
    <w:name w:val="Hyperlink"/>
    <w:basedOn w:val="DefaultParagraphFont"/>
    <w:uiPriority w:val="99"/>
    <w:unhideWhenUsed/>
    <w:rPr>
      <w:color w:val="0563C1" w:themeColor="hyperlink"/>
      <w:u w:val="single"/>
    </w:rPr>
  </w:style>
  <w:style w:type="paragraph" w:customStyle="1" w:styleId="BVIfnrCarCarCarCarCharCharCharCharCar">
    <w:name w:val="BVI fnr Car Car Car Car Char Char Char Char Car"/>
    <w:aliases w:val="BVI fnr Car Car Car Car Char Char Car,BVI fnr Car Car Car Car Char Char Char Char Char Char Char Char Char Car"/>
    <w:basedOn w:val="Normal"/>
    <w:link w:val="FootnoteReference"/>
    <w:uiPriority w:val="99"/>
    <w:qFormat/>
    <w:pPr>
      <w:spacing w:line="240" w:lineRule="exact"/>
      <w:jc w:val="both"/>
    </w:pPr>
    <w:rPr>
      <w:vertAlign w:val="superscript"/>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uiPriority w:val="99"/>
    <w:pPr>
      <w:spacing w:line="240" w:lineRule="exact"/>
    </w:pPr>
    <w:rPr>
      <w:vertAlign w:val="superscript"/>
    </w:rPr>
  </w:style>
  <w:style w:type="paragraph" w:styleId="NormalWeb">
    <w:name w:val="Normal (Web)"/>
    <w:basedOn w:val="Normal"/>
    <w:unhideWhenUsed/>
    <w:pPr>
      <w:spacing w:after="240" w:line="240" w:lineRule="auto"/>
      <w:jc w:val="both"/>
    </w:pPr>
    <w:rPr>
      <w:rFonts w:ascii="Times New Roman" w:hAnsi="Times New Roman" w:cs="Times New Roman"/>
      <w:sz w:val="24"/>
      <w:szCs w:val="24"/>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No Spacing1 Char,List Paragraph Char Char Char Char"/>
    <w:basedOn w:val="DefaultParagraphFont"/>
    <w:link w:val="ListParagraph"/>
    <w:uiPriority w:val="34"/>
    <w:qFormat/>
    <w:rPr>
      <w:rFonts w:ascii="Times New Roman" w:hAnsi="Times New Roman"/>
      <w:sz w:val="24"/>
    </w:rPr>
  </w:style>
  <w:style w:type="paragraph" w:styleId="Revision">
    <w:name w:val="Revision"/>
    <w:hidden/>
    <w:uiPriority w:val="99"/>
    <w:semiHidden/>
    <w:pPr>
      <w:spacing w:after="0" w:line="240" w:lineRule="auto"/>
    </w:pPr>
    <w:rPr>
      <w:rFonts w:ascii="Times New Roman" w:hAnsi="Times New Roman"/>
      <w:sz w:val="24"/>
    </w:rPr>
  </w:style>
  <w:style w:type="paragraph" w:customStyle="1" w:styleId="Briefinglist1">
    <w:name w:val="Briefing list 1"/>
    <w:basedOn w:val="Normal"/>
    <w:link w:val="Briefinglist1Char"/>
    <w:pPr>
      <w:keepLines/>
      <w:numPr>
        <w:numId w:val="2"/>
      </w:numPr>
      <w:spacing w:after="120" w:line="240" w:lineRule="auto"/>
      <w:jc w:val="both"/>
    </w:pPr>
    <w:rPr>
      <w:rFonts w:ascii="Arial" w:eastAsia="Times New Roman" w:hAnsi="Arial" w:cs="Times New Roman"/>
      <w:szCs w:val="24"/>
      <w:lang w:eastAsia="en-GB"/>
    </w:rPr>
  </w:style>
  <w:style w:type="character" w:customStyle="1" w:styleId="Briefinglist1Char">
    <w:name w:val="Briefing list 1 Char"/>
    <w:basedOn w:val="DefaultParagraphFont"/>
    <w:link w:val="Briefinglist1"/>
    <w:rPr>
      <w:rFonts w:ascii="Arial" w:eastAsia="Times New Roman" w:hAnsi="Arial" w:cs="Times New Roman"/>
      <w:szCs w:val="24"/>
      <w:lang w:eastAsia="en-GB"/>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spacing w:after="0" w:line="240" w:lineRule="auto"/>
    </w:pPr>
    <w:rPr>
      <w:rFonts w:ascii="Calibri" w:eastAsia="Calibri" w:hAnsi="Calibri" w:cs="Times New Roman"/>
    </w:rPr>
  </w:style>
  <w:style w:type="character" w:customStyle="1" w:styleId="hps">
    <w:name w:val="hps"/>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paragraph" w:customStyle="1" w:styleId="paragraph">
    <w:name w:val="paragraph"/>
    <w:basedOn w:val="Normal"/>
    <w:pPr>
      <w:spacing w:before="100" w:beforeAutospacing="1" w:after="100" w:afterAutospacing="1" w:line="240" w:lineRule="auto"/>
    </w:pPr>
    <w:rPr>
      <w:rFonts w:ascii="Times New Roman" w:eastAsia="MS Mincho" w:hAnsi="Times New Roman" w:cs="Times New Roman"/>
      <w:sz w:val="20"/>
      <w:szCs w:val="20"/>
      <w:lang w:eastAsia="en-GB"/>
    </w:rPr>
  </w:style>
  <w:style w:type="paragraph" w:customStyle="1" w:styleId="AppelnotedebasdepageCharCharCharCharCharCharChar">
    <w:name w:val="Appel note de bas de page Char Char Char Char Char Char Char"/>
    <w:basedOn w:val="Normal"/>
    <w:pPr>
      <w:spacing w:after="0" w:line="240" w:lineRule="auto"/>
      <w:jc w:val="both"/>
    </w:pPr>
    <w:rPr>
      <w:vertAlign w:val="superscript"/>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line="240" w:lineRule="exact"/>
      <w:jc w:val="both"/>
    </w:pPr>
    <w:rPr>
      <w:vertAlign w:val="superscript"/>
    </w:rPr>
  </w:style>
  <w:style w:type="paragraph" w:styleId="TOCHeading">
    <w:name w:val="TOC Heading"/>
    <w:basedOn w:val="Heading1"/>
    <w:next w:val="Normal"/>
    <w:uiPriority w:val="39"/>
    <w:unhideWhenUsed/>
    <w:qFormat/>
    <w:pPr>
      <w:numPr>
        <w:numId w:val="0"/>
      </w:numPr>
      <w:tabs>
        <w:tab w:val="clear" w:pos="482"/>
      </w:tabs>
      <w:spacing w:line="259" w:lineRule="auto"/>
      <w:jc w:val="left"/>
      <w:outlineLvl w:val="9"/>
    </w:pPr>
    <w:rPr>
      <w:rFonts w:asciiTheme="majorHAnsi" w:hAnsiTheme="majorHAnsi"/>
      <w:b w:val="0"/>
      <w:color w:val="2E74B5" w:themeColor="accent1" w:themeShade="BF"/>
      <w:lang w:val="en-US"/>
    </w:rPr>
  </w:style>
  <w:style w:type="paragraph" w:styleId="TOC1">
    <w:name w:val="toc 1"/>
    <w:basedOn w:val="Normal"/>
    <w:next w:val="Normal"/>
    <w:autoRedefine/>
    <w:uiPriority w:val="39"/>
    <w:unhideWhenUsed/>
    <w:pPr>
      <w:tabs>
        <w:tab w:val="left" w:pos="440"/>
        <w:tab w:val="right" w:leader="dot" w:pos="9016"/>
      </w:tabs>
      <w:spacing w:after="100"/>
    </w:pPr>
    <w:rPr>
      <w:rFonts w:ascii="EC Square Sans Pro Light" w:hAnsi="EC Square Sans Pro Light"/>
      <w:noProof/>
    </w:r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pPr>
      <w:keepNext/>
      <w:keepLines/>
      <w:numPr>
        <w:numId w:val="1"/>
      </w:numPr>
      <w:tabs>
        <w:tab w:val="left" w:pos="2586"/>
      </w:tabs>
      <w:spacing w:before="240" w:after="0" w:line="240" w:lineRule="auto"/>
      <w:outlineLvl w:val="0"/>
    </w:pPr>
    <w:rPr>
      <w:rFonts w:ascii="EC Square Sans Pro Thin" w:eastAsiaTheme="majorEastAsia" w:hAnsi="EC Square Sans Pro Thin" w:cs="Times New Roman"/>
      <w:b/>
      <w:color w:val="5B9BD5" w:themeColor="accent1"/>
      <w:sz w:val="32"/>
      <w:szCs w:val="32"/>
    </w:rPr>
  </w:style>
  <w:style w:type="paragraph" w:styleId="Heading2">
    <w:name w:val="heading 2"/>
    <w:basedOn w:val="Normal"/>
    <w:next w:val="Normal"/>
    <w:link w:val="Heading2Char"/>
    <w:autoRedefine/>
    <w:uiPriority w:val="9"/>
    <w:unhideWhenUsed/>
    <w:qFormat/>
    <w:pPr>
      <w:keepNext/>
      <w:keepLines/>
      <w:numPr>
        <w:ilvl w:val="1"/>
        <w:numId w:val="1"/>
      </w:numPr>
      <w:tabs>
        <w:tab w:val="left" w:pos="426"/>
        <w:tab w:val="left" w:pos="482"/>
        <w:tab w:val="left" w:pos="567"/>
      </w:tabs>
      <w:spacing w:before="40" w:after="0" w:line="276" w:lineRule="auto"/>
      <w:ind w:hanging="2586"/>
      <w:outlineLvl w:val="1"/>
    </w:pPr>
    <w:rPr>
      <w:rFonts w:ascii="EC Square Sans Pro Light" w:eastAsiaTheme="majorEastAsia" w:hAnsi="EC Square Sans Pro Light" w:cs="Times New Roman"/>
      <w:color w:val="5B9BD5" w:themeColor="accent1"/>
      <w:sz w:val="28"/>
      <w:szCs w:val="26"/>
    </w:rPr>
  </w:style>
  <w:style w:type="paragraph" w:styleId="Heading3">
    <w:name w:val="heading 3"/>
    <w:basedOn w:val="Normal"/>
    <w:next w:val="Normal"/>
    <w:link w:val="Heading3Char"/>
    <w:autoRedefine/>
    <w:uiPriority w:val="9"/>
    <w:unhideWhenUsed/>
    <w:qFormat/>
    <w:pPr>
      <w:keepNext/>
      <w:keepLines/>
      <w:numPr>
        <w:ilvl w:val="2"/>
        <w:numId w:val="1"/>
      </w:numPr>
      <w:tabs>
        <w:tab w:val="left" w:pos="482"/>
      </w:tabs>
      <w:spacing w:before="40" w:after="0" w:line="240" w:lineRule="auto"/>
      <w:ind w:left="839"/>
      <w:outlineLvl w:val="2"/>
    </w:pPr>
    <w:rPr>
      <w:rFonts w:ascii="EC Square Sans Pro Light" w:eastAsiaTheme="majorEastAsia" w:hAnsi="EC Square Sans Pro Light" w:cstheme="majorBidi"/>
      <w:i/>
      <w:color w:val="5B9BD5" w:themeColor="accent1"/>
      <w:sz w:val="24"/>
      <w:szCs w:val="24"/>
    </w:rPr>
  </w:style>
  <w:style w:type="paragraph" w:styleId="Heading4">
    <w:name w:val="heading 4"/>
    <w:basedOn w:val="Normal"/>
    <w:next w:val="Normal"/>
    <w:link w:val="Heading4Char"/>
    <w:uiPriority w:val="9"/>
    <w:unhideWhenUsed/>
    <w:qFormat/>
    <w:pPr>
      <w:keepNext/>
      <w:keepLines/>
      <w:numPr>
        <w:ilvl w:val="3"/>
        <w:numId w:val="1"/>
      </w:numPr>
      <w:tabs>
        <w:tab w:val="left" w:pos="482"/>
      </w:tabs>
      <w:spacing w:before="40" w:after="0" w:line="240" w:lineRule="auto"/>
      <w:outlineLvl w:val="3"/>
    </w:pPr>
    <w:rPr>
      <w:rFonts w:asciiTheme="majorHAnsi" w:eastAsiaTheme="majorEastAsia" w:hAnsiTheme="majorHAnsi" w:cstheme="majorBidi"/>
      <w:i/>
      <w:iCs/>
      <w:color w:val="2E74B5" w:themeColor="accent1" w:themeShade="BF"/>
      <w:sz w:val="24"/>
    </w:rPr>
  </w:style>
  <w:style w:type="paragraph" w:styleId="Heading5">
    <w:name w:val="heading 5"/>
    <w:basedOn w:val="Normal"/>
    <w:next w:val="Normal"/>
    <w:link w:val="Heading5Char"/>
    <w:uiPriority w:val="9"/>
    <w:unhideWhenUsed/>
    <w:qFormat/>
    <w:pPr>
      <w:keepNext/>
      <w:keepLines/>
      <w:numPr>
        <w:ilvl w:val="4"/>
        <w:numId w:val="1"/>
      </w:numPr>
      <w:tabs>
        <w:tab w:val="left" w:pos="482"/>
      </w:tabs>
      <w:spacing w:before="40" w:after="0" w:line="240" w:lineRule="auto"/>
      <w:outlineLvl w:val="4"/>
    </w:pPr>
    <w:rPr>
      <w:rFonts w:asciiTheme="majorHAnsi" w:eastAsiaTheme="majorEastAsia" w:hAnsiTheme="majorHAnsi" w:cstheme="majorBidi"/>
      <w:color w:val="2E74B5" w:themeColor="accent1" w:themeShade="BF"/>
      <w:sz w:val="24"/>
    </w:rPr>
  </w:style>
  <w:style w:type="paragraph" w:styleId="Heading6">
    <w:name w:val="heading 6"/>
    <w:basedOn w:val="Normal"/>
    <w:next w:val="Normal"/>
    <w:link w:val="Heading6Char"/>
    <w:uiPriority w:val="9"/>
    <w:semiHidden/>
    <w:unhideWhenUsed/>
    <w:qFormat/>
    <w:pPr>
      <w:keepNext/>
      <w:keepLines/>
      <w:numPr>
        <w:ilvl w:val="5"/>
        <w:numId w:val="1"/>
      </w:numPr>
      <w:tabs>
        <w:tab w:val="left" w:pos="482"/>
      </w:tabs>
      <w:spacing w:before="40" w:after="0" w:line="240" w:lineRule="auto"/>
      <w:outlineLvl w:val="5"/>
    </w:pPr>
    <w:rPr>
      <w:rFonts w:asciiTheme="majorHAnsi" w:eastAsiaTheme="majorEastAsia" w:hAnsiTheme="majorHAnsi" w:cstheme="majorBidi"/>
      <w:color w:val="1F4D78" w:themeColor="accent1" w:themeShade="7F"/>
      <w:sz w:val="24"/>
    </w:rPr>
  </w:style>
  <w:style w:type="paragraph" w:styleId="Heading7">
    <w:name w:val="heading 7"/>
    <w:basedOn w:val="Normal"/>
    <w:next w:val="Normal"/>
    <w:link w:val="Heading7Char"/>
    <w:uiPriority w:val="9"/>
    <w:semiHidden/>
    <w:unhideWhenUsed/>
    <w:qFormat/>
    <w:pPr>
      <w:keepNext/>
      <w:keepLines/>
      <w:numPr>
        <w:ilvl w:val="6"/>
        <w:numId w:val="1"/>
      </w:numPr>
      <w:tabs>
        <w:tab w:val="left" w:pos="482"/>
      </w:tabs>
      <w:spacing w:before="40" w:after="0" w:line="240" w:lineRule="auto"/>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pPr>
      <w:keepNext/>
      <w:keepLines/>
      <w:numPr>
        <w:ilvl w:val="7"/>
        <w:numId w:val="1"/>
      </w:numPr>
      <w:tabs>
        <w:tab w:val="left" w:pos="482"/>
      </w:tabs>
      <w:spacing w:before="40" w:after="0" w:line="240"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numPr>
        <w:ilvl w:val="8"/>
        <w:numId w:val="1"/>
      </w:numPr>
      <w:tabs>
        <w:tab w:val="left" w:pos="482"/>
      </w:tab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EC Square Sans Pro Thin" w:eastAsiaTheme="majorEastAsia" w:hAnsi="EC Square Sans Pro Thin" w:cs="Times New Roman"/>
      <w:b/>
      <w:color w:val="5B9BD5" w:themeColor="accent1"/>
      <w:sz w:val="32"/>
      <w:szCs w:val="32"/>
    </w:rPr>
  </w:style>
  <w:style w:type="character" w:customStyle="1" w:styleId="Heading2Char">
    <w:name w:val="Heading 2 Char"/>
    <w:basedOn w:val="DefaultParagraphFont"/>
    <w:link w:val="Heading2"/>
    <w:uiPriority w:val="9"/>
    <w:rPr>
      <w:rFonts w:ascii="EC Square Sans Pro Light" w:eastAsiaTheme="majorEastAsia" w:hAnsi="EC Square Sans Pro Light" w:cs="Times New Roman"/>
      <w:color w:val="5B9BD5" w:themeColor="accent1"/>
      <w:sz w:val="28"/>
      <w:szCs w:val="26"/>
    </w:rPr>
  </w:style>
  <w:style w:type="character" w:customStyle="1" w:styleId="Heading3Char">
    <w:name w:val="Heading 3 Char"/>
    <w:basedOn w:val="DefaultParagraphFont"/>
    <w:link w:val="Heading3"/>
    <w:uiPriority w:val="9"/>
    <w:rPr>
      <w:rFonts w:ascii="EC Square Sans Pro Light" w:eastAsiaTheme="majorEastAsia" w:hAnsi="EC Square Sans Pro Light" w:cstheme="majorBidi"/>
      <w:i/>
      <w:color w:val="5B9BD5" w:themeColor="accent1"/>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jc w:val="both"/>
    </w:pPr>
    <w:rPr>
      <w:rFonts w:ascii="Times New Roman" w:hAnsi="Times New Roman"/>
      <w:sz w:val="24"/>
    </w:r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unhideWhenUsed/>
    <w:pPr>
      <w:tabs>
        <w:tab w:val="center" w:pos="4513"/>
        <w:tab w:val="right" w:pos="9026"/>
      </w:tabs>
      <w:spacing w:after="0" w:line="240" w:lineRule="auto"/>
      <w:jc w:val="both"/>
    </w:pPr>
    <w:rPr>
      <w:rFonts w:ascii="Times New Roman" w:hAnsi="Times New Roman"/>
      <w:sz w:val="24"/>
    </w:rPr>
  </w:style>
  <w:style w:type="character" w:customStyle="1" w:styleId="FooterChar">
    <w:name w:val="Footer Char"/>
    <w:basedOn w:val="DefaultParagraphFont"/>
    <w:link w:val="Footer"/>
    <w:uiPriority w:val="99"/>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ListParagraph">
    <w:name w:val="List Paragraph"/>
    <w:aliases w:val="Fiche List Paragraph,Task Body,Viñetas (Inicio Parrafo),3 Txt tabla,Zerrenda-paragrafoa,Lista multicolor - Énfasis 11,Paragrafo elenco,Dot pt,No Spacing1,List Paragraph Char Char Char,Indicator Text,Bullet 1,Numbered Para 1,Bullet Points"/>
    <w:basedOn w:val="Normal"/>
    <w:link w:val="ListParagraphChar"/>
    <w:uiPriority w:val="34"/>
    <w:qFormat/>
    <w:pPr>
      <w:spacing w:after="240" w:line="240" w:lineRule="auto"/>
      <w:ind w:left="720"/>
      <w:contextualSpacing/>
      <w:jc w:val="both"/>
    </w:pPr>
    <w:rPr>
      <w:rFonts w:ascii="Times New Roman" w:hAnsi="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40" w:line="240" w:lineRule="auto"/>
      <w:jc w:val="both"/>
    </w:pPr>
    <w:rPr>
      <w:rFonts w:ascii="Times New Roman" w:hAnsi="Times New Roman"/>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rPr>
  </w:style>
  <w:style w:type="paragraph" w:styleId="BalloonText">
    <w:name w:val="Balloon Text"/>
    <w:basedOn w:val="Normal"/>
    <w:link w:val="BalloonTextChar"/>
    <w:uiPriority w:val="99"/>
    <w:semiHidden/>
    <w:unhideWhenUsed/>
    <w:pPr>
      <w:spacing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otnoteReference">
    <w:name w:val="footnote reference"/>
    <w:aliases w:val="Footnote Reference Superscript,Footnote Reference/,Footnote symbol,Odwołanie przypisu,Times 10 Point,Exposant 3 Point,footnote ref, Exposant 3 Point,EN Footnote Reference,number,SUPERS,ftref,Footnote reference number,Ref,B2,BVI fnr,fr"/>
    <w:basedOn w:val="DefaultParagraphFont"/>
    <w:link w:val="BVIfnrCarCarCarCarCharCharCharCharCar"/>
    <w:uiPriority w:val="99"/>
    <w:qFormat/>
    <w:rPr>
      <w:vertAlign w:val="superscript"/>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autoRedefine/>
    <w:uiPriority w:val="99"/>
    <w:unhideWhenUsed/>
    <w:qFormat/>
    <w:pPr>
      <w:spacing w:after="0" w:line="240" w:lineRule="auto"/>
      <w:ind w:left="284" w:hanging="284"/>
      <w:jc w:val="both"/>
    </w:pPr>
    <w:rPr>
      <w:rFonts w:ascii="EC Square Sans Pro Thin" w:hAnsi="EC Square Sans Pro Thi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EC Square Sans Pro Thin" w:hAnsi="EC Square Sans Pro Thin" w:cs="Times New Roman"/>
      <w:sz w:val="20"/>
      <w:szCs w:val="20"/>
    </w:rPr>
  </w:style>
  <w:style w:type="character" w:styleId="Hyperlink">
    <w:name w:val="Hyperlink"/>
    <w:basedOn w:val="DefaultParagraphFont"/>
    <w:uiPriority w:val="99"/>
    <w:unhideWhenUsed/>
    <w:rPr>
      <w:color w:val="0563C1" w:themeColor="hyperlink"/>
      <w:u w:val="single"/>
    </w:rPr>
  </w:style>
  <w:style w:type="paragraph" w:customStyle="1" w:styleId="BVIfnrCarCarCarCarCharCharCharCharCar">
    <w:name w:val="BVI fnr Car Car Car Car Char Char Char Char Car"/>
    <w:aliases w:val="BVI fnr Car Car Car Car Char Char Car,BVI fnr Car Car Car Car Char Char Char Char Char Char Char Char Char Car"/>
    <w:basedOn w:val="Normal"/>
    <w:link w:val="FootnoteReference"/>
    <w:uiPriority w:val="99"/>
    <w:qFormat/>
    <w:pPr>
      <w:spacing w:line="240" w:lineRule="exact"/>
      <w:jc w:val="both"/>
    </w:pPr>
    <w:rPr>
      <w:vertAlign w:val="superscript"/>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uiPriority w:val="99"/>
    <w:pPr>
      <w:spacing w:line="240" w:lineRule="exact"/>
    </w:pPr>
    <w:rPr>
      <w:vertAlign w:val="superscript"/>
    </w:rPr>
  </w:style>
  <w:style w:type="paragraph" w:styleId="NormalWeb">
    <w:name w:val="Normal (Web)"/>
    <w:basedOn w:val="Normal"/>
    <w:unhideWhenUsed/>
    <w:pPr>
      <w:spacing w:after="240" w:line="240" w:lineRule="auto"/>
      <w:jc w:val="both"/>
    </w:pPr>
    <w:rPr>
      <w:rFonts w:ascii="Times New Roman" w:hAnsi="Times New Roman" w:cs="Times New Roman"/>
      <w:sz w:val="24"/>
      <w:szCs w:val="24"/>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No Spacing1 Char,List Paragraph Char Char Char Char"/>
    <w:basedOn w:val="DefaultParagraphFont"/>
    <w:link w:val="ListParagraph"/>
    <w:uiPriority w:val="34"/>
    <w:qFormat/>
    <w:rPr>
      <w:rFonts w:ascii="Times New Roman" w:hAnsi="Times New Roman"/>
      <w:sz w:val="24"/>
    </w:rPr>
  </w:style>
  <w:style w:type="paragraph" w:styleId="Revision">
    <w:name w:val="Revision"/>
    <w:hidden/>
    <w:uiPriority w:val="99"/>
    <w:semiHidden/>
    <w:pPr>
      <w:spacing w:after="0" w:line="240" w:lineRule="auto"/>
    </w:pPr>
    <w:rPr>
      <w:rFonts w:ascii="Times New Roman" w:hAnsi="Times New Roman"/>
      <w:sz w:val="24"/>
    </w:rPr>
  </w:style>
  <w:style w:type="paragraph" w:customStyle="1" w:styleId="Briefinglist1">
    <w:name w:val="Briefing list 1"/>
    <w:basedOn w:val="Normal"/>
    <w:link w:val="Briefinglist1Char"/>
    <w:pPr>
      <w:keepLines/>
      <w:numPr>
        <w:numId w:val="2"/>
      </w:numPr>
      <w:spacing w:after="120" w:line="240" w:lineRule="auto"/>
      <w:jc w:val="both"/>
    </w:pPr>
    <w:rPr>
      <w:rFonts w:ascii="Arial" w:eastAsia="Times New Roman" w:hAnsi="Arial" w:cs="Times New Roman"/>
      <w:szCs w:val="24"/>
      <w:lang w:eastAsia="en-GB"/>
    </w:rPr>
  </w:style>
  <w:style w:type="character" w:customStyle="1" w:styleId="Briefinglist1Char">
    <w:name w:val="Briefing list 1 Char"/>
    <w:basedOn w:val="DefaultParagraphFont"/>
    <w:link w:val="Briefinglist1"/>
    <w:rPr>
      <w:rFonts w:ascii="Arial" w:eastAsia="Times New Roman" w:hAnsi="Arial" w:cs="Times New Roman"/>
      <w:szCs w:val="24"/>
      <w:lang w:eastAsia="en-GB"/>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spacing w:after="0" w:line="240" w:lineRule="auto"/>
    </w:pPr>
    <w:rPr>
      <w:rFonts w:ascii="Calibri" w:eastAsia="Calibri" w:hAnsi="Calibri" w:cs="Times New Roman"/>
    </w:rPr>
  </w:style>
  <w:style w:type="character" w:customStyle="1" w:styleId="hps">
    <w:name w:val="hps"/>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paragraph" w:customStyle="1" w:styleId="paragraph">
    <w:name w:val="paragraph"/>
    <w:basedOn w:val="Normal"/>
    <w:pPr>
      <w:spacing w:before="100" w:beforeAutospacing="1" w:after="100" w:afterAutospacing="1" w:line="240" w:lineRule="auto"/>
    </w:pPr>
    <w:rPr>
      <w:rFonts w:ascii="Times New Roman" w:eastAsia="MS Mincho" w:hAnsi="Times New Roman" w:cs="Times New Roman"/>
      <w:sz w:val="20"/>
      <w:szCs w:val="20"/>
      <w:lang w:eastAsia="en-GB"/>
    </w:rPr>
  </w:style>
  <w:style w:type="paragraph" w:customStyle="1" w:styleId="AppelnotedebasdepageCharCharCharCharCharCharChar">
    <w:name w:val="Appel note de bas de page Char Char Char Char Char Char Char"/>
    <w:basedOn w:val="Normal"/>
    <w:pPr>
      <w:spacing w:after="0" w:line="240" w:lineRule="auto"/>
      <w:jc w:val="both"/>
    </w:pPr>
    <w:rPr>
      <w:vertAlign w:val="superscript"/>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line="240" w:lineRule="exact"/>
      <w:jc w:val="both"/>
    </w:pPr>
    <w:rPr>
      <w:vertAlign w:val="superscript"/>
    </w:rPr>
  </w:style>
  <w:style w:type="paragraph" w:styleId="TOCHeading">
    <w:name w:val="TOC Heading"/>
    <w:basedOn w:val="Heading1"/>
    <w:next w:val="Normal"/>
    <w:uiPriority w:val="39"/>
    <w:unhideWhenUsed/>
    <w:qFormat/>
    <w:pPr>
      <w:numPr>
        <w:numId w:val="0"/>
      </w:numPr>
      <w:tabs>
        <w:tab w:val="clear" w:pos="482"/>
      </w:tabs>
      <w:spacing w:line="259" w:lineRule="auto"/>
      <w:jc w:val="left"/>
      <w:outlineLvl w:val="9"/>
    </w:pPr>
    <w:rPr>
      <w:rFonts w:asciiTheme="majorHAnsi" w:hAnsiTheme="majorHAnsi"/>
      <w:b w:val="0"/>
      <w:color w:val="2E74B5" w:themeColor="accent1" w:themeShade="BF"/>
      <w:lang w:val="en-US"/>
    </w:rPr>
  </w:style>
  <w:style w:type="paragraph" w:styleId="TOC1">
    <w:name w:val="toc 1"/>
    <w:basedOn w:val="Normal"/>
    <w:next w:val="Normal"/>
    <w:autoRedefine/>
    <w:uiPriority w:val="39"/>
    <w:unhideWhenUsed/>
    <w:pPr>
      <w:tabs>
        <w:tab w:val="left" w:pos="440"/>
        <w:tab w:val="right" w:leader="dot" w:pos="9016"/>
      </w:tabs>
      <w:spacing w:after="100"/>
    </w:pPr>
    <w:rPr>
      <w:rFonts w:ascii="EC Square Sans Pro Light" w:hAnsi="EC Square Sans Pro Light"/>
      <w:noProof/>
    </w:r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959824">
      <w:bodyDiv w:val="1"/>
      <w:marLeft w:val="0"/>
      <w:marRight w:val="0"/>
      <w:marTop w:val="0"/>
      <w:marBottom w:val="0"/>
      <w:divBdr>
        <w:top w:val="none" w:sz="0" w:space="0" w:color="auto"/>
        <w:left w:val="none" w:sz="0" w:space="0" w:color="auto"/>
        <w:bottom w:val="none" w:sz="0" w:space="0" w:color="auto"/>
        <w:right w:val="none" w:sz="0" w:space="0" w:color="auto"/>
      </w:divBdr>
    </w:div>
    <w:div w:id="1199128429">
      <w:bodyDiv w:val="1"/>
      <w:marLeft w:val="0"/>
      <w:marRight w:val="0"/>
      <w:marTop w:val="0"/>
      <w:marBottom w:val="0"/>
      <w:divBdr>
        <w:top w:val="none" w:sz="0" w:space="0" w:color="auto"/>
        <w:left w:val="none" w:sz="0" w:space="0" w:color="auto"/>
        <w:bottom w:val="none" w:sz="0" w:space="0" w:color="auto"/>
        <w:right w:val="none" w:sz="0" w:space="0" w:color="auto"/>
      </w:divBdr>
    </w:div>
    <w:div w:id="1742406054">
      <w:bodyDiv w:val="1"/>
      <w:marLeft w:val="0"/>
      <w:marRight w:val="0"/>
      <w:marTop w:val="0"/>
      <w:marBottom w:val="0"/>
      <w:divBdr>
        <w:top w:val="none" w:sz="0" w:space="0" w:color="auto"/>
        <w:left w:val="none" w:sz="0" w:space="0" w:color="auto"/>
        <w:bottom w:val="none" w:sz="0" w:space="0" w:color="auto"/>
        <w:right w:val="none" w:sz="0" w:space="0" w:color="auto"/>
      </w:divBdr>
    </w:div>
    <w:div w:id="2115855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image" Target="media/image4.jpeg"/><Relationship Id="rId34" Type="http://schemas.openxmlformats.org/officeDocument/2006/relationships/footer" Target="footer6.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image" Target="media/image8.jpeg"/><Relationship Id="rId33"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jpe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7.jpeg"/><Relationship Id="rId32" Type="http://schemas.openxmlformats.org/officeDocument/2006/relationships/footer" Target="footer5.xml"/><Relationship Id="rId37" Type="http://schemas.microsoft.com/office/2011/relationships/people" Target="peop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6.jpeg"/><Relationship Id="rId28" Type="http://schemas.openxmlformats.org/officeDocument/2006/relationships/hyperlink" Target="https://education-for-climate.ec.europa.eu/_en"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2.jpeg"/><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jpeg"/><Relationship Id="rId27" Type="http://schemas.openxmlformats.org/officeDocument/2006/relationships/hyperlink" Target="https://education-for-climate.ec.europa.eu/_en" TargetMode="External"/><Relationship Id="rId30" Type="http://schemas.openxmlformats.org/officeDocument/2006/relationships/header" Target="header5.xm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igital-strategy.ec.europa.eu/en/policies/digital-compass" TargetMode="External"/><Relationship Id="rId13" Type="http://schemas.openxmlformats.org/officeDocument/2006/relationships/hyperlink" Target="https://www.eiturbanmobility.eu/launch-of-cross-kic-new-european-bauhaus-call-for-proposals-for-citizen-engagement" TargetMode="External"/><Relationship Id="rId18" Type="http://schemas.openxmlformats.org/officeDocument/2006/relationships/hyperlink" Target="https://ec.europa.eu/growth/smes/cosme_en" TargetMode="External"/><Relationship Id="rId3" Type="http://schemas.openxmlformats.org/officeDocument/2006/relationships/hyperlink" Target="https://europa.eu/new-european-bauhaus/partners-0/partners_en" TargetMode="External"/><Relationship Id="rId21" Type="http://schemas.openxmlformats.org/officeDocument/2006/relationships/hyperlink" Target="https://europa.eu/youth/discovereu_en" TargetMode="External"/><Relationship Id="rId7" Type="http://schemas.openxmlformats.org/officeDocument/2006/relationships/hyperlink" Target="https://op.europa.eu/en/publication-detail/-/publication/d3129b80-6f7c-11e8-9483-01aa75ed71a1/language-en/format-PDF" TargetMode="External"/><Relationship Id="rId12" Type="http://schemas.openxmlformats.org/officeDocument/2006/relationships/hyperlink" Target="https://ec.europa.eu/info/research-and-innovation/funding/funding-opportunities/funding-programmes-and-open-calls/horizon-europe/missions-horizon-europe_en" TargetMode="External"/><Relationship Id="rId17" Type="http://schemas.openxmlformats.org/officeDocument/2006/relationships/hyperlink" Target="https://ec.europa.eu/info/funding-tenders/find-funding/eu-funding-programmes/single-market-programme_en" TargetMode="External"/><Relationship Id="rId2" Type="http://schemas.openxmlformats.org/officeDocument/2006/relationships/hyperlink" Target="https://europa.eu/new-european-bauhaus/co-design/co-designing-new-european-bauhaus_en" TargetMode="External"/><Relationship Id="rId16" Type="http://schemas.openxmlformats.org/officeDocument/2006/relationships/hyperlink" Target="https://cinea.ec.europa.eu/life_fr" TargetMode="External"/><Relationship Id="rId20" Type="http://schemas.openxmlformats.org/officeDocument/2006/relationships/hyperlink" Target="https://www.etwinning.net/en/pub/index.htm" TargetMode="External"/><Relationship Id="rId1" Type="http://schemas.openxmlformats.org/officeDocument/2006/relationships/hyperlink" Target="https://ec.europa.eu/commission/presscorner/detail/en/ip_21_111" TargetMode="External"/><Relationship Id="rId6" Type="http://schemas.openxmlformats.org/officeDocument/2006/relationships/hyperlink" Target="https://www.15minutecity.com/" TargetMode="External"/><Relationship Id="rId11" Type="http://schemas.openxmlformats.org/officeDocument/2006/relationships/hyperlink" Target="https://ec.europa.eu/regional_policy/sources/docgener/brochure/explanatory_memo_eui_post_2020_en.pdf" TargetMode="External"/><Relationship Id="rId5" Type="http://schemas.openxmlformats.org/officeDocument/2006/relationships/hyperlink" Target="https://europa.eu/new-european-bauhaus/2021-prizes_en" TargetMode="External"/><Relationship Id="rId15" Type="http://schemas.openxmlformats.org/officeDocument/2006/relationships/hyperlink" Target="https://eic.ec.europa.eu/index_en" TargetMode="External"/><Relationship Id="rId10" Type="http://schemas.openxmlformats.org/officeDocument/2006/relationships/hyperlink" Target="http://revistas.unisinos.br/index.php/sdrj/article/view/sdrj.2021.141.02" TargetMode="External"/><Relationship Id="rId19" Type="http://schemas.openxmlformats.org/officeDocument/2006/relationships/hyperlink" Target="https://www.worthproject.eu/" TargetMode="External"/><Relationship Id="rId4" Type="http://schemas.openxmlformats.org/officeDocument/2006/relationships/hyperlink" Target="https://europa.eu/new-european-bauhaus/about/high-level-roundtable_fr" TargetMode="External"/><Relationship Id="rId9" Type="http://schemas.openxmlformats.org/officeDocument/2006/relationships/hyperlink" Target="https://www.routledge.com/Design-for-Sustainability-A-Multi-level-Framework-from-Products-to-Socio-technical/Gaziulusoy/p/book/9781032089959" TargetMode="External"/><Relationship Id="rId14" Type="http://schemas.openxmlformats.org/officeDocument/2006/relationships/hyperlink" Target="https://eit.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2349DD7EE3E848A8560988FC6628C1" ma:contentTypeVersion="0" ma:contentTypeDescription="Create a new document." ma:contentTypeScope="" ma:versionID="e13f52a46c7302f54f3233bc7c763269">
  <xsd:schema xmlns:xsd="http://www.w3.org/2001/XMLSchema" xmlns:xs="http://www.w3.org/2001/XMLSchema" xmlns:p="http://schemas.microsoft.com/office/2006/metadata/properties" targetNamespace="http://schemas.microsoft.com/office/2006/metadata/properties" ma:root="true" ma:fieldsID="d413257cd9829394d17656a545d5fa4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D9EDC-A220-4C5A-84C9-D9B19BA6D3DF}">
  <ds:schemaRefs>
    <ds:schemaRef ds:uri="http://purl.org/dc/term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B19A7E77-E829-4F43-8A43-05AEFABEEA8E}">
  <ds:schemaRefs>
    <ds:schemaRef ds:uri="http://schemas.microsoft.com/sharepoint/v3/contenttype/forms"/>
  </ds:schemaRefs>
</ds:datastoreItem>
</file>

<file path=customXml/itemProps3.xml><?xml version="1.0" encoding="utf-8"?>
<ds:datastoreItem xmlns:ds="http://schemas.openxmlformats.org/officeDocument/2006/customXml" ds:itemID="{D02BBA32-653E-4CBC-A548-6255402660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657BEF7-C452-47C0-A2B5-7BB02A644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5583</Words>
  <Characters>31550</Characters>
  <Application>Microsoft Office Word</Application>
  <DocSecurity>0</DocSecurity>
  <Lines>534</Lines>
  <Paragraphs>227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30</cp:revision>
  <cp:lastPrinted>2021-09-13T15:51:00Z</cp:lastPrinted>
  <dcterms:created xsi:type="dcterms:W3CDTF">2021-09-15T08:04:00Z</dcterms:created>
  <dcterms:modified xsi:type="dcterms:W3CDTF">2021-09-15T09:50:00Z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20190916</vt:lpwstr>
  </property>
  <property fmtid="{D5CDD505-2E9C-101B-9397-08002B2CF9AE}" pid="8" name="Created using">
    <vt:lpwstr>LW 7.0.1, Build 20200226</vt:lpwstr>
  </property>
  <property fmtid="{D5CDD505-2E9C-101B-9397-08002B2CF9AE}" pid="9" name="_LW_INVALIDATED__LW_INVALIDATED__LW_INVALIDATED__LW_INVALIDATED_ContentTypeId">
    <vt:lpwstr>0x0101006C2349DD7EE3E848A8560988FC6628C1</vt:lpwstr>
  </property>
</Properties>
</file>