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CBC" w:rsidRDefault="00BC383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FE306EB-031F-4045-A0A1-F3616CFDB811" style="width:455.45pt;height:355pt">
            <v:imagedata r:id="rId11" o:title=""/>
          </v:shape>
        </w:pict>
      </w:r>
    </w:p>
    <w:p w:rsidR="00D10CBC" w:rsidRDefault="00D10CBC">
      <w:pPr>
        <w:rPr>
          <w:noProof/>
        </w:rPr>
        <w:sectPr w:rsidR="00D10CBC" w:rsidSect="00BC383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D10CBC" w:rsidRDefault="00BC383A">
      <w:pPr>
        <w:pStyle w:val="Exposdesmotifstitre"/>
        <w:rPr>
          <w:noProof/>
        </w:rPr>
      </w:pPr>
      <w:r>
        <w:rPr>
          <w:noProof/>
        </w:rPr>
        <w:lastRenderedPageBreak/>
        <w:t>EXPLANATORY MEMORANDUM</w:t>
      </w:r>
    </w:p>
    <w:p w:rsidR="00D10CBC" w:rsidRDefault="00BC383A">
      <w:pPr>
        <w:pStyle w:val="ManualHeading1"/>
        <w:rPr>
          <w:noProof/>
        </w:rPr>
      </w:pPr>
      <w:r>
        <w:rPr>
          <w:noProof/>
        </w:rPr>
        <w:t>1.</w:t>
      </w:r>
      <w:r>
        <w:rPr>
          <w:noProof/>
        </w:rPr>
        <w:tab/>
        <w:t>CONTEXT OF THE PROPOSAL</w:t>
      </w:r>
    </w:p>
    <w:p w:rsidR="00D10CBC" w:rsidRDefault="00BC383A">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D10CBC" w:rsidRDefault="00BC383A">
      <w:pPr>
        <w:pStyle w:val="Text1"/>
        <w:rPr>
          <w:noProof/>
        </w:rPr>
      </w:pPr>
      <w:r>
        <w:rPr>
          <w:noProof/>
        </w:rPr>
        <w:t xml:space="preserve">This proposal for a Regulation aims to put in place </w:t>
      </w:r>
      <w:r>
        <w:rPr>
          <w:b/>
          <w:noProof/>
        </w:rPr>
        <w:t xml:space="preserve">a </w:t>
      </w:r>
      <w:r>
        <w:rPr>
          <w:b/>
          <w:noProof/>
        </w:rPr>
        <w:t>framework of measures to be activated in case of a public health emergency</w:t>
      </w:r>
      <w:r>
        <w:rPr>
          <w:noProof/>
        </w:rPr>
        <w:t xml:space="preserve"> by enabling the Union to take the necessary measures for a sufficient and timely availability and supply of crisis-relevant medical countermeasures. </w:t>
      </w:r>
    </w:p>
    <w:p w:rsidR="00D10CBC" w:rsidRDefault="00BC383A">
      <w:pPr>
        <w:pStyle w:val="Text1"/>
        <w:rPr>
          <w:noProof/>
        </w:rPr>
      </w:pPr>
      <w:r>
        <w:rPr>
          <w:rFonts w:eastAsia="Times New Roman"/>
          <w:noProof/>
          <w:szCs w:val="24"/>
        </w:rPr>
        <w:t>On 15 June 2021, the Commission</w:t>
      </w:r>
      <w:r>
        <w:rPr>
          <w:rFonts w:eastAsia="Times New Roman"/>
          <w:noProof/>
          <w:szCs w:val="24"/>
        </w:rPr>
        <w:t xml:space="preserve"> presented a Communication on the early lessons from the COVID-19 pandemic</w:t>
      </w:r>
      <w:r>
        <w:rPr>
          <w:rStyle w:val="FootnoteReference"/>
          <w:rFonts w:eastAsia="Times New Roman"/>
          <w:noProof/>
          <w:szCs w:val="24"/>
        </w:rPr>
        <w:footnoteReference w:id="2"/>
      </w:r>
      <w:r>
        <w:rPr>
          <w:rFonts w:eastAsia="Times New Roman"/>
          <w:noProof/>
          <w:szCs w:val="24"/>
        </w:rPr>
        <w:t xml:space="preserve"> setting out the need for the Union to have special arrangements in place to better react in times of health crisis. </w:t>
      </w:r>
      <w:r>
        <w:rPr>
          <w:noProof/>
        </w:rPr>
        <w:t>In November 2020, the Commission had put forward proposals for a</w:t>
      </w:r>
      <w:r>
        <w:rPr>
          <w:noProof/>
        </w:rPr>
        <w:t xml:space="preserve"> stronger European Health Union, and is now creating a new Union </w:t>
      </w:r>
      <w:r>
        <w:rPr>
          <w:b/>
          <w:noProof/>
        </w:rPr>
        <w:t>Health Emergency preparedness and Response Authority</w:t>
      </w:r>
      <w:r>
        <w:rPr>
          <w:noProof/>
        </w:rPr>
        <w:t xml:space="preserve"> (HERA) within its services. This will provide an agile, robust and sustainable health security structure to improve the availability of me</w:t>
      </w:r>
      <w:r>
        <w:rPr>
          <w:noProof/>
        </w:rPr>
        <w:t xml:space="preserve">dical countermeasures. It would operate during both preparedness and crisis situations. </w:t>
      </w:r>
    </w:p>
    <w:p w:rsidR="00D10CBC" w:rsidRDefault="00BC383A">
      <w:pPr>
        <w:pStyle w:val="Text1"/>
        <w:rPr>
          <w:noProof/>
        </w:rPr>
      </w:pPr>
      <w:r>
        <w:rPr>
          <w:noProof/>
        </w:rPr>
        <w:t>The COVID-19 pandemic revealed significant vulnerabilities in the European health preparedness for and response to public health emergencies. The measures set out in t</w:t>
      </w:r>
      <w:r>
        <w:rPr>
          <w:noProof/>
        </w:rPr>
        <w:t xml:space="preserve">his Regulation relate to the crisis response mode. They will complement the development of HERA as a new driver for Union action to address cross-border threats. </w:t>
      </w:r>
    </w:p>
    <w:p w:rsidR="00D10CBC" w:rsidRDefault="00BC383A">
      <w:pPr>
        <w:pStyle w:val="Text1"/>
        <w:rPr>
          <w:noProof/>
          <w:szCs w:val="24"/>
        </w:rPr>
      </w:pPr>
      <w:r>
        <w:rPr>
          <w:noProof/>
        </w:rPr>
        <w:t>EU structures, Member States and the industrial sector involved in medical countermeasures we</w:t>
      </w:r>
      <w:r>
        <w:rPr>
          <w:noProof/>
        </w:rPr>
        <w:t>re not sufficiently prepared to ensure the efficient development, manufacturing, procurement, and equitable distribution of key medical countermeasures</w:t>
      </w:r>
      <w:r>
        <w:rPr>
          <w:rStyle w:val="FootnoteReference"/>
          <w:noProof/>
        </w:rPr>
        <w:footnoteReference w:id="3"/>
      </w:r>
      <w:r>
        <w:rPr>
          <w:noProof/>
        </w:rPr>
        <w:t xml:space="preserve"> in response to the pandemic. The pandemic also revealed too many fragmented research activities across </w:t>
      </w:r>
      <w:r>
        <w:rPr>
          <w:noProof/>
        </w:rPr>
        <w:t>the Union, often rather limited in scope and limited manufacturing capacities for medical countermeasures, as well as vulnerability in related global supply chains. T</w:t>
      </w:r>
      <w:r>
        <w:rPr>
          <w:noProof/>
          <w:szCs w:val="24"/>
        </w:rPr>
        <w:t>hese limitations ultimately resulted in delays and inefficiencies in the response, which c</w:t>
      </w:r>
      <w:r>
        <w:rPr>
          <w:noProof/>
          <w:szCs w:val="24"/>
        </w:rPr>
        <w:t>ost lives and harmed the economy.</w:t>
      </w:r>
    </w:p>
    <w:p w:rsidR="00D10CBC" w:rsidRDefault="00BC383A">
      <w:pPr>
        <w:pStyle w:val="Text1"/>
        <w:rPr>
          <w:noProof/>
          <w:szCs w:val="24"/>
        </w:rPr>
      </w:pPr>
      <w:r>
        <w:rPr>
          <w:noProof/>
          <w:szCs w:val="24"/>
        </w:rPr>
        <w:t>In particular, the following problems related to crisis-relevant medical countermeasures were identified.</w:t>
      </w:r>
    </w:p>
    <w:p w:rsidR="00D10CBC" w:rsidRDefault="00BC383A">
      <w:pPr>
        <w:pStyle w:val="Point1"/>
        <w:rPr>
          <w:noProof/>
        </w:rPr>
      </w:pPr>
      <w:r>
        <w:rPr>
          <w:noProof/>
        </w:rPr>
        <w:t>●</w:t>
      </w:r>
      <w:r>
        <w:rPr>
          <w:noProof/>
        </w:rPr>
        <w:tab/>
      </w:r>
      <w:r>
        <w:rPr>
          <w:b/>
          <w:noProof/>
        </w:rPr>
        <w:t>Insufficient and scattered intelligence gathering and analysis</w:t>
      </w:r>
      <w:r>
        <w:rPr>
          <w:noProof/>
        </w:rPr>
        <w:t>, which is crucial for underpinning preparedness and</w:t>
      </w:r>
      <w:r>
        <w:rPr>
          <w:noProof/>
        </w:rPr>
        <w:t xml:space="preserve"> response plans for crisis-relevant medical countermeasures as well as for ensuring that response interventions adequately ensure availability and accessibility of crisis-relevant medical countermeasures.</w:t>
      </w:r>
    </w:p>
    <w:p w:rsidR="00D10CBC" w:rsidRDefault="00BC383A">
      <w:pPr>
        <w:pStyle w:val="Point1"/>
        <w:rPr>
          <w:noProof/>
        </w:rPr>
      </w:pPr>
      <w:r>
        <w:rPr>
          <w:noProof/>
        </w:rPr>
        <w:t>●</w:t>
      </w:r>
      <w:r>
        <w:rPr>
          <w:noProof/>
        </w:rPr>
        <w:tab/>
      </w:r>
      <w:r>
        <w:rPr>
          <w:b/>
          <w:noProof/>
        </w:rPr>
        <w:t>Sub-optimal intervention tools and the absence of</w:t>
      </w:r>
      <w:r>
        <w:rPr>
          <w:b/>
          <w:noProof/>
        </w:rPr>
        <w:t xml:space="preserve"> fully functional public-private ecosystems, </w:t>
      </w:r>
      <w:r>
        <w:rPr>
          <w:noProof/>
        </w:rPr>
        <w:t>which did not allow the Union to take a proactive approach with strategic and well-informed interventions, which are required to mobilise resources and accelerate the short timeframes for the process of research</w:t>
      </w:r>
      <w:r>
        <w:rPr>
          <w:noProof/>
        </w:rPr>
        <w:t xml:space="preserve"> to final market product.</w:t>
      </w:r>
    </w:p>
    <w:p w:rsidR="00D10CBC" w:rsidRDefault="00BC383A">
      <w:pPr>
        <w:pStyle w:val="Point1"/>
        <w:rPr>
          <w:noProof/>
        </w:rPr>
      </w:pPr>
      <w:r>
        <w:rPr>
          <w:noProof/>
        </w:rPr>
        <w:lastRenderedPageBreak/>
        <w:t>●</w:t>
      </w:r>
      <w:r>
        <w:rPr>
          <w:noProof/>
        </w:rPr>
        <w:tab/>
      </w:r>
      <w:r>
        <w:rPr>
          <w:b/>
          <w:noProof/>
        </w:rPr>
        <w:t>Impediments to swift manufacturing of crisis-relevant medical countermeasures,</w:t>
      </w:r>
      <w:r>
        <w:rPr>
          <w:noProof/>
        </w:rPr>
        <w:t xml:space="preserve"> which can be linked to vulnerabilities and difficulties experienced in manufacturing and supply chains, emergency funding and regulatory frameworks, </w:t>
      </w:r>
      <w:r>
        <w:rPr>
          <w:noProof/>
        </w:rPr>
        <w:t xml:space="preserve">research and data sharing as well as </w:t>
      </w:r>
      <w:r>
        <w:rPr>
          <w:b/>
          <w:noProof/>
        </w:rPr>
        <w:t>insufficient manufacturing capacities in particular at the beginning of the COVID-19 pandemic</w:t>
      </w:r>
      <w:r>
        <w:rPr>
          <w:noProof/>
        </w:rPr>
        <w:t>.</w:t>
      </w:r>
    </w:p>
    <w:p w:rsidR="00D10CBC" w:rsidRDefault="00BC383A">
      <w:pPr>
        <w:pStyle w:val="Point1"/>
        <w:rPr>
          <w:noProof/>
        </w:rPr>
      </w:pPr>
      <w:r>
        <w:rPr>
          <w:noProof/>
        </w:rPr>
        <w:t>●</w:t>
      </w:r>
      <w:r>
        <w:rPr>
          <w:noProof/>
        </w:rPr>
        <w:tab/>
      </w:r>
      <w:r>
        <w:rPr>
          <w:b/>
          <w:noProof/>
        </w:rPr>
        <w:t>Fragmented and dispersed efforts at the Union and national levels</w:t>
      </w:r>
      <w:r>
        <w:rPr>
          <w:noProof/>
        </w:rPr>
        <w:t xml:space="preserve">, aggravated by inadequate coordination and information </w:t>
      </w:r>
      <w:r>
        <w:rPr>
          <w:noProof/>
        </w:rPr>
        <w:t>sharing, which resulted in an inability to secure the availability of crisis-relevant medical countermeasures and to provide timely access to them.</w:t>
      </w:r>
    </w:p>
    <w:p w:rsidR="00D10CBC" w:rsidRDefault="00BC383A">
      <w:pPr>
        <w:pStyle w:val="Text1"/>
        <w:rPr>
          <w:noProof/>
          <w:szCs w:val="24"/>
        </w:rPr>
      </w:pPr>
      <w:r>
        <w:rPr>
          <w:noProof/>
          <w:szCs w:val="24"/>
        </w:rPr>
        <w:t>Some steps to address these shortcomings come through better preparedness. But others require powers, instru</w:t>
      </w:r>
      <w:r>
        <w:rPr>
          <w:noProof/>
          <w:szCs w:val="24"/>
        </w:rPr>
        <w:t xml:space="preserve">ments and actions which are only appropriate to cross border emergency situations. </w:t>
      </w:r>
      <w:r>
        <w:rPr>
          <w:noProof/>
        </w:rPr>
        <w:t xml:space="preserve">The Union did not have a specific emergency mandate for the coordination of Union activities </w:t>
      </w:r>
      <w:r>
        <w:rPr>
          <w:noProof/>
          <w:szCs w:val="24"/>
        </w:rPr>
        <w:t>able to</w:t>
      </w:r>
      <w:r>
        <w:rPr>
          <w:noProof/>
        </w:rPr>
        <w:t xml:space="preserve"> ensure rapid availability and accessibility of crisis-relevant medical c</w:t>
      </w:r>
      <w:r>
        <w:rPr>
          <w:noProof/>
        </w:rPr>
        <w:t xml:space="preserve">ountermeasures for all Member States. Member States each </w:t>
      </w:r>
      <w:r>
        <w:rPr>
          <w:noProof/>
          <w:szCs w:val="24"/>
        </w:rPr>
        <w:t>had</w:t>
      </w:r>
      <w:r>
        <w:rPr>
          <w:noProof/>
        </w:rPr>
        <w:t xml:space="preserve"> different capacities to prepare, respond with and manage crisis-relevant medical countermeasures. </w:t>
      </w:r>
      <w:r>
        <w:rPr>
          <w:noProof/>
          <w:szCs w:val="24"/>
        </w:rPr>
        <w:t>Neither national nor EU level had the capacity to respond as required already in place: the respo</w:t>
      </w:r>
      <w:r>
        <w:rPr>
          <w:noProof/>
          <w:szCs w:val="24"/>
        </w:rPr>
        <w:t xml:space="preserve">nse had to be created from imperfect foundations. This situation is likely to be replicated: </w:t>
      </w:r>
      <w:r>
        <w:rPr>
          <w:noProof/>
        </w:rPr>
        <w:t>probably no single country can adequately address all the challenges associated with public health emergencies that have the ability to affect one or more Member S</w:t>
      </w:r>
      <w:r>
        <w:rPr>
          <w:noProof/>
        </w:rPr>
        <w:t>tates, such as COVID-19</w:t>
      </w:r>
      <w:r>
        <w:rPr>
          <w:noProof/>
          <w:szCs w:val="24"/>
        </w:rPr>
        <w:t>. Rapidly</w:t>
      </w:r>
      <w:r>
        <w:rPr>
          <w:noProof/>
        </w:rPr>
        <w:t xml:space="preserve"> changing technological and competitive environments</w:t>
      </w:r>
      <w:r>
        <w:rPr>
          <w:noProof/>
          <w:szCs w:val="24"/>
        </w:rPr>
        <w:t xml:space="preserve"> make country-specific responses still more difficult</w:t>
      </w:r>
      <w:r>
        <w:rPr>
          <w:noProof/>
        </w:rPr>
        <w:t>. Uncoordinated efforts may also lead to fragmentation of an already complex market and duplication of public funding.</w:t>
      </w:r>
    </w:p>
    <w:p w:rsidR="00D10CBC" w:rsidRDefault="00BC383A">
      <w:pPr>
        <w:pStyle w:val="Text1"/>
        <w:rPr>
          <w:noProof/>
        </w:rPr>
      </w:pPr>
      <w:r>
        <w:rPr>
          <w:noProof/>
          <w:szCs w:val="24"/>
        </w:rPr>
        <w:t>Moreover, due to g</w:t>
      </w:r>
      <w:r>
        <w:rPr>
          <w:noProof/>
        </w:rPr>
        <w:t>lobalisation, climate change, natural and man-made disasters, biodiversity loss, habitat encroachment as well as armed conflicts and terrorism, the continuation, emergence and threat of public health emergencies remains a serious likeliho</w:t>
      </w:r>
      <w:r>
        <w:rPr>
          <w:noProof/>
        </w:rPr>
        <w:t>od globally, requiring swift availability and accessibility of crisis-relevant medical countermeasures.</w:t>
      </w:r>
    </w:p>
    <w:p w:rsidR="00D10CBC" w:rsidRDefault="00BC383A">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rsidR="00D10CBC" w:rsidRDefault="00BC383A">
      <w:pPr>
        <w:pStyle w:val="Text1"/>
        <w:rPr>
          <w:rFonts w:eastAsia="Arial Unicode MS"/>
          <w:noProof/>
        </w:rPr>
      </w:pPr>
      <w:r>
        <w:rPr>
          <w:rFonts w:eastAsia="Arial Unicode MS"/>
          <w:noProof/>
        </w:rPr>
        <w:t>This proposal for a Regulation forms one of the main pillars of the European Health Uni</w:t>
      </w:r>
      <w:r>
        <w:rPr>
          <w:rFonts w:eastAsia="Arial Unicode MS"/>
          <w:noProof/>
        </w:rPr>
        <w:t>on by solidifying the Union’s capacity to support timely availability and accessibility for crisis-relevant medical countermeasures during a public health emergency. It is proposed in conjunction with the proposals put forward by the Commission in November</w:t>
      </w:r>
      <w:r>
        <w:rPr>
          <w:rFonts w:eastAsia="Arial Unicode MS"/>
          <w:noProof/>
        </w:rPr>
        <w:t xml:space="preserve"> 2020: the proposal for a Regulation on serious cross-border threats to health</w:t>
      </w:r>
      <w:r>
        <w:rPr>
          <w:rStyle w:val="FootnoteReference"/>
          <w:rFonts w:eastAsia="Arial Unicode MS"/>
          <w:noProof/>
        </w:rPr>
        <w:footnoteReference w:id="4"/>
      </w:r>
      <w:r>
        <w:rPr>
          <w:rFonts w:eastAsia="Arial Unicode MS"/>
          <w:noProof/>
        </w:rPr>
        <w:t xml:space="preserve"> and the extended mandates of the European Centre for Disease Prevention and Control (ECDC)</w:t>
      </w:r>
      <w:r>
        <w:rPr>
          <w:rStyle w:val="FootnoteReference"/>
          <w:rFonts w:eastAsia="Arial Unicode MS"/>
          <w:noProof/>
        </w:rPr>
        <w:footnoteReference w:id="5"/>
      </w:r>
      <w:r>
        <w:rPr>
          <w:rFonts w:eastAsia="Arial Unicode MS"/>
          <w:noProof/>
        </w:rPr>
        <w:t xml:space="preserve"> and the European Medicines Agency (EMA).</w:t>
      </w:r>
      <w:r>
        <w:rPr>
          <w:rStyle w:val="FootnoteReference"/>
          <w:rFonts w:eastAsia="Arial Unicode MS"/>
          <w:noProof/>
        </w:rPr>
        <w:footnoteReference w:id="6"/>
      </w:r>
      <w:r>
        <w:rPr>
          <w:rFonts w:eastAsia="Arial Unicode MS"/>
          <w:noProof/>
        </w:rPr>
        <w:t xml:space="preserve"> Overall, it reinforces the Union’s crisis </w:t>
      </w:r>
      <w:r>
        <w:rPr>
          <w:rFonts w:eastAsia="Arial Unicode MS"/>
          <w:noProof/>
        </w:rPr>
        <w:t xml:space="preserve">management framework. With regard to the proposal for an extended EMA mandate, there will be a close link between the Commission and the EMA in order to ensure consistency and inform Commission decision making with regard to crisis-relevant medical </w:t>
      </w:r>
      <w:r>
        <w:rPr>
          <w:rFonts w:eastAsia="Arial Unicode MS"/>
          <w:noProof/>
        </w:rPr>
        <w:lastRenderedPageBreak/>
        <w:t>counter</w:t>
      </w:r>
      <w:r>
        <w:rPr>
          <w:rFonts w:eastAsia="Arial Unicode MS"/>
          <w:noProof/>
        </w:rPr>
        <w:t xml:space="preserve">measures. This close link specifically pertains to the information and the recommendations of the Medicines Steering Group and the Commission’s role to take action to ensure mitigation of potential or actual shortages of medicinal products on the critical </w:t>
      </w:r>
      <w:r>
        <w:rPr>
          <w:rFonts w:eastAsia="Arial Unicode MS"/>
          <w:noProof/>
        </w:rPr>
        <w:t xml:space="preserve">medicines list and the need for medical countermeasures, in line with </w:t>
      </w:r>
      <w:r>
        <w:rPr>
          <w:rFonts w:eastAsia="Arial Unicode MS"/>
          <w:noProof/>
          <w:szCs w:val="24"/>
        </w:rPr>
        <w:t xml:space="preserve">Articles 12 and 26 of the proposal for a </w:t>
      </w:r>
      <w:r>
        <w:rPr>
          <w:noProof/>
          <w:szCs w:val="24"/>
        </w:rPr>
        <w:t xml:space="preserve">Regulation of the European Parliament and of the Council on a reinforced role for </w:t>
      </w:r>
      <w:r>
        <w:rPr>
          <w:noProof/>
          <w:color w:val="444444"/>
          <w:szCs w:val="24"/>
          <w:shd w:val="clear" w:color="auto" w:fill="FFFFFF"/>
        </w:rPr>
        <w:t>the European Medicines Agency in crisis preparedness and manage</w:t>
      </w:r>
      <w:r>
        <w:rPr>
          <w:noProof/>
          <w:color w:val="444444"/>
          <w:szCs w:val="24"/>
          <w:shd w:val="clear" w:color="auto" w:fill="FFFFFF"/>
        </w:rPr>
        <w:t>ment for medicinal products and medical devices</w:t>
      </w:r>
      <w:r>
        <w:rPr>
          <w:noProof/>
          <w:szCs w:val="24"/>
        </w:rPr>
        <w:t>.</w:t>
      </w:r>
      <w:r>
        <w:rPr>
          <w:rStyle w:val="FootnoteReference"/>
          <w:noProof/>
          <w:szCs w:val="24"/>
        </w:rPr>
        <w:footnoteReference w:id="7"/>
      </w:r>
      <w:r>
        <w:rPr>
          <w:noProof/>
          <w:szCs w:val="24"/>
        </w:rPr>
        <w:t>.</w:t>
      </w:r>
    </w:p>
    <w:p w:rsidR="00D10CBC" w:rsidRDefault="00BC383A">
      <w:pPr>
        <w:pStyle w:val="Text1"/>
        <w:rPr>
          <w:noProof/>
          <w:szCs w:val="24"/>
        </w:rPr>
      </w:pPr>
      <w:r>
        <w:rPr>
          <w:noProof/>
          <w:szCs w:val="24"/>
        </w:rPr>
        <w:t>The proposed measures complement the following current Union measures in the fields of crisis response and health:</w:t>
      </w:r>
    </w:p>
    <w:p w:rsidR="00D10CBC" w:rsidRDefault="00BC383A">
      <w:pPr>
        <w:pStyle w:val="Tiret1"/>
        <w:numPr>
          <w:ilvl w:val="0"/>
          <w:numId w:val="6"/>
        </w:numPr>
        <w:rPr>
          <w:noProof/>
        </w:rPr>
      </w:pPr>
      <w:r>
        <w:rPr>
          <w:noProof/>
        </w:rPr>
        <w:t xml:space="preserve">Regulation (EU) 2021/522 of the European Parliament and of the Council of 24 March 2021 </w:t>
      </w:r>
      <w:r>
        <w:rPr>
          <w:noProof/>
        </w:rPr>
        <w:t>establishing a Programme for the Union’s action in the field of health (‘EU4Health Programme’) for the period 2021-2027, and repealing Regulation (EU) No 282/2014</w:t>
      </w:r>
      <w:r>
        <w:rPr>
          <w:rStyle w:val="FootnoteReference"/>
          <w:noProof/>
        </w:rPr>
        <w:footnoteReference w:id="8"/>
      </w:r>
      <w:r>
        <w:rPr>
          <w:noProof/>
        </w:rPr>
        <w:t xml:space="preserve">; </w:t>
      </w:r>
    </w:p>
    <w:p w:rsidR="00D10CBC" w:rsidRDefault="00BC383A">
      <w:pPr>
        <w:pStyle w:val="Tiret1"/>
        <w:rPr>
          <w:noProof/>
        </w:rPr>
      </w:pPr>
      <w:r>
        <w:rPr>
          <w:noProof/>
        </w:rPr>
        <w:t>the medical response envisaged under Decision No 1313/2013/EU of the European Parliament a</w:t>
      </w:r>
      <w:r>
        <w:rPr>
          <w:noProof/>
        </w:rPr>
        <w:t>nd of the Council on a Union Civil Protection Mechanism</w:t>
      </w:r>
      <w:r>
        <w:rPr>
          <w:rStyle w:val="FootnoteReference"/>
          <w:noProof/>
        </w:rPr>
        <w:footnoteReference w:id="9"/>
      </w:r>
      <w:r>
        <w:rPr>
          <w:noProof/>
        </w:rPr>
        <w:t>;</w:t>
      </w:r>
    </w:p>
    <w:p w:rsidR="00D10CBC" w:rsidRDefault="00BC383A">
      <w:pPr>
        <w:pStyle w:val="Tiret1"/>
        <w:rPr>
          <w:noProof/>
        </w:rPr>
      </w:pPr>
      <w:r>
        <w:rPr>
          <w:rFonts w:eastAsia="Arial Unicode MS"/>
          <w:noProof/>
        </w:rPr>
        <w:t>the Union’s Emergency Support Instrument (Council Regulation (EU) 2016/369 on the provision of emergency support within the Union</w:t>
      </w:r>
      <w:r>
        <w:rPr>
          <w:rStyle w:val="FootnoteReference"/>
          <w:noProof/>
        </w:rPr>
        <w:footnoteReference w:id="10"/>
      </w:r>
      <w:r>
        <w:rPr>
          <w:rFonts w:eastAsia="Arial Unicode MS"/>
          <w:noProof/>
        </w:rPr>
        <w:t>); and</w:t>
      </w:r>
    </w:p>
    <w:p w:rsidR="00D10CBC" w:rsidRDefault="00BC383A">
      <w:pPr>
        <w:pStyle w:val="Tiret1"/>
        <w:rPr>
          <w:noProof/>
        </w:rPr>
      </w:pPr>
      <w:r>
        <w:rPr>
          <w:rFonts w:eastAsia="Arial Unicode MS"/>
          <w:noProof/>
        </w:rPr>
        <w:t>the proposed Pharmaceutical Strategy for Europe</w:t>
      </w:r>
      <w:r>
        <w:rPr>
          <w:rStyle w:val="FootnoteReference"/>
          <w:rFonts w:eastAsia="Arial Unicode MS"/>
          <w:noProof/>
        </w:rPr>
        <w:footnoteReference w:id="11"/>
      </w:r>
      <w:r>
        <w:rPr>
          <w:rFonts w:eastAsia="Arial Unicode MS"/>
          <w:noProof/>
        </w:rPr>
        <w:t xml:space="preserve">. </w:t>
      </w:r>
    </w:p>
    <w:p w:rsidR="00D10CBC" w:rsidRDefault="00BC383A">
      <w:pPr>
        <w:pStyle w:val="Text1"/>
        <w:rPr>
          <w:rFonts w:eastAsia="Arial Unicode MS"/>
          <w:noProof/>
        </w:rPr>
      </w:pPr>
      <w:r>
        <w:rPr>
          <w:rFonts w:eastAsia="Arial Unicode MS"/>
          <w:noProof/>
        </w:rPr>
        <w:t xml:space="preserve">The </w:t>
      </w:r>
      <w:r>
        <w:rPr>
          <w:rFonts w:eastAsia="Arial Unicode MS"/>
          <w:noProof/>
        </w:rPr>
        <w:t>proposed measures also complement other policies and actions under the European Green Deal</w:t>
      </w:r>
      <w:r>
        <w:rPr>
          <w:rStyle w:val="FootnoteReference"/>
          <w:rFonts w:eastAsia="Arial Unicode MS"/>
          <w:noProof/>
        </w:rPr>
        <w:footnoteReference w:id="12"/>
      </w:r>
      <w:r>
        <w:rPr>
          <w:rFonts w:eastAsia="Arial Unicode MS"/>
          <w:noProof/>
        </w:rPr>
        <w:t xml:space="preserve"> in the field of climate and environment that will support enhanced environmental health, disease prevention and increased resilience.</w:t>
      </w:r>
    </w:p>
    <w:p w:rsidR="00D10CBC" w:rsidRDefault="00BC383A">
      <w:pPr>
        <w:pStyle w:val="Text1"/>
        <w:rPr>
          <w:rFonts w:eastAsia="Arial Unicode MS"/>
          <w:noProof/>
        </w:rPr>
      </w:pPr>
      <w:r>
        <w:rPr>
          <w:rFonts w:eastAsia="Arial Unicode MS"/>
          <w:noProof/>
        </w:rPr>
        <w:t>These measures will support Me</w:t>
      </w:r>
      <w:r>
        <w:rPr>
          <w:rFonts w:eastAsia="Arial Unicode MS"/>
          <w:noProof/>
        </w:rPr>
        <w:t>mber States, ensuring cooperation towards the availability and supply of crisis-relevant medical countermeasures and raw materials. The Commission, the European Parliament and the Council have strongly affirmed the Union’s commitment to scaling up global h</w:t>
      </w:r>
      <w:r>
        <w:rPr>
          <w:rFonts w:eastAsia="Arial Unicode MS"/>
          <w:noProof/>
        </w:rPr>
        <w:t xml:space="preserve">ealth emergency preparedness. </w:t>
      </w:r>
    </w:p>
    <w:p w:rsidR="00D10CBC" w:rsidRDefault="00BC383A">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rsidR="00D10CBC" w:rsidRDefault="00BC383A">
      <w:pPr>
        <w:pStyle w:val="Text1"/>
        <w:rPr>
          <w:noProof/>
        </w:rPr>
      </w:pPr>
      <w:r>
        <w:rPr>
          <w:noProof/>
        </w:rPr>
        <w:t xml:space="preserve">The proposed measures are in line with the overarching objectives of the Union. These include a stronger European Health Union, the smooth functioning of the internal market, fostering </w:t>
      </w:r>
      <w:r>
        <w:rPr>
          <w:noProof/>
        </w:rPr>
        <w:t>sustainable health systems including through the cohesion policy that supports regional authorities’ investments in public health and supporting cross-border cooperation notably in neighbouring regions, global health security preparedness</w:t>
      </w:r>
      <w:r>
        <w:t>,</w:t>
      </w:r>
      <w:r>
        <w:rPr>
          <w:noProof/>
        </w:rPr>
        <w:t xml:space="preserve"> improved prepare</w:t>
      </w:r>
      <w:r>
        <w:rPr>
          <w:noProof/>
        </w:rPr>
        <w:t>dness to protect workers</w:t>
      </w:r>
      <w:r>
        <w:rPr>
          <w:rStyle w:val="FootnoteReference"/>
          <w:noProof/>
        </w:rPr>
        <w:footnoteReference w:id="13"/>
      </w:r>
      <w:r>
        <w:rPr>
          <w:noProof/>
        </w:rPr>
        <w:t>, and an ambitious research and innovation agenda. The proposal will also provide synergies with the Union’s Digital Single Market agenda and in the context of the future European Health Data Space, by encouraging innovation and re</w:t>
      </w:r>
      <w:r>
        <w:rPr>
          <w:noProof/>
        </w:rPr>
        <w:t xml:space="preserve">search, facilitating the sharing of information and data (including of real world evidence), and supporting the </w:t>
      </w:r>
      <w:r>
        <w:rPr>
          <w:noProof/>
        </w:rPr>
        <w:lastRenderedPageBreak/>
        <w:t>development of a Union-level IT infrastructure for monitoring medical countermeasures.</w:t>
      </w:r>
    </w:p>
    <w:p w:rsidR="00D10CBC" w:rsidRDefault="00BC383A">
      <w:pPr>
        <w:pStyle w:val="Text1"/>
        <w:rPr>
          <w:noProof/>
        </w:rPr>
      </w:pPr>
      <w:r>
        <w:rPr>
          <w:noProof/>
        </w:rPr>
        <w:t>The measures will also further strengthen the framework o</w:t>
      </w:r>
      <w:r>
        <w:rPr>
          <w:noProof/>
        </w:rPr>
        <w:t>f preparedness and response to threats of biological, chemical, or unknown origin threats at Union level, as well as human, animal and environmental health in a coordinated One Health approach. This framework also includes the Union’s One Health Action Pla</w:t>
      </w:r>
      <w:r>
        <w:rPr>
          <w:noProof/>
        </w:rPr>
        <w:t>n against antimicrobial resistance (AMR)</w:t>
      </w:r>
      <w:r>
        <w:rPr>
          <w:rStyle w:val="FootnoteReference"/>
          <w:rFonts w:eastAsia="Arial Unicode MS"/>
          <w:noProof/>
        </w:rPr>
        <w:footnoteReference w:id="14"/>
      </w:r>
      <w:r>
        <w:rPr>
          <w:noProof/>
        </w:rPr>
        <w:t xml:space="preserve"> as well as the EU’s Action Plan to enhance preparedness against chemical, biological, radiological and nuclear security risks</w:t>
      </w:r>
      <w:r>
        <w:rPr>
          <w:rStyle w:val="FootnoteReference"/>
          <w:noProof/>
        </w:rPr>
        <w:footnoteReference w:id="15"/>
      </w:r>
      <w:r>
        <w:rPr>
          <w:noProof/>
        </w:rPr>
        <w:t xml:space="preserve">. </w:t>
      </w:r>
    </w:p>
    <w:p w:rsidR="00D10CBC" w:rsidRDefault="00BC383A">
      <w:pPr>
        <w:pStyle w:val="Text1"/>
        <w:rPr>
          <w:noProof/>
        </w:rPr>
      </w:pPr>
      <w:r>
        <w:rPr>
          <w:noProof/>
        </w:rPr>
        <w:t>Many EU policy areas are currently drawing the lessons from the crisis and the need f</w:t>
      </w:r>
      <w:r>
        <w:rPr>
          <w:noProof/>
        </w:rPr>
        <w:t>or dedicated measures to be ready to be put in place in the event of a crisis.</w:t>
      </w:r>
    </w:p>
    <w:p w:rsidR="00D10CBC" w:rsidRDefault="00BC383A">
      <w:pPr>
        <w:pStyle w:val="ManualHeading1"/>
        <w:rPr>
          <w:noProof/>
        </w:rPr>
      </w:pPr>
      <w:r>
        <w:rPr>
          <w:noProof/>
        </w:rPr>
        <w:t>2.</w:t>
      </w:r>
      <w:r>
        <w:rPr>
          <w:noProof/>
        </w:rPr>
        <w:tab/>
        <w:t>LEGAL BASIS, SUBSIDIARITY AND PROPORTIONALITY</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D10CBC" w:rsidRDefault="00BC383A">
      <w:pPr>
        <w:pStyle w:val="Text1"/>
        <w:rPr>
          <w:noProof/>
        </w:rPr>
      </w:pPr>
      <w:r>
        <w:rPr>
          <w:noProof/>
        </w:rPr>
        <w:t>Given that the proposal for this Regulation aims to ensure the supply and the timely availability and accessibilit</w:t>
      </w:r>
      <w:r>
        <w:rPr>
          <w:noProof/>
        </w:rPr>
        <w:t>y of crisis-relevant medical countermeasures addressing the economic impacts caused by public health emergencies, it is based on Article 122(1) of the Treaty on the Functioning of the European Union (TFEU). The Council may act pursuant to Article 122(1) TF</w:t>
      </w:r>
      <w:r>
        <w:rPr>
          <w:noProof/>
        </w:rPr>
        <w:t>EU to adopt measures that are appropriate to address the economic situation, in particular if severe difficulties arise in the supply of certain products.</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rsidR="00D10CBC" w:rsidRDefault="00BC383A">
      <w:pPr>
        <w:pStyle w:val="Text1"/>
        <w:rPr>
          <w:noProof/>
          <w:szCs w:val="24"/>
        </w:rPr>
      </w:pPr>
      <w:r>
        <w:rPr>
          <w:noProof/>
        </w:rPr>
        <w:t>Public health emergencies of the magnitude of the COVI</w:t>
      </w:r>
      <w:r>
        <w:rPr>
          <w:noProof/>
        </w:rPr>
        <w:t xml:space="preserve">D-19 pandemic have an impact on all Member States. </w:t>
      </w:r>
      <w:r>
        <w:rPr>
          <w:noProof/>
          <w:szCs w:val="24"/>
        </w:rPr>
        <w:t xml:space="preserve">Actions by individual Member States could neither address the challenges resulting from such an emergency nor are they able to provide a sufficient response on their own. </w:t>
      </w:r>
      <w:r>
        <w:rPr>
          <w:noProof/>
        </w:rPr>
        <w:t>Unilateral</w:t>
      </w:r>
      <w:r>
        <w:rPr>
          <w:noProof/>
          <w:szCs w:val="24"/>
        </w:rPr>
        <w:t xml:space="preserve"> action through Member S</w:t>
      </w:r>
      <w:r>
        <w:rPr>
          <w:noProof/>
          <w:szCs w:val="24"/>
        </w:rPr>
        <w:t>tate initiatives aiming to ensure the sufficient and timely availability and supply of crisis-relevant medical countermeasures runs the risk of increasing internal competition and sub-optimal Union level response. Such unilateral action can ultimately resu</w:t>
      </w:r>
      <w:r>
        <w:rPr>
          <w:noProof/>
          <w:szCs w:val="24"/>
        </w:rPr>
        <w:t>lt in significant economic consequences and affect the health of Union citizens.</w:t>
      </w:r>
    </w:p>
    <w:p w:rsidR="00D10CBC" w:rsidRDefault="00BC383A">
      <w:pPr>
        <w:pStyle w:val="Text1"/>
        <w:rPr>
          <w:noProof/>
        </w:rPr>
      </w:pPr>
      <w:r>
        <w:rPr>
          <w:noProof/>
          <w:szCs w:val="24"/>
        </w:rPr>
        <w:t>In particular, in a highly interconnected and interdependent world, people and goods move across borders and pathogens and contaminated products can circulate rapidly across t</w:t>
      </w:r>
      <w:r>
        <w:rPr>
          <w:noProof/>
          <w:szCs w:val="24"/>
        </w:rPr>
        <w:t xml:space="preserve">he globe. Public health measures at national level therefore need to be coordinated across borders and in the area of crisis-relevant medical </w:t>
      </w:r>
      <w:r>
        <w:rPr>
          <w:noProof/>
        </w:rPr>
        <w:t>countermeasures</w:t>
      </w:r>
      <w:r>
        <w:rPr>
          <w:noProof/>
          <w:szCs w:val="24"/>
        </w:rPr>
        <w:t xml:space="preserve">, in order to contain further spread and minimise the consequences of such threats. </w:t>
      </w:r>
      <w:r>
        <w:rPr>
          <w:noProof/>
          <w:color w:val="000000" w:themeColor="text1"/>
          <w:szCs w:val="24"/>
        </w:rPr>
        <w:t>Where appropria</w:t>
      </w:r>
      <w:r>
        <w:rPr>
          <w:noProof/>
          <w:color w:val="000000" w:themeColor="text1"/>
          <w:szCs w:val="24"/>
        </w:rPr>
        <w:t xml:space="preserve">te to the economic situation, </w:t>
      </w:r>
      <w:r>
        <w:rPr>
          <w:noProof/>
        </w:rPr>
        <w:t xml:space="preserve">a coordinated response at Union-level to ensure the availability and accessibility of crisis-relevant medical countermeasures can help avoiding uncoordinated investments across Member States. </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D10CBC" w:rsidRDefault="00BC383A">
      <w:pPr>
        <w:pStyle w:val="Text1"/>
        <w:rPr>
          <w:noProof/>
        </w:rPr>
      </w:pPr>
      <w:r>
        <w:rPr>
          <w:noProof/>
        </w:rPr>
        <w:t xml:space="preserve">The proposal constitutes a proportionate response to addressing the problems described in point 1, in particular by putting in place a framework in place that will enable the Union to take the necessary measures to ensure the sufficient and timely </w:t>
      </w:r>
      <w:r>
        <w:rPr>
          <w:noProof/>
        </w:rPr>
        <w:lastRenderedPageBreak/>
        <w:t>availabi</w:t>
      </w:r>
      <w:r>
        <w:rPr>
          <w:noProof/>
        </w:rPr>
        <w:t xml:space="preserve">lity and supply of crisis-relevant medical countermeasures in case of a public health emergency at Union level where that is appropriate to the economic situation. </w:t>
      </w:r>
    </w:p>
    <w:p w:rsidR="00D10CBC" w:rsidRDefault="00BC383A">
      <w:pPr>
        <w:pStyle w:val="Text1"/>
        <w:rPr>
          <w:rFonts w:eastAsia="Arial Unicode MS"/>
          <w:noProof/>
        </w:rPr>
      </w:pPr>
      <w:r>
        <w:rPr>
          <w:noProof/>
        </w:rPr>
        <w:t xml:space="preserve">In accordance with the principle of proportionality, as set out in Article 5 of the Treaty </w:t>
      </w:r>
      <w:r>
        <w:rPr>
          <w:noProof/>
        </w:rPr>
        <w:t>on European Union, this proposal and the measures proposed do not go beyond what is necessary in order to achieve those objectives.</w:t>
      </w:r>
    </w:p>
    <w:p w:rsidR="00D10CBC" w:rsidRDefault="00BC383A">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Choice of the instrument</w:t>
      </w:r>
    </w:p>
    <w:p w:rsidR="00D10CBC" w:rsidRDefault="00BC383A">
      <w:pPr>
        <w:pStyle w:val="Text1"/>
        <w:rPr>
          <w:noProof/>
        </w:rPr>
      </w:pPr>
      <w:r>
        <w:rPr>
          <w:noProof/>
        </w:rPr>
        <w:t>The proposal takes the form of a Council Regulation. This is considered to be the most suitable i</w:t>
      </w:r>
      <w:r>
        <w:rPr>
          <w:noProof/>
        </w:rPr>
        <w:t>nstrument as a key element of the proposal is to establish procedures and structures for cooperation on joint, Union-level work focussing on response to cross-border health emergencies. The measures do not require the implementation of national measures an</w:t>
      </w:r>
      <w:r>
        <w:rPr>
          <w:noProof/>
        </w:rPr>
        <w:t>d can be directly applicable.</w:t>
      </w:r>
    </w:p>
    <w:p w:rsidR="00D10CBC" w:rsidRDefault="00BC383A">
      <w:pPr>
        <w:pStyle w:val="ManualHeading1"/>
        <w:rPr>
          <w:noProof/>
        </w:rPr>
      </w:pPr>
      <w:r>
        <w:rPr>
          <w:noProof/>
        </w:rPr>
        <w:t>3.</w:t>
      </w:r>
      <w:r>
        <w:rPr>
          <w:noProof/>
        </w:rPr>
        <w:tab/>
        <w:t>RESULTS OF EX-POST EVALUATIONS, STAKEHOLDER CONSULTATIONS AND IMPACT ASSESSMENTS</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D10CBC" w:rsidRDefault="00BC383A">
      <w:pPr>
        <w:pStyle w:val="Text1"/>
        <w:rPr>
          <w:noProof/>
        </w:rPr>
      </w:pPr>
      <w:r>
        <w:rPr>
          <w:rFonts w:eastAsia="Arial Unicode MS"/>
          <w:noProof/>
        </w:rPr>
        <w:t xml:space="preserve">The </w:t>
      </w:r>
      <w:r>
        <w:rPr>
          <w:noProof/>
        </w:rPr>
        <w:t>framework of measures to be activated to strengthen the response in the event of a public health emergency</w:t>
      </w:r>
      <w:r>
        <w:rPr>
          <w:rFonts w:eastAsia="Arial Unicode MS"/>
          <w:noProof/>
        </w:rPr>
        <w:t xml:space="preserve"> was</w:t>
      </w:r>
      <w:r>
        <w:rPr>
          <w:rFonts w:eastAsia="Arial Unicode MS"/>
          <w:noProof/>
        </w:rPr>
        <w:t xml:space="preserve"> not, as such, subject to consultation, but there has been a thorough consultation with relevant stakeholder groups about the setting up of HERA to ensure that their views were presented and considered in the policymaking process. </w:t>
      </w:r>
      <w:r>
        <w:rPr>
          <w:noProof/>
        </w:rPr>
        <w:t>That feedback gave insigh</w:t>
      </w:r>
      <w:r>
        <w:rPr>
          <w:noProof/>
        </w:rPr>
        <w:t>t in the emergency measures that are considered necessary for an effective response and informed the proposal for this Regulation.</w:t>
      </w:r>
    </w:p>
    <w:p w:rsidR="00D10CBC" w:rsidRDefault="00BC383A">
      <w:pPr>
        <w:pStyle w:val="Text1"/>
        <w:rPr>
          <w:noProof/>
          <w:szCs w:val="24"/>
        </w:rPr>
      </w:pPr>
      <w:r>
        <w:rPr>
          <w:rFonts w:eastAsia="Arial Unicode MS"/>
          <w:noProof/>
        </w:rPr>
        <w:t xml:space="preserve">More specifically, </w:t>
      </w:r>
      <w:r>
        <w:rPr>
          <w:noProof/>
          <w:szCs w:val="24"/>
        </w:rPr>
        <w:t xml:space="preserve">the following consultation activities were carried out: </w:t>
      </w:r>
    </w:p>
    <w:p w:rsidR="00D10CBC" w:rsidRDefault="00BC383A">
      <w:pPr>
        <w:pStyle w:val="Point1"/>
        <w:rPr>
          <w:rFonts w:eastAsia="Arial Unicode MS"/>
          <w:noProof/>
        </w:rPr>
      </w:pPr>
      <w:r>
        <w:rPr>
          <w:noProof/>
        </w:rPr>
        <w:t>●</w:t>
      </w:r>
      <w:r>
        <w:rPr>
          <w:noProof/>
        </w:rPr>
        <w:tab/>
      </w:r>
      <w:r>
        <w:rPr>
          <w:rFonts w:eastAsia="Arial Unicode MS"/>
          <w:noProof/>
        </w:rPr>
        <w:t>a 4-week feedback period on the Inception Impac</w:t>
      </w:r>
      <w:r>
        <w:rPr>
          <w:rFonts w:eastAsia="Arial Unicode MS"/>
          <w:noProof/>
        </w:rPr>
        <w:t>t Assessment (27 January to 24 February 2021);</w:t>
      </w:r>
    </w:p>
    <w:p w:rsidR="00D10CBC" w:rsidRDefault="00BC383A">
      <w:pPr>
        <w:pStyle w:val="Point1"/>
        <w:rPr>
          <w:rFonts w:eastAsia="Arial Unicode MS"/>
          <w:noProof/>
        </w:rPr>
      </w:pPr>
      <w:r>
        <w:rPr>
          <w:noProof/>
        </w:rPr>
        <w:t>●</w:t>
      </w:r>
      <w:r>
        <w:rPr>
          <w:noProof/>
        </w:rPr>
        <w:tab/>
      </w:r>
      <w:r>
        <w:rPr>
          <w:rFonts w:eastAsia="Arial Unicode MS"/>
          <w:noProof/>
        </w:rPr>
        <w:t>a 6-week internet-based public consultation (31 March to 12 May 2021), which received contributions from 135 stakeholders</w:t>
      </w:r>
      <w:r>
        <w:rPr>
          <w:rStyle w:val="FootnoteReference"/>
          <w:noProof/>
        </w:rPr>
        <w:footnoteReference w:id="16"/>
      </w:r>
      <w:r>
        <w:rPr>
          <w:rFonts w:eastAsia="Arial Unicode MS"/>
          <w:noProof/>
        </w:rPr>
        <w:t>; and</w:t>
      </w:r>
    </w:p>
    <w:p w:rsidR="00D10CBC" w:rsidRDefault="00BC383A">
      <w:pPr>
        <w:pStyle w:val="Point1"/>
        <w:rPr>
          <w:noProof/>
        </w:rPr>
      </w:pPr>
      <w:r>
        <w:rPr>
          <w:noProof/>
        </w:rPr>
        <w:t>●</w:t>
      </w:r>
      <w:r>
        <w:rPr>
          <w:noProof/>
        </w:rPr>
        <w:tab/>
      </w:r>
      <w:r>
        <w:rPr>
          <w:rFonts w:eastAsia="Arial Unicode MS"/>
          <w:noProof/>
        </w:rPr>
        <w:t xml:space="preserve">targeted consultations with stakeholders, via the creation of a High Level </w:t>
      </w:r>
      <w:r>
        <w:rPr>
          <w:rFonts w:eastAsia="Arial Unicode MS"/>
          <w:noProof/>
        </w:rPr>
        <w:t>Group with Member States, a ‘Sherpa’ group with the industry, as well as bilateral meetings with Member States, international actors, and the European Parliament.</w:t>
      </w:r>
    </w:p>
    <w:p w:rsidR="00D10CBC" w:rsidRDefault="00BC383A">
      <w:pPr>
        <w:pStyle w:val="Text1"/>
        <w:rPr>
          <w:noProof/>
        </w:rPr>
      </w:pPr>
      <w:r>
        <w:rPr>
          <w:rFonts w:eastAsia="Arial Unicode MS"/>
          <w:noProof/>
        </w:rPr>
        <w:t>Overall, the Commission has received support for the creation of HERA, with stakeholders noti</w:t>
      </w:r>
      <w:r>
        <w:rPr>
          <w:rFonts w:eastAsia="Arial Unicode MS"/>
          <w:noProof/>
        </w:rPr>
        <w:t>ng the clear added value of this initiative as well as the need for the Union to increase its activities related to crisis-relevant medical countermeasures for preparedness and crisis management. Given the broadly shared view that there is a need for swift</w:t>
      </w:r>
      <w:r>
        <w:rPr>
          <w:rFonts w:eastAsia="Arial Unicode MS"/>
          <w:noProof/>
        </w:rPr>
        <w:t xml:space="preserve"> and effective response at Union level, the Commission proposes a set of emergency measures that can be activated in the event of health emergencies to ensure such a swift and effective response.</w:t>
      </w:r>
    </w:p>
    <w:p w:rsidR="00D10CBC" w:rsidRDefault="00BC383A">
      <w:pPr>
        <w:pBdr>
          <w:top w:val="nil"/>
          <w:left w:val="nil"/>
          <w:bottom w:val="nil"/>
          <w:right w:val="nil"/>
          <w:between w:val="nil"/>
          <w:bar w:val="nil"/>
        </w:pBdr>
        <w:spacing w:before="0" w:after="240"/>
        <w:rPr>
          <w:rFonts w:eastAsia="Arial Unicode MS"/>
          <w:b/>
          <w:noProof/>
          <w:u w:color="000000"/>
          <w:bdr w:val="nil"/>
          <w:lang w:val="en-US" w:eastAsia="en-GB"/>
        </w:rPr>
      </w:pPr>
      <w:r>
        <w:rPr>
          <w:rFonts w:eastAsia="Arial Unicode MS"/>
          <w:b/>
          <w:noProof/>
          <w:u w:color="000000"/>
          <w:bdr w:val="nil"/>
          <w:lang w:val="en-US" w:eastAsia="en-GB"/>
        </w:rPr>
        <w:t>•</w:t>
      </w:r>
      <w:r>
        <w:rPr>
          <w:rFonts w:eastAsia="Arial Unicode MS"/>
          <w:b/>
          <w:noProof/>
          <w:u w:color="000000"/>
          <w:bdr w:val="nil"/>
          <w:lang w:val="en-US" w:eastAsia="en-GB"/>
        </w:rPr>
        <w:tab/>
        <w:t>Collection and use of expertise</w:t>
      </w:r>
    </w:p>
    <w:p w:rsidR="00D10CBC" w:rsidRDefault="00BC383A">
      <w:pPr>
        <w:pStyle w:val="Text1"/>
        <w:rPr>
          <w:rFonts w:eastAsia="Arial Unicode MS"/>
          <w:noProof/>
        </w:rPr>
      </w:pPr>
      <w:r>
        <w:rPr>
          <w:noProof/>
        </w:rPr>
        <w:t>N/A</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Impact assessment</w:t>
      </w:r>
    </w:p>
    <w:p w:rsidR="00D10CBC" w:rsidRDefault="00BC383A">
      <w:pPr>
        <w:pStyle w:val="Text1"/>
        <w:rPr>
          <w:rFonts w:eastAsia="Arial Unicode MS"/>
          <w:noProof/>
        </w:rPr>
      </w:pPr>
      <w:r>
        <w:rPr>
          <w:noProof/>
        </w:rPr>
        <w:t>Due to the urgency of the matter to strengthen the emergency framework in preparation of a future public health emergency, this proposal is not accompanied by a formal impact assessment, as this could not have been delivered in the timeframe available prio</w:t>
      </w:r>
      <w:r>
        <w:rPr>
          <w:noProof/>
        </w:rPr>
        <w:t xml:space="preserve">r to the adoption of the proposal. As regards medical devices and </w:t>
      </w:r>
      <w:r>
        <w:rPr>
          <w:i/>
          <w:noProof/>
        </w:rPr>
        <w:t>in vitro</w:t>
      </w:r>
      <w:r>
        <w:rPr>
          <w:noProof/>
        </w:rPr>
        <w:t xml:space="preserve"> diagnostic medical devices, the proposal however takes into account the impact assessment carried out in preparation for the adoption of Regulation (EU) 2017/745 of the European Par</w:t>
      </w:r>
      <w:r>
        <w:rPr>
          <w:noProof/>
        </w:rPr>
        <w:t>liament and of the Council</w:t>
      </w:r>
      <w:r>
        <w:rPr>
          <w:rStyle w:val="FootnoteReference"/>
          <w:noProof/>
        </w:rPr>
        <w:footnoteReference w:id="17"/>
      </w:r>
      <w:r>
        <w:rPr>
          <w:noProof/>
        </w:rPr>
        <w:t xml:space="preserve"> and Regulation (EU) 2017/746 of the European Parliament and of the Council</w:t>
      </w:r>
      <w:r>
        <w:rPr>
          <w:rStyle w:val="FootnoteReference"/>
          <w:noProof/>
        </w:rPr>
        <w:footnoteReference w:id="18"/>
      </w:r>
      <w:r>
        <w:rPr>
          <w:noProof/>
        </w:rPr>
        <w:t>. The proposal also draws on the recommendations contained in the joint opinion ‘Improving pandemic preparedness and management’ by the Group of Chief Sc</w:t>
      </w:r>
      <w:r>
        <w:rPr>
          <w:noProof/>
        </w:rPr>
        <w:t>ientific Advisors (GCSA)</w:t>
      </w:r>
      <w:r>
        <w:rPr>
          <w:rStyle w:val="FootnoteReference"/>
          <w:noProof/>
        </w:rPr>
        <w:footnoteReference w:id="19"/>
      </w:r>
      <w:r>
        <w:rPr>
          <w:noProof/>
        </w:rPr>
        <w:t>, the European Group on Ethics in Science and New Technologies (EGE), and the Special Advisor to the President of the European Commission on the response to COVID-19.</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D10CBC" w:rsidRDefault="00BC383A">
      <w:pPr>
        <w:pStyle w:val="Text1"/>
        <w:rPr>
          <w:noProof/>
        </w:rPr>
      </w:pPr>
      <w:r>
        <w:rPr>
          <w:noProof/>
        </w:rPr>
        <w:t>The proposal contributes to achieving a hig</w:t>
      </w:r>
      <w:r>
        <w:rPr>
          <w:noProof/>
        </w:rPr>
        <w:t>h level of human health protection as well  as  to upholding the highest standards in the protection of human rights and civil liberties,  as  enshrined in the Charter of Fundamental Rights of the European Union (‘the Charter’). The measures under this Reg</w:t>
      </w:r>
      <w:r>
        <w:rPr>
          <w:noProof/>
        </w:rPr>
        <w:t>ulation may limit the freedom to conduct business and the freedom of contract, which are protected by Article 16 of the Charter and the right to property, protected by Article 17 of the Charter. Any limitation of those rights will, in accordance with Artic</w:t>
      </w:r>
      <w:r>
        <w:rPr>
          <w:noProof/>
        </w:rPr>
        <w:t>le 52(1) of the Charter, be provided for by law, respect the essence of those rights and freedom, and comply with the principle of proportionality.</w:t>
      </w:r>
    </w:p>
    <w:p w:rsidR="00D10CBC" w:rsidRDefault="00BC383A">
      <w:pPr>
        <w:pStyle w:val="Text1"/>
        <w:rPr>
          <w:rFonts w:eastAsia="Arial Unicode MS"/>
          <w:noProof/>
        </w:rPr>
      </w:pPr>
      <w:r>
        <w:rPr>
          <w:noProof/>
        </w:rPr>
        <w:t xml:space="preserve">Where the activities to be carried out pursuant to this Regulation involve the processing of personal data, </w:t>
      </w:r>
      <w:r>
        <w:rPr>
          <w:noProof/>
        </w:rPr>
        <w:t>the lawfulness of that processing will be based on the acts assigning their tasks to the different actors involved, not this Regulation. Any such processing must comply with the relevant Union legislation on personal data protection, namely Regulation (EU)</w:t>
      </w:r>
      <w:r>
        <w:rPr>
          <w:noProof/>
        </w:rPr>
        <w:t xml:space="preserve"> 2018/1725 of the European Parliament and of the Council</w:t>
      </w:r>
      <w:r>
        <w:rPr>
          <w:rStyle w:val="FootnoteReference"/>
          <w:noProof/>
        </w:rPr>
        <w:footnoteReference w:id="20"/>
      </w:r>
      <w:r>
        <w:rPr>
          <w:noProof/>
        </w:rPr>
        <w:t xml:space="preserve"> and Regulation (EU) 2016/679 of the European Parliament and of the Council</w:t>
      </w:r>
      <w:r>
        <w:rPr>
          <w:rStyle w:val="FootnoteReference"/>
          <w:noProof/>
        </w:rPr>
        <w:footnoteReference w:id="21"/>
      </w:r>
      <w:r>
        <w:rPr>
          <w:noProof/>
        </w:rPr>
        <w:t>.</w:t>
      </w:r>
    </w:p>
    <w:p w:rsidR="00D10CBC" w:rsidRDefault="00BC383A">
      <w:pPr>
        <w:pStyle w:val="ManualHeading1"/>
        <w:rPr>
          <w:noProof/>
        </w:rPr>
      </w:pPr>
      <w:r>
        <w:rPr>
          <w:noProof/>
        </w:rPr>
        <w:t>4.</w:t>
      </w:r>
      <w:r>
        <w:rPr>
          <w:noProof/>
        </w:rPr>
        <w:tab/>
        <w:t>BUDGETARY IMPLICATIONS</w:t>
      </w:r>
    </w:p>
    <w:p w:rsidR="00D10CBC" w:rsidRDefault="00BC383A">
      <w:pPr>
        <w:pStyle w:val="Text1"/>
        <w:rPr>
          <w:noProof/>
        </w:rPr>
      </w:pPr>
      <w:r>
        <w:rPr>
          <w:noProof/>
        </w:rPr>
        <w:t>In the event of a public health emergency at Union level, in order to ensure the necessary flex</w:t>
      </w:r>
      <w:r>
        <w:rPr>
          <w:noProof/>
        </w:rPr>
        <w:t xml:space="preserve">ibility and rapidity in implementation, the Council could also trigger </w:t>
      </w:r>
      <w:r>
        <w:rPr>
          <w:noProof/>
        </w:rPr>
        <w:lastRenderedPageBreak/>
        <w:t>financing through the Emergency Support Instrument (ESI).</w:t>
      </w:r>
      <w:r>
        <w:rPr>
          <w:rStyle w:val="FootnoteReference"/>
          <w:noProof/>
          <w:szCs w:val="24"/>
        </w:rPr>
        <w:footnoteReference w:id="22"/>
      </w:r>
      <w:r>
        <w:rPr>
          <w:noProof/>
        </w:rPr>
        <w:t xml:space="preserve"> As ESI does not have an annual dedicated budget, when it is activated, the Commission will analyse the necessity of transferri</w:t>
      </w:r>
      <w:r>
        <w:rPr>
          <w:noProof/>
        </w:rPr>
        <w:t>ng funding from existing programmes or resort to Special Instruments. As foreseen under Article 4 of Council Regulation (EU) 2016/369, contributions could also be made by Member States (and by other public or private donors as external assigned revenue) in</w:t>
      </w:r>
      <w:r>
        <w:rPr>
          <w:noProof/>
        </w:rPr>
        <w:t xml:space="preserve"> accordance with Article 21(5) of Regulation (EU, Euratom) 2018/1046 of the European Parliament and of the Council.</w:t>
      </w:r>
      <w:r>
        <w:rPr>
          <w:rStyle w:val="FootnoteReference"/>
          <w:noProof/>
        </w:rPr>
        <w:footnoteReference w:id="23"/>
      </w:r>
    </w:p>
    <w:p w:rsidR="00D10CBC" w:rsidRDefault="00BC383A">
      <w:pPr>
        <w:pStyle w:val="ManualHeading1"/>
        <w:rPr>
          <w:noProof/>
        </w:rPr>
      </w:pPr>
      <w:r>
        <w:rPr>
          <w:noProof/>
        </w:rPr>
        <w:t>5.</w:t>
      </w:r>
      <w:r>
        <w:rPr>
          <w:noProof/>
        </w:rPr>
        <w:tab/>
        <w:t>OTHER ELEMENTS</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rsidR="00D10CBC" w:rsidRDefault="00BC383A">
      <w:pPr>
        <w:pStyle w:val="Text1"/>
        <w:rPr>
          <w:noProof/>
        </w:rPr>
      </w:pPr>
      <w:r>
        <w:rPr>
          <w:noProof/>
        </w:rPr>
        <w:t xml:space="preserve">The Commission plans to conduct a review in </w:t>
      </w:r>
      <w:r>
        <w:rPr>
          <w:noProof/>
        </w:rPr>
        <w:t>2025, or at the latest after the first activation of the emergency measures, on the framework of measures related to medical countermeasures in event of a public health emergency. The main findings of the evaluation will be presented in a report to the Eur</w:t>
      </w:r>
      <w:r>
        <w:rPr>
          <w:noProof/>
        </w:rPr>
        <w:t>opean Parliament and the Council.</w:t>
      </w:r>
    </w:p>
    <w:p w:rsidR="00D10CBC" w:rsidRDefault="00BC383A">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rsidR="00D10CBC" w:rsidRDefault="00BC383A">
      <w:pPr>
        <w:pStyle w:val="Text1"/>
        <w:rPr>
          <w:noProof/>
        </w:rPr>
      </w:pPr>
      <w:r>
        <w:rPr>
          <w:noProof/>
        </w:rPr>
        <w:t>The proposal for a framework for ensuring the supply of medical countermeasures in the event of a public health emergency puts forward the following key mea</w:t>
      </w:r>
      <w:r>
        <w:rPr>
          <w:noProof/>
        </w:rPr>
        <w:t>sures:</w:t>
      </w:r>
    </w:p>
    <w:p w:rsidR="00D10CBC" w:rsidRDefault="00BC383A">
      <w:pPr>
        <w:pStyle w:val="Point1"/>
        <w:rPr>
          <w:rFonts w:eastAsia="Times New Roman"/>
          <w:noProof/>
          <w:szCs w:val="24"/>
        </w:rPr>
      </w:pPr>
      <w:r>
        <w:rPr>
          <w:noProof/>
        </w:rPr>
        <w:t>●</w:t>
      </w:r>
      <w:r>
        <w:rPr>
          <w:noProof/>
        </w:rPr>
        <w:tab/>
      </w:r>
      <w:r>
        <w:rPr>
          <w:rFonts w:eastAsia="Times New Roman"/>
          <w:noProof/>
          <w:szCs w:val="24"/>
        </w:rPr>
        <w:t xml:space="preserve">the establishment of a Health Crisis Board </w:t>
      </w:r>
      <w:r>
        <w:rPr>
          <w:noProof/>
        </w:rPr>
        <w:t>to ensure coordination and integration of approaches to crisis-relevant medical countermeasures at a Union level in the event of a public health emergency</w:t>
      </w:r>
      <w:r>
        <w:rPr>
          <w:rFonts w:eastAsia="Times New Roman"/>
          <w:noProof/>
          <w:szCs w:val="24"/>
        </w:rPr>
        <w:t>;</w:t>
      </w:r>
    </w:p>
    <w:p w:rsidR="00D10CBC" w:rsidRDefault="00BC383A">
      <w:pPr>
        <w:pStyle w:val="Point1"/>
        <w:rPr>
          <w:noProof/>
          <w:szCs w:val="24"/>
        </w:rPr>
      </w:pPr>
      <w:r>
        <w:rPr>
          <w:noProof/>
        </w:rPr>
        <w:t>●</w:t>
      </w:r>
      <w:r>
        <w:rPr>
          <w:noProof/>
        </w:rPr>
        <w:tab/>
      </w:r>
      <w:r>
        <w:rPr>
          <w:rFonts w:eastAsia="Times New Roman"/>
          <w:noProof/>
          <w:szCs w:val="24"/>
          <w:lang w:eastAsia="en-IE"/>
        </w:rPr>
        <w:t xml:space="preserve">the establishment of mechanisms for the monitoring, activation of emergency funding, procurement and purchase of crisis-relevant medical countermeasures and raw materials, including </w:t>
      </w:r>
      <w:r>
        <w:rPr>
          <w:noProof/>
          <w:szCs w:val="24"/>
        </w:rPr>
        <w:t>swift and solid assessment of supply chains and production capacity of man</w:t>
      </w:r>
      <w:r>
        <w:rPr>
          <w:noProof/>
          <w:szCs w:val="24"/>
        </w:rPr>
        <w:t>ufacturers, possibly also by on-site visits ahead of the conclusion of advanced purchase agreement or innovation partnership;</w:t>
      </w:r>
    </w:p>
    <w:p w:rsidR="00D10CBC" w:rsidRDefault="00BC383A">
      <w:pPr>
        <w:pStyle w:val="Point1"/>
        <w:rPr>
          <w:rFonts w:eastAsia="Times New Roman"/>
          <w:noProof/>
          <w:szCs w:val="24"/>
        </w:rPr>
      </w:pPr>
      <w:r>
        <w:rPr>
          <w:noProof/>
        </w:rPr>
        <w:t>●</w:t>
      </w:r>
      <w:r>
        <w:rPr>
          <w:noProof/>
        </w:rPr>
        <w:tab/>
        <w:t xml:space="preserve">the </w:t>
      </w:r>
      <w:r>
        <w:rPr>
          <w:rFonts w:eastAsia="Times New Roman"/>
          <w:noProof/>
          <w:szCs w:val="24"/>
        </w:rPr>
        <w:t>activation of EU FAB facilities to make available reserved surge manufacturing capacities to ensure the delivery of the cris</w:t>
      </w:r>
      <w:r>
        <w:rPr>
          <w:rFonts w:eastAsia="Times New Roman"/>
          <w:noProof/>
          <w:szCs w:val="24"/>
        </w:rPr>
        <w:t>is-relevant medical countermeasures and raw materials;</w:t>
      </w:r>
    </w:p>
    <w:p w:rsidR="00D10CBC" w:rsidRDefault="00BC383A">
      <w:pPr>
        <w:pStyle w:val="Point1"/>
        <w:rPr>
          <w:rFonts w:eastAsia="Times New Roman"/>
          <w:noProof/>
          <w:szCs w:val="24"/>
        </w:rPr>
      </w:pPr>
      <w:r>
        <w:rPr>
          <w:noProof/>
        </w:rPr>
        <w:t>●</w:t>
      </w:r>
      <w:r>
        <w:rPr>
          <w:noProof/>
        </w:rPr>
        <w:tab/>
        <w:t xml:space="preserve">the </w:t>
      </w:r>
      <w:r>
        <w:rPr>
          <w:rFonts w:eastAsia="Times New Roman"/>
          <w:noProof/>
          <w:szCs w:val="24"/>
        </w:rPr>
        <w:t>activation of emergency research and innovation plans in dialogue with Member States, and the use of Union-wide clinical trial networks and provisions and platforms for the rapid sharing of data;</w:t>
      </w:r>
      <w:r>
        <w:rPr>
          <w:rFonts w:eastAsia="Times New Roman"/>
          <w:noProof/>
          <w:szCs w:val="24"/>
        </w:rPr>
        <w:t xml:space="preserve"> and</w:t>
      </w:r>
    </w:p>
    <w:p w:rsidR="00D10CBC" w:rsidRDefault="00BC383A">
      <w:pPr>
        <w:pStyle w:val="Point1"/>
        <w:rPr>
          <w:rFonts w:eastAsia="Times New Roman"/>
          <w:noProof/>
          <w:szCs w:val="24"/>
          <w:lang w:eastAsia="en-IE"/>
        </w:rPr>
      </w:pPr>
      <w:r>
        <w:rPr>
          <w:noProof/>
        </w:rPr>
        <w:t>●</w:t>
      </w:r>
      <w:r>
        <w:rPr>
          <w:noProof/>
        </w:rPr>
        <w:tab/>
      </w:r>
      <w:r>
        <w:rPr>
          <w:rFonts w:eastAsia="Times New Roman"/>
          <w:noProof/>
          <w:szCs w:val="24"/>
          <w:lang w:eastAsia="en-IE"/>
        </w:rPr>
        <w:t>measures concerning the production of crisis-relevant medical countermeasures, including the establishment of an inventory of crisis-relevant medical countermeasures production and production facilities, raw materials, consumables, devices, equipmen</w:t>
      </w:r>
      <w:r>
        <w:rPr>
          <w:rFonts w:eastAsia="Times New Roman"/>
          <w:noProof/>
          <w:szCs w:val="24"/>
          <w:lang w:eastAsia="en-IE"/>
        </w:rPr>
        <w:t>t and infrastructure and including measures aiming at increasing their production in the EU.</w:t>
      </w:r>
    </w:p>
    <w:p w:rsidR="00D10CBC" w:rsidRDefault="00BC383A">
      <w:pPr>
        <w:pStyle w:val="Point1"/>
        <w:rPr>
          <w:noProof/>
        </w:rPr>
      </w:pPr>
      <w:r>
        <w:rPr>
          <w:rFonts w:eastAsia="Times New Roman"/>
          <w:noProof/>
          <w:szCs w:val="24"/>
          <w:lang w:eastAsia="en-IE"/>
        </w:rPr>
        <w:br w:type="page"/>
      </w:r>
    </w:p>
    <w:p w:rsidR="00D10CBC" w:rsidRDefault="00BC383A">
      <w:pPr>
        <w:pStyle w:val="Rfrenceinterinstitutionnelle"/>
        <w:rPr>
          <w:noProof/>
        </w:rPr>
      </w:pPr>
      <w:r>
        <w:rPr>
          <w:noProof/>
        </w:rPr>
        <w:lastRenderedPageBreak/>
        <w:t>2021/0294 (NLE)</w:t>
      </w:r>
    </w:p>
    <w:p w:rsidR="00D10CBC" w:rsidRDefault="00BC383A">
      <w:pPr>
        <w:pStyle w:val="Statut"/>
        <w:rPr>
          <w:noProof/>
        </w:rPr>
      </w:pPr>
      <w:r>
        <w:rPr>
          <w:noProof/>
        </w:rPr>
        <w:t>Proposal for a</w:t>
      </w:r>
    </w:p>
    <w:p w:rsidR="00D10CBC" w:rsidRDefault="00BC383A">
      <w:pPr>
        <w:pStyle w:val="Typedudocument"/>
        <w:rPr>
          <w:noProof/>
        </w:rPr>
      </w:pPr>
      <w:r>
        <w:rPr>
          <w:noProof/>
        </w:rPr>
        <w:t>COUNCIL REGULATION</w:t>
      </w:r>
    </w:p>
    <w:p w:rsidR="00D10CBC" w:rsidRDefault="00BC383A">
      <w:pPr>
        <w:pStyle w:val="Titreobjet"/>
        <w:rPr>
          <w:noProof/>
        </w:rPr>
      </w:pPr>
      <w:r>
        <w:rPr>
          <w:noProof/>
        </w:rPr>
        <w:t>on a framework of measures for ensuring the supply of crisis-relevant medical countermeasures in the event of a</w:t>
      </w:r>
      <w:r>
        <w:rPr>
          <w:noProof/>
        </w:rPr>
        <w:t xml:space="preserve"> public health emergency at Union level</w:t>
      </w:r>
    </w:p>
    <w:p w:rsidR="00D10CBC" w:rsidRDefault="00BC383A">
      <w:pPr>
        <w:pStyle w:val="Institutionquiagit"/>
        <w:rPr>
          <w:noProof/>
        </w:rPr>
      </w:pPr>
      <w:r>
        <w:rPr>
          <w:noProof/>
        </w:rPr>
        <w:t>THE COUNCIL OF THE EUROPEAN UNION,</w:t>
      </w:r>
    </w:p>
    <w:p w:rsidR="00D10CBC" w:rsidRDefault="00BC383A">
      <w:pPr>
        <w:rPr>
          <w:noProof/>
        </w:rPr>
      </w:pPr>
      <w:r>
        <w:rPr>
          <w:noProof/>
        </w:rPr>
        <w:t>Having regard to the Treaty on the Functioning of the European Union, and in particular Article 122(1) thereof,</w:t>
      </w:r>
    </w:p>
    <w:p w:rsidR="00D10CBC" w:rsidRDefault="00BC383A">
      <w:pPr>
        <w:rPr>
          <w:noProof/>
        </w:rPr>
      </w:pPr>
      <w:r>
        <w:rPr>
          <w:noProof/>
        </w:rPr>
        <w:t>Having regard to the proposal from the European Commission,</w:t>
      </w:r>
    </w:p>
    <w:p w:rsidR="00D10CBC" w:rsidRDefault="00BC383A">
      <w:pPr>
        <w:rPr>
          <w:noProof/>
        </w:rPr>
      </w:pPr>
      <w:r>
        <w:rPr>
          <w:noProof/>
        </w:rPr>
        <w:t xml:space="preserve">Whereas: </w:t>
      </w:r>
    </w:p>
    <w:p w:rsidR="00D10CBC" w:rsidRDefault="00BC383A">
      <w:pPr>
        <w:pStyle w:val="ManualConsidrant"/>
        <w:rPr>
          <w:noProof/>
        </w:rPr>
      </w:pPr>
      <w:r>
        <w:t>(1)</w:t>
      </w:r>
      <w:r>
        <w:tab/>
      </w:r>
      <w:r>
        <w:rPr>
          <w:noProof/>
        </w:rPr>
        <w:t xml:space="preserve">The </w:t>
      </w:r>
      <w:r>
        <w:rPr>
          <w:i/>
          <w:noProof/>
        </w:rPr>
        <w:t>ad-hoc</w:t>
      </w:r>
      <w:r>
        <w:rPr>
          <w:noProof/>
        </w:rPr>
        <w:t xml:space="preserve"> measures taken by the Commission in order to restrict the spread of the COVID-19 pandemic were reactive and the Union was not sufficiently prepared to ensure efficient development, manufacturing, procurement and distribution of crisis-relev</w:t>
      </w:r>
      <w:r>
        <w:rPr>
          <w:noProof/>
        </w:rPr>
        <w:t xml:space="preserve">ant medical countermeasures, especially in the early phase of the COVID-19 pandemic. The pandemic also revealed insufficient oversight of research activities and manufacturing capacities as well as vulnerabilities related to the global supply chains. </w:t>
      </w:r>
    </w:p>
    <w:p w:rsidR="00D10CBC" w:rsidRDefault="00BC383A">
      <w:pPr>
        <w:pStyle w:val="ManualConsidrant"/>
        <w:rPr>
          <w:rStyle w:val="Aucun"/>
          <w:noProof/>
        </w:rPr>
      </w:pPr>
      <w:r>
        <w:rPr>
          <w:rStyle w:val="Aucun"/>
        </w:rPr>
        <w:t>(2)</w:t>
      </w:r>
      <w:r>
        <w:rPr>
          <w:rStyle w:val="Aucun"/>
        </w:rPr>
        <w:tab/>
      </w:r>
      <w:r>
        <w:rPr>
          <w:noProof/>
        </w:rPr>
        <w:t xml:space="preserve">However, the experience gained showed the need for </w:t>
      </w:r>
      <w:r>
        <w:rPr>
          <w:rStyle w:val="Aucun"/>
          <w:noProof/>
        </w:rPr>
        <w:t xml:space="preserve">a </w:t>
      </w:r>
      <w:r>
        <w:rPr>
          <w:noProof/>
        </w:rPr>
        <w:t xml:space="preserve">framework for ensuring the supply of crisis-relevant medical countermeasures of measures in the event of a public health emergency, </w:t>
      </w:r>
      <w:r>
        <w:rPr>
          <w:rStyle w:val="Aucun"/>
          <w:noProof/>
        </w:rPr>
        <w:t xml:space="preserve">in order to enable the Union to take </w:t>
      </w:r>
      <w:r>
        <w:rPr>
          <w:noProof/>
        </w:rPr>
        <w:t>measures that are necessary to ens</w:t>
      </w:r>
      <w:r>
        <w:rPr>
          <w:noProof/>
        </w:rPr>
        <w:t>ure the sufficient and timely availability and supply of crisis-relevant medical countermeasures in the event of a public health emergency where that is appropriate to the economic situation.</w:t>
      </w:r>
    </w:p>
    <w:p w:rsidR="00D10CBC" w:rsidRDefault="00BC383A">
      <w:pPr>
        <w:pStyle w:val="ManualConsidrant"/>
        <w:rPr>
          <w:noProof/>
        </w:rPr>
      </w:pPr>
      <w:r>
        <w:t>(3)</w:t>
      </w:r>
      <w:r>
        <w:tab/>
      </w:r>
      <w:r>
        <w:rPr>
          <w:noProof/>
        </w:rPr>
        <w:t xml:space="preserve">In the event of recognition of a public health emergency at </w:t>
      </w:r>
      <w:r>
        <w:rPr>
          <w:noProof/>
        </w:rPr>
        <w:t>Union level, the Council may, upon the proposal of the Commission, decide to activate the framework of measures to the extent that those measures are appropriate to the economic situation. The use of measures within this framework should be limited in time</w:t>
      </w:r>
      <w:r>
        <w:rPr>
          <w:noProof/>
        </w:rPr>
        <w:t xml:space="preserve"> to 6 months, after which they can be prolonged in view of the situation. </w:t>
      </w:r>
    </w:p>
    <w:p w:rsidR="00D10CBC" w:rsidRDefault="00BC383A">
      <w:pPr>
        <w:pStyle w:val="ManualConsidrant"/>
        <w:rPr>
          <w:noProof/>
        </w:rPr>
      </w:pPr>
      <w:r>
        <w:t>(4)</w:t>
      </w:r>
      <w:r>
        <w:tab/>
      </w:r>
      <w:r>
        <w:rPr>
          <w:noProof/>
        </w:rPr>
        <w:t>The framework of measures should include the establishment of a Health Crisis Board on crisis-relevant medical countermeasures to ensure coordination and integration of approach</w:t>
      </w:r>
      <w:r>
        <w:rPr>
          <w:noProof/>
        </w:rPr>
        <w:t>es at Union level. This is of particular importance given the spread of responsibilities between national and Union level. To support the Health Crisis Board, the Commission should be entitled to set up sub-groups, including if needed for industrial aspect</w:t>
      </w:r>
      <w:r>
        <w:rPr>
          <w:noProof/>
        </w:rPr>
        <w:t xml:space="preserve">s. </w:t>
      </w:r>
    </w:p>
    <w:p w:rsidR="00D10CBC" w:rsidRDefault="00BC383A">
      <w:pPr>
        <w:pStyle w:val="ManualConsidrant"/>
        <w:rPr>
          <w:noProof/>
        </w:rPr>
      </w:pPr>
      <w:r>
        <w:t>(5)</w:t>
      </w:r>
      <w:r>
        <w:tab/>
      </w:r>
      <w:r>
        <w:rPr>
          <w:rStyle w:val="Aucun"/>
          <w:noProof/>
        </w:rPr>
        <w:t xml:space="preserve">The Commission should ensure that a list of crisis-relevant medical countermeasures and raw materials is established and that their </w:t>
      </w:r>
      <w:r>
        <w:rPr>
          <w:noProof/>
        </w:rPr>
        <w:t>supply and demand is monitored. This should provide a comprehensive overview of the needed crisis-relevant medical c</w:t>
      </w:r>
      <w:r>
        <w:rPr>
          <w:noProof/>
        </w:rPr>
        <w:t xml:space="preserve">ountermeasures as well as of the Union’s capacity to meet this need and to guide relevant decision-making during public health emergencies. </w:t>
      </w:r>
    </w:p>
    <w:p w:rsidR="00D10CBC" w:rsidRDefault="00BC383A">
      <w:pPr>
        <w:pStyle w:val="ManualConsidrant"/>
        <w:rPr>
          <w:noProof/>
        </w:rPr>
      </w:pPr>
      <w:r>
        <w:t>(6)</w:t>
      </w:r>
      <w:r>
        <w:tab/>
      </w:r>
      <w:r>
        <w:rPr>
          <w:noProof/>
        </w:rPr>
        <w:t>In view of the mandate of the European Medicines Agency (EMA) and its role as regards monitoring and mitigating</w:t>
      </w:r>
      <w:r>
        <w:rPr>
          <w:noProof/>
        </w:rPr>
        <w:t xml:space="preserve"> potential and actual shortages of medicinal products, medical devices and </w:t>
      </w:r>
      <w:r>
        <w:rPr>
          <w:i/>
          <w:noProof/>
        </w:rPr>
        <w:t>in vitro</w:t>
      </w:r>
      <w:r>
        <w:rPr>
          <w:noProof/>
        </w:rPr>
        <w:t xml:space="preserve"> diagnostic medical devices including </w:t>
      </w:r>
      <w:r>
        <w:rPr>
          <w:noProof/>
        </w:rPr>
        <w:lastRenderedPageBreak/>
        <w:t xml:space="preserve">establishing lists of critical medical products and critical medical devices, under Regulation (EU) …/… of the European Parliament and </w:t>
      </w:r>
      <w:r>
        <w:rPr>
          <w:noProof/>
        </w:rPr>
        <w:t>of the Council [EMA Regulation (COM/2020/725)]</w:t>
      </w:r>
      <w:r>
        <w:rPr>
          <w:rStyle w:val="FootnoteReference"/>
          <w:noProof/>
        </w:rPr>
        <w:footnoteReference w:id="24"/>
      </w:r>
      <w:r>
        <w:rPr>
          <w:noProof/>
        </w:rPr>
        <w:t>, close cooperation and coordination between the Commission and EMA should be ensured to implement the measures provided for in this Regulation. If use is made of the possibility to establish a Health Crisis Board during a public health emergency, a repres</w:t>
      </w:r>
      <w:r>
        <w:rPr>
          <w:noProof/>
        </w:rPr>
        <w:t xml:space="preserve">entative of the </w:t>
      </w:r>
      <w:r>
        <w:rPr>
          <w:noProof/>
          <w:lang w:eastAsia="en-IE"/>
        </w:rPr>
        <w:t>Executive Steering Group on Shortages of Medical Devices, a representative from the Emergency Task Force and a representative from the Executive Steering Group on Shortages and Safety of Medicinal Products</w:t>
      </w:r>
      <w:r>
        <w:rPr>
          <w:noProof/>
        </w:rPr>
        <w:t xml:space="preserve"> should be invited as observers to </w:t>
      </w:r>
      <w:r>
        <w:rPr>
          <w:noProof/>
        </w:rPr>
        <w:t xml:space="preserve">the Health Crisis Board, as established under Regulation </w:t>
      </w:r>
      <w:r>
        <w:rPr>
          <w:noProof/>
          <w:color w:val="1F497D"/>
        </w:rPr>
        <w:t>(EU) No…/…[the EMA Regulation]</w:t>
      </w:r>
      <w:r>
        <w:rPr>
          <w:i/>
          <w:noProof/>
        </w:rPr>
        <w:t>.</w:t>
      </w:r>
      <w:r>
        <w:rPr>
          <w:noProof/>
        </w:rPr>
        <w:t xml:space="preserve"> This should complement the smooth transition of data and information during public health emergencies at Union level, including via integrated IT systems.</w:t>
      </w:r>
    </w:p>
    <w:p w:rsidR="00D10CBC" w:rsidRDefault="00BC383A">
      <w:pPr>
        <w:pStyle w:val="ManualConsidrant"/>
        <w:rPr>
          <w:noProof/>
        </w:rPr>
      </w:pPr>
      <w:r>
        <w:t>(7)</w:t>
      </w:r>
      <w:r>
        <w:tab/>
      </w:r>
      <w:r>
        <w:rPr>
          <w:noProof/>
        </w:rPr>
        <w:t>The meas</w:t>
      </w:r>
      <w:r>
        <w:rPr>
          <w:noProof/>
        </w:rPr>
        <w:t>ures should also take into consideration the structures and mechanisms set up by the Union acts on serious cross-border threats to health, Regulation (EU) …/… of the European Parliament and of the Council [SCBTH Regulation (COM/2020/727)]</w:t>
      </w:r>
      <w:r>
        <w:rPr>
          <w:rStyle w:val="FootnoteReference"/>
          <w:noProof/>
        </w:rPr>
        <w:footnoteReference w:id="25"/>
      </w:r>
      <w:r>
        <w:rPr>
          <w:noProof/>
        </w:rPr>
        <w:t>, and on the exte</w:t>
      </w:r>
      <w:r>
        <w:rPr>
          <w:noProof/>
        </w:rPr>
        <w:t>nded mandate of the ECDC laid down by Regulation (EU) …/… of the European Parliament and of the Council [ECDC Regulation (COM/2020/726)]</w:t>
      </w:r>
      <w:r>
        <w:rPr>
          <w:rStyle w:val="FootnoteReference"/>
          <w:noProof/>
        </w:rPr>
        <w:footnoteReference w:id="26"/>
      </w:r>
      <w:r>
        <w:rPr>
          <w:noProof/>
        </w:rPr>
        <w:t>, to ensure response coordination within the Health Security Committee and the Advisory Committee on public health emer</w:t>
      </w:r>
      <w:r>
        <w:rPr>
          <w:noProof/>
        </w:rPr>
        <w:t xml:space="preserve">gencies, taking into account input by ECDC on epidemiological surveillance and monitoring. </w:t>
      </w:r>
      <w:r>
        <w:rPr>
          <w:noProof/>
          <w:szCs w:val="24"/>
        </w:rPr>
        <w:t xml:space="preserve">The Director of the European Centre for Disease Prevention and Control, </w:t>
      </w:r>
      <w:r>
        <w:rPr>
          <w:noProof/>
        </w:rPr>
        <w:t xml:space="preserve">and </w:t>
      </w:r>
      <w:r>
        <w:rPr>
          <w:noProof/>
          <w:szCs w:val="24"/>
        </w:rPr>
        <w:t>a representative of the Advisory Committee on public health emergencies established under</w:t>
      </w:r>
      <w:r>
        <w:rPr>
          <w:noProof/>
          <w:szCs w:val="24"/>
        </w:rPr>
        <w:t xml:space="preserve"> </w:t>
      </w:r>
      <w:r>
        <w:rPr>
          <w:noProof/>
        </w:rPr>
        <w:t>Regulation</w:t>
      </w:r>
      <w:r>
        <w:rPr>
          <w:i/>
          <w:noProof/>
        </w:rPr>
        <w:t xml:space="preserve"> </w:t>
      </w:r>
      <w:r>
        <w:rPr>
          <w:noProof/>
          <w:color w:val="1F497D"/>
        </w:rPr>
        <w:t>(EU) No…/…[the SCBTH Regulation]</w:t>
      </w:r>
      <w:r>
        <w:rPr>
          <w:noProof/>
        </w:rPr>
        <w:t xml:space="preserve"> should be invited to attend the meetings of the Health Crisis Board. A member of the Health Security Committee should be invited as observer to the Health Crisis Board. </w:t>
      </w:r>
    </w:p>
    <w:p w:rsidR="00D10CBC" w:rsidRDefault="00BC383A">
      <w:pPr>
        <w:pStyle w:val="ManualConsidrant"/>
        <w:rPr>
          <w:noProof/>
        </w:rPr>
      </w:pPr>
      <w:r>
        <w:t>(8)</w:t>
      </w:r>
      <w:r>
        <w:tab/>
      </w:r>
      <w:r>
        <w:rPr>
          <w:noProof/>
        </w:rPr>
        <w:t xml:space="preserve">The activation of emergency research </w:t>
      </w:r>
      <w:r>
        <w:rPr>
          <w:noProof/>
        </w:rPr>
        <w:t xml:space="preserve">and innovation plans, as well as the repurposing and activation of clinical trial networks, and conduct of clinical trials, should be ensured to reduce any delays in the development phase of crisis-relevant medical countermeasures. Research and innovation </w:t>
      </w:r>
      <w:r>
        <w:rPr>
          <w:noProof/>
        </w:rPr>
        <w:t>activities may use the European Health Data Space digital Infrastructure and platforms operating under the European Open Science Cloud and other accessible EU digital platforms, to get access to (real-world) data for quick analysis. Close coordination of t</w:t>
      </w:r>
      <w:r>
        <w:rPr>
          <w:noProof/>
        </w:rPr>
        <w:t>he Commission with ECDC and EMA, as the Agency responsible for scientific advice and scientific assessment of new and repurposed medicinal products, should be ensured for these matters, as well as for those related to regulatory aspects concerning the auth</w:t>
      </w:r>
      <w:r>
        <w:rPr>
          <w:noProof/>
        </w:rPr>
        <w:t>orisation of medicinal products including for the establishment of new manufacturing sites for authorised medicinal products and to guarantee the acceptability of the clinical trials and the evidence they generate for the authorisation of new or repurposed</w:t>
      </w:r>
      <w:r>
        <w:rPr>
          <w:noProof/>
        </w:rPr>
        <w:t xml:space="preserve"> medicines. This should allow key actors and relevant infrastructure to be immediately ready for operation in times of public health emergencies, thereby reducing any delays. </w:t>
      </w:r>
    </w:p>
    <w:p w:rsidR="00D10CBC" w:rsidRDefault="00BC383A">
      <w:pPr>
        <w:pStyle w:val="ManualConsidrant"/>
        <w:rPr>
          <w:noProof/>
        </w:rPr>
      </w:pPr>
      <w:r>
        <w:lastRenderedPageBreak/>
        <w:t>(9)</w:t>
      </w:r>
      <w:r>
        <w:tab/>
      </w:r>
      <w:r>
        <w:rPr>
          <w:noProof/>
        </w:rPr>
        <w:t>Efficient procurement procedures for crisis-relevant medical countermeasures</w:t>
      </w:r>
      <w:r>
        <w:rPr>
          <w:noProof/>
        </w:rPr>
        <w:t xml:space="preserve"> and raw materials should be ensured, and the Commission should be entrusted with a negotiating mandate to act as a central procurement body for Member States, using rules and procedures under Regulation (EU, Euratom) 2018/1046 of the European Parliament a</w:t>
      </w:r>
      <w:r>
        <w:rPr>
          <w:noProof/>
        </w:rPr>
        <w:t>nd of the Council</w:t>
      </w:r>
      <w:r>
        <w:rPr>
          <w:rStyle w:val="FootnoteReference"/>
          <w:noProof/>
        </w:rPr>
        <w:footnoteReference w:id="27"/>
      </w:r>
      <w:r>
        <w:rPr>
          <w:noProof/>
        </w:rPr>
        <w:t xml:space="preserve"> as well as Council Regulation (EU) 2016/369</w:t>
      </w:r>
      <w:r>
        <w:rPr>
          <w:rStyle w:val="FootnoteReference"/>
          <w:noProof/>
        </w:rPr>
        <w:footnoteReference w:id="28"/>
      </w:r>
      <w:r>
        <w:rPr>
          <w:noProof/>
        </w:rPr>
        <w:t xml:space="preserve">. </w:t>
      </w:r>
    </w:p>
    <w:p w:rsidR="00D10CBC" w:rsidRDefault="00BC383A">
      <w:pPr>
        <w:pStyle w:val="ManualConsidrant"/>
        <w:rPr>
          <w:noProof/>
        </w:rPr>
      </w:pPr>
      <w:r>
        <w:t>(10)</w:t>
      </w:r>
      <w:r>
        <w:tab/>
      </w:r>
      <w:r>
        <w:rPr>
          <w:noProof/>
        </w:rPr>
        <w:t>These rules and procedures may be supported by any necessary preparatory steps, including on-site visits at the location of the production facilities of crisis-relevant medical counterm</w:t>
      </w:r>
      <w:r>
        <w:rPr>
          <w:noProof/>
        </w:rPr>
        <w:t xml:space="preserve">easures. This should allow for the rapid procurement and purchase of crisis-relevant medical countermeasures across the Union and promote accessibility across the Member States, </w:t>
      </w:r>
      <w:r>
        <w:rPr>
          <w:bCs/>
          <w:iCs/>
          <w:noProof/>
        </w:rPr>
        <w:t>with the primary objective of securing the speediest possible provision of the</w:t>
      </w:r>
      <w:r>
        <w:rPr>
          <w:bCs/>
          <w:iCs/>
          <w:noProof/>
        </w:rPr>
        <w:t xml:space="preserve"> countermeasures in the required quantity and with all necessary guarantees</w:t>
      </w:r>
      <w:r>
        <w:rPr>
          <w:noProof/>
        </w:rPr>
        <w:t xml:space="preserve">.  </w:t>
      </w:r>
    </w:p>
    <w:p w:rsidR="00D10CBC" w:rsidRDefault="00BC383A">
      <w:pPr>
        <w:pStyle w:val="ManualConsidrant"/>
        <w:rPr>
          <w:noProof/>
        </w:rPr>
      </w:pPr>
      <w:r>
        <w:t>(11)</w:t>
      </w:r>
      <w:r>
        <w:tab/>
      </w:r>
      <w:r>
        <w:rPr>
          <w:noProof/>
        </w:rPr>
        <w:t>During a public health emergency at Union level demand for crisis-relevant medical countermeasures may be greater than supply. In such a situation, surge production and man</w:t>
      </w:r>
      <w:r>
        <w:rPr>
          <w:noProof/>
        </w:rPr>
        <w:t>ufacturing of crisis-relevant medical countermeasures is essential and the Commission should be entrusted to activate the surge Union manufacturing capacities for crisis-relevant medical countermeasures, including ensuring resilient supply chains for the n</w:t>
      </w:r>
      <w:r>
        <w:rPr>
          <w:noProof/>
        </w:rPr>
        <w:t xml:space="preserve">eeded raw materials and ancillary supplies, under the ‘EU-FAB’. As outlined in the </w:t>
      </w:r>
      <w:r>
        <w:rPr>
          <w:noProof/>
          <w:szCs w:val="24"/>
        </w:rPr>
        <w:t>Communication</w:t>
      </w:r>
      <w:r>
        <w:rPr>
          <w:noProof/>
          <w:color w:val="444444"/>
          <w:szCs w:val="24"/>
        </w:rPr>
        <w:t xml:space="preserve"> ‘HERA Incubator: Anticipating together the threat of COVID-19 variants’</w:t>
      </w:r>
      <w:r>
        <w:rPr>
          <w:rStyle w:val="FootnoteReference"/>
          <w:noProof/>
        </w:rPr>
        <w:footnoteReference w:id="29"/>
      </w:r>
      <w:r>
        <w:rPr>
          <w:noProof/>
          <w:szCs w:val="24"/>
        </w:rPr>
        <w:t xml:space="preserve"> , an “EU FAB” project is a network of ‘ever-warm’, single and/or multi user, single an</w:t>
      </w:r>
      <w:r>
        <w:rPr>
          <w:noProof/>
          <w:szCs w:val="24"/>
        </w:rPr>
        <w:t>d/or multi-technology production capacities for vaccine and medicine manufacturing at European level.</w:t>
      </w:r>
    </w:p>
    <w:p w:rsidR="00D10CBC" w:rsidRDefault="00BC383A">
      <w:pPr>
        <w:pStyle w:val="ManualConsidrant"/>
        <w:rPr>
          <w:noProof/>
        </w:rPr>
      </w:pPr>
      <w:r>
        <w:t>(12)</w:t>
      </w:r>
      <w:r>
        <w:tab/>
      </w:r>
      <w:r>
        <w:rPr>
          <w:noProof/>
        </w:rPr>
        <w:t>Appropriate intellectual property tools are needed to mitigate the risks of abandonment of development efforts or supply issues of crisis-relevant me</w:t>
      </w:r>
      <w:r>
        <w:rPr>
          <w:noProof/>
        </w:rPr>
        <w:t xml:space="preserve">dical countermeasures during a public health emergency, especially where public authorities provided financial support for the development and production of such countermeasures. The Commission should therefore be able to require the licensing, under fair </w:t>
      </w:r>
      <w:r>
        <w:rPr>
          <w:noProof/>
        </w:rPr>
        <w:t>and reasonable terms, of intellectual property rights and know-how pertaining to crisis-relevant medical countermeasures, the development and production of which the Commission has financed, in justified exceptional cases, as a safety net and an incentivis</w:t>
      </w:r>
      <w:r>
        <w:rPr>
          <w:noProof/>
        </w:rPr>
        <w:t>ing element.</w:t>
      </w:r>
    </w:p>
    <w:p w:rsidR="00D10CBC" w:rsidRDefault="00BC383A">
      <w:pPr>
        <w:pStyle w:val="ManualConsidrant"/>
        <w:rPr>
          <w:noProof/>
        </w:rPr>
      </w:pPr>
      <w:r>
        <w:t>(13)</w:t>
      </w:r>
      <w:r>
        <w:tab/>
      </w:r>
      <w:r>
        <w:rPr>
          <w:noProof/>
        </w:rPr>
        <w:t>Council Regulation (EU) 2016/369</w:t>
      </w:r>
      <w:r>
        <w:rPr>
          <w:rStyle w:val="FootnoteReference"/>
          <w:noProof/>
        </w:rPr>
        <w:footnoteReference w:id="30"/>
      </w:r>
      <w:r>
        <w:rPr>
          <w:noProof/>
        </w:rPr>
        <w:t xml:space="preserve"> provides for a flexible framework for emergency financial support. It allows to provide support that cannot be implemented through the existing spending programmes. Such a tool should become available if </w:t>
      </w:r>
      <w:r>
        <w:rPr>
          <w:noProof/>
        </w:rPr>
        <w:t xml:space="preserve">there is a recognition of a public health emergency at Union level to the extent that that is appropriate to the economic situation. </w:t>
      </w:r>
    </w:p>
    <w:p w:rsidR="00D10CBC" w:rsidRDefault="00BC383A">
      <w:pPr>
        <w:pStyle w:val="ManualConsidrant"/>
        <w:rPr>
          <w:noProof/>
        </w:rPr>
      </w:pPr>
      <w:r>
        <w:t>(14)</w:t>
      </w:r>
      <w:r>
        <w:tab/>
      </w:r>
      <w:r>
        <w:rPr>
          <w:noProof/>
        </w:rPr>
        <w:t>During a public health emergency, detailed overviews of the Union’s current and short-term future production capaciti</w:t>
      </w:r>
      <w:r>
        <w:rPr>
          <w:noProof/>
        </w:rPr>
        <w:t xml:space="preserve">es of crisis-relevant medical countermeasures are </w:t>
      </w:r>
      <w:r>
        <w:rPr>
          <w:noProof/>
        </w:rPr>
        <w:lastRenderedPageBreak/>
        <w:t>an integral element of demand and supply management. Therefore, an inventory of crisis-relevant medical countermeasure production facilities should be created and regularly updated on the basis of the compu</w:t>
      </w:r>
      <w:r>
        <w:rPr>
          <w:noProof/>
        </w:rPr>
        <w:t xml:space="preserve">lsory transmission of information by the relevant economic operators. </w:t>
      </w:r>
    </w:p>
    <w:p w:rsidR="00D10CBC" w:rsidRDefault="00BC383A">
      <w:pPr>
        <w:pStyle w:val="ManualConsidrant"/>
        <w:rPr>
          <w:noProof/>
        </w:rPr>
      </w:pPr>
      <w:r>
        <w:t>(15)</w:t>
      </w:r>
      <w:r>
        <w:tab/>
      </w:r>
      <w:r>
        <w:rPr>
          <w:noProof/>
        </w:rPr>
        <w:t xml:space="preserve">Supply shortages of raw materials, consumables, devices, equipment or infrastructure may impact the production of crisis-relevant medical countermeasures. Upon identification of a </w:t>
      </w:r>
      <w:r>
        <w:rPr>
          <w:noProof/>
        </w:rPr>
        <w:t>supply shortage or the risk thereof, the inventory should also cover these elements. This complements the detailed overview of the Union’s current and near-future production capacities, in order to allow for the factoring in of supply elements that may imp</w:t>
      </w:r>
      <w:r>
        <w:rPr>
          <w:noProof/>
        </w:rPr>
        <w:t>act production capacities and to improve demand and supply management of crisis-relevant medical countermeasures at Union level.</w:t>
      </w:r>
    </w:p>
    <w:p w:rsidR="00D10CBC" w:rsidRDefault="00BC383A">
      <w:pPr>
        <w:pStyle w:val="ManualConsidrant"/>
        <w:rPr>
          <w:noProof/>
        </w:rPr>
      </w:pPr>
      <w:r>
        <w:t>(16)</w:t>
      </w:r>
      <w:r>
        <w:tab/>
      </w:r>
      <w:r>
        <w:rPr>
          <w:noProof/>
        </w:rPr>
        <w:t>Informed by the detailed overviews of production capacities, raw materials, consumables, equipment and infrastructure, fur</w:t>
      </w:r>
      <w:r>
        <w:rPr>
          <w:noProof/>
        </w:rPr>
        <w:t>ther measures to bolster supply chains and production capacities may be needed. Where the market does not, or cannot, ensure adequate supply of needed crisis-relevant medical countermeasures, the Commission should therefore be able to implement measures in</w:t>
      </w:r>
      <w:r>
        <w:rPr>
          <w:noProof/>
        </w:rPr>
        <w:t xml:space="preserve"> these areas that serve to increase the availability and accessibility of crisis-relevant medical countermeasures and raw materials, </w:t>
      </w:r>
    </w:p>
    <w:p w:rsidR="00D10CBC" w:rsidRDefault="00BC383A">
      <w:pPr>
        <w:pStyle w:val="Formuledadoption"/>
        <w:rPr>
          <w:noProof/>
        </w:rPr>
      </w:pPr>
      <w:r>
        <w:rPr>
          <w:noProof/>
        </w:rPr>
        <w:t>HAS ADOPTED THIS REGULATION:</w:t>
      </w:r>
    </w:p>
    <w:p w:rsidR="00D10CBC" w:rsidRDefault="00BC383A">
      <w:pPr>
        <w:pStyle w:val="Titrearticle"/>
        <w:spacing w:after="0"/>
        <w:rPr>
          <w:noProof/>
        </w:rPr>
      </w:pPr>
      <w:r>
        <w:rPr>
          <w:noProof/>
        </w:rPr>
        <w:t>Article 1</w:t>
      </w:r>
    </w:p>
    <w:p w:rsidR="00D10CBC" w:rsidRDefault="00BC383A">
      <w:pPr>
        <w:jc w:val="center"/>
        <w:rPr>
          <w:b/>
          <w:i/>
          <w:noProof/>
        </w:rPr>
      </w:pPr>
      <w:r>
        <w:rPr>
          <w:b/>
          <w:noProof/>
        </w:rPr>
        <w:t>Subject matter and scope</w:t>
      </w:r>
    </w:p>
    <w:p w:rsidR="00D10CBC" w:rsidRDefault="00BC383A">
      <w:pPr>
        <w:pStyle w:val="Point0"/>
        <w:rPr>
          <w:noProof/>
        </w:rPr>
      </w:pPr>
      <w:r>
        <w:rPr>
          <w:noProof/>
        </w:rPr>
        <w:t>1.</w:t>
      </w:r>
      <w:r>
        <w:rPr>
          <w:noProof/>
        </w:rPr>
        <w:tab/>
        <w:t xml:space="preserve">This Regulation </w:t>
      </w:r>
      <w:r>
        <w:rPr>
          <w:rStyle w:val="Aucun"/>
          <w:noProof/>
        </w:rPr>
        <w:t xml:space="preserve">establishes a framework for ensuring </w:t>
      </w:r>
      <w:r>
        <w:rPr>
          <w:rStyle w:val="Aucun"/>
          <w:noProof/>
        </w:rPr>
        <w:t>supply of</w:t>
      </w:r>
      <w:r>
        <w:rPr>
          <w:noProof/>
        </w:rPr>
        <w:t xml:space="preserve"> crisis-relevant medical countermeasures in the event of a public health emergency (‘the emergency framework’).</w:t>
      </w:r>
      <w:r>
        <w:rPr>
          <w:i/>
          <w:noProof/>
        </w:rPr>
        <w:t xml:space="preserve"> </w:t>
      </w:r>
    </w:p>
    <w:p w:rsidR="00D10CBC" w:rsidRDefault="00BC383A">
      <w:pPr>
        <w:pStyle w:val="Point0"/>
        <w:rPr>
          <w:rFonts w:eastAsia="Times New Roman"/>
          <w:noProof/>
          <w:szCs w:val="24"/>
          <w:lang w:eastAsia="en-IE"/>
        </w:rPr>
      </w:pPr>
      <w:r>
        <w:rPr>
          <w:noProof/>
        </w:rPr>
        <w:t>2.</w:t>
      </w:r>
      <w:r>
        <w:rPr>
          <w:noProof/>
        </w:rPr>
        <w:tab/>
        <w:t>The measures referred to in paragraph 1 include</w:t>
      </w:r>
      <w:r>
        <w:rPr>
          <w:rFonts w:eastAsia="Times New Roman"/>
          <w:noProof/>
          <w:szCs w:val="24"/>
          <w:lang w:eastAsia="en-IE"/>
        </w:rPr>
        <w:t>:</w:t>
      </w:r>
    </w:p>
    <w:p w:rsidR="00D10CBC" w:rsidRDefault="00BC383A">
      <w:pPr>
        <w:pStyle w:val="Point1"/>
        <w:rPr>
          <w:noProof/>
          <w:lang w:eastAsia="en-IE"/>
        </w:rPr>
      </w:pPr>
      <w:r>
        <w:rPr>
          <w:noProof/>
          <w:lang w:eastAsia="en-IE"/>
        </w:rPr>
        <w:t>(a)</w:t>
      </w:r>
      <w:r>
        <w:rPr>
          <w:noProof/>
          <w:lang w:eastAsia="en-IE"/>
        </w:rPr>
        <w:tab/>
        <w:t>establishment of a Health Crisis Board;</w:t>
      </w:r>
    </w:p>
    <w:p w:rsidR="00D10CBC" w:rsidRDefault="00BC383A">
      <w:pPr>
        <w:pStyle w:val="Point1"/>
        <w:rPr>
          <w:rFonts w:eastAsia="Times New Roman"/>
          <w:noProof/>
          <w:szCs w:val="24"/>
          <w:lang w:eastAsia="en-IE"/>
        </w:rPr>
      </w:pPr>
      <w:r>
        <w:rPr>
          <w:rFonts w:eastAsia="Times New Roman"/>
          <w:noProof/>
          <w:szCs w:val="24"/>
          <w:lang w:eastAsia="en-IE"/>
        </w:rPr>
        <w:t>(b)</w:t>
      </w:r>
      <w:r>
        <w:rPr>
          <w:rFonts w:eastAsia="Times New Roman"/>
          <w:noProof/>
          <w:szCs w:val="24"/>
          <w:lang w:eastAsia="en-IE"/>
        </w:rPr>
        <w:tab/>
        <w:t xml:space="preserve">monitoring, procurement and </w:t>
      </w:r>
      <w:r>
        <w:rPr>
          <w:rFonts w:eastAsia="Times New Roman"/>
          <w:noProof/>
          <w:szCs w:val="24"/>
          <w:lang w:eastAsia="en-IE"/>
        </w:rPr>
        <w:t>purchase of crisis-relevant medical countermeasures and crisis-relevant raw materials;</w:t>
      </w:r>
    </w:p>
    <w:p w:rsidR="00D10CBC" w:rsidRDefault="00BC383A">
      <w:pPr>
        <w:pStyle w:val="Point1"/>
        <w:rPr>
          <w:rFonts w:eastAsia="Times New Roman"/>
          <w:noProof/>
          <w:szCs w:val="24"/>
          <w:lang w:eastAsia="en-IE"/>
        </w:rPr>
      </w:pPr>
      <w:r>
        <w:rPr>
          <w:rFonts w:eastAsia="Times New Roman"/>
          <w:noProof/>
          <w:szCs w:val="24"/>
          <w:lang w:eastAsia="en-IE"/>
        </w:rPr>
        <w:t>(c)</w:t>
      </w:r>
      <w:r>
        <w:rPr>
          <w:rFonts w:eastAsia="Times New Roman"/>
          <w:noProof/>
          <w:szCs w:val="24"/>
          <w:lang w:eastAsia="en-IE"/>
        </w:rPr>
        <w:tab/>
        <w:t>the activation of emergency research and innovation plans, including the use of Union-wide clinical trial networks and data sharing platforms;</w:t>
      </w:r>
    </w:p>
    <w:p w:rsidR="00D10CBC" w:rsidRDefault="00BC383A">
      <w:pPr>
        <w:pStyle w:val="Point1"/>
        <w:rPr>
          <w:rFonts w:eastAsia="Times New Roman"/>
          <w:noProof/>
          <w:szCs w:val="24"/>
          <w:lang w:eastAsia="en-IE"/>
        </w:rPr>
      </w:pPr>
      <w:r>
        <w:rPr>
          <w:rFonts w:eastAsia="Times New Roman"/>
          <w:noProof/>
          <w:szCs w:val="24"/>
          <w:lang w:eastAsia="en-IE"/>
        </w:rPr>
        <w:t>(d)</w:t>
      </w:r>
      <w:r>
        <w:rPr>
          <w:rFonts w:eastAsia="Times New Roman"/>
          <w:noProof/>
          <w:szCs w:val="24"/>
          <w:lang w:eastAsia="en-IE"/>
        </w:rPr>
        <w:tab/>
        <w:t xml:space="preserve">emergency funding </w:t>
      </w:r>
      <w:r>
        <w:rPr>
          <w:rFonts w:eastAsia="Times New Roman"/>
          <w:noProof/>
          <w:szCs w:val="24"/>
          <w:lang w:eastAsia="en-IE"/>
        </w:rPr>
        <w:t>and financing;</w:t>
      </w:r>
    </w:p>
    <w:p w:rsidR="00D10CBC" w:rsidRDefault="00BC383A">
      <w:pPr>
        <w:pStyle w:val="Point1"/>
        <w:rPr>
          <w:rFonts w:eastAsia="Times New Roman"/>
          <w:noProof/>
          <w:szCs w:val="24"/>
          <w:lang w:eastAsia="en-IE"/>
        </w:rPr>
      </w:pPr>
      <w:r>
        <w:rPr>
          <w:rFonts w:eastAsia="Times New Roman"/>
          <w:noProof/>
          <w:szCs w:val="24"/>
          <w:lang w:eastAsia="en-IE"/>
        </w:rPr>
        <w:t>(e)</w:t>
      </w:r>
      <w:r>
        <w:rPr>
          <w:rFonts w:eastAsia="Times New Roman"/>
          <w:noProof/>
          <w:szCs w:val="24"/>
          <w:lang w:eastAsia="en-IE"/>
        </w:rPr>
        <w:tab/>
        <w:t>measures concerning the production, availability and supply of crisis-relevant medical countermeasures, including the establishment of an inventory of crisis-relevant production and production facilities, raw materials, consumables, equi</w:t>
      </w:r>
      <w:r>
        <w:rPr>
          <w:rFonts w:eastAsia="Times New Roman"/>
          <w:noProof/>
          <w:szCs w:val="24"/>
          <w:lang w:eastAsia="en-IE"/>
        </w:rPr>
        <w:t>pment and infrastructure,</w:t>
      </w:r>
      <w:r>
        <w:rPr>
          <w:noProof/>
        </w:rPr>
        <w:t xml:space="preserve"> </w:t>
      </w:r>
      <w:r>
        <w:rPr>
          <w:rFonts w:eastAsia="Times New Roman"/>
          <w:noProof/>
          <w:szCs w:val="24"/>
          <w:lang w:eastAsia="en-IE"/>
        </w:rPr>
        <w:t xml:space="preserve">and including measures aiming at increasing their production in the Union.  </w:t>
      </w:r>
    </w:p>
    <w:p w:rsidR="00D10CBC" w:rsidRDefault="00BC383A">
      <w:pPr>
        <w:pStyle w:val="Point0"/>
        <w:rPr>
          <w:noProof/>
        </w:rPr>
      </w:pPr>
      <w:r>
        <w:rPr>
          <w:noProof/>
        </w:rPr>
        <w:t>3.</w:t>
      </w:r>
      <w:r>
        <w:rPr>
          <w:noProof/>
        </w:rPr>
        <w:tab/>
        <w:t>The measures referred to in paragraph 1 may be activated only to the extent that they are appropriate to the economic situation.</w:t>
      </w:r>
    </w:p>
    <w:p w:rsidR="00D10CBC" w:rsidRDefault="00BC383A">
      <w:pPr>
        <w:pStyle w:val="Titrearticle"/>
        <w:spacing w:after="0"/>
        <w:rPr>
          <w:rFonts w:eastAsia="Calibri"/>
          <w:noProof/>
        </w:rPr>
      </w:pPr>
      <w:r>
        <w:rPr>
          <w:rStyle w:val="Aucun"/>
          <w:noProof/>
        </w:rPr>
        <w:t>Article</w:t>
      </w:r>
      <w:r>
        <w:rPr>
          <w:noProof/>
        </w:rPr>
        <w:t xml:space="preserve"> 2</w:t>
      </w:r>
    </w:p>
    <w:p w:rsidR="00D10CBC" w:rsidRDefault="00BC383A">
      <w:pPr>
        <w:jc w:val="center"/>
        <w:rPr>
          <w:b/>
          <w:i/>
          <w:noProof/>
        </w:rPr>
      </w:pPr>
      <w:r>
        <w:rPr>
          <w:b/>
          <w:noProof/>
        </w:rPr>
        <w:t>Definitions</w:t>
      </w:r>
    </w:p>
    <w:p w:rsidR="00D10CBC" w:rsidRDefault="00BC383A">
      <w:pPr>
        <w:rPr>
          <w:noProof/>
        </w:rPr>
      </w:pPr>
      <w:r>
        <w:rPr>
          <w:noProof/>
        </w:rPr>
        <w:t>For the purposes of this Regulation, the following definitions shall apply:</w:t>
      </w:r>
    </w:p>
    <w:p w:rsidR="00D10CBC" w:rsidRDefault="00BC383A">
      <w:pPr>
        <w:pStyle w:val="Point0"/>
        <w:rPr>
          <w:noProof/>
        </w:rPr>
      </w:pPr>
      <w:r>
        <w:rPr>
          <w:noProof/>
        </w:rPr>
        <w:lastRenderedPageBreak/>
        <w:t>(1)</w:t>
      </w:r>
      <w:r>
        <w:rPr>
          <w:noProof/>
        </w:rPr>
        <w:tab/>
        <w:t xml:space="preserve">‘monitoring’ means monitoring as defined in Article 3, point (5), of Regulation </w:t>
      </w:r>
      <w:r>
        <w:rPr>
          <w:noProof/>
          <w:color w:val="1F497D"/>
        </w:rPr>
        <w:t>(EU) No…/…[the SCBTH Regulation]</w:t>
      </w:r>
      <w:r>
        <w:rPr>
          <w:noProof/>
        </w:rPr>
        <w:t>;</w:t>
      </w:r>
    </w:p>
    <w:p w:rsidR="00D10CBC" w:rsidRDefault="00BC383A">
      <w:pPr>
        <w:pStyle w:val="Point0"/>
        <w:rPr>
          <w:noProof/>
        </w:rPr>
      </w:pPr>
      <w:r>
        <w:rPr>
          <w:noProof/>
        </w:rPr>
        <w:t>(2)</w:t>
      </w:r>
      <w:r>
        <w:rPr>
          <w:noProof/>
        </w:rPr>
        <w:tab/>
        <w:t>‘public health emergency’ means a public health emergency</w:t>
      </w:r>
      <w:r>
        <w:rPr>
          <w:noProof/>
        </w:rPr>
        <w:t xml:space="preserve"> at Union level recognised by the Commission in accordance with Article 23 of Regulation </w:t>
      </w:r>
      <w:r>
        <w:rPr>
          <w:noProof/>
          <w:color w:val="1F497D"/>
        </w:rPr>
        <w:t>(EU) No…/…[the SCBTH Regulation]</w:t>
      </w:r>
      <w:r>
        <w:rPr>
          <w:noProof/>
        </w:rPr>
        <w:t>;</w:t>
      </w:r>
    </w:p>
    <w:p w:rsidR="00D10CBC" w:rsidRDefault="00BC383A">
      <w:pPr>
        <w:pStyle w:val="Point0"/>
        <w:rPr>
          <w:noProof/>
        </w:rPr>
      </w:pPr>
      <w:r>
        <w:rPr>
          <w:noProof/>
        </w:rPr>
        <w:t>(3)</w:t>
      </w:r>
      <w:r>
        <w:rPr>
          <w:noProof/>
        </w:rPr>
        <w:tab/>
        <w:t>‘medical countermeasures’ means medical countermeasures within the meaning of Article 3, point (8), of Regulation (EU) …/… [the S</w:t>
      </w:r>
      <w:r>
        <w:rPr>
          <w:noProof/>
        </w:rPr>
        <w:t>CBTH Regulation], in addition to personal protective equipment and substances of human origin;</w:t>
      </w:r>
    </w:p>
    <w:p w:rsidR="00D10CBC" w:rsidRDefault="00BC383A">
      <w:pPr>
        <w:pStyle w:val="Point0"/>
        <w:rPr>
          <w:noProof/>
        </w:rPr>
      </w:pPr>
      <w:r>
        <w:rPr>
          <w:noProof/>
        </w:rPr>
        <w:t>(4)</w:t>
      </w:r>
      <w:r>
        <w:rPr>
          <w:noProof/>
        </w:rPr>
        <w:tab/>
        <w:t xml:space="preserve">‘raw materials’ means the materials required in order to produce the required quantities of crisis -relevant medical countermeasures; </w:t>
      </w:r>
    </w:p>
    <w:p w:rsidR="00D10CBC" w:rsidRDefault="00BC383A">
      <w:pPr>
        <w:pStyle w:val="Point0"/>
        <w:rPr>
          <w:noProof/>
        </w:rPr>
      </w:pPr>
      <w:r>
        <w:rPr>
          <w:noProof/>
        </w:rPr>
        <w:t>(5)</w:t>
      </w:r>
      <w:r>
        <w:rPr>
          <w:noProof/>
        </w:rPr>
        <w:tab/>
        <w:t xml:space="preserve">‘real-world data’ </w:t>
      </w:r>
      <w:r>
        <w:rPr>
          <w:noProof/>
        </w:rPr>
        <w:t xml:space="preserve">means data relating to patient health status or the delivery of healthcare from sources other than clinical trials. </w:t>
      </w:r>
    </w:p>
    <w:p w:rsidR="00D10CBC" w:rsidRDefault="00BC383A">
      <w:pPr>
        <w:pStyle w:val="Titrearticle"/>
        <w:spacing w:after="0"/>
        <w:rPr>
          <w:noProof/>
        </w:rPr>
      </w:pPr>
      <w:r>
        <w:rPr>
          <w:noProof/>
        </w:rPr>
        <w:t>Article 3</w:t>
      </w:r>
    </w:p>
    <w:p w:rsidR="00D10CBC" w:rsidRDefault="00BC383A">
      <w:pPr>
        <w:jc w:val="center"/>
        <w:rPr>
          <w:b/>
          <w:noProof/>
        </w:rPr>
      </w:pPr>
      <w:r>
        <w:rPr>
          <w:b/>
          <w:noProof/>
        </w:rPr>
        <w:t xml:space="preserve">Activation of the emergency framework </w:t>
      </w:r>
    </w:p>
    <w:p w:rsidR="00D10CBC" w:rsidRDefault="00BC383A">
      <w:pPr>
        <w:pStyle w:val="ManualNumPar1"/>
        <w:rPr>
          <w:noProof/>
        </w:rPr>
      </w:pPr>
      <w:r>
        <w:t>1.</w:t>
      </w:r>
      <w:r>
        <w:tab/>
      </w:r>
      <w:r>
        <w:rPr>
          <w:noProof/>
        </w:rPr>
        <w:t>In the event of recognition of a public health emergency the Council, upon the proposal</w:t>
      </w:r>
      <w:r>
        <w:rPr>
          <w:noProof/>
        </w:rPr>
        <w:t xml:space="preserve"> of the Commission, may adopt a regulation activating the emergency framework where that is appropriate to the economic situation. </w:t>
      </w:r>
    </w:p>
    <w:p w:rsidR="00D10CBC" w:rsidRDefault="00BC383A">
      <w:pPr>
        <w:pStyle w:val="ManualNumPar1"/>
        <w:rPr>
          <w:noProof/>
        </w:rPr>
      </w:pPr>
      <w:r>
        <w:t>2.</w:t>
      </w:r>
      <w:r>
        <w:tab/>
      </w:r>
      <w:r>
        <w:rPr>
          <w:noProof/>
        </w:rPr>
        <w:t>The Council shall set out in the Regulation activating the emergency framework which of the measures as set out in Articl</w:t>
      </w:r>
      <w:r>
        <w:rPr>
          <w:noProof/>
        </w:rPr>
        <w:t>es 5 to 11 and 13 are appropriate to the economic situation and which measures are therefore to be activated.</w:t>
      </w:r>
    </w:p>
    <w:p w:rsidR="00D10CBC" w:rsidRDefault="00BC383A">
      <w:pPr>
        <w:pStyle w:val="ManualNumPar1"/>
        <w:rPr>
          <w:noProof/>
        </w:rPr>
      </w:pPr>
      <w:r>
        <w:t>3.</w:t>
      </w:r>
      <w:r>
        <w:tab/>
      </w:r>
      <w:r>
        <w:rPr>
          <w:noProof/>
        </w:rPr>
        <w:t xml:space="preserve">The duration of the activation is 6 months, renewable in accordance with the procedure set out in Article 4. </w:t>
      </w:r>
    </w:p>
    <w:p w:rsidR="00D10CBC" w:rsidRDefault="00BC383A">
      <w:pPr>
        <w:pStyle w:val="ManualNumPar1"/>
        <w:rPr>
          <w:noProof/>
        </w:rPr>
      </w:pPr>
      <w:r>
        <w:t>4.</w:t>
      </w:r>
      <w:r>
        <w:tab/>
      </w:r>
      <w:r>
        <w:rPr>
          <w:noProof/>
        </w:rPr>
        <w:t>The regulation on the activati</w:t>
      </w:r>
      <w:r>
        <w:rPr>
          <w:noProof/>
        </w:rPr>
        <w:t>on of the emergency framework shall be without prejudice to Decision No. 1313/2013/EU of the European Parliament and of the Council</w:t>
      </w:r>
      <w:r>
        <w:rPr>
          <w:rStyle w:val="FootnoteReference"/>
          <w:noProof/>
        </w:rPr>
        <w:footnoteReference w:id="31"/>
      </w:r>
      <w:r>
        <w:rPr>
          <w:noProof/>
        </w:rPr>
        <w:t xml:space="preserve"> and the overall coordination role of the Emergency Response Coordination Centre under the Union Civil Protection Mechanism.</w:t>
      </w:r>
    </w:p>
    <w:p w:rsidR="00D10CBC" w:rsidRDefault="00BC383A">
      <w:pPr>
        <w:pStyle w:val="Titrearticle"/>
        <w:spacing w:after="0"/>
        <w:rPr>
          <w:noProof/>
        </w:rPr>
      </w:pPr>
      <w:r>
        <w:rPr>
          <w:noProof/>
        </w:rPr>
        <w:t>Article 4</w:t>
      </w:r>
    </w:p>
    <w:p w:rsidR="00D10CBC" w:rsidRDefault="00BC383A">
      <w:pPr>
        <w:jc w:val="center"/>
        <w:rPr>
          <w:b/>
          <w:i/>
          <w:noProof/>
        </w:rPr>
      </w:pPr>
      <w:r>
        <w:rPr>
          <w:b/>
          <w:noProof/>
        </w:rPr>
        <w:t xml:space="preserve">Prolongation and expiry of the activation of the emergency framework </w:t>
      </w:r>
    </w:p>
    <w:p w:rsidR="00D10CBC" w:rsidRDefault="00BC383A">
      <w:pPr>
        <w:pStyle w:val="ManualNumPar1"/>
        <w:rPr>
          <w:noProof/>
          <w:lang w:eastAsia="en-IE"/>
        </w:rPr>
      </w:pPr>
      <w:r>
        <w:t>1.</w:t>
      </w:r>
      <w:r>
        <w:tab/>
      </w:r>
      <w:r>
        <w:rPr>
          <w:noProof/>
          <w:lang w:eastAsia="en-IE"/>
        </w:rPr>
        <w:t>No later than 1 week before the expiry of the duration for which the emergency framework was activated, the Commission shall submit to the Council a report assessing whether the activation of the emergency framework should be prolonged. The report shall in</w:t>
      </w:r>
      <w:r>
        <w:rPr>
          <w:noProof/>
          <w:lang w:eastAsia="en-IE"/>
        </w:rPr>
        <w:t xml:space="preserve"> particular analyse the public health situation and the economic consequences of the public health crisis in the Union as a whole and in Member States. </w:t>
      </w:r>
    </w:p>
    <w:p w:rsidR="00D10CBC" w:rsidRDefault="00BC383A">
      <w:pPr>
        <w:pStyle w:val="ManualNumPar1"/>
        <w:rPr>
          <w:noProof/>
          <w:lang w:eastAsia="en-IE"/>
        </w:rPr>
      </w:pPr>
      <w:r>
        <w:t>2.</w:t>
      </w:r>
      <w:r>
        <w:tab/>
      </w:r>
      <w:r>
        <w:rPr>
          <w:noProof/>
          <w:lang w:eastAsia="en-IE"/>
        </w:rPr>
        <w:t>Where that assessment concludes that it is appropriate that the activation of the emergency framewor</w:t>
      </w:r>
      <w:r>
        <w:rPr>
          <w:noProof/>
          <w:lang w:eastAsia="en-IE"/>
        </w:rPr>
        <w:t xml:space="preserve">k is prolonged, the Commission may propose the prolongation to the Council. The prolongation shall not exceed 6 months. The Council may </w:t>
      </w:r>
      <w:r>
        <w:rPr>
          <w:noProof/>
          <w:lang w:eastAsia="en-IE"/>
        </w:rPr>
        <w:lastRenderedPageBreak/>
        <w:t>repeatedly decide to prolong the activation of the emergency framework where that is appropriate to the economic situati</w:t>
      </w:r>
      <w:r>
        <w:rPr>
          <w:noProof/>
          <w:lang w:eastAsia="en-IE"/>
        </w:rPr>
        <w:t xml:space="preserve">on. </w:t>
      </w:r>
    </w:p>
    <w:p w:rsidR="00D10CBC" w:rsidRDefault="00BC383A">
      <w:pPr>
        <w:pStyle w:val="ManualNumPar1"/>
        <w:rPr>
          <w:noProof/>
          <w:lang w:eastAsia="en-IE"/>
        </w:rPr>
      </w:pPr>
      <w:r>
        <w:t>3.</w:t>
      </w:r>
      <w:r>
        <w:tab/>
      </w:r>
      <w:r>
        <w:rPr>
          <w:noProof/>
          <w:lang w:eastAsia="en-IE"/>
        </w:rPr>
        <w:t xml:space="preserve">The Commission may propose to the Council to adopt a regulation activating additional measures set out in Articles 5 to 11 and 13 in addition to those measures that it had already activated, where that is appropriate to the economic situation. </w:t>
      </w:r>
    </w:p>
    <w:p w:rsidR="00D10CBC" w:rsidRDefault="00BC383A">
      <w:pPr>
        <w:pStyle w:val="ManualNumPar1"/>
        <w:rPr>
          <w:noProof/>
          <w:lang w:eastAsia="en-IE"/>
        </w:rPr>
      </w:pPr>
      <w:r>
        <w:t>4.</w:t>
      </w:r>
      <w:r>
        <w:tab/>
      </w:r>
      <w:r>
        <w:rPr>
          <w:noProof/>
          <w:lang w:eastAsia="en-IE"/>
        </w:rPr>
        <w:t xml:space="preserve">Upon expiry of the duration for which the emergency framework is activated, </w:t>
      </w:r>
      <w:r>
        <w:rPr>
          <w:noProof/>
        </w:rPr>
        <w:t>the</w:t>
      </w:r>
      <w:r>
        <w:rPr>
          <w:noProof/>
          <w:lang w:eastAsia="en-IE"/>
        </w:rPr>
        <w:t xml:space="preserve"> measures taken in accordance with Articles 5 to 11 and 13 shall cease to apply</w:t>
      </w:r>
      <w:r>
        <w:rPr>
          <w:noProof/>
        </w:rPr>
        <w:t xml:space="preserve"> in so far as they had been activated</w:t>
      </w:r>
      <w:r>
        <w:rPr>
          <w:noProof/>
          <w:lang w:eastAsia="en-IE"/>
        </w:rPr>
        <w:t xml:space="preserve"> by the Council.</w:t>
      </w:r>
    </w:p>
    <w:p w:rsidR="00D10CBC" w:rsidRDefault="00BC383A">
      <w:pPr>
        <w:pStyle w:val="Titrearticle"/>
        <w:spacing w:after="0"/>
        <w:rPr>
          <w:i w:val="0"/>
          <w:noProof/>
        </w:rPr>
      </w:pPr>
      <w:r>
        <w:rPr>
          <w:noProof/>
        </w:rPr>
        <w:t xml:space="preserve">Article 5 </w:t>
      </w:r>
    </w:p>
    <w:p w:rsidR="00D10CBC" w:rsidRDefault="00BC383A">
      <w:pPr>
        <w:jc w:val="center"/>
        <w:rPr>
          <w:b/>
          <w:i/>
          <w:noProof/>
        </w:rPr>
      </w:pPr>
      <w:r>
        <w:rPr>
          <w:b/>
          <w:noProof/>
        </w:rPr>
        <w:t>Establishment of the Health Crisi</w:t>
      </w:r>
      <w:r>
        <w:rPr>
          <w:b/>
          <w:noProof/>
        </w:rPr>
        <w:t xml:space="preserve">s Board </w:t>
      </w:r>
    </w:p>
    <w:p w:rsidR="00D10CBC" w:rsidRDefault="00BC383A">
      <w:pPr>
        <w:pStyle w:val="ManualNumPar1"/>
        <w:rPr>
          <w:noProof/>
        </w:rPr>
      </w:pPr>
      <w:r>
        <w:t>1.</w:t>
      </w:r>
      <w:r>
        <w:tab/>
      </w:r>
      <w:r>
        <w:rPr>
          <w:noProof/>
        </w:rPr>
        <w:t>Where this measure is activated, the Health Crisis Board shall be set up. It shall ensure coordination of action by the Council, the Commission, the relevant Union agencies and bodies, and Member States to ensure the supply of and access to med</w:t>
      </w:r>
      <w:r>
        <w:rPr>
          <w:noProof/>
        </w:rPr>
        <w:t>ical countermeasures.</w:t>
      </w:r>
    </w:p>
    <w:p w:rsidR="00D10CBC" w:rsidRDefault="00BC383A">
      <w:pPr>
        <w:pStyle w:val="Text1"/>
        <w:rPr>
          <w:noProof/>
        </w:rPr>
      </w:pPr>
      <w:r>
        <w:rPr>
          <w:noProof/>
        </w:rPr>
        <w:t xml:space="preserve">The coordination shall, in particular, be aimed at supporting the Commission in the preparation of measures to be taken pursuant to Articles 6 to 11 and 13. </w:t>
      </w:r>
    </w:p>
    <w:p w:rsidR="00D10CBC" w:rsidRDefault="00BC383A">
      <w:pPr>
        <w:pStyle w:val="ManualNumPar1"/>
        <w:rPr>
          <w:noProof/>
        </w:rPr>
      </w:pPr>
      <w:r>
        <w:t>2.</w:t>
      </w:r>
      <w:r>
        <w:tab/>
      </w:r>
      <w:r>
        <w:rPr>
          <w:noProof/>
        </w:rPr>
        <w:t>The Health Crisis Board shall be composed of the Commission and one repre</w:t>
      </w:r>
      <w:r>
        <w:rPr>
          <w:noProof/>
        </w:rPr>
        <w:t xml:space="preserve">sentative from each Member State. The Commission shall be represented by its President, the Member of the Commission in charge  of Health and other Members of the Commission as appropriate. </w:t>
      </w:r>
    </w:p>
    <w:p w:rsidR="00D10CBC" w:rsidRDefault="00BC383A">
      <w:pPr>
        <w:pStyle w:val="Text1"/>
        <w:rPr>
          <w:i/>
          <w:noProof/>
        </w:rPr>
      </w:pPr>
      <w:r>
        <w:rPr>
          <w:noProof/>
        </w:rPr>
        <w:t>The Commission shall ensure the participation of all relevant Uni</w:t>
      </w:r>
      <w:r>
        <w:rPr>
          <w:noProof/>
        </w:rPr>
        <w:t xml:space="preserve">on institutions and bodies, including the </w:t>
      </w:r>
      <w:r>
        <w:rPr>
          <w:noProof/>
          <w:szCs w:val="24"/>
        </w:rPr>
        <w:t xml:space="preserve">European Medicines Agency, the European Centre for Disease Prevention and Control, and the Advisory Committee on public health emergencies established under </w:t>
      </w:r>
      <w:r>
        <w:rPr>
          <w:noProof/>
        </w:rPr>
        <w:t>Regulation (EU) …/… [the SCBTH Regulation] as observers t</w:t>
      </w:r>
      <w:r>
        <w:rPr>
          <w:noProof/>
        </w:rPr>
        <w:t>o the Health Crisis Board</w:t>
      </w:r>
      <w:r>
        <w:rPr>
          <w:i/>
          <w:noProof/>
        </w:rPr>
        <w:t xml:space="preserve">. </w:t>
      </w:r>
      <w:r>
        <w:rPr>
          <w:noProof/>
        </w:rPr>
        <w:t>The Commission shall invite a representative from the European Parliament and a member of the Health Security Committee as observers to the Health Crisis Board.</w:t>
      </w:r>
      <w:r>
        <w:rPr>
          <w:i/>
          <w:noProof/>
        </w:rPr>
        <w:t xml:space="preserve"> </w:t>
      </w:r>
    </w:p>
    <w:p w:rsidR="00D10CBC" w:rsidRDefault="00BC383A">
      <w:pPr>
        <w:pStyle w:val="Text1"/>
        <w:rPr>
          <w:noProof/>
        </w:rPr>
      </w:pPr>
      <w:r>
        <w:rPr>
          <w:noProof/>
        </w:rPr>
        <w:t xml:space="preserve">Each Member State shall nominate one senior representative and one </w:t>
      </w:r>
      <w:r>
        <w:rPr>
          <w:noProof/>
        </w:rPr>
        <w:t xml:space="preserve">alternate representative to the Health Crisis Board. </w:t>
      </w:r>
    </w:p>
    <w:p w:rsidR="00D10CBC" w:rsidRDefault="00BC383A">
      <w:pPr>
        <w:pStyle w:val="ManualNumPar1"/>
        <w:rPr>
          <w:noProof/>
        </w:rPr>
      </w:pPr>
      <w:r>
        <w:t>3.</w:t>
      </w:r>
      <w:r>
        <w:tab/>
      </w:r>
      <w:r>
        <w:rPr>
          <w:noProof/>
        </w:rPr>
        <w:t>The Health Crisis Board shall ensure coordination and information exchange with the structures established under:</w:t>
      </w:r>
    </w:p>
    <w:p w:rsidR="00D10CBC" w:rsidRDefault="00BC383A">
      <w:pPr>
        <w:pStyle w:val="Point1"/>
        <w:rPr>
          <w:noProof/>
        </w:rPr>
      </w:pPr>
      <w:r>
        <w:rPr>
          <w:noProof/>
        </w:rPr>
        <w:t>(a)</w:t>
      </w:r>
      <w:r>
        <w:rPr>
          <w:noProof/>
        </w:rPr>
        <w:tab/>
        <w:t>Regulation (EU) …/… [the EMA Regulation]</w:t>
      </w:r>
      <w:r>
        <w:rPr>
          <w:i/>
          <w:noProof/>
        </w:rPr>
        <w:t xml:space="preserve"> </w:t>
      </w:r>
      <w:r>
        <w:rPr>
          <w:noProof/>
        </w:rPr>
        <w:t>during the period of the public health e</w:t>
      </w:r>
      <w:r>
        <w:rPr>
          <w:noProof/>
        </w:rPr>
        <w:t xml:space="preserve">mergency, related to medicinal products and medical devices; </w:t>
      </w:r>
    </w:p>
    <w:p w:rsidR="00D10CBC" w:rsidRDefault="00BC383A">
      <w:pPr>
        <w:pStyle w:val="Point1"/>
        <w:rPr>
          <w:noProof/>
        </w:rPr>
      </w:pPr>
      <w:r>
        <w:rPr>
          <w:noProof/>
        </w:rPr>
        <w:t>(b)</w:t>
      </w:r>
      <w:r>
        <w:rPr>
          <w:noProof/>
        </w:rPr>
        <w:tab/>
        <w:t>Regulation (EU) …/… [the SCBTH Regulation];</w:t>
      </w:r>
      <w:r>
        <w:rPr>
          <w:i/>
          <w:noProof/>
        </w:rPr>
        <w:t xml:space="preserve"> </w:t>
      </w:r>
    </w:p>
    <w:p w:rsidR="00D10CBC" w:rsidRDefault="00BC383A">
      <w:pPr>
        <w:pStyle w:val="Point1"/>
        <w:rPr>
          <w:noProof/>
        </w:rPr>
      </w:pPr>
      <w:r>
        <w:rPr>
          <w:noProof/>
        </w:rPr>
        <w:t>(c)</w:t>
      </w:r>
      <w:r>
        <w:rPr>
          <w:noProof/>
        </w:rPr>
        <w:tab/>
        <w:t>Decision No 1313/2013/EU and in particular the Emergency Response Coordination Centre for the purpose of bridging operational gaps in accessi</w:t>
      </w:r>
      <w:r>
        <w:rPr>
          <w:noProof/>
        </w:rPr>
        <w:t>ng medical countermeasures and raw materials and ensuring, where necessary, corresponding on-site monitoring and coordination tasks.</w:t>
      </w:r>
    </w:p>
    <w:p w:rsidR="00D10CBC" w:rsidRDefault="00BC383A">
      <w:pPr>
        <w:pStyle w:val="ManualNumPar1"/>
        <w:rPr>
          <w:noProof/>
        </w:rPr>
      </w:pPr>
      <w:r>
        <w:t>4.</w:t>
      </w:r>
      <w:r>
        <w:tab/>
      </w:r>
      <w:r>
        <w:rPr>
          <w:noProof/>
        </w:rPr>
        <w:t>The Commission may invite experts with specific expertise, including representatives of Union agencies and bodies, natio</w:t>
      </w:r>
      <w:r>
        <w:rPr>
          <w:noProof/>
        </w:rPr>
        <w:t>nal authorities including central purchasing bodies and health care organisations or associations, international organisations, experts from the private sector as well as other stakeholders, with respect to a subject matter on the agenda, to take part in t</w:t>
      </w:r>
      <w:r>
        <w:rPr>
          <w:noProof/>
        </w:rPr>
        <w:t xml:space="preserve">he work of the Health Crisis Board or sub-groups on an ad hoc basis. </w:t>
      </w:r>
    </w:p>
    <w:p w:rsidR="00D10CBC" w:rsidRDefault="00BC383A">
      <w:pPr>
        <w:pStyle w:val="ManualNumPar1"/>
        <w:rPr>
          <w:noProof/>
        </w:rPr>
      </w:pPr>
      <w:r>
        <w:lastRenderedPageBreak/>
        <w:t>5.</w:t>
      </w:r>
      <w:r>
        <w:tab/>
      </w:r>
      <w:r>
        <w:rPr>
          <w:noProof/>
        </w:rPr>
        <w:t>The Health Crisis Board shall meet whenever the situation requires, upon request from the Commission or a Member State.</w:t>
      </w:r>
    </w:p>
    <w:p w:rsidR="00D10CBC" w:rsidRDefault="00BC383A">
      <w:pPr>
        <w:pStyle w:val="ManualNumPar1"/>
        <w:rPr>
          <w:noProof/>
        </w:rPr>
      </w:pPr>
      <w:r>
        <w:t>6.</w:t>
      </w:r>
      <w:r>
        <w:tab/>
      </w:r>
      <w:r>
        <w:rPr>
          <w:noProof/>
        </w:rPr>
        <w:t xml:space="preserve">The Health Crisis Board shall be chaired by the Commission. </w:t>
      </w:r>
    </w:p>
    <w:p w:rsidR="00D10CBC" w:rsidRDefault="00BC383A">
      <w:pPr>
        <w:pStyle w:val="ManualNumPar1"/>
        <w:rPr>
          <w:noProof/>
        </w:rPr>
      </w:pPr>
      <w:r>
        <w:t>7.</w:t>
      </w:r>
      <w:r>
        <w:tab/>
      </w:r>
      <w:r>
        <w:rPr>
          <w:noProof/>
        </w:rPr>
        <w:t>The Secretariat of the Health Crisis Board shall be provided by the Commission.</w:t>
      </w:r>
    </w:p>
    <w:p w:rsidR="00D10CBC" w:rsidRDefault="00BC383A">
      <w:pPr>
        <w:pStyle w:val="ManualNumPar1"/>
        <w:rPr>
          <w:noProof/>
        </w:rPr>
      </w:pPr>
      <w:r>
        <w:t>8.</w:t>
      </w:r>
      <w:r>
        <w:tab/>
      </w:r>
      <w:r>
        <w:rPr>
          <w:noProof/>
        </w:rPr>
        <w:t>The Commission may set up working groups to support the Health Crisis Board in its work for the purpose of examining specific questions on the basis of the tasks defined</w:t>
      </w:r>
      <w:r>
        <w:rPr>
          <w:noProof/>
        </w:rPr>
        <w:t xml:space="preserve"> in paragraph 1.</w:t>
      </w:r>
    </w:p>
    <w:p w:rsidR="00D10CBC" w:rsidRDefault="00BC383A">
      <w:pPr>
        <w:pStyle w:val="Titrearticle"/>
        <w:spacing w:after="0"/>
        <w:rPr>
          <w:i w:val="0"/>
          <w:noProof/>
        </w:rPr>
      </w:pPr>
      <w:r>
        <w:rPr>
          <w:noProof/>
        </w:rPr>
        <w:t>Article 6</w:t>
      </w:r>
    </w:p>
    <w:p w:rsidR="00D10CBC" w:rsidRDefault="00BC383A">
      <w:pPr>
        <w:jc w:val="center"/>
        <w:rPr>
          <w:b/>
          <w:noProof/>
          <w:szCs w:val="24"/>
        </w:rPr>
      </w:pPr>
      <w:r>
        <w:rPr>
          <w:b/>
          <w:noProof/>
          <w:szCs w:val="24"/>
        </w:rPr>
        <w:t>Mechanism for monitoring crisis-relevant medical countermeasures</w:t>
      </w:r>
    </w:p>
    <w:p w:rsidR="00D10CBC" w:rsidRDefault="00BC383A">
      <w:pPr>
        <w:pStyle w:val="Point0"/>
        <w:rPr>
          <w:noProof/>
        </w:rPr>
      </w:pPr>
      <w:r>
        <w:rPr>
          <w:noProof/>
        </w:rPr>
        <w:t>1.</w:t>
      </w:r>
      <w:r>
        <w:rPr>
          <w:noProof/>
        </w:rPr>
        <w:tab/>
      </w:r>
      <w:r>
        <w:rPr>
          <w:noProof/>
        </w:rPr>
        <w:t xml:space="preserve">Where this measure is activated, the Commission shall, after seeking the advice of the Health Crisis Board, draw up and regularly update a list of crisis-relevant medical countermeasures and raw materials, as well as a template for monitoring their supply </w:t>
      </w:r>
      <w:r>
        <w:rPr>
          <w:noProof/>
        </w:rPr>
        <w:t xml:space="preserve">and demand, including production capacity, stockpiles, possible critical aspects or the risk of disruption in the supply chains and purchasing agreements. </w:t>
      </w:r>
    </w:p>
    <w:p w:rsidR="00D10CBC" w:rsidRDefault="00BC383A">
      <w:pPr>
        <w:pStyle w:val="Point0"/>
        <w:rPr>
          <w:noProof/>
        </w:rPr>
      </w:pPr>
      <w:r>
        <w:rPr>
          <w:noProof/>
        </w:rPr>
        <w:t>2.</w:t>
      </w:r>
      <w:r>
        <w:rPr>
          <w:noProof/>
        </w:rPr>
        <w:tab/>
        <w:t>The list referred to in paragraph 1 shall include a shortlist of specific crisis-relevant medical</w:t>
      </w:r>
      <w:r>
        <w:rPr>
          <w:noProof/>
        </w:rPr>
        <w:t xml:space="preserve"> countermeasures and raw materials for the preparation of measures to be taken in accordance with this article and Articles 7 to 11 and 13, taking into account the information obtained pursuant to: </w:t>
      </w:r>
    </w:p>
    <w:p w:rsidR="00D10CBC" w:rsidRDefault="00BC383A">
      <w:pPr>
        <w:pStyle w:val="Point1"/>
        <w:rPr>
          <w:rFonts w:eastAsia="Times New Roman"/>
          <w:noProof/>
          <w:szCs w:val="24"/>
          <w:lang w:eastAsia="en-IE"/>
        </w:rPr>
      </w:pPr>
      <w:r>
        <w:rPr>
          <w:noProof/>
        </w:rPr>
        <w:t>(a)</w:t>
      </w:r>
      <w:r>
        <w:rPr>
          <w:noProof/>
        </w:rPr>
        <w:tab/>
        <w:t>Regulation (EU) …/… [the EMA Regulation] and in parti</w:t>
      </w:r>
      <w:r>
        <w:rPr>
          <w:noProof/>
        </w:rPr>
        <w:t xml:space="preserve">cular Articles XX </w:t>
      </w:r>
      <w:r>
        <w:rPr>
          <w:i/>
          <w:noProof/>
        </w:rPr>
        <w:t>[Article numbers to be confirmed after adoption]</w:t>
      </w:r>
      <w:r>
        <w:rPr>
          <w:noProof/>
        </w:rPr>
        <w:t xml:space="preserve"> thereof, concerning the monitoring and mitigating shortages of critical medicinal products, medical devices and </w:t>
      </w:r>
      <w:r>
        <w:rPr>
          <w:i/>
          <w:noProof/>
        </w:rPr>
        <w:t>in vitro</w:t>
      </w:r>
      <w:r>
        <w:rPr>
          <w:noProof/>
        </w:rPr>
        <w:t xml:space="preserve"> diagnostic medical devices; </w:t>
      </w:r>
    </w:p>
    <w:p w:rsidR="00D10CBC" w:rsidRDefault="00BC383A">
      <w:pPr>
        <w:pStyle w:val="Point1"/>
        <w:rPr>
          <w:noProof/>
        </w:rPr>
      </w:pPr>
      <w:r>
        <w:rPr>
          <w:noProof/>
        </w:rPr>
        <w:t>(b)</w:t>
      </w:r>
      <w:r>
        <w:rPr>
          <w:noProof/>
        </w:rPr>
        <w:tab/>
        <w:t>Regulation (EU) …/… [the ECDC Regul</w:t>
      </w:r>
      <w:r>
        <w:rPr>
          <w:noProof/>
        </w:rPr>
        <w:t>ation], and in particular Article 3, point (e), thereof, concerning available indicators of Member States’ capacity regarding health services necessary to the management and response to communicable disease threats.</w:t>
      </w:r>
    </w:p>
    <w:p w:rsidR="00D10CBC" w:rsidRDefault="00BC383A">
      <w:pPr>
        <w:pStyle w:val="Point0"/>
        <w:rPr>
          <w:noProof/>
          <w:szCs w:val="24"/>
        </w:rPr>
      </w:pPr>
      <w:r>
        <w:rPr>
          <w:noProof/>
        </w:rPr>
        <w:t>3.</w:t>
      </w:r>
      <w:r>
        <w:rPr>
          <w:noProof/>
        </w:rPr>
        <w:tab/>
      </w:r>
      <w:r>
        <w:rPr>
          <w:noProof/>
          <w:szCs w:val="24"/>
        </w:rPr>
        <w:t>Member States shall provide the Commi</w:t>
      </w:r>
      <w:r>
        <w:rPr>
          <w:noProof/>
          <w:szCs w:val="24"/>
        </w:rPr>
        <w:t xml:space="preserve">ssion with information based on the monitoring template referred to in paragraph 1. </w:t>
      </w:r>
    </w:p>
    <w:p w:rsidR="00D10CBC" w:rsidRDefault="00BC383A">
      <w:pPr>
        <w:pStyle w:val="Point0"/>
        <w:rPr>
          <w:noProof/>
        </w:rPr>
      </w:pPr>
      <w:r>
        <w:rPr>
          <w:noProof/>
          <w:szCs w:val="24"/>
        </w:rPr>
        <w:t>4.</w:t>
      </w:r>
      <w:r>
        <w:rPr>
          <w:noProof/>
          <w:szCs w:val="24"/>
        </w:rPr>
        <w:tab/>
      </w:r>
      <w:r>
        <w:rPr>
          <w:noProof/>
        </w:rPr>
        <w:t>Where a Member State intends to adopt measures for the procurement, purchase or manufacturing of crisis-relevant medical countermeasures or raw materials, it shall info</w:t>
      </w:r>
      <w:r>
        <w:rPr>
          <w:noProof/>
        </w:rPr>
        <w:t>rm and consult the Health Crisis Board.</w:t>
      </w:r>
    </w:p>
    <w:p w:rsidR="00D10CBC" w:rsidRDefault="00BC383A">
      <w:pPr>
        <w:pStyle w:val="Point0"/>
        <w:rPr>
          <w:i/>
          <w:noProof/>
        </w:rPr>
      </w:pPr>
      <w:r>
        <w:rPr>
          <w:noProof/>
          <w:szCs w:val="24"/>
        </w:rPr>
        <w:t>5.</w:t>
      </w:r>
      <w:r>
        <w:rPr>
          <w:noProof/>
          <w:szCs w:val="24"/>
        </w:rPr>
        <w:tab/>
        <w:t xml:space="preserve">Upon request of the Commission, EMA shall provide it with information with regard to monitoring of medicinal products, medical devices and </w:t>
      </w:r>
      <w:r>
        <w:rPr>
          <w:i/>
          <w:noProof/>
        </w:rPr>
        <w:t>in vitro</w:t>
      </w:r>
      <w:r>
        <w:rPr>
          <w:noProof/>
        </w:rPr>
        <w:t xml:space="preserve"> diagnostic medical devices</w:t>
      </w:r>
      <w:r>
        <w:rPr>
          <w:noProof/>
          <w:szCs w:val="24"/>
        </w:rPr>
        <w:t>, including their demand and supply, in</w:t>
      </w:r>
      <w:r>
        <w:rPr>
          <w:noProof/>
          <w:szCs w:val="24"/>
        </w:rPr>
        <w:t xml:space="preserve"> accordance with </w:t>
      </w:r>
      <w:r>
        <w:rPr>
          <w:noProof/>
        </w:rPr>
        <w:t xml:space="preserve">Articles XX </w:t>
      </w:r>
      <w:r>
        <w:rPr>
          <w:i/>
          <w:noProof/>
        </w:rPr>
        <w:t>[Article numbers to be confirmed after adoption]</w:t>
      </w:r>
      <w:r>
        <w:rPr>
          <w:noProof/>
        </w:rPr>
        <w:t xml:space="preserve"> of </w:t>
      </w:r>
      <w:r>
        <w:rPr>
          <w:rFonts w:eastAsia="Times New Roman"/>
          <w:noProof/>
          <w:szCs w:val="24"/>
          <w:lang w:eastAsia="en-IE"/>
        </w:rPr>
        <w:t xml:space="preserve">Regulation </w:t>
      </w:r>
      <w:r>
        <w:rPr>
          <w:noProof/>
        </w:rPr>
        <w:t>(EU) …/… [the EMA Regulation].</w:t>
      </w:r>
    </w:p>
    <w:p w:rsidR="00D10CBC" w:rsidRDefault="00BC383A">
      <w:pPr>
        <w:pStyle w:val="Point0"/>
        <w:rPr>
          <w:i/>
          <w:noProof/>
        </w:rPr>
      </w:pPr>
      <w:r>
        <w:rPr>
          <w:noProof/>
        </w:rPr>
        <w:t>6</w:t>
      </w:r>
      <w:r>
        <w:rPr>
          <w:i/>
          <w:noProof/>
        </w:rPr>
        <w:t>.</w:t>
      </w:r>
      <w:r>
        <w:rPr>
          <w:i/>
          <w:noProof/>
        </w:rPr>
        <w:tab/>
      </w:r>
      <w:r>
        <w:rPr>
          <w:noProof/>
          <w:szCs w:val="24"/>
        </w:rPr>
        <w:t xml:space="preserve">The Commission shall gather information through a secured IT system and monitor all relevant information concerning </w:t>
      </w:r>
      <w:r>
        <w:rPr>
          <w:noProof/>
        </w:rPr>
        <w:t xml:space="preserve">the supply and demand of crisis-relevant medical countermeasures and raw materials </w:t>
      </w:r>
      <w:r>
        <w:rPr>
          <w:noProof/>
          <w:szCs w:val="24"/>
        </w:rPr>
        <w:t xml:space="preserve">within and outside the Union. The interoperability of the IT system with the electronic monitoring and reporting systems developed by EMA pursuant to Article 9, point (c), </w:t>
      </w:r>
      <w:r>
        <w:rPr>
          <w:i/>
          <w:noProof/>
        </w:rPr>
        <w:t>[</w:t>
      </w:r>
      <w:r>
        <w:rPr>
          <w:i/>
          <w:noProof/>
        </w:rPr>
        <w:t>Article numbers to be confirmed after adoption]</w:t>
      </w:r>
      <w:r>
        <w:rPr>
          <w:noProof/>
          <w:szCs w:val="24"/>
        </w:rPr>
        <w:t xml:space="preserve">, of </w:t>
      </w:r>
      <w:r>
        <w:rPr>
          <w:noProof/>
        </w:rPr>
        <w:t>Regulation (EU) …/… [the EMA Regulation]</w:t>
      </w:r>
      <w:r>
        <w:rPr>
          <w:i/>
          <w:noProof/>
        </w:rPr>
        <w:t xml:space="preserve"> </w:t>
      </w:r>
      <w:r>
        <w:rPr>
          <w:noProof/>
        </w:rPr>
        <w:t>shall be ensured by the Commission when necessary.</w:t>
      </w:r>
      <w:r>
        <w:rPr>
          <w:i/>
          <w:noProof/>
        </w:rPr>
        <w:t xml:space="preserve"> </w:t>
      </w:r>
    </w:p>
    <w:p w:rsidR="00D10CBC" w:rsidRDefault="00BC383A">
      <w:pPr>
        <w:pStyle w:val="Point0"/>
        <w:rPr>
          <w:noProof/>
          <w:szCs w:val="24"/>
        </w:rPr>
      </w:pPr>
      <w:r>
        <w:rPr>
          <w:noProof/>
          <w:szCs w:val="24"/>
        </w:rPr>
        <w:lastRenderedPageBreak/>
        <w:t>7.</w:t>
      </w:r>
      <w:r>
        <w:rPr>
          <w:noProof/>
          <w:szCs w:val="24"/>
        </w:rPr>
        <w:tab/>
        <w:t>The Commission shall provide information on the results of the monitoring of crisis-relevant medical counter</w:t>
      </w:r>
      <w:r>
        <w:rPr>
          <w:noProof/>
          <w:szCs w:val="24"/>
        </w:rPr>
        <w:t>measures and raw materials to the European Parliament and the Council through the Integrated Political Crisis Response provided for in Council Implementing Decision (EU) 2018/1993</w:t>
      </w:r>
      <w:r>
        <w:rPr>
          <w:rStyle w:val="FootnoteReference"/>
          <w:noProof/>
          <w:szCs w:val="24"/>
        </w:rPr>
        <w:footnoteReference w:id="32"/>
      </w:r>
      <w:r>
        <w:rPr>
          <w:noProof/>
          <w:szCs w:val="24"/>
        </w:rPr>
        <w:t>.</w:t>
      </w:r>
    </w:p>
    <w:p w:rsidR="00D10CBC" w:rsidRDefault="00BC383A">
      <w:pPr>
        <w:pStyle w:val="Text1"/>
        <w:rPr>
          <w:noProof/>
        </w:rPr>
      </w:pPr>
      <w:r>
        <w:rPr>
          <w:noProof/>
        </w:rPr>
        <w:t>The Commission shall make available to the European Parliament and the Cou</w:t>
      </w:r>
      <w:r>
        <w:rPr>
          <w:noProof/>
        </w:rPr>
        <w:t xml:space="preserve">ncil through the Integrated Political Crisis Response, modelling and forecasts regarding the needs for crisis-relevant medical countermeasures and raw materials with the support of relevant Union agencies, where appropriate. </w:t>
      </w:r>
    </w:p>
    <w:p w:rsidR="00D10CBC" w:rsidRDefault="00BC383A">
      <w:pPr>
        <w:pStyle w:val="Titrearticle"/>
        <w:spacing w:after="0"/>
        <w:rPr>
          <w:noProof/>
        </w:rPr>
      </w:pPr>
      <w:r>
        <w:rPr>
          <w:noProof/>
        </w:rPr>
        <w:t>Article 7</w:t>
      </w:r>
    </w:p>
    <w:p w:rsidR="00D10CBC" w:rsidRDefault="00BC383A">
      <w:pPr>
        <w:jc w:val="center"/>
        <w:rPr>
          <w:b/>
          <w:i/>
          <w:noProof/>
        </w:rPr>
      </w:pPr>
      <w:r>
        <w:rPr>
          <w:b/>
          <w:noProof/>
        </w:rPr>
        <w:t>Procurement, purchas</w:t>
      </w:r>
      <w:r>
        <w:rPr>
          <w:b/>
          <w:noProof/>
        </w:rPr>
        <w:t xml:space="preserve">e and manufacturing of crisis-relevant medical countermeasures and raw materials </w:t>
      </w:r>
    </w:p>
    <w:p w:rsidR="00D10CBC" w:rsidRDefault="00BC383A">
      <w:pPr>
        <w:pStyle w:val="Point0"/>
        <w:rPr>
          <w:noProof/>
          <w:szCs w:val="24"/>
        </w:rPr>
      </w:pPr>
      <w:r>
        <w:rPr>
          <w:noProof/>
          <w:szCs w:val="24"/>
        </w:rPr>
        <w:t>1.</w:t>
      </w:r>
      <w:r>
        <w:rPr>
          <w:noProof/>
          <w:szCs w:val="24"/>
        </w:rPr>
        <w:tab/>
        <w:t>Where this measure is activated, a negotiating mandate shall be established by the Commission on behalf of Member States that wish to be represented by the Commission (‘pa</w:t>
      </w:r>
      <w:r>
        <w:rPr>
          <w:noProof/>
          <w:szCs w:val="24"/>
        </w:rPr>
        <w:t xml:space="preserve">rticipating Member States’) to act as a central purchasing body for crisis-relevant medical countermeasures through the activation of existing contracts or the negotiation of new contracts using all available instruments, such as </w:t>
      </w:r>
      <w:r>
        <w:rPr>
          <w:noProof/>
        </w:rPr>
        <w:t>Article 4 of Regulation (E</w:t>
      </w:r>
      <w:r>
        <w:rPr>
          <w:noProof/>
        </w:rPr>
        <w:t>U) 2016/369</w:t>
      </w:r>
      <w:r>
        <w:rPr>
          <w:noProof/>
          <w:szCs w:val="24"/>
        </w:rPr>
        <w:t>; the joint procurement procedure referred to in Article 12 of Regulation (EU) …/… [the SCBTH Regulation], or European Innovation Partnerships.</w:t>
      </w:r>
    </w:p>
    <w:p w:rsidR="00D10CBC" w:rsidRDefault="00BC383A">
      <w:pPr>
        <w:pStyle w:val="Point0"/>
        <w:rPr>
          <w:noProof/>
        </w:rPr>
      </w:pPr>
      <w:r>
        <w:rPr>
          <w:noProof/>
        </w:rPr>
        <w:t>2.</w:t>
      </w:r>
      <w:r>
        <w:rPr>
          <w:noProof/>
        </w:rPr>
        <w:tab/>
        <w:t xml:space="preserve">Without prejudice to paragraph 1 above, procurement under this Regulation shall be carried out by </w:t>
      </w:r>
      <w:r>
        <w:rPr>
          <w:noProof/>
        </w:rPr>
        <w:t>the Commission in accordance with the rules set out in Regulation (EU, Euratom) 2018/1046 of the European Parliament and of the Council</w:t>
      </w:r>
      <w:r>
        <w:rPr>
          <w:rStyle w:val="FootnoteReference"/>
          <w:noProof/>
        </w:rPr>
        <w:footnoteReference w:id="33"/>
      </w:r>
      <w:r>
        <w:rPr>
          <w:noProof/>
          <w:szCs w:val="24"/>
        </w:rPr>
        <w:t xml:space="preserve"> for </w:t>
      </w:r>
      <w:r>
        <w:rPr>
          <w:noProof/>
        </w:rPr>
        <w:t>its own procurement. The following simplifications of procurement procedures may be used:</w:t>
      </w:r>
    </w:p>
    <w:p w:rsidR="00D10CBC" w:rsidRDefault="00BC383A">
      <w:pPr>
        <w:pStyle w:val="Point1"/>
        <w:rPr>
          <w:noProof/>
        </w:rPr>
      </w:pPr>
      <w:r>
        <w:rPr>
          <w:noProof/>
        </w:rPr>
        <w:t>(a)</w:t>
      </w:r>
      <w:r>
        <w:rPr>
          <w:noProof/>
        </w:rPr>
        <w:tab/>
        <w:t xml:space="preserve">By way of derogation </w:t>
      </w:r>
      <w:r>
        <w:rPr>
          <w:noProof/>
        </w:rPr>
        <w:t xml:space="preserve">from Article 137 of Regulation (EU, Euratom) 2018/1046, possibility to provide proof or evidence on exclusion and selection criteria after signature of contract provided that a declaration on honour has been submitted in this regard before the award; </w:t>
      </w:r>
    </w:p>
    <w:p w:rsidR="00D10CBC" w:rsidRDefault="00BC383A">
      <w:pPr>
        <w:pStyle w:val="Point1"/>
        <w:rPr>
          <w:noProof/>
        </w:rPr>
      </w:pPr>
      <w:r>
        <w:rPr>
          <w:noProof/>
        </w:rPr>
        <w:t>(b)</w:t>
      </w:r>
      <w:r>
        <w:rPr>
          <w:noProof/>
        </w:rPr>
        <w:tab/>
      </w:r>
      <w:r>
        <w:rPr>
          <w:noProof/>
        </w:rPr>
        <w:t>By way of derogation from Article 172(2) of the Regulation (EU, Euratom) 2018/1046, the Commission may modify the contract, as necessary to adapt to the evolution of the public health emergency;</w:t>
      </w:r>
    </w:p>
    <w:p w:rsidR="00D10CBC" w:rsidRDefault="00BC383A">
      <w:pPr>
        <w:pStyle w:val="Point1"/>
        <w:rPr>
          <w:noProof/>
          <w:szCs w:val="24"/>
        </w:rPr>
      </w:pPr>
      <w:r>
        <w:rPr>
          <w:noProof/>
          <w:szCs w:val="24"/>
        </w:rPr>
        <w:t>(c)</w:t>
      </w:r>
      <w:r>
        <w:rPr>
          <w:noProof/>
          <w:szCs w:val="24"/>
        </w:rPr>
        <w:tab/>
      </w:r>
      <w:r>
        <w:rPr>
          <w:noProof/>
        </w:rPr>
        <w:t xml:space="preserve">By way of derogation from Article 165 of Regulation (EU, </w:t>
      </w:r>
      <w:r>
        <w:rPr>
          <w:noProof/>
        </w:rPr>
        <w:t>Euratom) 2018/1046, possibility to add contracting authorities, not identified in procurement documents, after the signature of the contract</w:t>
      </w:r>
      <w:r>
        <w:rPr>
          <w:noProof/>
          <w:szCs w:val="24"/>
        </w:rPr>
        <w:t>;</w:t>
      </w:r>
    </w:p>
    <w:p w:rsidR="00D10CBC" w:rsidRDefault="00BC383A">
      <w:pPr>
        <w:pStyle w:val="Point1"/>
        <w:rPr>
          <w:noProof/>
        </w:rPr>
      </w:pPr>
      <w:r>
        <w:rPr>
          <w:noProof/>
          <w:szCs w:val="24"/>
        </w:rPr>
        <w:t>(d)</w:t>
      </w:r>
      <w:r>
        <w:rPr>
          <w:noProof/>
          <w:szCs w:val="24"/>
        </w:rPr>
        <w:tab/>
        <w:t>By way of derogation from Article 172(1) of Regulation (EU, Euratom) 2018/1046, the contracting authorities sh</w:t>
      </w:r>
      <w:r>
        <w:rPr>
          <w:noProof/>
          <w:szCs w:val="24"/>
        </w:rPr>
        <w:t xml:space="preserve">all be entitled to request the delivery of goods or services as from the date of sending the draft contracts resulting </w:t>
      </w:r>
      <w:r>
        <w:rPr>
          <w:noProof/>
          <w:szCs w:val="24"/>
        </w:rPr>
        <w:lastRenderedPageBreak/>
        <w:t>from the procurement carried out for the purposes of this Regulation, no later than 24 hours as from the award.</w:t>
      </w:r>
    </w:p>
    <w:p w:rsidR="00D10CBC" w:rsidRDefault="00BC383A">
      <w:pPr>
        <w:pStyle w:val="Point0"/>
        <w:rPr>
          <w:noProof/>
        </w:rPr>
      </w:pPr>
      <w:r>
        <w:rPr>
          <w:noProof/>
        </w:rPr>
        <w:t>3.</w:t>
      </w:r>
      <w:r>
        <w:rPr>
          <w:noProof/>
        </w:rPr>
        <w:tab/>
        <w:t>In line with the negot</w:t>
      </w:r>
      <w:r>
        <w:rPr>
          <w:noProof/>
        </w:rPr>
        <w:t>iating mandate given to it, the Commission may have the ability and responsibility, on behalf of all participating Member States, to enter into purchase agreements with economic operators, including individual producers of crisis-relevant medical counterme</w:t>
      </w:r>
      <w:r>
        <w:rPr>
          <w:noProof/>
        </w:rPr>
        <w:t xml:space="preserve">asures, concerning the purchase of such countermeasures or concerning the advance financing of the production or the development of such countermeasures in exchange for a right to the result. </w:t>
      </w:r>
    </w:p>
    <w:p w:rsidR="00D10CBC" w:rsidRDefault="00BC383A">
      <w:pPr>
        <w:pStyle w:val="Text1"/>
        <w:rPr>
          <w:noProof/>
        </w:rPr>
      </w:pPr>
      <w:r>
        <w:rPr>
          <w:noProof/>
        </w:rPr>
        <w:t>In order to prepare the fulfilment of such tasks, representativ</w:t>
      </w:r>
      <w:r>
        <w:rPr>
          <w:noProof/>
        </w:rPr>
        <w:t>es of the Commission or experts nominated by the Commission may carry out on-site visits at the locations of production facilities of crisis-relevant medical countermeasures.</w:t>
      </w:r>
    </w:p>
    <w:p w:rsidR="00D10CBC" w:rsidRDefault="00BC383A">
      <w:pPr>
        <w:pStyle w:val="Point0"/>
        <w:rPr>
          <w:noProof/>
        </w:rPr>
      </w:pPr>
      <w:r>
        <w:rPr>
          <w:noProof/>
        </w:rPr>
        <w:t>4.</w:t>
      </w:r>
      <w:r>
        <w:rPr>
          <w:noProof/>
        </w:rPr>
        <w:tab/>
        <w:t>The Commission shall have the ability and responsibility to activate the EU-FA</w:t>
      </w:r>
      <w:r>
        <w:rPr>
          <w:noProof/>
        </w:rPr>
        <w:t>B facilities in order to make available reserved surge manufacturing capacities to ensure the delivery of crisis-relevant medical countermeasures and raw materials, corresponding to the agreed quantities and in accordance with the timing of the EU-FAB cont</w:t>
      </w:r>
      <w:r>
        <w:rPr>
          <w:noProof/>
        </w:rPr>
        <w:t xml:space="preserve">racts. Specific procurement procedures for these agreed quantities of crisis-relevant medical countermeasures shall be conducted. </w:t>
      </w:r>
    </w:p>
    <w:p w:rsidR="00D10CBC" w:rsidRDefault="00BC383A">
      <w:pPr>
        <w:pStyle w:val="Point0"/>
        <w:rPr>
          <w:noProof/>
        </w:rPr>
      </w:pPr>
      <w:r>
        <w:rPr>
          <w:noProof/>
        </w:rPr>
        <w:t>5.</w:t>
      </w:r>
      <w:r>
        <w:rPr>
          <w:noProof/>
        </w:rPr>
        <w:tab/>
        <w:t xml:space="preserve">Where the Commission provides financing for the production and/or development of crisis-relevant medical countermeasures, </w:t>
      </w:r>
      <w:r>
        <w:rPr>
          <w:noProof/>
        </w:rPr>
        <w:t>the Commission shall have the right to require the licensing, under fair and reasonable conditions, of intellectual property and know-how pertaining to such countermeasures, if an economic operator abandons their development effort or is unable to ensure t</w:t>
      </w:r>
      <w:r>
        <w:rPr>
          <w:noProof/>
        </w:rPr>
        <w:t>heir sufficient and timely delivery under the terms of the agreement concluded. Further conditions and procedures relating to the exercise of this right may be set out in the specific agreements with economic operators.</w:t>
      </w:r>
    </w:p>
    <w:p w:rsidR="00D10CBC" w:rsidRDefault="00BC383A">
      <w:pPr>
        <w:pStyle w:val="Point0"/>
        <w:rPr>
          <w:noProof/>
        </w:rPr>
      </w:pPr>
      <w:r>
        <w:rPr>
          <w:noProof/>
        </w:rPr>
        <w:t>6.</w:t>
      </w:r>
      <w:r>
        <w:rPr>
          <w:noProof/>
        </w:rPr>
        <w:tab/>
        <w:t>The Commission shall carry out th</w:t>
      </w:r>
      <w:r>
        <w:rPr>
          <w:noProof/>
        </w:rPr>
        <w:t>e procurement procedures and conclude the resulting agreements with economic operators on behalf of the participating Member States. The Commission shall invite Member States participating in the Health Crisis Board set up under Article 5 to nominate repre</w:t>
      </w:r>
      <w:r>
        <w:rPr>
          <w:noProof/>
        </w:rPr>
        <w:t>sentatives to take part in the preparation of the procurement procedures as well as the negotiation of the purchasing agreements. The deployment and use of the crisis-relevant medical countermeasures shall remain the responsibility of the participating Mem</w:t>
      </w:r>
      <w:r>
        <w:rPr>
          <w:noProof/>
        </w:rPr>
        <w:t xml:space="preserve">ber States. </w:t>
      </w:r>
    </w:p>
    <w:p w:rsidR="00D10CBC" w:rsidRDefault="00BC383A">
      <w:pPr>
        <w:pStyle w:val="Titrearticle"/>
        <w:spacing w:after="0"/>
        <w:rPr>
          <w:noProof/>
        </w:rPr>
      </w:pPr>
      <w:r>
        <w:rPr>
          <w:noProof/>
        </w:rPr>
        <w:t>Article 8</w:t>
      </w:r>
    </w:p>
    <w:p w:rsidR="00D10CBC" w:rsidRDefault="00BC383A">
      <w:pPr>
        <w:jc w:val="center"/>
        <w:rPr>
          <w:b/>
          <w:i/>
          <w:noProof/>
        </w:rPr>
      </w:pPr>
      <w:r>
        <w:rPr>
          <w:b/>
          <w:noProof/>
        </w:rPr>
        <w:t>Activation of emergency research and innovation plans and the use of Union-wide clinical trial networks and data-sharing platforms</w:t>
      </w:r>
    </w:p>
    <w:p w:rsidR="00D10CBC" w:rsidRDefault="00BC383A">
      <w:pPr>
        <w:pStyle w:val="Point0"/>
        <w:rPr>
          <w:noProof/>
        </w:rPr>
      </w:pPr>
      <w:r>
        <w:rPr>
          <w:noProof/>
        </w:rPr>
        <w:t>1.</w:t>
      </w:r>
      <w:r>
        <w:rPr>
          <w:noProof/>
        </w:rPr>
        <w:tab/>
        <w:t xml:space="preserve">Where this measure is activated, the Commission and the Member States shall activate the emergency </w:t>
      </w:r>
      <w:r>
        <w:rPr>
          <w:noProof/>
        </w:rPr>
        <w:t>research and innovation aspects of the Union Preparedness and Response Plan referred to in Regulation (EU) …/… [the SCBTH Regulation].</w:t>
      </w:r>
    </w:p>
    <w:p w:rsidR="00D10CBC" w:rsidRDefault="00BC383A">
      <w:pPr>
        <w:pStyle w:val="Point0"/>
        <w:rPr>
          <w:noProof/>
        </w:rPr>
      </w:pPr>
      <w:r>
        <w:rPr>
          <w:noProof/>
        </w:rPr>
        <w:t>2.</w:t>
      </w:r>
      <w:r>
        <w:rPr>
          <w:noProof/>
        </w:rPr>
        <w:tab/>
        <w:t>The Commission shall support access to relevant data from clinical trials, but also to real-world data. If possible, t</w:t>
      </w:r>
      <w:r>
        <w:rPr>
          <w:noProof/>
        </w:rPr>
        <w:t>he Commission shall build upon existing preparedness research initiatives such as Union-wide networks for clinical trials and observational studies, or strategic cohorts, supported by digital platforms and infrastructures, such as high performance computin</w:t>
      </w:r>
      <w:r>
        <w:rPr>
          <w:noProof/>
        </w:rPr>
        <w:t xml:space="preserve">g, enabling the open sharing of findable, accessible, interoperable and reusable (FAIR) data, as well as the activities of the national competent bodies supporting availability and access to data, including health data. </w:t>
      </w:r>
    </w:p>
    <w:p w:rsidR="00D10CBC" w:rsidRDefault="00BC383A">
      <w:pPr>
        <w:pStyle w:val="Point0"/>
        <w:rPr>
          <w:noProof/>
        </w:rPr>
      </w:pPr>
      <w:r>
        <w:rPr>
          <w:noProof/>
        </w:rPr>
        <w:lastRenderedPageBreak/>
        <w:t>3.</w:t>
      </w:r>
      <w:r>
        <w:rPr>
          <w:noProof/>
        </w:rPr>
        <w:tab/>
        <w:t>In setting up actions on clinica</w:t>
      </w:r>
      <w:r>
        <w:rPr>
          <w:noProof/>
        </w:rPr>
        <w:t xml:space="preserve">l trials, the Commission shall involve the EMA Emergency Task force established by </w:t>
      </w:r>
      <w:r>
        <w:rPr>
          <w:rFonts w:eastAsia="Times New Roman"/>
          <w:noProof/>
          <w:szCs w:val="24"/>
          <w:lang w:eastAsia="en-IE"/>
        </w:rPr>
        <w:t xml:space="preserve">Regulation </w:t>
      </w:r>
      <w:r>
        <w:rPr>
          <w:noProof/>
        </w:rPr>
        <w:t>(EU) …/… [the EMA Regulation]</w:t>
      </w:r>
      <w:r>
        <w:rPr>
          <w:i/>
          <w:noProof/>
        </w:rPr>
        <w:t xml:space="preserve"> </w:t>
      </w:r>
      <w:r>
        <w:rPr>
          <w:noProof/>
        </w:rPr>
        <w:t>as well as ensure coordination with ECDC.</w:t>
      </w:r>
    </w:p>
    <w:p w:rsidR="00D10CBC" w:rsidRDefault="00BC383A">
      <w:pPr>
        <w:pStyle w:val="Point0"/>
        <w:rPr>
          <w:noProof/>
        </w:rPr>
      </w:pPr>
      <w:r>
        <w:rPr>
          <w:noProof/>
        </w:rPr>
        <w:t>4.</w:t>
      </w:r>
      <w:r>
        <w:rPr>
          <w:noProof/>
        </w:rPr>
        <w:tab/>
        <w:t>The participation and contribution of the Union in the emergency research and innovatio</w:t>
      </w:r>
      <w:r>
        <w:rPr>
          <w:noProof/>
        </w:rPr>
        <w:t xml:space="preserve">n aspects of the Union Preparedness and Response Plan with the Member States shall be in accordance with the rules and procedures of the various Multiannual Financial Framework programmes. </w:t>
      </w:r>
    </w:p>
    <w:p w:rsidR="00D10CBC" w:rsidRDefault="00BC383A">
      <w:pPr>
        <w:pStyle w:val="Titrearticle"/>
        <w:spacing w:after="0"/>
        <w:rPr>
          <w:noProof/>
        </w:rPr>
      </w:pPr>
      <w:r>
        <w:rPr>
          <w:noProof/>
        </w:rPr>
        <w:t>Article 9</w:t>
      </w:r>
    </w:p>
    <w:p w:rsidR="00D10CBC" w:rsidRDefault="00BC383A">
      <w:pPr>
        <w:jc w:val="center"/>
        <w:rPr>
          <w:b/>
          <w:noProof/>
        </w:rPr>
      </w:pPr>
      <w:r>
        <w:rPr>
          <w:b/>
          <w:noProof/>
        </w:rPr>
        <w:t>Inventory of crisis-relevant medical countermeasures pro</w:t>
      </w:r>
      <w:r>
        <w:rPr>
          <w:b/>
          <w:noProof/>
        </w:rPr>
        <w:t xml:space="preserve">duction and production facilities </w:t>
      </w:r>
    </w:p>
    <w:p w:rsidR="00D10CBC" w:rsidRDefault="00BC383A">
      <w:pPr>
        <w:pStyle w:val="Point0"/>
        <w:rPr>
          <w:noProof/>
        </w:rPr>
      </w:pPr>
      <w:r>
        <w:rPr>
          <w:noProof/>
        </w:rPr>
        <w:t>1.</w:t>
      </w:r>
      <w:r>
        <w:rPr>
          <w:noProof/>
        </w:rPr>
        <w:tab/>
        <w:t>Where this measure is activated, the Commission may, after consulting the Health Crisis Board, establish an inventory, and for this purpose request the producers of crisis-relevant medical countermeasures to inform the</w:t>
      </w:r>
      <w:r>
        <w:rPr>
          <w:noProof/>
        </w:rPr>
        <w:t xml:space="preserve"> Commission within 5 days about the actual total production capacity and possible existing stocks of the crisis-relevant medical countermeasures and components thereof in its Union production facilities and third country facilities which it operates or con</w:t>
      </w:r>
      <w:r>
        <w:rPr>
          <w:noProof/>
        </w:rPr>
        <w:t xml:space="preserve">tracts or purchases supply from, and to transmit to the Commission a schedule of the expected production output for the following 3 months for each Union production facility. </w:t>
      </w:r>
    </w:p>
    <w:p w:rsidR="00D10CBC" w:rsidRDefault="00BC383A">
      <w:pPr>
        <w:pStyle w:val="Point0"/>
        <w:rPr>
          <w:noProof/>
        </w:rPr>
      </w:pPr>
      <w:r>
        <w:rPr>
          <w:noProof/>
        </w:rPr>
        <w:t>2.</w:t>
      </w:r>
      <w:r>
        <w:rPr>
          <w:noProof/>
        </w:rPr>
        <w:tab/>
        <w:t>Upon request of the Commission, each producer of crisis-relevant medical coun</w:t>
      </w:r>
      <w:r>
        <w:rPr>
          <w:noProof/>
        </w:rPr>
        <w:t xml:space="preserve">termeasures shall inform the Commission within a maximum of 5 days about any Union crisis-relevant medical countermeasures production facility it operates, including information on its production capacity as regards crisis-relevant medical countermeasures </w:t>
      </w:r>
      <w:r>
        <w:rPr>
          <w:noProof/>
        </w:rPr>
        <w:t xml:space="preserve">via regular updates. For medicinal products, this information shall comprise facilities related to both finished products as well as active pharmaceutical ingredients. </w:t>
      </w:r>
    </w:p>
    <w:p w:rsidR="00D10CBC" w:rsidRDefault="00BC383A">
      <w:pPr>
        <w:pStyle w:val="Point0"/>
        <w:rPr>
          <w:noProof/>
        </w:rPr>
      </w:pPr>
      <w:r>
        <w:rPr>
          <w:noProof/>
        </w:rPr>
        <w:t>3.</w:t>
      </w:r>
      <w:r>
        <w:rPr>
          <w:noProof/>
        </w:rPr>
        <w:tab/>
        <w:t xml:space="preserve">The Commission shall regularly inform the European Parliament and the Council about </w:t>
      </w:r>
      <w:r>
        <w:rPr>
          <w:noProof/>
        </w:rPr>
        <w:t>the production of crisis-relevant medical countermeasures and the expected production rate within the Union and for supplies from third country facilities whether finished product, intermediates or other components, as well as the capacity of Union and thi</w:t>
      </w:r>
      <w:r>
        <w:rPr>
          <w:noProof/>
        </w:rPr>
        <w:t xml:space="preserve">rd county crisis-relevant medical countermeasures production facilities, while adequately protecting commercially sensitive information of the producers. </w:t>
      </w:r>
    </w:p>
    <w:p w:rsidR="00D10CBC" w:rsidRDefault="00BC383A">
      <w:pPr>
        <w:pStyle w:val="Titrearticle"/>
        <w:spacing w:after="0"/>
        <w:rPr>
          <w:noProof/>
        </w:rPr>
      </w:pPr>
      <w:r>
        <w:rPr>
          <w:noProof/>
        </w:rPr>
        <w:t>Article 10</w:t>
      </w:r>
    </w:p>
    <w:p w:rsidR="00D10CBC" w:rsidRDefault="00BC383A">
      <w:pPr>
        <w:jc w:val="center"/>
        <w:rPr>
          <w:rStyle w:val="Aucun"/>
          <w:i/>
          <w:noProof/>
        </w:rPr>
      </w:pPr>
      <w:r>
        <w:rPr>
          <w:rStyle w:val="Aucun"/>
          <w:b/>
          <w:noProof/>
        </w:rPr>
        <w:t xml:space="preserve">Inventory of crisis-relevant </w:t>
      </w:r>
      <w:r>
        <w:rPr>
          <w:b/>
          <w:noProof/>
        </w:rPr>
        <w:t xml:space="preserve">raw materials, consumables, devices, equipment and infrastructure </w:t>
      </w:r>
    </w:p>
    <w:p w:rsidR="00D10CBC" w:rsidRDefault="00BC383A">
      <w:pPr>
        <w:rPr>
          <w:noProof/>
        </w:rPr>
      </w:pPr>
      <w:r>
        <w:rPr>
          <w:noProof/>
        </w:rPr>
        <w:t>Where this measure is activated, the Commission shall extend the inventory provided for in Article 9 to crisis-relevant relevant raw materials, consumables, devices, equipment and infrastru</w:t>
      </w:r>
      <w:r>
        <w:rPr>
          <w:noProof/>
        </w:rPr>
        <w:t xml:space="preserve">cture, if it considers that there is a </w:t>
      </w:r>
      <w:r>
        <w:rPr>
          <w:rStyle w:val="Aucun"/>
          <w:noProof/>
        </w:rPr>
        <w:t xml:space="preserve">risk of a shortage in supply of crisis-relevant </w:t>
      </w:r>
      <w:r>
        <w:rPr>
          <w:noProof/>
        </w:rPr>
        <w:t>raw materials, consumables, devices, equipment or any problems with infrastructure.</w:t>
      </w:r>
    </w:p>
    <w:p w:rsidR="00D10CBC" w:rsidRDefault="00BC383A">
      <w:pPr>
        <w:pStyle w:val="Titrearticle"/>
        <w:spacing w:after="0"/>
        <w:rPr>
          <w:noProof/>
        </w:rPr>
      </w:pPr>
      <w:r>
        <w:rPr>
          <w:noProof/>
        </w:rPr>
        <w:t>Article 11</w:t>
      </w:r>
    </w:p>
    <w:p w:rsidR="00D10CBC" w:rsidRDefault="00BC383A">
      <w:pPr>
        <w:jc w:val="center"/>
        <w:rPr>
          <w:b/>
          <w:noProof/>
        </w:rPr>
      </w:pPr>
      <w:r>
        <w:rPr>
          <w:b/>
          <w:noProof/>
        </w:rPr>
        <w:t>Measures to ensure the availability and supply of crisis-relevant</w:t>
      </w:r>
      <w:r>
        <w:rPr>
          <w:noProof/>
        </w:rPr>
        <w:t xml:space="preserve"> </w:t>
      </w:r>
      <w:r>
        <w:rPr>
          <w:b/>
          <w:noProof/>
        </w:rPr>
        <w:t xml:space="preserve">medical </w:t>
      </w:r>
      <w:r>
        <w:rPr>
          <w:b/>
          <w:noProof/>
        </w:rPr>
        <w:t>countermeasures</w:t>
      </w:r>
    </w:p>
    <w:p w:rsidR="00D10CBC" w:rsidRDefault="00BC383A">
      <w:pPr>
        <w:pStyle w:val="ManualNumPar1"/>
        <w:rPr>
          <w:noProof/>
        </w:rPr>
      </w:pPr>
      <w:r>
        <w:lastRenderedPageBreak/>
        <w:t>1.</w:t>
      </w:r>
      <w:r>
        <w:tab/>
      </w:r>
      <w:r>
        <w:rPr>
          <w:noProof/>
        </w:rPr>
        <w:t>Where this measure is activated, the Commission shall, when it considers that there is a risk of a shortage of crisis-relevant raw materials, consumables, devices, equipment and infrastructure, implement together with the relevant Member</w:t>
      </w:r>
      <w:r>
        <w:rPr>
          <w:noProof/>
        </w:rPr>
        <w:t xml:space="preserve"> States specific measures to ensure the efficient re-organisation of supply chains and production lines and utilise existing stocks to increase the availability and supply of crisis-relevant medical countermeasures, as quickly as possible. </w:t>
      </w:r>
    </w:p>
    <w:p w:rsidR="00D10CBC" w:rsidRDefault="00BC383A">
      <w:pPr>
        <w:pStyle w:val="ManualNumPar1"/>
        <w:rPr>
          <w:noProof/>
        </w:rPr>
      </w:pPr>
      <w:r>
        <w:t>2.</w:t>
      </w:r>
      <w:r>
        <w:tab/>
      </w:r>
      <w:r>
        <w:rPr>
          <w:noProof/>
        </w:rPr>
        <w:t>In particula</w:t>
      </w:r>
      <w:r>
        <w:rPr>
          <w:noProof/>
        </w:rPr>
        <w:t>r, the measures referred to in paragraph 1 shall include:</w:t>
      </w:r>
    </w:p>
    <w:p w:rsidR="00D10CBC" w:rsidRDefault="00BC383A">
      <w:pPr>
        <w:pStyle w:val="Point1"/>
        <w:rPr>
          <w:noProof/>
        </w:rPr>
      </w:pPr>
      <w:r>
        <w:rPr>
          <w:noProof/>
        </w:rPr>
        <w:t>(a)</w:t>
      </w:r>
      <w:r>
        <w:rPr>
          <w:noProof/>
        </w:rPr>
        <w:tab/>
        <w:t>facilitating the expansion or repurposing of existing or the establishment of new production capacities for crisis-relevant medical countermeasures;</w:t>
      </w:r>
    </w:p>
    <w:p w:rsidR="00D10CBC" w:rsidRDefault="00BC383A">
      <w:pPr>
        <w:pStyle w:val="Point1"/>
        <w:rPr>
          <w:noProof/>
        </w:rPr>
      </w:pPr>
      <w:r>
        <w:rPr>
          <w:noProof/>
        </w:rPr>
        <w:t>(b)</w:t>
      </w:r>
      <w:r>
        <w:rPr>
          <w:noProof/>
        </w:rPr>
        <w:tab/>
        <w:t>facilitating the expansion of existing or</w:t>
      </w:r>
      <w:r>
        <w:rPr>
          <w:noProof/>
        </w:rPr>
        <w:t xml:space="preserve"> the establishment of new capacities related to activities, the introduction of measures ensuring regulatory flexibility, aimed at supporting the production and placing on the market of </w:t>
      </w:r>
      <w:r>
        <w:rPr>
          <w:noProof/>
          <w:szCs w:val="24"/>
        </w:rPr>
        <w:t>crisis-relevant medical countermeasures</w:t>
      </w:r>
      <w:r>
        <w:rPr>
          <w:noProof/>
        </w:rPr>
        <w:t>;</w:t>
      </w:r>
    </w:p>
    <w:p w:rsidR="00D10CBC" w:rsidRDefault="00BC383A">
      <w:pPr>
        <w:pStyle w:val="Point1"/>
        <w:rPr>
          <w:noProof/>
          <w:szCs w:val="24"/>
        </w:rPr>
      </w:pPr>
      <w:r>
        <w:rPr>
          <w:noProof/>
        </w:rPr>
        <w:t>(c)</w:t>
      </w:r>
      <w:r>
        <w:rPr>
          <w:noProof/>
        </w:rPr>
        <w:tab/>
      </w:r>
      <w:r>
        <w:rPr>
          <w:noProof/>
        </w:rPr>
        <w:t xml:space="preserve">implementing procurement initiatives, reserving stockpiles and production capacities to coordinate approaches, and providing critical supply, services and resources for the production of </w:t>
      </w:r>
      <w:r>
        <w:rPr>
          <w:noProof/>
          <w:szCs w:val="24"/>
        </w:rPr>
        <w:t>crisis-relevant medical countermeasures;</w:t>
      </w:r>
    </w:p>
    <w:p w:rsidR="00D10CBC" w:rsidRDefault="00BC383A">
      <w:pPr>
        <w:pStyle w:val="Point1"/>
        <w:rPr>
          <w:noProof/>
        </w:rPr>
      </w:pPr>
      <w:r>
        <w:rPr>
          <w:noProof/>
        </w:rPr>
        <w:t>(d)</w:t>
      </w:r>
      <w:r>
        <w:rPr>
          <w:noProof/>
        </w:rPr>
        <w:tab/>
        <w:t>facilitating the collabo</w:t>
      </w:r>
      <w:r>
        <w:rPr>
          <w:noProof/>
        </w:rPr>
        <w:t xml:space="preserve">ration of relevant companies in a joint industry effort to ensure the availability and supply of </w:t>
      </w:r>
      <w:r>
        <w:rPr>
          <w:noProof/>
          <w:szCs w:val="24"/>
        </w:rPr>
        <w:t>crisis-relevant medical countermeasures</w:t>
      </w:r>
      <w:r>
        <w:rPr>
          <w:noProof/>
        </w:rPr>
        <w:t>; and</w:t>
      </w:r>
    </w:p>
    <w:p w:rsidR="00D10CBC" w:rsidRDefault="00BC383A">
      <w:pPr>
        <w:pStyle w:val="Point1"/>
        <w:rPr>
          <w:noProof/>
        </w:rPr>
      </w:pPr>
      <w:r>
        <w:rPr>
          <w:noProof/>
        </w:rPr>
        <w:t>(e)</w:t>
      </w:r>
      <w:r>
        <w:rPr>
          <w:noProof/>
        </w:rPr>
        <w:tab/>
        <w:t>facilitating the licensing of intellectual property and know-how pertaining to the crisis-relevant medical cou</w:t>
      </w:r>
      <w:r>
        <w:rPr>
          <w:noProof/>
        </w:rPr>
        <w:t>ntermeasures.</w:t>
      </w:r>
    </w:p>
    <w:p w:rsidR="00D10CBC" w:rsidRDefault="00BC383A">
      <w:pPr>
        <w:pStyle w:val="Point0"/>
        <w:rPr>
          <w:noProof/>
        </w:rPr>
      </w:pPr>
      <w:r>
        <w:rPr>
          <w:noProof/>
        </w:rPr>
        <w:t>3.</w:t>
      </w:r>
      <w:r>
        <w:rPr>
          <w:noProof/>
        </w:rPr>
        <w:tab/>
        <w:t xml:space="preserve">The Commission may provide financial incentives necessary to ensure the rapid implementation of the measures referred to in paragraph 2. </w:t>
      </w:r>
    </w:p>
    <w:p w:rsidR="00D10CBC" w:rsidRDefault="00BC383A">
      <w:pPr>
        <w:pStyle w:val="Titrearticle"/>
        <w:spacing w:after="0"/>
        <w:rPr>
          <w:noProof/>
        </w:rPr>
      </w:pPr>
      <w:r>
        <w:rPr>
          <w:noProof/>
        </w:rPr>
        <w:t>Article 12</w:t>
      </w:r>
    </w:p>
    <w:p w:rsidR="00D10CBC" w:rsidRDefault="00BC383A">
      <w:pPr>
        <w:jc w:val="center"/>
        <w:rPr>
          <w:b/>
          <w:i/>
          <w:noProof/>
        </w:rPr>
      </w:pPr>
      <w:r>
        <w:rPr>
          <w:b/>
          <w:noProof/>
        </w:rPr>
        <w:t xml:space="preserve">Review </w:t>
      </w:r>
    </w:p>
    <w:p w:rsidR="00D10CBC" w:rsidRDefault="00BC383A">
      <w:pPr>
        <w:rPr>
          <w:i/>
          <w:noProof/>
        </w:rPr>
      </w:pPr>
      <w:r>
        <w:rPr>
          <w:noProof/>
        </w:rPr>
        <w:t xml:space="preserve">By 2025 at the latest, the Commission shall carry out a review of this Regulation </w:t>
      </w:r>
      <w:r>
        <w:rPr>
          <w:noProof/>
        </w:rPr>
        <w:t xml:space="preserve">and present a report on the main findings of that review to the European Parliament and the Council. </w:t>
      </w:r>
    </w:p>
    <w:p w:rsidR="00D10CBC" w:rsidRDefault="00BC383A">
      <w:pPr>
        <w:pStyle w:val="Titrearticle"/>
        <w:spacing w:after="0"/>
        <w:rPr>
          <w:noProof/>
        </w:rPr>
      </w:pPr>
      <w:r>
        <w:rPr>
          <w:noProof/>
        </w:rPr>
        <w:t>Article 13</w:t>
      </w:r>
    </w:p>
    <w:p w:rsidR="00D10CBC" w:rsidRDefault="00BC383A">
      <w:pPr>
        <w:jc w:val="center"/>
        <w:rPr>
          <w:b/>
          <w:noProof/>
        </w:rPr>
      </w:pPr>
      <w:r>
        <w:rPr>
          <w:b/>
          <w:noProof/>
        </w:rPr>
        <w:t xml:space="preserve">Activation of emergency funding </w:t>
      </w:r>
    </w:p>
    <w:p w:rsidR="00D10CBC" w:rsidRDefault="00BC383A">
      <w:pPr>
        <w:pStyle w:val="Point0"/>
        <w:ind w:left="0" w:firstLine="0"/>
        <w:rPr>
          <w:noProof/>
        </w:rPr>
      </w:pPr>
      <w:r>
        <w:rPr>
          <w:noProof/>
        </w:rPr>
        <w:t>Where this measure is activated, emergency support under Regulation (EU) 2016/369 is activated to finance expe</w:t>
      </w:r>
      <w:r>
        <w:rPr>
          <w:noProof/>
        </w:rPr>
        <w:t xml:space="preserve">nditure necessary to address the public health emergency in accordance with this Regulation. </w:t>
      </w:r>
    </w:p>
    <w:p w:rsidR="00D10CBC" w:rsidRDefault="00BC383A">
      <w:pPr>
        <w:pStyle w:val="Titrearticle"/>
        <w:spacing w:after="0"/>
        <w:rPr>
          <w:noProof/>
        </w:rPr>
      </w:pPr>
      <w:r>
        <w:rPr>
          <w:noProof/>
        </w:rPr>
        <w:t>Article 14</w:t>
      </w:r>
    </w:p>
    <w:p w:rsidR="00D10CBC" w:rsidRDefault="00BC383A">
      <w:pPr>
        <w:jc w:val="center"/>
        <w:rPr>
          <w:b/>
          <w:i/>
          <w:noProof/>
        </w:rPr>
      </w:pPr>
      <w:r>
        <w:rPr>
          <w:b/>
          <w:noProof/>
        </w:rPr>
        <w:t xml:space="preserve">Entry into force </w:t>
      </w:r>
    </w:p>
    <w:p w:rsidR="00D10CBC" w:rsidRDefault="00BC383A">
      <w:pPr>
        <w:rPr>
          <w:rFonts w:eastAsia="Times New Roman"/>
          <w:noProof/>
          <w:szCs w:val="24"/>
          <w:lang w:eastAsia="en-IE"/>
        </w:rPr>
      </w:pPr>
      <w:r>
        <w:rPr>
          <w:noProof/>
        </w:rPr>
        <w:t xml:space="preserve">This Regulation shall enter into force on the twentieth day following that of its publication in the </w:t>
      </w:r>
      <w:r>
        <w:rPr>
          <w:i/>
          <w:noProof/>
        </w:rPr>
        <w:t>Official Journal of the European</w:t>
      </w:r>
      <w:r>
        <w:rPr>
          <w:i/>
          <w:noProof/>
        </w:rPr>
        <w:t xml:space="preserve"> Union</w:t>
      </w:r>
      <w:r>
        <w:rPr>
          <w:noProof/>
        </w:rPr>
        <w:t>.</w:t>
      </w:r>
    </w:p>
    <w:p w:rsidR="00D10CBC" w:rsidRDefault="00BC383A">
      <w:pPr>
        <w:pStyle w:val="Applicationdirecte"/>
        <w:keepNext/>
        <w:keepLines/>
        <w:rPr>
          <w:rFonts w:eastAsia="Calibri"/>
          <w:noProof/>
        </w:rPr>
      </w:pPr>
      <w:r>
        <w:rPr>
          <w:noProof/>
        </w:rPr>
        <w:lastRenderedPageBreak/>
        <w:t>This Regulation shall be binding in its entirety and directly applicable in all Member States.</w:t>
      </w:r>
    </w:p>
    <w:p w:rsidR="00D10CBC" w:rsidRDefault="00BC383A">
      <w:pPr>
        <w:pStyle w:val="Fait"/>
        <w:rPr>
          <w:noProof/>
        </w:rPr>
      </w:pPr>
      <w:r>
        <w:t>Done at Brussels,</w:t>
      </w:r>
    </w:p>
    <w:p w:rsidR="00D10CBC" w:rsidRDefault="00BC383A">
      <w:pPr>
        <w:pStyle w:val="Institutionquisigne"/>
        <w:rPr>
          <w:noProof/>
        </w:rPr>
      </w:pPr>
      <w:r>
        <w:rPr>
          <w:noProof/>
        </w:rPr>
        <w:tab/>
        <w:t>For the Council</w:t>
      </w:r>
    </w:p>
    <w:p w:rsidR="00D10CBC" w:rsidRDefault="00BC383A">
      <w:pPr>
        <w:pStyle w:val="Personnequisigne"/>
        <w:rPr>
          <w:noProof/>
        </w:rPr>
      </w:pPr>
      <w:r>
        <w:rPr>
          <w:noProof/>
        </w:rPr>
        <w:tab/>
        <w:t>The President</w:t>
      </w:r>
    </w:p>
    <w:p w:rsidR="00D10CBC" w:rsidRDefault="00D10CBC">
      <w:pPr>
        <w:rPr>
          <w:noProof/>
        </w:rPr>
        <w:sectPr w:rsidR="00D10CBC" w:rsidSect="00BC383A">
          <w:footerReference w:type="default" r:id="rId18"/>
          <w:footerReference w:type="first" r:id="rId19"/>
          <w:pgSz w:w="11907" w:h="16839"/>
          <w:pgMar w:top="1134" w:right="1417" w:bottom="1134" w:left="1417" w:header="709" w:footer="709" w:gutter="0"/>
          <w:cols w:space="708"/>
          <w:docGrid w:linePitch="360"/>
        </w:sectPr>
      </w:pPr>
    </w:p>
    <w:p w:rsidR="00D10CBC" w:rsidRDefault="00BC383A">
      <w:pPr>
        <w:pStyle w:val="Fichefinanciretitre"/>
        <w:keepNext/>
        <w:rPr>
          <w:noProof/>
        </w:rPr>
      </w:pPr>
      <w:r>
        <w:rPr>
          <w:noProof/>
        </w:rPr>
        <w:lastRenderedPageBreak/>
        <w:t>LEGISLATIVE FINANCIAL STATEMENT</w:t>
      </w:r>
    </w:p>
    <w:p w:rsidR="00D10CBC" w:rsidRDefault="00BC383A">
      <w:pPr>
        <w:pStyle w:val="TOC1"/>
        <w:rPr>
          <w:rFonts w:asciiTheme="minorHAnsi" w:eastAsiaTheme="minorEastAsia" w:hAnsiTheme="minorHAnsi" w:cstheme="minorBidi"/>
          <w:noProof/>
          <w:sz w:val="22"/>
        </w:rPr>
      </w:pPr>
      <w:r>
        <w:rPr>
          <w:b/>
          <w:bCs/>
          <w:noProof/>
        </w:rPr>
        <w:fldChar w:fldCharType="begin"/>
      </w:r>
      <w:r>
        <w:rPr>
          <w:b/>
          <w:bCs/>
          <w:noProof/>
        </w:rPr>
        <w:instrText xml:space="preserve"> TOC \o "1-3" \h \z \u </w:instrText>
      </w:r>
      <w:r>
        <w:rPr>
          <w:b/>
          <w:bCs/>
          <w:noProof/>
        </w:rPr>
        <w:fldChar w:fldCharType="separate"/>
      </w:r>
      <w:hyperlink w:anchor="_Toc520485025" w:history="1">
        <w:r>
          <w:rPr>
            <w:rStyle w:val="Hyperlink"/>
            <w:noProof/>
          </w:rPr>
          <w:t>1.</w:t>
        </w:r>
        <w:r>
          <w:rPr>
            <w:rFonts w:asciiTheme="minorHAnsi" w:eastAsiaTheme="minorEastAsia" w:hAnsiTheme="minorHAnsi" w:cstheme="minorBidi"/>
            <w:noProof/>
            <w:sz w:val="22"/>
          </w:rPr>
          <w:tab/>
        </w:r>
        <w:r>
          <w:rPr>
            <w:rStyle w:val="Hyperlink"/>
            <w:noProof/>
          </w:rPr>
          <w:t>FRAMEWORK OF THE PROPOSAL/INITIATIVE</w:t>
        </w:r>
        <w:r>
          <w:rPr>
            <w:noProof/>
            <w:webHidden/>
          </w:rPr>
          <w:tab/>
        </w:r>
        <w:r>
          <w:rPr>
            <w:noProof/>
            <w:webHidden/>
          </w:rPr>
          <w:fldChar w:fldCharType="begin"/>
        </w:r>
        <w:r>
          <w:rPr>
            <w:noProof/>
            <w:webHidden/>
          </w:rPr>
          <w:instrText xml:space="preserve"> PAGEREF _Toc520485025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26" w:history="1">
        <w:r>
          <w:rPr>
            <w:rStyle w:val="Hyperlink"/>
            <w:noProof/>
          </w:rPr>
          <w:t>1.1.</w:t>
        </w:r>
        <w:r>
          <w:rPr>
            <w:rFonts w:asciiTheme="minorHAnsi" w:eastAsiaTheme="minorEastAsia" w:hAnsiTheme="minorHAnsi" w:cstheme="minorBidi"/>
            <w:noProof/>
            <w:sz w:val="22"/>
          </w:rPr>
          <w:tab/>
        </w:r>
        <w:r>
          <w:rPr>
            <w:rStyle w:val="Hyperlink"/>
            <w:noProof/>
          </w:rPr>
          <w:t>Title of the proposal/initi</w:t>
        </w:r>
        <w:r>
          <w:rPr>
            <w:rStyle w:val="Hyperlink"/>
            <w:noProof/>
          </w:rPr>
          <w:t>ative</w:t>
        </w:r>
        <w:r>
          <w:rPr>
            <w:noProof/>
            <w:webHidden/>
          </w:rPr>
          <w:tab/>
        </w:r>
        <w:r>
          <w:rPr>
            <w:noProof/>
            <w:webHidden/>
          </w:rPr>
          <w:fldChar w:fldCharType="begin"/>
        </w:r>
        <w:r>
          <w:rPr>
            <w:noProof/>
            <w:webHidden/>
          </w:rPr>
          <w:instrText xml:space="preserve"> PAGEREF _Toc520485026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27" w:history="1">
        <w:r>
          <w:rPr>
            <w:rStyle w:val="Hyperlink"/>
            <w:i/>
            <w:noProof/>
          </w:rPr>
          <w:t>1.2.</w:t>
        </w:r>
        <w:r>
          <w:rPr>
            <w:rFonts w:asciiTheme="minorHAnsi" w:eastAsiaTheme="minorEastAsia" w:hAnsiTheme="minorHAnsi" w:cstheme="minorBidi"/>
            <w:noProof/>
            <w:sz w:val="22"/>
          </w:rPr>
          <w:tab/>
        </w:r>
        <w:r>
          <w:rPr>
            <w:rStyle w:val="Hyperlink"/>
            <w:noProof/>
          </w:rPr>
          <w:t>Policy area(s) concerned</w:t>
        </w:r>
        <w:r>
          <w:rPr>
            <w:noProof/>
            <w:webHidden/>
          </w:rPr>
          <w:tab/>
        </w:r>
        <w:r>
          <w:rPr>
            <w:noProof/>
            <w:webHidden/>
          </w:rPr>
          <w:fldChar w:fldCharType="begin"/>
        </w:r>
        <w:r>
          <w:rPr>
            <w:noProof/>
            <w:webHidden/>
          </w:rPr>
          <w:instrText xml:space="preserve"> PAGEREF _Toc520485027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28" w:history="1">
        <w:r>
          <w:rPr>
            <w:rStyle w:val="Hyperlink"/>
            <w:noProof/>
          </w:rPr>
          <w:t>1.3.</w:t>
        </w:r>
        <w:r>
          <w:rPr>
            <w:rFonts w:asciiTheme="minorHAnsi" w:eastAsiaTheme="minorEastAsia" w:hAnsiTheme="minorHAnsi" w:cstheme="minorBidi"/>
            <w:noProof/>
            <w:sz w:val="22"/>
          </w:rPr>
          <w:tab/>
        </w:r>
        <w:r>
          <w:rPr>
            <w:rStyle w:val="Hyperlink"/>
            <w:noProof/>
          </w:rPr>
          <w:t>The proposal/initiative relates to:</w:t>
        </w:r>
        <w:r>
          <w:rPr>
            <w:noProof/>
            <w:webHidden/>
          </w:rPr>
          <w:tab/>
        </w:r>
        <w:r>
          <w:rPr>
            <w:noProof/>
            <w:webHidden/>
          </w:rPr>
          <w:fldChar w:fldCharType="begin"/>
        </w:r>
        <w:r>
          <w:rPr>
            <w:noProof/>
            <w:webHidden/>
          </w:rPr>
          <w:instrText xml:space="preserve"> PAGEREF _Toc520485028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29" w:history="1">
        <w:r>
          <w:rPr>
            <w:rStyle w:val="Hyperlink"/>
            <w:noProof/>
          </w:rPr>
          <w:t>1.4.</w:t>
        </w:r>
        <w:r>
          <w:rPr>
            <w:rFonts w:asciiTheme="minorHAnsi" w:eastAsiaTheme="minorEastAsia" w:hAnsiTheme="minorHAnsi" w:cstheme="minorBidi"/>
            <w:noProof/>
            <w:sz w:val="22"/>
          </w:rPr>
          <w:tab/>
        </w:r>
        <w:r>
          <w:rPr>
            <w:rStyle w:val="Hyperlink"/>
            <w:noProof/>
          </w:rPr>
          <w:t>Objective(s)</w:t>
        </w:r>
        <w:r>
          <w:rPr>
            <w:noProof/>
            <w:webHidden/>
          </w:rPr>
          <w:tab/>
        </w:r>
        <w:r>
          <w:rPr>
            <w:noProof/>
            <w:webHidden/>
          </w:rPr>
          <w:fldChar w:fldCharType="begin"/>
        </w:r>
        <w:r>
          <w:rPr>
            <w:noProof/>
            <w:webHidden/>
          </w:rPr>
          <w:instrText xml:space="preserve"> PAGEREF _Toc520485029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0" w:history="1">
        <w:r>
          <w:rPr>
            <w:rStyle w:val="Hyperlink"/>
            <w:noProof/>
          </w:rPr>
          <w:t>1.4.1.</w:t>
        </w:r>
        <w:r>
          <w:rPr>
            <w:rFonts w:asciiTheme="minorHAnsi" w:eastAsiaTheme="minorEastAsia" w:hAnsiTheme="minorHAnsi" w:cstheme="minorBidi"/>
            <w:noProof/>
            <w:sz w:val="22"/>
          </w:rPr>
          <w:tab/>
        </w:r>
        <w:r>
          <w:rPr>
            <w:rStyle w:val="Hyperlink"/>
            <w:noProof/>
          </w:rPr>
          <w:t>General objective(s)</w:t>
        </w:r>
        <w:r>
          <w:rPr>
            <w:noProof/>
            <w:webHidden/>
          </w:rPr>
          <w:tab/>
        </w:r>
        <w:r>
          <w:rPr>
            <w:noProof/>
            <w:webHidden/>
          </w:rPr>
          <w:fldChar w:fldCharType="begin"/>
        </w:r>
        <w:r>
          <w:rPr>
            <w:noProof/>
            <w:webHidden/>
          </w:rPr>
          <w:instrText xml:space="preserve"> PAGEREF _Toc520485030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1" w:history="1">
        <w:r>
          <w:rPr>
            <w:rStyle w:val="Hyperlink"/>
            <w:noProof/>
          </w:rPr>
          <w:t>1.</w:t>
        </w:r>
        <w:r>
          <w:rPr>
            <w:rStyle w:val="Hyperlink"/>
            <w:noProof/>
          </w:rPr>
          <w:t>4.2.</w:t>
        </w:r>
        <w:r>
          <w:rPr>
            <w:rFonts w:asciiTheme="minorHAnsi" w:eastAsiaTheme="minorEastAsia" w:hAnsiTheme="minorHAnsi" w:cstheme="minorBidi"/>
            <w:noProof/>
            <w:sz w:val="22"/>
          </w:rPr>
          <w:tab/>
        </w:r>
        <w:r>
          <w:rPr>
            <w:rStyle w:val="Hyperlink"/>
            <w:noProof/>
          </w:rPr>
          <w:t>Specific objective(s)</w:t>
        </w:r>
        <w:r>
          <w:rPr>
            <w:noProof/>
            <w:webHidden/>
          </w:rPr>
          <w:tab/>
        </w:r>
        <w:r>
          <w:rPr>
            <w:noProof/>
            <w:webHidden/>
          </w:rPr>
          <w:fldChar w:fldCharType="begin"/>
        </w:r>
        <w:r>
          <w:rPr>
            <w:noProof/>
            <w:webHidden/>
          </w:rPr>
          <w:instrText xml:space="preserve"> PAGEREF _Toc520485031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2" w:history="1">
        <w:r>
          <w:rPr>
            <w:rStyle w:val="Hyperlink"/>
            <w:noProof/>
          </w:rPr>
          <w:t>1.4.3.</w:t>
        </w:r>
        <w:r>
          <w:rPr>
            <w:rFonts w:asciiTheme="minorHAnsi" w:eastAsiaTheme="minorEastAsia" w:hAnsiTheme="minorHAnsi" w:cstheme="minorBidi"/>
            <w:noProof/>
            <w:sz w:val="22"/>
          </w:rPr>
          <w:tab/>
        </w:r>
        <w:r>
          <w:rPr>
            <w:rStyle w:val="Hyperlink"/>
            <w:noProof/>
          </w:rPr>
          <w:t>Expected result(s) and impact</w:t>
        </w:r>
        <w:r>
          <w:rPr>
            <w:noProof/>
            <w:webHidden/>
          </w:rPr>
          <w:tab/>
        </w:r>
        <w:r>
          <w:rPr>
            <w:noProof/>
            <w:webHidden/>
          </w:rPr>
          <w:fldChar w:fldCharType="begin"/>
        </w:r>
        <w:r>
          <w:rPr>
            <w:noProof/>
            <w:webHidden/>
          </w:rPr>
          <w:instrText xml:space="preserve"> PAGEREF _Toc520485032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3" w:history="1">
        <w:r>
          <w:rPr>
            <w:rStyle w:val="Hyperlink"/>
            <w:noProof/>
          </w:rPr>
          <w:t>1.4.4.</w:t>
        </w:r>
        <w:r>
          <w:rPr>
            <w:rFonts w:asciiTheme="minorHAnsi" w:eastAsiaTheme="minorEastAsia" w:hAnsiTheme="minorHAnsi" w:cstheme="minorBidi"/>
            <w:noProof/>
            <w:sz w:val="22"/>
          </w:rPr>
          <w:tab/>
        </w:r>
        <w:r>
          <w:rPr>
            <w:rStyle w:val="Hyperlink"/>
            <w:noProof/>
          </w:rPr>
          <w:t>Indicators of performance</w:t>
        </w:r>
        <w:r>
          <w:rPr>
            <w:noProof/>
            <w:webHidden/>
          </w:rPr>
          <w:tab/>
        </w:r>
        <w:r>
          <w:rPr>
            <w:noProof/>
            <w:webHidden/>
          </w:rPr>
          <w:fldChar w:fldCharType="begin"/>
        </w:r>
        <w:r>
          <w:rPr>
            <w:noProof/>
            <w:webHidden/>
          </w:rPr>
          <w:instrText xml:space="preserve"> PAGEREF _Toc520485033 \h </w:instrText>
        </w:r>
        <w:r>
          <w:rPr>
            <w:noProof/>
            <w:webHidden/>
          </w:rPr>
        </w:r>
        <w:r>
          <w:rPr>
            <w:noProof/>
            <w:webHidden/>
          </w:rPr>
          <w:fldChar w:fldCharType="separate"/>
        </w:r>
        <w:r>
          <w:rPr>
            <w:noProof/>
            <w:webHidden/>
          </w:rPr>
          <w:t>3</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34" w:history="1">
        <w:r>
          <w:rPr>
            <w:rStyle w:val="Hyperlink"/>
            <w:noProof/>
          </w:rPr>
          <w:t>1.5.</w:t>
        </w:r>
        <w:r>
          <w:rPr>
            <w:rFonts w:asciiTheme="minorHAnsi" w:eastAsiaTheme="minorEastAsia" w:hAnsiTheme="minorHAnsi" w:cstheme="minorBidi"/>
            <w:noProof/>
            <w:sz w:val="22"/>
          </w:rPr>
          <w:tab/>
        </w:r>
        <w:r>
          <w:rPr>
            <w:rStyle w:val="Hyperlink"/>
            <w:noProof/>
          </w:rPr>
          <w:t xml:space="preserve">Grounds for the </w:t>
        </w:r>
        <w:r>
          <w:rPr>
            <w:rStyle w:val="Hyperlink"/>
            <w:noProof/>
          </w:rPr>
          <w:t>proposal/initiative</w:t>
        </w:r>
        <w:r>
          <w:rPr>
            <w:noProof/>
            <w:webHidden/>
          </w:rPr>
          <w:tab/>
        </w:r>
        <w:r>
          <w:rPr>
            <w:noProof/>
            <w:webHidden/>
          </w:rPr>
          <w:fldChar w:fldCharType="begin"/>
        </w:r>
        <w:r>
          <w:rPr>
            <w:noProof/>
            <w:webHidden/>
          </w:rPr>
          <w:instrText xml:space="preserve"> PAGEREF _Toc520485034 \h </w:instrText>
        </w:r>
        <w:r>
          <w:rPr>
            <w:noProof/>
            <w:webHidden/>
          </w:rPr>
        </w:r>
        <w:r>
          <w:rPr>
            <w:noProof/>
            <w:webHidden/>
          </w:rPr>
          <w:fldChar w:fldCharType="separate"/>
        </w:r>
        <w:r>
          <w:rPr>
            <w:noProof/>
            <w:webHidden/>
          </w:rPr>
          <w:t>4</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5" w:history="1">
        <w:r>
          <w:rPr>
            <w:rStyle w:val="Hyperlink"/>
            <w:noProof/>
          </w:rPr>
          <w:t>1.5.1.</w:t>
        </w:r>
        <w:r>
          <w:rPr>
            <w:rFonts w:asciiTheme="minorHAnsi" w:eastAsiaTheme="minorEastAsia" w:hAnsiTheme="minorHAnsi" w:cstheme="minorBidi"/>
            <w:noProof/>
            <w:sz w:val="22"/>
          </w:rPr>
          <w:tab/>
        </w:r>
        <w:r>
          <w:rPr>
            <w:rStyle w:val="Hyperlink"/>
            <w:noProof/>
          </w:rPr>
          <w:t xml:space="preserve">Requirement(s) to be met in the short or long term including a detailed timeline for roll-out of the </w:t>
        </w:r>
        <w:r>
          <w:rPr>
            <w:rStyle w:val="Hyperlink"/>
            <w:noProof/>
          </w:rPr>
          <w:t>implementation of the initiative</w:t>
        </w:r>
        <w:r>
          <w:rPr>
            <w:noProof/>
            <w:webHidden/>
          </w:rPr>
          <w:tab/>
        </w:r>
        <w:r>
          <w:rPr>
            <w:noProof/>
            <w:webHidden/>
          </w:rPr>
          <w:fldChar w:fldCharType="begin"/>
        </w:r>
        <w:r>
          <w:rPr>
            <w:noProof/>
            <w:webHidden/>
          </w:rPr>
          <w:instrText xml:space="preserve"> PAGEREF _Toc520485035 \h </w:instrText>
        </w:r>
        <w:r>
          <w:rPr>
            <w:noProof/>
            <w:webHidden/>
          </w:rPr>
        </w:r>
        <w:r>
          <w:rPr>
            <w:noProof/>
            <w:webHidden/>
          </w:rPr>
          <w:fldChar w:fldCharType="separate"/>
        </w:r>
        <w:r>
          <w:rPr>
            <w:noProof/>
            <w:webHidden/>
          </w:rPr>
          <w:t>5</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6" w:history="1">
        <w:r>
          <w:rPr>
            <w:rStyle w:val="Hyperlink"/>
            <w:noProof/>
          </w:rPr>
          <w:t>1.5.2.</w:t>
        </w:r>
        <w:r>
          <w:rPr>
            <w:rFonts w:asciiTheme="minorHAnsi" w:eastAsiaTheme="minorEastAsia" w:hAnsiTheme="minorHAnsi" w:cstheme="minorBidi"/>
            <w:noProof/>
            <w:sz w:val="22"/>
          </w:rPr>
          <w:tab/>
        </w:r>
        <w:r>
          <w:rPr>
            <w:rStyle w:val="Hyperlink"/>
            <w:noProof/>
          </w:rPr>
          <w:t>Added value of Union involvement (it may result from different factors, e.g. coordinati</w:t>
        </w:r>
        <w:r>
          <w:rPr>
            <w:rStyle w:val="Hyperlink"/>
            <w:noProof/>
          </w:rPr>
          <w:t>on gains, legal certainty, greater effectiveness or complementarities). For the purposes of this point 'added value of Union involvement' is the value resulting from Union intervention which is additional to the value that would have been otherwise created</w:t>
        </w:r>
        <w:r>
          <w:rPr>
            <w:rStyle w:val="Hyperlink"/>
            <w:noProof/>
          </w:rPr>
          <w:t xml:space="preserve"> by Member States alone.</w:t>
        </w:r>
        <w:r>
          <w:rPr>
            <w:noProof/>
            <w:webHidden/>
          </w:rPr>
          <w:tab/>
        </w:r>
        <w:r>
          <w:rPr>
            <w:noProof/>
            <w:webHidden/>
          </w:rPr>
          <w:fldChar w:fldCharType="begin"/>
        </w:r>
        <w:r>
          <w:rPr>
            <w:noProof/>
            <w:webHidden/>
          </w:rPr>
          <w:instrText xml:space="preserve"> PAGEREF _Toc520485036 \h </w:instrText>
        </w:r>
        <w:r>
          <w:rPr>
            <w:noProof/>
            <w:webHidden/>
          </w:rPr>
        </w:r>
        <w:r>
          <w:rPr>
            <w:noProof/>
            <w:webHidden/>
          </w:rPr>
          <w:fldChar w:fldCharType="separate"/>
        </w:r>
        <w:r>
          <w:rPr>
            <w:noProof/>
            <w:webHidden/>
          </w:rPr>
          <w:t>5</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7" w:history="1">
        <w:r>
          <w:rPr>
            <w:rStyle w:val="Hyperlink"/>
            <w:noProof/>
          </w:rPr>
          <w:t>1.5.3.</w:t>
        </w:r>
        <w:r>
          <w:rPr>
            <w:rFonts w:asciiTheme="minorHAnsi" w:eastAsiaTheme="minorEastAsia" w:hAnsiTheme="minorHAnsi" w:cstheme="minorBidi"/>
            <w:noProof/>
            <w:sz w:val="22"/>
          </w:rPr>
          <w:tab/>
        </w:r>
        <w:r>
          <w:rPr>
            <w:rStyle w:val="Hyperlink"/>
            <w:noProof/>
          </w:rPr>
          <w:t>Lessons learned from similar experiences in the past</w:t>
        </w:r>
        <w:r>
          <w:rPr>
            <w:noProof/>
            <w:webHidden/>
          </w:rPr>
          <w:tab/>
        </w:r>
        <w:r>
          <w:rPr>
            <w:noProof/>
            <w:webHidden/>
          </w:rPr>
          <w:fldChar w:fldCharType="begin"/>
        </w:r>
        <w:r>
          <w:rPr>
            <w:noProof/>
            <w:webHidden/>
          </w:rPr>
          <w:instrText xml:space="preserve"> PAGEREF _Toc520485037 \h </w:instrText>
        </w:r>
        <w:r>
          <w:rPr>
            <w:noProof/>
            <w:webHidden/>
          </w:rPr>
        </w:r>
        <w:r>
          <w:rPr>
            <w:noProof/>
            <w:webHidden/>
          </w:rPr>
          <w:fldChar w:fldCharType="separate"/>
        </w:r>
        <w:r>
          <w:rPr>
            <w:noProof/>
            <w:webHidden/>
          </w:rPr>
          <w:t>5</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8" w:history="1">
        <w:r>
          <w:rPr>
            <w:rStyle w:val="Hyperlink"/>
            <w:noProof/>
          </w:rPr>
          <w:t>1.5.4.</w:t>
        </w:r>
        <w:r>
          <w:rPr>
            <w:rFonts w:asciiTheme="minorHAnsi" w:eastAsiaTheme="minorEastAsia" w:hAnsiTheme="minorHAnsi" w:cstheme="minorBidi"/>
            <w:noProof/>
            <w:sz w:val="22"/>
          </w:rPr>
          <w:tab/>
        </w:r>
        <w:r>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_Toc520485038 \h </w:instrText>
        </w:r>
        <w:r>
          <w:rPr>
            <w:noProof/>
            <w:webHidden/>
          </w:rPr>
        </w:r>
        <w:r>
          <w:rPr>
            <w:noProof/>
            <w:webHidden/>
          </w:rPr>
          <w:fldChar w:fldCharType="separate"/>
        </w:r>
        <w:r>
          <w:rPr>
            <w:noProof/>
            <w:webHidden/>
          </w:rPr>
          <w:t>5</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39" w:history="1">
        <w:r>
          <w:rPr>
            <w:rStyle w:val="Hyperlink"/>
            <w:noProof/>
          </w:rPr>
          <w:t>1.5.5.</w:t>
        </w:r>
        <w:r>
          <w:rPr>
            <w:rFonts w:asciiTheme="minorHAnsi" w:eastAsiaTheme="minorEastAsia" w:hAnsiTheme="minorHAnsi" w:cstheme="minorBidi"/>
            <w:noProof/>
            <w:sz w:val="22"/>
          </w:rPr>
          <w:tab/>
        </w:r>
        <w:r>
          <w:rPr>
            <w:rStyle w:val="Hyperlink"/>
            <w:noProof/>
          </w:rPr>
          <w:t>Assessment of the different available financing options, including scope for redeployment</w:t>
        </w:r>
        <w:r>
          <w:rPr>
            <w:noProof/>
            <w:webHidden/>
          </w:rPr>
          <w:tab/>
        </w:r>
        <w:r>
          <w:rPr>
            <w:noProof/>
            <w:webHidden/>
          </w:rPr>
          <w:fldChar w:fldCharType="begin"/>
        </w:r>
        <w:r>
          <w:rPr>
            <w:noProof/>
            <w:webHidden/>
          </w:rPr>
          <w:instrText xml:space="preserve"> PAGEREF _Toc520485039 \h </w:instrText>
        </w:r>
        <w:r>
          <w:rPr>
            <w:noProof/>
            <w:webHidden/>
          </w:rPr>
        </w:r>
        <w:r>
          <w:rPr>
            <w:noProof/>
            <w:webHidden/>
          </w:rPr>
          <w:fldChar w:fldCharType="separate"/>
        </w:r>
        <w:r>
          <w:rPr>
            <w:noProof/>
            <w:webHidden/>
          </w:rPr>
          <w:t>5</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40" w:history="1">
        <w:r>
          <w:rPr>
            <w:rStyle w:val="Hyperlink"/>
            <w:noProof/>
          </w:rPr>
          <w:t>1.6.</w:t>
        </w:r>
        <w:r>
          <w:rPr>
            <w:rFonts w:asciiTheme="minorHAnsi" w:eastAsiaTheme="minorEastAsia" w:hAnsiTheme="minorHAnsi" w:cstheme="minorBidi"/>
            <w:noProof/>
            <w:sz w:val="22"/>
          </w:rPr>
          <w:tab/>
        </w:r>
        <w:r>
          <w:rPr>
            <w:rStyle w:val="Hyperlink"/>
            <w:noProof/>
          </w:rPr>
          <w:t>Duration and financial impact of the proposal/initiative</w:t>
        </w:r>
        <w:r>
          <w:rPr>
            <w:noProof/>
            <w:webHidden/>
          </w:rPr>
          <w:tab/>
        </w:r>
        <w:r>
          <w:rPr>
            <w:noProof/>
            <w:webHidden/>
          </w:rPr>
          <w:fldChar w:fldCharType="begin"/>
        </w:r>
        <w:r>
          <w:rPr>
            <w:noProof/>
            <w:webHidden/>
          </w:rPr>
          <w:instrText xml:space="preserve"> PAGEREF _Toc520485040 \h </w:instrText>
        </w:r>
        <w:r>
          <w:rPr>
            <w:noProof/>
            <w:webHidden/>
          </w:rPr>
        </w:r>
        <w:r>
          <w:rPr>
            <w:noProof/>
            <w:webHidden/>
          </w:rPr>
          <w:fldChar w:fldCharType="separate"/>
        </w:r>
        <w:r>
          <w:rPr>
            <w:noProof/>
            <w:webHidden/>
          </w:rPr>
          <w:t>7</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41" w:history="1">
        <w:r>
          <w:rPr>
            <w:rStyle w:val="Hyperlink"/>
            <w:noProof/>
          </w:rPr>
          <w:t>1.7.</w:t>
        </w:r>
        <w:r>
          <w:rPr>
            <w:rFonts w:asciiTheme="minorHAnsi" w:eastAsiaTheme="minorEastAsia" w:hAnsiTheme="minorHAnsi" w:cstheme="minorBidi"/>
            <w:noProof/>
            <w:sz w:val="22"/>
          </w:rPr>
          <w:tab/>
        </w:r>
        <w:r>
          <w:rPr>
            <w:rStyle w:val="Hyperlink"/>
            <w:noProof/>
          </w:rPr>
          <w:t>Management mode(s) planned</w:t>
        </w:r>
        <w:r>
          <w:rPr>
            <w:noProof/>
            <w:webHidden/>
          </w:rPr>
          <w:tab/>
        </w:r>
        <w:r>
          <w:rPr>
            <w:noProof/>
            <w:webHidden/>
          </w:rPr>
          <w:fldChar w:fldCharType="begin"/>
        </w:r>
        <w:r>
          <w:rPr>
            <w:noProof/>
            <w:webHidden/>
          </w:rPr>
          <w:instrText xml:space="preserve"> PAGEREF _Toc520485041 \h </w:instrText>
        </w:r>
        <w:r>
          <w:rPr>
            <w:noProof/>
            <w:webHidden/>
          </w:rPr>
        </w:r>
        <w:r>
          <w:rPr>
            <w:noProof/>
            <w:webHidden/>
          </w:rPr>
          <w:fldChar w:fldCharType="separate"/>
        </w:r>
        <w:r>
          <w:rPr>
            <w:noProof/>
            <w:webHidden/>
          </w:rPr>
          <w:t>7</w:t>
        </w:r>
        <w:r>
          <w:rPr>
            <w:noProof/>
            <w:webHidden/>
          </w:rPr>
          <w:fldChar w:fldCharType="end"/>
        </w:r>
      </w:hyperlink>
    </w:p>
    <w:p w:rsidR="00D10CBC" w:rsidRDefault="00BC383A">
      <w:pPr>
        <w:pStyle w:val="TOC1"/>
        <w:rPr>
          <w:rFonts w:asciiTheme="minorHAnsi" w:eastAsiaTheme="minorEastAsia" w:hAnsiTheme="minorHAnsi" w:cstheme="minorBidi"/>
          <w:noProof/>
          <w:sz w:val="22"/>
        </w:rPr>
      </w:pPr>
      <w:hyperlink w:anchor="_Toc520485042" w:history="1">
        <w:r>
          <w:rPr>
            <w:rStyle w:val="Hyperlink"/>
            <w:noProof/>
          </w:rPr>
          <w:t>2.</w:t>
        </w:r>
        <w:r>
          <w:rPr>
            <w:rFonts w:asciiTheme="minorHAnsi" w:eastAsiaTheme="minorEastAsia" w:hAnsiTheme="minorHAnsi" w:cstheme="minorBidi"/>
            <w:noProof/>
            <w:sz w:val="22"/>
          </w:rPr>
          <w:tab/>
        </w:r>
        <w:r>
          <w:rPr>
            <w:rStyle w:val="Hyperlink"/>
            <w:noProof/>
          </w:rPr>
          <w:t>MANAGEMENT MEASURES</w:t>
        </w:r>
        <w:r>
          <w:rPr>
            <w:noProof/>
            <w:webHidden/>
          </w:rPr>
          <w:tab/>
        </w:r>
        <w:r>
          <w:rPr>
            <w:noProof/>
            <w:webHidden/>
          </w:rPr>
          <w:fldChar w:fldCharType="begin"/>
        </w:r>
        <w:r>
          <w:rPr>
            <w:noProof/>
            <w:webHidden/>
          </w:rPr>
          <w:instrText xml:space="preserve"> PAGEREF _Toc520485042 \h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43" w:history="1">
        <w:r>
          <w:rPr>
            <w:rStyle w:val="Hyperlink"/>
            <w:noProof/>
          </w:rPr>
          <w:t>2.1.</w:t>
        </w:r>
        <w:r>
          <w:rPr>
            <w:rFonts w:asciiTheme="minorHAnsi" w:eastAsiaTheme="minorEastAsia" w:hAnsiTheme="minorHAnsi" w:cstheme="minorBidi"/>
            <w:noProof/>
            <w:sz w:val="22"/>
          </w:rPr>
          <w:tab/>
        </w:r>
        <w:r>
          <w:rPr>
            <w:rStyle w:val="Hyperlink"/>
            <w:noProof/>
          </w:rPr>
          <w:t>Monitoring and reporting rules</w:t>
        </w:r>
        <w:r>
          <w:rPr>
            <w:noProof/>
            <w:webHidden/>
          </w:rPr>
          <w:tab/>
        </w:r>
        <w:r>
          <w:rPr>
            <w:noProof/>
            <w:webHidden/>
          </w:rPr>
          <w:fldChar w:fldCharType="begin"/>
        </w:r>
        <w:r>
          <w:rPr>
            <w:noProof/>
            <w:webHidden/>
          </w:rPr>
          <w:instrText xml:space="preserve"> PAGEREF _Toc520485043 \h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44" w:history="1">
        <w:r>
          <w:rPr>
            <w:rStyle w:val="Hyperlink"/>
            <w:noProof/>
          </w:rPr>
          <w:t>2.2.</w:t>
        </w:r>
        <w:r>
          <w:rPr>
            <w:rFonts w:asciiTheme="minorHAnsi" w:eastAsiaTheme="minorEastAsia" w:hAnsiTheme="minorHAnsi" w:cstheme="minorBidi"/>
            <w:noProof/>
            <w:sz w:val="22"/>
          </w:rPr>
          <w:tab/>
        </w:r>
        <w:r>
          <w:rPr>
            <w:rStyle w:val="Hyperlink"/>
            <w:noProof/>
          </w:rPr>
          <w:t>Management and control system(s)</w:t>
        </w:r>
        <w:r>
          <w:rPr>
            <w:noProof/>
            <w:webHidden/>
          </w:rPr>
          <w:tab/>
        </w:r>
        <w:r>
          <w:rPr>
            <w:noProof/>
            <w:webHidden/>
          </w:rPr>
          <w:fldChar w:fldCharType="begin"/>
        </w:r>
        <w:r>
          <w:rPr>
            <w:noProof/>
            <w:webHidden/>
          </w:rPr>
          <w:instrText xml:space="preserve"> PAGEREF _Toc520485044 \h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45" w:history="1">
        <w:r>
          <w:rPr>
            <w:rStyle w:val="Hyperlink"/>
            <w:noProof/>
          </w:rPr>
          <w:t>2.2.1.</w:t>
        </w:r>
        <w:r>
          <w:rPr>
            <w:rFonts w:asciiTheme="minorHAnsi" w:eastAsiaTheme="minorEastAsia" w:hAnsiTheme="minorHAnsi" w:cstheme="minorBidi"/>
            <w:noProof/>
            <w:sz w:val="22"/>
          </w:rPr>
          <w:tab/>
        </w:r>
        <w:r>
          <w:rPr>
            <w:rStyle w:val="Hyperlink"/>
            <w:noProof/>
          </w:rPr>
          <w:t>Justification of the management mode(s), the funding implementation mechanism(s), the payment modalities and the control strategy proposed</w:t>
        </w:r>
        <w:r>
          <w:rPr>
            <w:noProof/>
            <w:webHidden/>
          </w:rPr>
          <w:tab/>
        </w:r>
        <w:r>
          <w:rPr>
            <w:noProof/>
            <w:webHidden/>
          </w:rPr>
          <w:fldChar w:fldCharType="begin"/>
        </w:r>
        <w:r>
          <w:rPr>
            <w:noProof/>
            <w:webHidden/>
          </w:rPr>
          <w:instrText xml:space="preserve"> PAGEREF _Toc520485045 \h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46" w:history="1">
        <w:r>
          <w:rPr>
            <w:rStyle w:val="Hyperlink"/>
            <w:noProof/>
          </w:rPr>
          <w:t>2.2.2.</w:t>
        </w:r>
        <w:r>
          <w:rPr>
            <w:rFonts w:asciiTheme="minorHAnsi" w:eastAsiaTheme="minorEastAsia" w:hAnsiTheme="minorHAnsi" w:cstheme="minorBidi"/>
            <w:noProof/>
            <w:sz w:val="22"/>
          </w:rPr>
          <w:tab/>
        </w:r>
        <w:r>
          <w:rPr>
            <w:rStyle w:val="Hyperlink"/>
            <w:noProof/>
          </w:rPr>
          <w:t>Information concerning the risks identified and the internal control system(s) set up to mitigate them</w:t>
        </w:r>
        <w:r>
          <w:rPr>
            <w:noProof/>
            <w:webHidden/>
          </w:rPr>
          <w:tab/>
        </w:r>
        <w:r>
          <w:rPr>
            <w:noProof/>
            <w:webHidden/>
          </w:rPr>
          <w:fldChar w:fldCharType="begin"/>
        </w:r>
        <w:r>
          <w:rPr>
            <w:noProof/>
            <w:webHidden/>
          </w:rPr>
          <w:instrText xml:space="preserve"> PAGEREF _Toc520485046 \h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47" w:history="1">
        <w:r>
          <w:rPr>
            <w:rStyle w:val="Hyperlink"/>
            <w:noProof/>
          </w:rPr>
          <w:t>2.2.3.</w:t>
        </w:r>
        <w:r>
          <w:rPr>
            <w:rFonts w:asciiTheme="minorHAnsi" w:eastAsiaTheme="minorEastAsia" w:hAnsiTheme="minorHAnsi" w:cstheme="minorBidi"/>
            <w:noProof/>
            <w:sz w:val="22"/>
          </w:rPr>
          <w:tab/>
        </w:r>
        <w:r>
          <w:rPr>
            <w:rStyle w:val="Hyperlink"/>
            <w:noProof/>
          </w:rPr>
          <w:t>Estimation and justification of the cost-effectiveness of the controls (ratio of "control costs ÷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_Toc520485047 \</w:instrText>
        </w:r>
        <w:r>
          <w:rPr>
            <w:noProof/>
            <w:webHidden/>
          </w:rPr>
          <w:instrText xml:space="preserve">h </w:instrText>
        </w:r>
        <w:r>
          <w:rPr>
            <w:noProof/>
            <w:webHidden/>
          </w:rPr>
        </w:r>
        <w:r>
          <w:rPr>
            <w:noProof/>
            <w:webHidden/>
          </w:rPr>
          <w:fldChar w:fldCharType="separate"/>
        </w:r>
        <w:r>
          <w:rPr>
            <w:noProof/>
            <w:webHidden/>
          </w:rPr>
          <w:t>8</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48" w:history="1">
        <w:r>
          <w:rPr>
            <w:rStyle w:val="Hyperlink"/>
            <w:noProof/>
          </w:rPr>
          <w:t>2.3.</w:t>
        </w:r>
        <w:r>
          <w:rPr>
            <w:rFonts w:asciiTheme="minorHAnsi" w:eastAsiaTheme="minorEastAsia" w:hAnsiTheme="minorHAnsi" w:cstheme="minorBidi"/>
            <w:noProof/>
            <w:sz w:val="22"/>
          </w:rPr>
          <w:tab/>
        </w:r>
        <w:r>
          <w:rPr>
            <w:rStyle w:val="Hyperlink"/>
            <w:noProof/>
          </w:rPr>
          <w:t>Measures to prevent fraud and irregularities</w:t>
        </w:r>
        <w:r>
          <w:rPr>
            <w:noProof/>
            <w:webHidden/>
          </w:rPr>
          <w:tab/>
        </w:r>
        <w:r>
          <w:rPr>
            <w:noProof/>
            <w:webHidden/>
          </w:rPr>
          <w:fldChar w:fldCharType="begin"/>
        </w:r>
        <w:r>
          <w:rPr>
            <w:noProof/>
            <w:webHidden/>
          </w:rPr>
          <w:instrText xml:space="preserve"> PAGEREF _Toc520485048 \h </w:instrText>
        </w:r>
        <w:r>
          <w:rPr>
            <w:noProof/>
            <w:webHidden/>
          </w:rPr>
        </w:r>
        <w:r>
          <w:rPr>
            <w:noProof/>
            <w:webHidden/>
          </w:rPr>
          <w:fldChar w:fldCharType="separate"/>
        </w:r>
        <w:r>
          <w:rPr>
            <w:noProof/>
            <w:webHidden/>
          </w:rPr>
          <w:t>10</w:t>
        </w:r>
        <w:r>
          <w:rPr>
            <w:noProof/>
            <w:webHidden/>
          </w:rPr>
          <w:fldChar w:fldCharType="end"/>
        </w:r>
      </w:hyperlink>
    </w:p>
    <w:p w:rsidR="00D10CBC" w:rsidRDefault="00BC383A">
      <w:pPr>
        <w:pStyle w:val="TOC1"/>
        <w:rPr>
          <w:rFonts w:asciiTheme="minorHAnsi" w:eastAsiaTheme="minorEastAsia" w:hAnsiTheme="minorHAnsi" w:cstheme="minorBidi"/>
          <w:noProof/>
          <w:sz w:val="22"/>
        </w:rPr>
      </w:pPr>
      <w:hyperlink w:anchor="_Toc520485049" w:history="1">
        <w:r>
          <w:rPr>
            <w:rStyle w:val="Hyperlink"/>
            <w:noProof/>
          </w:rPr>
          <w:t>3.</w:t>
        </w:r>
        <w:r>
          <w:rPr>
            <w:rFonts w:asciiTheme="minorHAnsi" w:eastAsiaTheme="minorEastAsia" w:hAnsiTheme="minorHAnsi" w:cstheme="minorBidi"/>
            <w:noProof/>
            <w:sz w:val="22"/>
          </w:rPr>
          <w:tab/>
        </w:r>
        <w:r>
          <w:rPr>
            <w:rStyle w:val="Hyperlink"/>
            <w:noProof/>
          </w:rPr>
          <w:t>ESTIMATED FINANCIAL IMPACT OF THE PROPOSAL/INITIATIVE</w:t>
        </w:r>
        <w:r>
          <w:rPr>
            <w:noProof/>
            <w:webHidden/>
          </w:rPr>
          <w:tab/>
        </w:r>
        <w:r>
          <w:rPr>
            <w:noProof/>
            <w:webHidden/>
          </w:rPr>
          <w:fldChar w:fldCharType="begin"/>
        </w:r>
        <w:r>
          <w:rPr>
            <w:noProof/>
            <w:webHidden/>
          </w:rPr>
          <w:instrText xml:space="preserve"> PAGEREF _Toc520485049 \h </w:instrText>
        </w:r>
        <w:r>
          <w:rPr>
            <w:noProof/>
            <w:webHidden/>
          </w:rPr>
        </w:r>
        <w:r>
          <w:rPr>
            <w:noProof/>
            <w:webHidden/>
          </w:rPr>
          <w:fldChar w:fldCharType="separate"/>
        </w:r>
        <w:r>
          <w:rPr>
            <w:noProof/>
            <w:webHidden/>
          </w:rPr>
          <w:t>11</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50" w:history="1">
        <w:r>
          <w:rPr>
            <w:rStyle w:val="Hyperlink"/>
            <w:noProof/>
          </w:rPr>
          <w:t>3.1.</w:t>
        </w:r>
        <w:r>
          <w:rPr>
            <w:rFonts w:asciiTheme="minorHAnsi" w:eastAsiaTheme="minorEastAsia" w:hAnsiTheme="minorHAnsi" w:cstheme="minorBidi"/>
            <w:noProof/>
            <w:sz w:val="22"/>
          </w:rPr>
          <w:tab/>
        </w:r>
        <w:r>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_Toc520485050 \h </w:instrText>
        </w:r>
        <w:r>
          <w:rPr>
            <w:noProof/>
            <w:webHidden/>
          </w:rPr>
        </w:r>
        <w:r>
          <w:rPr>
            <w:noProof/>
            <w:webHidden/>
          </w:rPr>
          <w:fldChar w:fldCharType="separate"/>
        </w:r>
        <w:r>
          <w:rPr>
            <w:noProof/>
            <w:webHidden/>
          </w:rPr>
          <w:t>11</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51" w:history="1">
        <w:r>
          <w:rPr>
            <w:rStyle w:val="Hyperlink"/>
            <w:noProof/>
          </w:rPr>
          <w:t>3.2.</w:t>
        </w:r>
        <w:r>
          <w:rPr>
            <w:rFonts w:asciiTheme="minorHAnsi" w:eastAsiaTheme="minorEastAsia" w:hAnsiTheme="minorHAnsi" w:cstheme="minorBidi"/>
            <w:noProof/>
            <w:sz w:val="22"/>
          </w:rPr>
          <w:tab/>
        </w:r>
        <w:r>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_Toc520485051 \h </w:instrText>
        </w:r>
        <w:r>
          <w:rPr>
            <w:noProof/>
            <w:webHidden/>
          </w:rPr>
        </w:r>
        <w:r>
          <w:rPr>
            <w:noProof/>
            <w:webHidden/>
          </w:rPr>
          <w:fldChar w:fldCharType="separate"/>
        </w:r>
        <w:r>
          <w:rPr>
            <w:noProof/>
            <w:webHidden/>
          </w:rPr>
          <w:t>12</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52" w:history="1">
        <w:r>
          <w:rPr>
            <w:rStyle w:val="Hyperlink"/>
            <w:noProof/>
          </w:rPr>
          <w:t>3.2.1.</w:t>
        </w:r>
        <w:r>
          <w:rPr>
            <w:rFonts w:asciiTheme="minorHAnsi" w:eastAsiaTheme="minorEastAsia" w:hAnsiTheme="minorHAnsi" w:cstheme="minorBidi"/>
            <w:noProof/>
            <w:sz w:val="22"/>
          </w:rPr>
          <w:tab/>
        </w:r>
        <w:r>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_Toc520485052 \h </w:instrText>
        </w:r>
        <w:r>
          <w:rPr>
            <w:noProof/>
            <w:webHidden/>
          </w:rPr>
        </w:r>
        <w:r>
          <w:rPr>
            <w:noProof/>
            <w:webHidden/>
          </w:rPr>
          <w:fldChar w:fldCharType="separate"/>
        </w:r>
        <w:r>
          <w:rPr>
            <w:noProof/>
            <w:webHidden/>
          </w:rPr>
          <w:t>12</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53" w:history="1">
        <w:r>
          <w:rPr>
            <w:rStyle w:val="Hyperlink"/>
            <w:noProof/>
          </w:rPr>
          <w:t>3.2.2.</w:t>
        </w:r>
        <w:r>
          <w:rPr>
            <w:rFonts w:asciiTheme="minorHAnsi" w:eastAsiaTheme="minorEastAsia" w:hAnsiTheme="minorHAnsi" w:cstheme="minorBidi"/>
            <w:noProof/>
            <w:sz w:val="22"/>
          </w:rPr>
          <w:tab/>
        </w:r>
        <w:r>
          <w:rPr>
            <w:rStyle w:val="Hyperlink"/>
            <w:noProof/>
          </w:rPr>
          <w:t xml:space="preserve">Estimated output funded with operational </w:t>
        </w:r>
        <w:r>
          <w:rPr>
            <w:rStyle w:val="Hyperlink"/>
            <w:noProof/>
          </w:rPr>
          <w:t>appropriations</w:t>
        </w:r>
        <w:r>
          <w:rPr>
            <w:noProof/>
            <w:webHidden/>
          </w:rPr>
          <w:tab/>
        </w:r>
        <w:r>
          <w:rPr>
            <w:noProof/>
            <w:webHidden/>
          </w:rPr>
          <w:fldChar w:fldCharType="begin"/>
        </w:r>
        <w:r>
          <w:rPr>
            <w:noProof/>
            <w:webHidden/>
          </w:rPr>
          <w:instrText xml:space="preserve"> PAGEREF _Toc520485053 \h </w:instrText>
        </w:r>
        <w:r>
          <w:rPr>
            <w:noProof/>
            <w:webHidden/>
          </w:rPr>
        </w:r>
        <w:r>
          <w:rPr>
            <w:noProof/>
            <w:webHidden/>
          </w:rPr>
          <w:fldChar w:fldCharType="separate"/>
        </w:r>
        <w:r>
          <w:rPr>
            <w:noProof/>
            <w:webHidden/>
          </w:rPr>
          <w:t>18</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54" w:history="1">
        <w:r>
          <w:rPr>
            <w:rStyle w:val="Hyperlink"/>
            <w:noProof/>
          </w:rPr>
          <w:t>3.2.3.</w:t>
        </w:r>
        <w:r>
          <w:rPr>
            <w:rFonts w:asciiTheme="minorHAnsi" w:eastAsiaTheme="minorEastAsia" w:hAnsiTheme="minorHAnsi" w:cstheme="minorBidi"/>
            <w:noProof/>
            <w:sz w:val="22"/>
          </w:rPr>
          <w:tab/>
        </w:r>
        <w:r>
          <w:rPr>
            <w:rStyle w:val="Hyperlink"/>
            <w:noProof/>
          </w:rPr>
          <w:t>Summary of estimated impact on administrative appropriations</w:t>
        </w:r>
        <w:r>
          <w:rPr>
            <w:noProof/>
            <w:webHidden/>
          </w:rPr>
          <w:tab/>
        </w:r>
        <w:r>
          <w:rPr>
            <w:noProof/>
            <w:webHidden/>
          </w:rPr>
          <w:fldChar w:fldCharType="begin"/>
        </w:r>
        <w:r>
          <w:rPr>
            <w:noProof/>
            <w:webHidden/>
          </w:rPr>
          <w:instrText xml:space="preserve"> PAGEREF _Toc520485054 \h </w:instrText>
        </w:r>
        <w:r>
          <w:rPr>
            <w:noProof/>
            <w:webHidden/>
          </w:rPr>
        </w:r>
        <w:r>
          <w:rPr>
            <w:noProof/>
            <w:webHidden/>
          </w:rPr>
          <w:fldChar w:fldCharType="separate"/>
        </w:r>
        <w:r>
          <w:rPr>
            <w:noProof/>
            <w:webHidden/>
          </w:rPr>
          <w:t>19</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55" w:history="1">
        <w:r>
          <w:rPr>
            <w:rStyle w:val="Hyperlink"/>
            <w:noProof/>
          </w:rPr>
          <w:t>3.2.4.</w:t>
        </w:r>
        <w:r>
          <w:rPr>
            <w:rFonts w:asciiTheme="minorHAnsi" w:eastAsiaTheme="minorEastAsia" w:hAnsiTheme="minorHAnsi" w:cstheme="minorBidi"/>
            <w:noProof/>
            <w:sz w:val="22"/>
          </w:rPr>
          <w:tab/>
        </w:r>
        <w:r>
          <w:rPr>
            <w:rStyle w:val="Hyperlink"/>
            <w:noProof/>
          </w:rPr>
          <w:t>Compatibility with the current multiannual financial framework</w:t>
        </w:r>
        <w:r>
          <w:rPr>
            <w:noProof/>
            <w:webHidden/>
          </w:rPr>
          <w:tab/>
        </w:r>
        <w:r>
          <w:rPr>
            <w:noProof/>
            <w:webHidden/>
          </w:rPr>
          <w:fldChar w:fldCharType="begin"/>
        </w:r>
        <w:r>
          <w:rPr>
            <w:noProof/>
            <w:webHidden/>
          </w:rPr>
          <w:instrText xml:space="preserve"> PAGEREF _Toc520485055 \h </w:instrText>
        </w:r>
        <w:r>
          <w:rPr>
            <w:noProof/>
            <w:webHidden/>
          </w:rPr>
        </w:r>
        <w:r>
          <w:rPr>
            <w:noProof/>
            <w:webHidden/>
          </w:rPr>
          <w:fldChar w:fldCharType="separate"/>
        </w:r>
        <w:r>
          <w:rPr>
            <w:noProof/>
            <w:webHidden/>
          </w:rPr>
          <w:t>22</w:t>
        </w:r>
        <w:r>
          <w:rPr>
            <w:noProof/>
            <w:webHidden/>
          </w:rPr>
          <w:fldChar w:fldCharType="end"/>
        </w:r>
      </w:hyperlink>
    </w:p>
    <w:p w:rsidR="00D10CBC" w:rsidRDefault="00BC383A">
      <w:pPr>
        <w:pStyle w:val="TOC3"/>
        <w:rPr>
          <w:rFonts w:asciiTheme="minorHAnsi" w:eastAsiaTheme="minorEastAsia" w:hAnsiTheme="minorHAnsi" w:cstheme="minorBidi"/>
          <w:noProof/>
          <w:sz w:val="22"/>
        </w:rPr>
      </w:pPr>
      <w:hyperlink w:anchor="_Toc520485056" w:history="1">
        <w:r>
          <w:rPr>
            <w:rStyle w:val="Hyperlink"/>
            <w:noProof/>
          </w:rPr>
          <w:t>3.2.5.</w:t>
        </w:r>
        <w:r>
          <w:rPr>
            <w:rFonts w:asciiTheme="minorHAnsi" w:eastAsiaTheme="minorEastAsia" w:hAnsiTheme="minorHAnsi" w:cstheme="minorBidi"/>
            <w:noProof/>
            <w:sz w:val="22"/>
          </w:rPr>
          <w:tab/>
        </w:r>
        <w:r>
          <w:rPr>
            <w:rStyle w:val="Hyperlink"/>
            <w:noProof/>
          </w:rPr>
          <w:t>Third-party contributions</w:t>
        </w:r>
        <w:r>
          <w:rPr>
            <w:noProof/>
            <w:webHidden/>
          </w:rPr>
          <w:tab/>
        </w:r>
        <w:r>
          <w:rPr>
            <w:noProof/>
            <w:webHidden/>
          </w:rPr>
          <w:fldChar w:fldCharType="begin"/>
        </w:r>
        <w:r>
          <w:rPr>
            <w:noProof/>
            <w:webHidden/>
          </w:rPr>
          <w:instrText xml:space="preserve"> PAGEREF _Toc520485056 \h </w:instrText>
        </w:r>
        <w:r>
          <w:rPr>
            <w:noProof/>
            <w:webHidden/>
          </w:rPr>
        </w:r>
        <w:r>
          <w:rPr>
            <w:noProof/>
            <w:webHidden/>
          </w:rPr>
          <w:fldChar w:fldCharType="separate"/>
        </w:r>
        <w:r>
          <w:rPr>
            <w:noProof/>
            <w:webHidden/>
          </w:rPr>
          <w:t>22</w:t>
        </w:r>
        <w:r>
          <w:rPr>
            <w:noProof/>
            <w:webHidden/>
          </w:rPr>
          <w:fldChar w:fldCharType="end"/>
        </w:r>
      </w:hyperlink>
    </w:p>
    <w:p w:rsidR="00D10CBC" w:rsidRDefault="00BC383A">
      <w:pPr>
        <w:pStyle w:val="TOC2"/>
        <w:rPr>
          <w:rFonts w:asciiTheme="minorHAnsi" w:eastAsiaTheme="minorEastAsia" w:hAnsiTheme="minorHAnsi" w:cstheme="minorBidi"/>
          <w:noProof/>
          <w:sz w:val="22"/>
        </w:rPr>
      </w:pPr>
      <w:hyperlink w:anchor="_Toc520485057" w:history="1">
        <w:r>
          <w:rPr>
            <w:rStyle w:val="Hyperlink"/>
            <w:noProof/>
          </w:rPr>
          <w:t>3.3.</w:t>
        </w:r>
        <w:r>
          <w:rPr>
            <w:rFonts w:asciiTheme="minorHAnsi" w:eastAsiaTheme="minorEastAsia" w:hAnsiTheme="minorHAnsi" w:cstheme="minorBidi"/>
            <w:noProof/>
            <w:sz w:val="22"/>
          </w:rPr>
          <w:tab/>
        </w:r>
        <w:r>
          <w:rPr>
            <w:rStyle w:val="Hyperlink"/>
            <w:noProof/>
          </w:rPr>
          <w:t>Estimated impact on revenue</w:t>
        </w:r>
        <w:r>
          <w:rPr>
            <w:noProof/>
            <w:webHidden/>
          </w:rPr>
          <w:tab/>
        </w:r>
        <w:r>
          <w:rPr>
            <w:noProof/>
            <w:webHidden/>
          </w:rPr>
          <w:fldChar w:fldCharType="begin"/>
        </w:r>
        <w:r>
          <w:rPr>
            <w:noProof/>
            <w:webHidden/>
          </w:rPr>
          <w:instrText xml:space="preserve"> PAGEREF _Toc520485057 \h </w:instrText>
        </w:r>
        <w:r>
          <w:rPr>
            <w:noProof/>
            <w:webHidden/>
          </w:rPr>
        </w:r>
        <w:r>
          <w:rPr>
            <w:noProof/>
            <w:webHidden/>
          </w:rPr>
          <w:fldChar w:fldCharType="separate"/>
        </w:r>
        <w:r>
          <w:rPr>
            <w:noProof/>
            <w:webHidden/>
          </w:rPr>
          <w:t>23</w:t>
        </w:r>
        <w:r>
          <w:rPr>
            <w:noProof/>
            <w:webHidden/>
          </w:rPr>
          <w:fldChar w:fldCharType="end"/>
        </w:r>
      </w:hyperlink>
    </w:p>
    <w:p w:rsidR="00D10CBC" w:rsidRDefault="00BC383A">
      <w:pPr>
        <w:rPr>
          <w:noProof/>
        </w:rPr>
      </w:pPr>
      <w:r>
        <w:rPr>
          <w:b/>
          <w:bCs/>
          <w:noProof/>
        </w:rPr>
        <w:fldChar w:fldCharType="end"/>
      </w:r>
    </w:p>
    <w:p w:rsidR="00D10CBC" w:rsidRDefault="00D10CBC">
      <w:pPr>
        <w:rPr>
          <w:noProof/>
        </w:rPr>
        <w:sectPr w:rsidR="00D10CBC" w:rsidSect="00BC383A">
          <w:pgSz w:w="11907" w:h="16840" w:code="9"/>
          <w:pgMar w:top="1134" w:right="1418" w:bottom="1134" w:left="1418" w:header="709" w:footer="709" w:gutter="0"/>
          <w:pgNumType w:start="1"/>
          <w:cols w:space="720"/>
          <w:docGrid w:linePitch="360"/>
        </w:sectPr>
      </w:pPr>
    </w:p>
    <w:p w:rsidR="00D10CBC" w:rsidRDefault="00BC383A">
      <w:pPr>
        <w:jc w:val="center"/>
        <w:rPr>
          <w:b/>
          <w:noProof/>
          <w:u w:val="single"/>
        </w:rPr>
      </w:pPr>
      <w:r>
        <w:rPr>
          <w:b/>
          <w:noProof/>
          <w:u w:val="single"/>
        </w:rPr>
        <w:lastRenderedPageBreak/>
        <w:t>LEGISLATIVE FINANCIAL STATEMENT</w:t>
      </w:r>
    </w:p>
    <w:p w:rsidR="00D10CBC" w:rsidRDefault="00BC383A">
      <w:pPr>
        <w:pStyle w:val="ManualHeading1"/>
        <w:rPr>
          <w:noProof/>
        </w:rPr>
      </w:pPr>
      <w:bookmarkStart w:id="0" w:name="_Toc514938007"/>
      <w:bookmarkStart w:id="1" w:name="_Toc520485025"/>
      <w:r>
        <w:t>1.</w:t>
      </w:r>
      <w:r>
        <w:tab/>
      </w:r>
      <w:r>
        <w:rPr>
          <w:noProof/>
        </w:rPr>
        <w:t>FRAMEWORK OF THE PROPOSAL/INITIATIVE</w:t>
      </w:r>
      <w:bookmarkEnd w:id="0"/>
      <w:bookmarkEnd w:id="1"/>
      <w:r>
        <w:rPr>
          <w:noProof/>
        </w:rPr>
        <w:t xml:space="preserve"> </w:t>
      </w:r>
    </w:p>
    <w:p w:rsidR="00D10CBC" w:rsidRDefault="00BC383A">
      <w:pPr>
        <w:pStyle w:val="ManualHeading2"/>
        <w:rPr>
          <w:noProof/>
        </w:rPr>
      </w:pPr>
      <w:bookmarkStart w:id="2" w:name="_Toc514938008"/>
      <w:bookmarkStart w:id="3" w:name="_Toc520485026"/>
      <w:r>
        <w:t>1.1.</w:t>
      </w:r>
      <w:r>
        <w:tab/>
      </w:r>
      <w:r>
        <w:rPr>
          <w:noProof/>
        </w:rPr>
        <w:t>Title of the proposal/initiative</w:t>
      </w:r>
      <w:bookmarkEnd w:id="2"/>
      <w:bookmarkEnd w:id="3"/>
    </w:p>
    <w:p w:rsidR="00D10CBC" w:rsidRDefault="00BC383A">
      <w:pPr>
        <w:pStyle w:val="Text1"/>
        <w:pBdr>
          <w:top w:val="single" w:sz="4" w:space="1" w:color="auto"/>
          <w:left w:val="single" w:sz="4" w:space="4" w:color="auto"/>
          <w:bottom w:val="single" w:sz="4" w:space="1" w:color="auto"/>
          <w:right w:val="single" w:sz="4" w:space="4" w:color="auto"/>
        </w:pBdr>
        <w:jc w:val="left"/>
        <w:rPr>
          <w:noProof/>
          <w:szCs w:val="28"/>
          <w:shd w:val="clear" w:color="auto" w:fill="FFFFFF"/>
        </w:rPr>
      </w:pPr>
      <w:bookmarkStart w:id="4" w:name="_Toc514938011"/>
      <w:bookmarkStart w:id="5" w:name="_Toc520485027"/>
      <w:r>
        <w:rPr>
          <w:noProof/>
          <w:szCs w:val="28"/>
          <w:shd w:val="clear" w:color="auto" w:fill="FFFFFF"/>
        </w:rPr>
        <w:t xml:space="preserve">European Health Emergency Preparedness and </w:t>
      </w:r>
      <w:r>
        <w:rPr>
          <w:noProof/>
          <w:szCs w:val="28"/>
          <w:shd w:val="clear" w:color="auto" w:fill="FFFFFF"/>
        </w:rPr>
        <w:t>Response Authority (HERA)</w:t>
      </w:r>
    </w:p>
    <w:p w:rsidR="00D10CBC" w:rsidRDefault="00BC383A">
      <w:pPr>
        <w:pStyle w:val="ManualHeading2"/>
        <w:rPr>
          <w:i/>
          <w:noProof/>
        </w:rPr>
      </w:pPr>
      <w:r>
        <w:t>1.2.</w:t>
      </w:r>
      <w:r>
        <w:tab/>
      </w:r>
      <w:r>
        <w:rPr>
          <w:noProof/>
        </w:rPr>
        <w:t>Policy area(s) concerned</w:t>
      </w:r>
      <w:bookmarkEnd w:id="4"/>
      <w:bookmarkEnd w:id="5"/>
      <w:r>
        <w:rPr>
          <w:i/>
          <w:noProof/>
        </w:rPr>
        <w:t xml:space="preserve"> </w:t>
      </w:r>
    </w:p>
    <w:p w:rsidR="00D10CBC" w:rsidRDefault="00BC383A">
      <w:pPr>
        <w:pStyle w:val="Text1"/>
        <w:pBdr>
          <w:top w:val="single" w:sz="4" w:space="1" w:color="auto"/>
          <w:left w:val="single" w:sz="4" w:space="4" w:color="auto"/>
          <w:bottom w:val="single" w:sz="4" w:space="1" w:color="auto"/>
          <w:right w:val="single" w:sz="4" w:space="4" w:color="auto"/>
        </w:pBdr>
      </w:pPr>
      <w:bookmarkStart w:id="6" w:name="_Toc514938014"/>
      <w:bookmarkStart w:id="7" w:name="_Toc520485028"/>
      <w:r>
        <w:t xml:space="preserve">Heading 1: Single market, innovation and digital  </w:t>
      </w:r>
    </w:p>
    <w:p w:rsidR="00D10CBC" w:rsidRDefault="00BC383A">
      <w:pPr>
        <w:pStyle w:val="Text1"/>
        <w:pBdr>
          <w:top w:val="single" w:sz="4" w:space="1" w:color="auto"/>
          <w:left w:val="single" w:sz="4" w:space="4" w:color="auto"/>
          <w:bottom w:val="single" w:sz="4" w:space="1" w:color="auto"/>
          <w:right w:val="single" w:sz="4" w:space="4" w:color="auto"/>
        </w:pBdr>
        <w:rPr>
          <w:noProof/>
        </w:rPr>
      </w:pPr>
      <w:r>
        <w:t>Heading 2b: Resilience and values</w:t>
      </w:r>
    </w:p>
    <w:p w:rsidR="00D10CBC" w:rsidRDefault="00BC383A">
      <w:pPr>
        <w:pStyle w:val="ManualHeading2"/>
        <w:rPr>
          <w:bCs/>
          <w:noProof/>
          <w:szCs w:val="24"/>
        </w:rPr>
      </w:pPr>
      <w:r>
        <w:t>1.3.</w:t>
      </w:r>
      <w:r>
        <w:tab/>
      </w:r>
      <w:r>
        <w:rPr>
          <w:noProof/>
        </w:rPr>
        <w:t>The proposal/initiative relates to:</w:t>
      </w:r>
      <w:bookmarkEnd w:id="6"/>
      <w:bookmarkEnd w:id="7"/>
      <w:r>
        <w:rPr>
          <w:noProof/>
        </w:rPr>
        <w:t xml:space="preserve"> </w:t>
      </w:r>
    </w:p>
    <w:p w:rsidR="00D10CBC" w:rsidRDefault="00BC383A">
      <w:pPr>
        <w:pStyle w:val="Text1"/>
        <w:rPr>
          <w:b/>
          <w:noProof/>
          <w:sz w:val="22"/>
        </w:rPr>
      </w:pPr>
      <w:r>
        <w:rPr>
          <w:noProof/>
          <w:sz w:val="22"/>
        </w:rPr>
        <w:t>X</w:t>
      </w:r>
      <w:r>
        <w:rPr>
          <w:b/>
          <w:i/>
          <w:noProof/>
          <w:sz w:val="22"/>
        </w:rPr>
        <w:t xml:space="preserve"> </w:t>
      </w:r>
      <w:r>
        <w:rPr>
          <w:b/>
          <w:noProof/>
        </w:rPr>
        <w:t>a new action</w:t>
      </w:r>
      <w:r>
        <w:rPr>
          <w:b/>
          <w:noProof/>
          <w:sz w:val="22"/>
        </w:rPr>
        <w:t xml:space="preserve"> </w:t>
      </w:r>
    </w:p>
    <w:p w:rsidR="00D10CBC" w:rsidRDefault="00BC383A">
      <w:pPr>
        <w:pStyle w:val="Text1"/>
        <w:rPr>
          <w:noProof/>
          <w:sz w:val="22"/>
        </w:rPr>
      </w:pPr>
      <w:r>
        <w:rPr>
          <w:noProof/>
          <w:sz w:val="22"/>
        </w:rPr>
        <w:sym w:font="Wingdings" w:char="F0A8"/>
      </w:r>
      <w:r>
        <w:rPr>
          <w:i/>
          <w:noProof/>
          <w:sz w:val="22"/>
        </w:rPr>
        <w:t xml:space="preserve"> </w:t>
      </w:r>
      <w:r>
        <w:rPr>
          <w:b/>
          <w:noProof/>
        </w:rPr>
        <w:t xml:space="preserve">a new action following a pilot project/preparatory </w:t>
      </w:r>
      <w:r>
        <w:rPr>
          <w:b/>
          <w:noProof/>
        </w:rPr>
        <w:t>action</w:t>
      </w:r>
      <w:r>
        <w:rPr>
          <w:rStyle w:val="FootnoteReference"/>
          <w:b/>
          <w:noProof/>
        </w:rPr>
        <w:footnoteReference w:id="34"/>
      </w:r>
      <w:r>
        <w:rPr>
          <w:noProof/>
          <w:sz w:val="22"/>
        </w:rPr>
        <w:t xml:space="preserve"> </w:t>
      </w:r>
    </w:p>
    <w:p w:rsidR="00D10CBC" w:rsidRDefault="00BC383A">
      <w:pPr>
        <w:pStyle w:val="Text1"/>
        <w:rPr>
          <w:noProof/>
          <w:sz w:val="22"/>
        </w:rPr>
      </w:pPr>
      <w:r>
        <w:rPr>
          <w:noProof/>
          <w:sz w:val="22"/>
        </w:rPr>
        <w:sym w:font="Wingdings" w:char="F0A8"/>
      </w:r>
      <w:r>
        <w:rPr>
          <w:i/>
          <w:noProof/>
          <w:sz w:val="22"/>
        </w:rPr>
        <w:t xml:space="preserve"> </w:t>
      </w:r>
      <w:r>
        <w:rPr>
          <w:b/>
          <w:noProof/>
        </w:rPr>
        <w:t>the extension of an existing action</w:t>
      </w:r>
      <w:r>
        <w:rPr>
          <w:noProof/>
          <w:sz w:val="22"/>
        </w:rPr>
        <w:t xml:space="preserve"> </w:t>
      </w:r>
    </w:p>
    <w:p w:rsidR="00D10CBC" w:rsidRDefault="00BC383A">
      <w:pPr>
        <w:pStyle w:val="Text1"/>
        <w:rPr>
          <w:noProof/>
        </w:rPr>
      </w:pPr>
      <w:r>
        <w:rPr>
          <w:noProof/>
          <w:sz w:val="22"/>
        </w:rPr>
        <w:sym w:font="Wingdings" w:char="F0A8"/>
      </w:r>
      <w:r>
        <w:rPr>
          <w:i/>
          <w:noProof/>
          <w:sz w:val="22"/>
        </w:rPr>
        <w:t xml:space="preserve"> </w:t>
      </w:r>
      <w:r>
        <w:rPr>
          <w:b/>
          <w:noProof/>
        </w:rPr>
        <w:t>a merger or redirection of one or more actions towards another/a new action</w:t>
      </w:r>
      <w:r>
        <w:rPr>
          <w:noProof/>
        </w:rPr>
        <w:t xml:space="preserve"> </w:t>
      </w:r>
    </w:p>
    <w:p w:rsidR="00D10CBC" w:rsidRDefault="00BC383A">
      <w:pPr>
        <w:pStyle w:val="ManualHeading2"/>
        <w:rPr>
          <w:bCs/>
          <w:noProof/>
          <w:szCs w:val="24"/>
        </w:rPr>
      </w:pPr>
      <w:bookmarkStart w:id="8" w:name="_Toc514938015"/>
      <w:bookmarkStart w:id="9" w:name="_Toc520485029"/>
      <w:r>
        <w:t>1.4.</w:t>
      </w:r>
      <w:r>
        <w:tab/>
      </w:r>
      <w:r>
        <w:rPr>
          <w:noProof/>
        </w:rPr>
        <w:t>Objective(s)</w:t>
      </w:r>
      <w:bookmarkEnd w:id="8"/>
      <w:bookmarkEnd w:id="9"/>
    </w:p>
    <w:p w:rsidR="00D10CBC" w:rsidRDefault="00BC383A">
      <w:pPr>
        <w:pStyle w:val="ManualHeading3"/>
        <w:rPr>
          <w:noProof/>
        </w:rPr>
      </w:pPr>
      <w:bookmarkStart w:id="10" w:name="_Toc514938016"/>
      <w:bookmarkStart w:id="11" w:name="_Toc520485030"/>
      <w:r>
        <w:t>1.4.1.</w:t>
      </w:r>
      <w:r>
        <w:tab/>
      </w:r>
      <w:r>
        <w:rPr>
          <w:noProof/>
        </w:rPr>
        <w:t>General objective(s)</w:t>
      </w:r>
      <w:bookmarkEnd w:id="10"/>
      <w:bookmarkEnd w:id="11"/>
    </w:p>
    <w:p w:rsidR="00D10CBC" w:rsidRDefault="00BC383A">
      <w:pPr>
        <w:pStyle w:val="Text1"/>
        <w:pBdr>
          <w:top w:val="single" w:sz="4" w:space="1" w:color="auto"/>
          <w:left w:val="single" w:sz="4" w:space="4" w:color="auto"/>
          <w:bottom w:val="single" w:sz="4" w:space="1" w:color="auto"/>
          <w:right w:val="single" w:sz="4" w:space="4" w:color="auto"/>
        </w:pBdr>
        <w:rPr>
          <w:noProof/>
        </w:rPr>
      </w:pPr>
      <w:bookmarkStart w:id="12" w:name="_Toc514938018"/>
      <w:bookmarkStart w:id="13" w:name="_Toc520485031"/>
      <w:r>
        <w:rPr>
          <w:noProof/>
        </w:rPr>
        <w:t>The HERA would seek to improve public health by strengthening the EU’s preparedness</w:t>
      </w:r>
      <w:r>
        <w:rPr>
          <w:noProof/>
        </w:rPr>
        <w:t xml:space="preserve"> and response for serious cross-border threats to health, both of natural and intentional origin.</w:t>
      </w:r>
    </w:p>
    <w:p w:rsidR="00D10CBC" w:rsidRDefault="00BC383A">
      <w:pPr>
        <w:pStyle w:val="ManualHeading3"/>
        <w:rPr>
          <w:bCs/>
          <w:noProof/>
          <w:szCs w:val="24"/>
        </w:rPr>
      </w:pPr>
      <w:r>
        <w:t>1.4.2.</w:t>
      </w:r>
      <w:r>
        <w:tab/>
      </w:r>
      <w:r>
        <w:rPr>
          <w:noProof/>
        </w:rPr>
        <w:t>Specific objective(s)</w:t>
      </w:r>
      <w:bookmarkEnd w:id="12"/>
      <w:bookmarkEnd w:id="13"/>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Specific objective No</w:t>
      </w:r>
    </w:p>
    <w:p w:rsidR="00D10CBC" w:rsidRDefault="00BC383A">
      <w:pPr>
        <w:pStyle w:val="Point1"/>
        <w:pBdr>
          <w:top w:val="single" w:sz="4" w:space="1" w:color="auto"/>
          <w:left w:val="single" w:sz="4" w:space="4" w:color="auto"/>
          <w:bottom w:val="single" w:sz="4" w:space="1" w:color="auto"/>
          <w:right w:val="single" w:sz="4" w:space="4" w:color="auto"/>
        </w:pBdr>
        <w:rPr>
          <w:noProof/>
          <w:lang w:val="en-US"/>
        </w:rPr>
      </w:pPr>
      <w:bookmarkStart w:id="14" w:name="_Toc514938019"/>
      <w:bookmarkStart w:id="15" w:name="_Toc520485032"/>
      <w:r>
        <w:rPr>
          <w:noProof/>
          <w:lang w:val="en-US"/>
        </w:rPr>
        <w:t>1.</w:t>
      </w:r>
      <w:r>
        <w:rPr>
          <w:noProof/>
          <w:lang w:val="en-US"/>
        </w:rPr>
        <w:tab/>
        <w:t xml:space="preserve">Ensure timely availability and equitable access to medical countermeasures during a cross-border threat </w:t>
      </w:r>
      <w:r>
        <w:rPr>
          <w:noProof/>
          <w:lang w:val="en-US"/>
        </w:rPr>
        <w:t xml:space="preserve">to health </w:t>
      </w:r>
    </w:p>
    <w:p w:rsidR="00D10CBC" w:rsidRDefault="00BC383A">
      <w:pPr>
        <w:pStyle w:val="Point1"/>
        <w:pBdr>
          <w:top w:val="single" w:sz="4" w:space="1" w:color="auto"/>
          <w:left w:val="single" w:sz="4" w:space="4" w:color="auto"/>
          <w:bottom w:val="single" w:sz="4" w:space="1" w:color="auto"/>
          <w:right w:val="single" w:sz="4" w:space="4" w:color="auto"/>
        </w:pBdr>
        <w:rPr>
          <w:iCs/>
          <w:noProof/>
          <w:lang w:val="en-US"/>
        </w:rPr>
      </w:pPr>
      <w:r>
        <w:rPr>
          <w:iCs/>
          <w:noProof/>
          <w:lang w:val="en-US"/>
        </w:rPr>
        <w:t>2.</w:t>
      </w:r>
      <w:r>
        <w:rPr>
          <w:iCs/>
          <w:noProof/>
          <w:lang w:val="en-US"/>
        </w:rPr>
        <w:tab/>
        <w:t>Improve intelligence gathering, analysis and sharing on serious cross-border health threats, i</w:t>
      </w:r>
      <w:r>
        <w:rPr>
          <w:noProof/>
        </w:rPr>
        <w:t>dentify and address raw material dependencies as well as market and regulatory challenges/failures</w:t>
      </w:r>
    </w:p>
    <w:p w:rsidR="00D10CBC" w:rsidRDefault="00BC383A">
      <w:pPr>
        <w:pStyle w:val="Point1"/>
        <w:pBdr>
          <w:top w:val="single" w:sz="4" w:space="1" w:color="auto"/>
          <w:left w:val="single" w:sz="4" w:space="4" w:color="auto"/>
          <w:bottom w:val="single" w:sz="4" w:space="1" w:color="auto"/>
          <w:right w:val="single" w:sz="4" w:space="4" w:color="auto"/>
        </w:pBdr>
        <w:rPr>
          <w:iCs/>
          <w:noProof/>
          <w:lang w:val="en-US"/>
        </w:rPr>
      </w:pPr>
      <w:r>
        <w:rPr>
          <w:iCs/>
          <w:noProof/>
          <w:lang w:val="en-US"/>
        </w:rPr>
        <w:t>3.</w:t>
      </w:r>
      <w:r>
        <w:rPr>
          <w:iCs/>
          <w:noProof/>
          <w:lang w:val="en-US"/>
        </w:rPr>
        <w:tab/>
        <w:t>Improve medical countermeasures development an</w:t>
      </w:r>
      <w:r>
        <w:rPr>
          <w:iCs/>
          <w:noProof/>
          <w:lang w:val="en-US"/>
        </w:rPr>
        <w:t>d production, setting up structures to integrate research and technological development projects</w:t>
      </w:r>
    </w:p>
    <w:p w:rsidR="00D10CBC" w:rsidRDefault="00BC383A">
      <w:pPr>
        <w:pStyle w:val="Point1"/>
        <w:pBdr>
          <w:top w:val="single" w:sz="4" w:space="1" w:color="auto"/>
          <w:left w:val="single" w:sz="4" w:space="4" w:color="auto"/>
          <w:bottom w:val="single" w:sz="4" w:space="1" w:color="auto"/>
          <w:right w:val="single" w:sz="4" w:space="4" w:color="auto"/>
        </w:pBdr>
        <w:rPr>
          <w:iCs/>
          <w:noProof/>
          <w:lang w:val="en-US"/>
        </w:rPr>
      </w:pPr>
      <w:r>
        <w:rPr>
          <w:iCs/>
          <w:noProof/>
          <w:lang w:val="en-US"/>
        </w:rPr>
        <w:t>4.</w:t>
      </w:r>
      <w:r>
        <w:rPr>
          <w:iCs/>
          <w:noProof/>
          <w:lang w:val="en-US"/>
        </w:rPr>
        <w:tab/>
        <w:t xml:space="preserve">Coordinate action on medical countermeasures between national competent authorities, public buyers, industrial and research stakeholders, as well as global </w:t>
      </w:r>
      <w:r>
        <w:rPr>
          <w:iCs/>
          <w:noProof/>
          <w:lang w:val="en-US"/>
        </w:rPr>
        <w:t>actors</w:t>
      </w:r>
    </w:p>
    <w:p w:rsidR="00D10CBC" w:rsidRDefault="00BC383A">
      <w:pPr>
        <w:pStyle w:val="ManualHeading3"/>
        <w:rPr>
          <w:noProof/>
        </w:rPr>
      </w:pPr>
      <w:r>
        <w:t>1.4.3.</w:t>
      </w:r>
      <w:r>
        <w:tab/>
      </w:r>
      <w:r>
        <w:rPr>
          <w:noProof/>
        </w:rPr>
        <w:t>Expected result(s) and impact</w:t>
      </w:r>
      <w:bookmarkEnd w:id="14"/>
      <w:bookmarkEnd w:id="15"/>
    </w:p>
    <w:p w:rsidR="00D10CBC" w:rsidRDefault="00BC383A">
      <w:pPr>
        <w:pStyle w:val="Text1"/>
        <w:rPr>
          <w:i/>
          <w:noProof/>
          <w:sz w:val="20"/>
        </w:rPr>
      </w:pPr>
      <w:r>
        <w:rPr>
          <w:i/>
          <w:noProof/>
          <w:sz w:val="20"/>
        </w:rPr>
        <w:t>Specify the effects which the proposal/initiative should have on the beneficiaries/groups targeted.</w:t>
      </w:r>
    </w:p>
    <w:p w:rsidR="00D10CBC" w:rsidRDefault="00BC383A">
      <w:pPr>
        <w:pStyle w:val="Text1"/>
        <w:pBdr>
          <w:top w:val="single" w:sz="4" w:space="1" w:color="auto"/>
          <w:left w:val="single" w:sz="4" w:space="4" w:color="auto"/>
          <w:bottom w:val="single" w:sz="4" w:space="1" w:color="auto"/>
          <w:right w:val="single" w:sz="4" w:space="4" w:color="auto"/>
        </w:pBdr>
        <w:ind w:right="-143"/>
        <w:rPr>
          <w:b/>
          <w:noProof/>
          <w:u w:val="single"/>
        </w:rPr>
      </w:pPr>
      <w:bookmarkStart w:id="16" w:name="_Toc514938023"/>
      <w:bookmarkStart w:id="17" w:name="_Toc520485033"/>
      <w:r>
        <w:rPr>
          <w:b/>
          <w:noProof/>
          <w:u w:val="single"/>
        </w:rPr>
        <w:t>Specific objective No 1:</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iCs/>
          <w:noProof/>
          <w:lang w:val="en-US"/>
        </w:rPr>
        <w:t xml:space="preserve">Ensure timely availability and equitable access to medical countermeasures during a cross-border threat to health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Expected result(s) and impact: </w:t>
      </w:r>
    </w:p>
    <w:p w:rsidR="00D10CBC" w:rsidRDefault="00BC383A">
      <w:pPr>
        <w:pStyle w:val="Text1"/>
        <w:pBdr>
          <w:top w:val="single" w:sz="4" w:space="1" w:color="auto"/>
          <w:left w:val="single" w:sz="4" w:space="4" w:color="auto"/>
          <w:bottom w:val="single" w:sz="4" w:space="1" w:color="auto"/>
          <w:right w:val="single" w:sz="4" w:space="4" w:color="auto"/>
        </w:pBdr>
        <w:ind w:right="-143"/>
      </w:pPr>
      <w:r>
        <w:lastRenderedPageBreak/>
        <w:t xml:space="preserve">Better preparedness in terms of availability and supply (procurement, stockpiling, reservation) of critical medical countermeasures. </w:t>
      </w:r>
    </w:p>
    <w:p w:rsidR="00D10CBC" w:rsidRDefault="00BC383A">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Specific objective No 2:</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rPr>
        <w:t>Improve intelligence gathering, analysis and sharing on serious cross-border health threats, iden</w:t>
      </w:r>
      <w:r>
        <w:rPr>
          <w:noProof/>
        </w:rPr>
        <w:t>tify and address raw material dependencies as well as market and regulatory challenges/failures</w:t>
      </w:r>
      <w:r>
        <w:rPr>
          <w:noProof/>
          <w:u w:val="single"/>
        </w:rPr>
        <w:t xml:space="preserve">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Expected result(s) and impact: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rPr>
        <w:t>Anticipatory threat assessment, horizon scanning, market intelligence, foresight of serious cross-border threats to health at E</w:t>
      </w:r>
      <w:r>
        <w:rPr>
          <w:noProof/>
        </w:rPr>
        <w:t>U level</w:t>
      </w:r>
    </w:p>
    <w:p w:rsidR="00D10CBC" w:rsidRDefault="00BC383A">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Specific objective No 3:</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lang w:val="en-US"/>
        </w:rPr>
      </w:pPr>
      <w:r>
        <w:rPr>
          <w:noProof/>
        </w:rPr>
        <w:t>I</w:t>
      </w:r>
      <w:r>
        <w:rPr>
          <w:noProof/>
          <w:lang w:val="en-US"/>
        </w:rPr>
        <w:t>mprove medical countermeasures development and production, setting up structures to integrate research and technological development projects.</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Expected result(s) and impact: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rPr>
        <w:t>Better integration of advanced research, innova</w:t>
      </w:r>
      <w:r>
        <w:rPr>
          <w:noProof/>
        </w:rPr>
        <w:t>tion and development of corresponding technologies and countermeasures (including end stage R&amp;D, clinical trials and regulatory pathways).</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iCs/>
          <w:noProof/>
        </w:rPr>
        <w:t>Ensuring production</w:t>
      </w:r>
      <w:r>
        <w:rPr>
          <w:noProof/>
        </w:rPr>
        <w:t>, establishing EU flexible and scalable manufacturing capacities for the production of crisis-rele</w:t>
      </w:r>
      <w:r>
        <w:rPr>
          <w:noProof/>
        </w:rPr>
        <w:t>vant countermeasures (including crisis relevant raw materials) adequate to respond to health emergencies.</w:t>
      </w:r>
    </w:p>
    <w:p w:rsidR="00D10CBC" w:rsidRDefault="00BC383A">
      <w:pPr>
        <w:pStyle w:val="Text1"/>
        <w:pBdr>
          <w:top w:val="single" w:sz="4" w:space="1" w:color="auto"/>
          <w:left w:val="single" w:sz="4" w:space="4" w:color="auto"/>
          <w:bottom w:val="single" w:sz="4" w:space="1" w:color="auto"/>
          <w:right w:val="single" w:sz="4" w:space="4" w:color="auto"/>
        </w:pBdr>
        <w:ind w:right="-143"/>
        <w:rPr>
          <w:b/>
          <w:noProof/>
          <w:u w:val="single"/>
        </w:rPr>
      </w:pPr>
      <w:r>
        <w:rPr>
          <w:b/>
          <w:noProof/>
          <w:u w:val="single"/>
        </w:rPr>
        <w:t>Specific objective No 4:</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lang w:val="en-US"/>
        </w:rPr>
      </w:pPr>
      <w:r>
        <w:rPr>
          <w:noProof/>
        </w:rPr>
        <w:t>C</w:t>
      </w:r>
      <w:r>
        <w:rPr>
          <w:noProof/>
          <w:lang w:val="en-US"/>
        </w:rPr>
        <w:t>oordinate action on medical countermeasures between national competent authorities, public buyers, industrial and research s</w:t>
      </w:r>
      <w:r>
        <w:rPr>
          <w:noProof/>
          <w:lang w:val="en-US"/>
        </w:rPr>
        <w:t>takeholders, as well as global actors.</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u w:val="single"/>
        </w:rPr>
      </w:pPr>
      <w:r>
        <w:rPr>
          <w:noProof/>
          <w:u w:val="single"/>
        </w:rPr>
        <w:t xml:space="preserve">Expected result(s) and impact: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lang w:val="en-US"/>
        </w:rPr>
      </w:pPr>
      <w:r>
        <w:rPr>
          <w:noProof/>
          <w:lang w:val="en-US"/>
        </w:rPr>
        <w:t xml:space="preserve">Capacity building in Member States e.g. through trainings, expert exchanges </w:t>
      </w:r>
    </w:p>
    <w:p w:rsidR="00D10CBC" w:rsidRDefault="00BC383A">
      <w:pPr>
        <w:pStyle w:val="Text1"/>
        <w:pBdr>
          <w:top w:val="single" w:sz="4" w:space="1" w:color="auto"/>
          <w:left w:val="single" w:sz="4" w:space="4" w:color="auto"/>
          <w:bottom w:val="single" w:sz="4" w:space="1" w:color="auto"/>
          <w:right w:val="single" w:sz="4" w:space="4" w:color="auto"/>
        </w:pBdr>
        <w:ind w:right="-143"/>
        <w:rPr>
          <w:noProof/>
          <w:lang w:val="en-US"/>
        </w:rPr>
      </w:pPr>
      <w:r>
        <w:rPr>
          <w:noProof/>
          <w:lang w:val="en-US"/>
        </w:rPr>
        <w:t>International engagement and reinforcement for medical countermeasures access and development, as well as th</w:t>
      </w:r>
      <w:r>
        <w:rPr>
          <w:noProof/>
          <w:lang w:val="en-US"/>
        </w:rPr>
        <w:t>reat assessments, surveillance and capacity building</w:t>
      </w:r>
    </w:p>
    <w:p w:rsidR="00D10CBC" w:rsidRDefault="00BC383A">
      <w:pPr>
        <w:pStyle w:val="ManualHeading3"/>
        <w:rPr>
          <w:noProof/>
          <w:szCs w:val="24"/>
        </w:rPr>
      </w:pPr>
      <w:r>
        <w:t>1.4.4.</w:t>
      </w:r>
      <w:r>
        <w:tab/>
      </w:r>
      <w:r>
        <w:rPr>
          <w:noProof/>
        </w:rPr>
        <w:t>Indicators of performance</w:t>
      </w:r>
      <w:bookmarkEnd w:id="16"/>
      <w:bookmarkEnd w:id="17"/>
    </w:p>
    <w:p w:rsidR="00D10CBC" w:rsidRDefault="00BC383A">
      <w:pPr>
        <w:pStyle w:val="Text1"/>
        <w:rPr>
          <w:i/>
          <w:noProof/>
          <w:sz w:val="20"/>
        </w:rPr>
      </w:pPr>
      <w:r>
        <w:rPr>
          <w:i/>
          <w:noProof/>
          <w:sz w:val="20"/>
        </w:rPr>
        <w:t>Specify the indicators for monitoring progress and achievements.</w:t>
      </w:r>
    </w:p>
    <w:p w:rsidR="00D10CBC" w:rsidRDefault="00BC383A">
      <w:pPr>
        <w:pStyle w:val="Text1"/>
        <w:pBdr>
          <w:top w:val="single" w:sz="4" w:space="0" w:color="auto"/>
          <w:left w:val="single" w:sz="4" w:space="4" w:color="auto"/>
          <w:bottom w:val="single" w:sz="4" w:space="1" w:color="auto"/>
          <w:right w:val="single" w:sz="4" w:space="4" w:color="auto"/>
        </w:pBdr>
        <w:rPr>
          <w:noProof/>
          <w:szCs w:val="24"/>
        </w:rPr>
      </w:pPr>
      <w:bookmarkStart w:id="18" w:name="_Toc514938025"/>
      <w:bookmarkStart w:id="19" w:name="_Toc520485034"/>
      <w:r>
        <w:rPr>
          <w:noProof/>
          <w:szCs w:val="24"/>
        </w:rPr>
        <w:t>General objectives:</w:t>
      </w:r>
    </w:p>
    <w:p w:rsidR="00D10CBC" w:rsidRDefault="00BC383A">
      <w:pPr>
        <w:pStyle w:val="Point1"/>
        <w:pBdr>
          <w:top w:val="single" w:sz="4" w:space="1" w:color="auto"/>
          <w:left w:val="single" w:sz="4" w:space="1" w:color="auto"/>
          <w:bottom w:val="single" w:sz="4" w:space="1" w:color="auto"/>
          <w:right w:val="single" w:sz="4" w:space="1" w:color="auto"/>
        </w:pBdr>
        <w:rPr>
          <w:noProof/>
          <w:szCs w:val="24"/>
        </w:rPr>
      </w:pPr>
      <w:r>
        <w:rPr>
          <w:noProof/>
        </w:rPr>
        <w:t>I.</w:t>
      </w:r>
      <w:r>
        <w:rPr>
          <w:noProof/>
        </w:rPr>
        <w:tab/>
        <w:t xml:space="preserve">Strengthening the EU’s preparedness and response for serious cross-border threats </w:t>
      </w:r>
      <w:r>
        <w:rPr>
          <w:noProof/>
        </w:rPr>
        <w:t>to health, both of natural and intentional origin</w:t>
      </w:r>
      <w:r>
        <w:rPr>
          <w:noProof/>
          <w:szCs w:val="24"/>
        </w:rPr>
        <w:t>.</w:t>
      </w:r>
    </w:p>
    <w:p w:rsidR="00D10CBC" w:rsidRDefault="00BC383A">
      <w:pPr>
        <w:pStyle w:val="Text1"/>
        <w:pBdr>
          <w:top w:val="single" w:sz="4" w:space="1" w:color="auto"/>
          <w:left w:val="single" w:sz="4" w:space="1" w:color="auto"/>
          <w:bottom w:val="single" w:sz="4" w:space="1" w:color="auto"/>
          <w:right w:val="single" w:sz="4" w:space="1" w:color="auto"/>
        </w:pBdr>
        <w:rPr>
          <w:iCs/>
          <w:noProof/>
        </w:rPr>
      </w:pPr>
      <w:r>
        <w:rPr>
          <w:i/>
          <w:iCs/>
          <w:noProof/>
        </w:rPr>
        <w:t xml:space="preserve">Indicator 1: </w:t>
      </w:r>
      <w:r>
        <w:rPr>
          <w:iCs/>
          <w:noProof/>
        </w:rPr>
        <w:t>Sufficient and timely availability</w:t>
      </w:r>
      <w:r>
        <w:rPr>
          <w:noProof/>
          <w:szCs w:val="24"/>
        </w:rPr>
        <w:t xml:space="preserve"> of critical medical countermeasures in case of a crisis. </w:t>
      </w:r>
    </w:p>
    <w:p w:rsidR="00D10CBC" w:rsidRDefault="00BC383A">
      <w:pPr>
        <w:pStyle w:val="Text1"/>
        <w:pBdr>
          <w:top w:val="single" w:sz="4" w:space="1" w:color="auto"/>
          <w:left w:val="single" w:sz="4" w:space="1" w:color="auto"/>
          <w:bottom w:val="single" w:sz="4" w:space="1" w:color="auto"/>
          <w:right w:val="single" w:sz="4" w:space="1" w:color="auto"/>
        </w:pBdr>
        <w:rPr>
          <w:noProof/>
          <w:szCs w:val="24"/>
        </w:rPr>
      </w:pPr>
      <w:r>
        <w:rPr>
          <w:i/>
          <w:iCs/>
          <w:noProof/>
        </w:rPr>
        <w:t>Indicator 2:</w:t>
      </w:r>
      <w:r>
        <w:rPr>
          <w:noProof/>
          <w:sz w:val="20"/>
          <w:szCs w:val="20"/>
        </w:rPr>
        <w:t xml:space="preserve"> </w:t>
      </w:r>
      <w:r>
        <w:rPr>
          <w:noProof/>
          <w:szCs w:val="20"/>
        </w:rPr>
        <w:t>Scaled up production/stockpiling/reservation of critical medical countermeasures to en</w:t>
      </w:r>
      <w:r>
        <w:rPr>
          <w:noProof/>
          <w:szCs w:val="20"/>
        </w:rPr>
        <w:t>sure an equitable access to them.</w:t>
      </w:r>
    </w:p>
    <w:p w:rsidR="00D10CBC" w:rsidRDefault="00BC383A">
      <w:pPr>
        <w:pStyle w:val="Text1"/>
        <w:pBdr>
          <w:top w:val="single" w:sz="4" w:space="1" w:color="auto"/>
          <w:left w:val="single" w:sz="4" w:space="1" w:color="auto"/>
          <w:bottom w:val="single" w:sz="4" w:space="1" w:color="auto"/>
          <w:right w:val="single" w:sz="4" w:space="1" w:color="auto"/>
        </w:pBdr>
        <w:rPr>
          <w:noProof/>
          <w:szCs w:val="24"/>
        </w:rPr>
      </w:pPr>
      <w:r>
        <w:rPr>
          <w:i/>
          <w:iCs/>
          <w:noProof/>
        </w:rPr>
        <w:t>Indicator 3:</w:t>
      </w:r>
      <w:r>
        <w:rPr>
          <w:noProof/>
          <w:sz w:val="20"/>
          <w:szCs w:val="20"/>
        </w:rPr>
        <w:t xml:space="preserve"> </w:t>
      </w:r>
      <w:r>
        <w:rPr>
          <w:noProof/>
          <w:szCs w:val="24"/>
        </w:rPr>
        <w:t>Improved preparedness and response planning for serious cross-border threats to health in the area of medical countermeasures</w:t>
      </w:r>
      <w:r>
        <w:rPr>
          <w:noProof/>
          <w:sz w:val="22"/>
          <w:szCs w:val="20"/>
        </w:rPr>
        <w:t xml:space="preserve"> </w:t>
      </w:r>
      <w:r>
        <w:rPr>
          <w:noProof/>
          <w:szCs w:val="20"/>
        </w:rPr>
        <w:t>at the national and EU level.</w:t>
      </w:r>
    </w:p>
    <w:p w:rsidR="00D10CBC" w:rsidRDefault="00BC383A">
      <w:pPr>
        <w:pStyle w:val="ManualHeading2"/>
        <w:rPr>
          <w:bCs/>
          <w:noProof/>
          <w:szCs w:val="24"/>
        </w:rPr>
      </w:pPr>
      <w:r>
        <w:lastRenderedPageBreak/>
        <w:t>1.5.</w:t>
      </w:r>
      <w:r>
        <w:tab/>
      </w:r>
      <w:r>
        <w:rPr>
          <w:noProof/>
        </w:rPr>
        <w:t>Grounds for the proposal/initiative</w:t>
      </w:r>
      <w:bookmarkEnd w:id="18"/>
      <w:bookmarkEnd w:id="19"/>
      <w:r>
        <w:rPr>
          <w:noProof/>
        </w:rPr>
        <w:t xml:space="preserve"> </w:t>
      </w:r>
    </w:p>
    <w:p w:rsidR="00D10CBC" w:rsidRDefault="00BC383A">
      <w:pPr>
        <w:pStyle w:val="ManualHeading3"/>
        <w:rPr>
          <w:noProof/>
        </w:rPr>
      </w:pPr>
      <w:bookmarkStart w:id="20" w:name="_Toc514938026"/>
      <w:bookmarkStart w:id="21" w:name="_Toc520485035"/>
      <w:r>
        <w:t>1.5.1.</w:t>
      </w:r>
      <w:r>
        <w:tab/>
      </w:r>
      <w:r>
        <w:rPr>
          <w:noProof/>
        </w:rPr>
        <w:t>Requirement(s) to be met in the short or long term including a detailed timeline for roll-out of the implementation of the initiative</w:t>
      </w:r>
      <w:bookmarkEnd w:id="20"/>
      <w:bookmarkEnd w:id="21"/>
    </w:p>
    <w:p w:rsidR="00D10CBC" w:rsidRDefault="00BC383A">
      <w:pPr>
        <w:pStyle w:val="Text1"/>
        <w:pBdr>
          <w:top w:val="single" w:sz="4" w:space="1" w:color="auto"/>
          <w:left w:val="single" w:sz="4" w:space="4" w:color="auto"/>
          <w:bottom w:val="single" w:sz="4" w:space="1" w:color="auto"/>
          <w:right w:val="single" w:sz="4" w:space="4" w:color="auto"/>
        </w:pBdr>
        <w:rPr>
          <w:rFonts w:eastAsia="Calibri"/>
          <w:noProof/>
          <w:color w:val="000000" w:themeColor="text1"/>
          <w:szCs w:val="24"/>
        </w:rPr>
      </w:pPr>
      <w:bookmarkStart w:id="22" w:name="_Toc514938029"/>
      <w:bookmarkStart w:id="23" w:name="_Toc520485036"/>
      <w:r>
        <w:rPr>
          <w:rFonts w:eastAsia="Calibri"/>
          <w:noProof/>
          <w:color w:val="000000" w:themeColor="text1"/>
          <w:szCs w:val="24"/>
        </w:rPr>
        <w:t>The current COVID-19 crisis has shown that emergency preparedness and response must be given higher priority. It demonstra</w:t>
      </w:r>
      <w:r>
        <w:rPr>
          <w:rFonts w:eastAsia="Calibri"/>
          <w:noProof/>
          <w:color w:val="000000" w:themeColor="text1"/>
          <w:szCs w:val="24"/>
        </w:rPr>
        <w:t xml:space="preserve">ted the need for coordinated EU level action to respond to health emergencies. It revealed gaps in foresight, including demand/supply dimensions, and preparedness and response tools. The European Health Emergency Preparedness and Response Authority (HERA) </w:t>
      </w:r>
      <w:r>
        <w:rPr>
          <w:rFonts w:eastAsia="Calibri"/>
          <w:noProof/>
          <w:color w:val="000000" w:themeColor="text1"/>
          <w:szCs w:val="24"/>
        </w:rPr>
        <w:t>is a central element for strengthening the European Health Union with better EU preparedness and response to serious cross-border health threats, by enabling rapid availability, access and distribution of needed countermeasures</w:t>
      </w:r>
    </w:p>
    <w:p w:rsidR="00D10CBC" w:rsidRDefault="00BC383A">
      <w:pPr>
        <w:pStyle w:val="ManualHeading3"/>
        <w:rPr>
          <w:bCs/>
          <w:noProof/>
          <w:szCs w:val="24"/>
        </w:rPr>
      </w:pPr>
      <w:r>
        <w:t>1.5.2.</w:t>
      </w:r>
      <w:r>
        <w:tab/>
      </w:r>
      <w:r>
        <w:rPr>
          <w:noProof/>
        </w:rPr>
        <w:t xml:space="preserve">Added value of Union </w:t>
      </w:r>
      <w:r>
        <w:rPr>
          <w:noProof/>
        </w:rPr>
        <w:t>involvement (it may result from different factors, e.g. coordination gains, legal certainty, greater effectiveness or complementarities). For the purposes of this point 'added value of Union involvement' is the value resulting from Union intervention which</w:t>
      </w:r>
      <w:r>
        <w:rPr>
          <w:noProof/>
        </w:rPr>
        <w:t xml:space="preserve"> is additional to the value that would have been otherwise created by Member States alone.</w:t>
      </w:r>
      <w:bookmarkEnd w:id="22"/>
      <w:bookmarkEnd w:id="23"/>
    </w:p>
    <w:p w:rsidR="00D10CBC" w:rsidRDefault="00BC383A">
      <w:pPr>
        <w:pStyle w:val="Text1"/>
        <w:pBdr>
          <w:top w:val="single" w:sz="4" w:space="1" w:color="auto"/>
          <w:left w:val="single" w:sz="4" w:space="4" w:color="auto"/>
          <w:bottom w:val="single" w:sz="4" w:space="1" w:color="auto"/>
          <w:right w:val="single" w:sz="4" w:space="4" w:color="auto"/>
        </w:pBdr>
      </w:pPr>
      <w:bookmarkStart w:id="24" w:name="_Toc514938030"/>
      <w:bookmarkStart w:id="25" w:name="_Toc520485037"/>
      <w:r>
        <w:rPr>
          <w:noProof/>
        </w:rPr>
        <w:t>Reasons for action at European level (ex-ante):</w:t>
      </w:r>
      <w:r>
        <w:t xml:space="preserve"> </w:t>
      </w:r>
    </w:p>
    <w:p w:rsidR="00D10CBC" w:rsidRDefault="00BC383A">
      <w:pPr>
        <w:pStyle w:val="Text1"/>
        <w:pBdr>
          <w:top w:val="single" w:sz="4" w:space="1" w:color="auto"/>
          <w:left w:val="single" w:sz="4" w:space="4" w:color="auto"/>
          <w:bottom w:val="single" w:sz="4" w:space="1" w:color="auto"/>
          <w:right w:val="single" w:sz="4" w:space="4" w:color="auto"/>
        </w:pBdr>
        <w:rPr>
          <w:noProof/>
        </w:rPr>
      </w:pPr>
      <w:r>
        <w:t xml:space="preserve">The current </w:t>
      </w:r>
      <w:r>
        <w:rPr>
          <w:rFonts w:eastAsia="Calibri"/>
          <w:noProof/>
          <w:szCs w:val="24"/>
        </w:rPr>
        <w:t xml:space="preserve">COVID pandemic </w:t>
      </w:r>
      <w:r>
        <w:t xml:space="preserve">has revealed the importance of </w:t>
      </w:r>
      <w:r>
        <w:rPr>
          <w:rFonts w:eastAsia="Calibri"/>
          <w:noProof/>
          <w:szCs w:val="24"/>
        </w:rPr>
        <w:t xml:space="preserve">preparedness and response capacities of the Member States </w:t>
      </w:r>
      <w:r>
        <w:rPr>
          <w:rFonts w:eastAsia="Calibri"/>
          <w:noProof/>
          <w:szCs w:val="24"/>
        </w:rPr>
        <w:t xml:space="preserve">to swiftly react to health emergencies which require an engagement across borders. </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Expected generated Union added value (ex-post):</w:t>
      </w:r>
    </w:p>
    <w:p w:rsidR="00D10CBC" w:rsidRDefault="00BC383A">
      <w:pPr>
        <w:pStyle w:val="Text1"/>
        <w:pBdr>
          <w:top w:val="single" w:sz="4" w:space="1" w:color="auto"/>
          <w:left w:val="single" w:sz="4" w:space="4" w:color="auto"/>
          <w:bottom w:val="single" w:sz="4" w:space="1" w:color="auto"/>
          <w:right w:val="single" w:sz="4" w:space="4" w:color="auto"/>
        </w:pBdr>
      </w:pPr>
      <w:r>
        <w:rPr>
          <w:rFonts w:eastAsia="Calibri"/>
          <w:noProof/>
          <w:szCs w:val="24"/>
        </w:rPr>
        <w:t>A strong, legally sound and financially well equipped framework for EU health crisis preparedness and response, able to cope</w:t>
      </w:r>
      <w:r>
        <w:rPr>
          <w:rFonts w:eastAsia="Calibri"/>
          <w:noProof/>
          <w:szCs w:val="24"/>
        </w:rPr>
        <w:t xml:space="preserve"> with cross-border health threats,</w:t>
      </w:r>
      <w:r>
        <w:rPr>
          <w:noProof/>
        </w:rPr>
        <w:t xml:space="preserve"> </w:t>
      </w:r>
      <w:r>
        <w:rPr>
          <w:rFonts w:eastAsia="Calibri"/>
          <w:noProof/>
          <w:szCs w:val="24"/>
        </w:rPr>
        <w:t>including those from outside the EU, where EU intervention can add tangible value. The social and economic activity in the EU should be secured in all times</w:t>
      </w:r>
      <w:r>
        <w:t xml:space="preserve">. </w:t>
      </w:r>
      <w:r>
        <w:rPr>
          <w:rFonts w:eastAsia="Calibri"/>
          <w:noProof/>
          <w:szCs w:val="24"/>
        </w:rPr>
        <w:t xml:space="preserve">From a post-crisis recovery perspective, the HERA will make an </w:t>
      </w:r>
      <w:r>
        <w:rPr>
          <w:rFonts w:eastAsia="Calibri"/>
          <w:noProof/>
          <w:szCs w:val="24"/>
        </w:rPr>
        <w:t>important contribution to ensuring that the EU will be better prepared to face future health  threats affecting the whole or large parts of its territory.</w:t>
      </w:r>
      <w:r>
        <w:t xml:space="preserve"> </w:t>
      </w:r>
    </w:p>
    <w:p w:rsidR="00D10CBC" w:rsidRDefault="00BC383A">
      <w:pPr>
        <w:pStyle w:val="ManualHeading3"/>
        <w:rPr>
          <w:noProof/>
        </w:rPr>
      </w:pPr>
      <w:r>
        <w:t>1.5.3.</w:t>
      </w:r>
      <w:r>
        <w:tab/>
      </w:r>
      <w:r>
        <w:rPr>
          <w:noProof/>
        </w:rPr>
        <w:t>Lessons learned from similar experiences in the past</w:t>
      </w:r>
      <w:bookmarkEnd w:id="24"/>
      <w:bookmarkEnd w:id="25"/>
    </w:p>
    <w:p w:rsidR="00D10CBC" w:rsidRDefault="00BC383A">
      <w:pPr>
        <w:pStyle w:val="Text1"/>
        <w:pBdr>
          <w:top w:val="single" w:sz="4" w:space="1" w:color="auto"/>
          <w:left w:val="single" w:sz="4" w:space="4" w:color="auto"/>
          <w:bottom w:val="single" w:sz="4" w:space="1" w:color="auto"/>
          <w:right w:val="single" w:sz="4" w:space="4" w:color="auto"/>
        </w:pBdr>
        <w:rPr>
          <w:noProof/>
        </w:rPr>
      </w:pPr>
      <w:bookmarkStart w:id="26" w:name="_Toc514938033"/>
      <w:bookmarkStart w:id="27" w:name="_Toc520485038"/>
      <w:r>
        <w:rPr>
          <w:noProof/>
        </w:rPr>
        <w:t>No similar experience in the past.</w:t>
      </w:r>
    </w:p>
    <w:p w:rsidR="00D10CBC" w:rsidRDefault="00D10CBC">
      <w:pPr>
        <w:pStyle w:val="Text1"/>
        <w:pBdr>
          <w:top w:val="single" w:sz="4" w:space="1" w:color="auto"/>
          <w:left w:val="single" w:sz="4" w:space="4" w:color="auto"/>
          <w:bottom w:val="single" w:sz="4" w:space="1" w:color="auto"/>
          <w:right w:val="single" w:sz="4" w:space="4" w:color="auto"/>
        </w:pBdr>
        <w:rPr>
          <w:noProof/>
        </w:rPr>
      </w:pPr>
    </w:p>
    <w:p w:rsidR="00D10CBC" w:rsidRDefault="00BC383A">
      <w:pPr>
        <w:pStyle w:val="ManualHeading3"/>
        <w:rPr>
          <w:noProof/>
        </w:rPr>
      </w:pPr>
      <w:r>
        <w:t>1.5.</w:t>
      </w:r>
      <w:r>
        <w:t>4.</w:t>
      </w:r>
      <w:r>
        <w:tab/>
      </w:r>
      <w:r>
        <w:rPr>
          <w:noProof/>
        </w:rPr>
        <w:t>Compatibility with the Multiannual Financial Framework and possible synergies with other appropriate instruments</w:t>
      </w:r>
      <w:bookmarkEnd w:id="26"/>
      <w:bookmarkEnd w:id="27"/>
    </w:p>
    <w:p w:rsidR="00D10CBC" w:rsidRDefault="00BC383A">
      <w:pPr>
        <w:pStyle w:val="Text1"/>
        <w:pBdr>
          <w:top w:val="single" w:sz="4" w:space="1" w:color="auto"/>
          <w:left w:val="single" w:sz="4" w:space="4" w:color="auto"/>
          <w:bottom w:val="single" w:sz="4" w:space="1" w:color="auto"/>
          <w:right w:val="single" w:sz="4" w:space="4" w:color="auto"/>
        </w:pBdr>
        <w:rPr>
          <w:noProof/>
        </w:rPr>
      </w:pPr>
      <w:bookmarkStart w:id="28" w:name="_Toc514938036"/>
      <w:bookmarkStart w:id="29" w:name="_Toc520485039"/>
      <w:r>
        <w:rPr>
          <w:noProof/>
        </w:rPr>
        <w:t>The HERA will be using funds within existing programmes under the MFF 2021-2027 such as the EU4Health programme, Horizon Europe Health Clust</w:t>
      </w:r>
      <w:r>
        <w:rPr>
          <w:noProof/>
        </w:rPr>
        <w:t xml:space="preserve">er, UCPM/RescEU. It will work in synergy and complementarity with existing EU policies and funds such as actions implemented under the </w:t>
      </w:r>
      <w:r>
        <w:rPr>
          <w:noProof/>
          <w:szCs w:val="24"/>
        </w:rPr>
        <w:t>Digital Europe Programme, t</w:t>
      </w:r>
      <w:r>
        <w:rPr>
          <w:noProof/>
        </w:rPr>
        <w:t xml:space="preserve">he InvestEU fund, </w:t>
      </w:r>
      <w:r>
        <w:rPr>
          <w:noProof/>
          <w:szCs w:val="24"/>
        </w:rPr>
        <w:t xml:space="preserve">Single Market Programme, European Regional Development Fund or the Recovery </w:t>
      </w:r>
      <w:r>
        <w:rPr>
          <w:noProof/>
          <w:szCs w:val="24"/>
        </w:rPr>
        <w:t>and Resilience Facility</w:t>
      </w:r>
      <w:r>
        <w:rPr>
          <w:noProof/>
        </w:rPr>
        <w:t>.</w:t>
      </w:r>
    </w:p>
    <w:p w:rsidR="00D10CBC" w:rsidRDefault="00BC383A">
      <w:pPr>
        <w:pStyle w:val="ManualHeading3"/>
        <w:rPr>
          <w:noProof/>
        </w:rPr>
      </w:pPr>
      <w:r>
        <w:t>1.5.5.</w:t>
      </w:r>
      <w:r>
        <w:tab/>
      </w:r>
      <w:r>
        <w:rPr>
          <w:noProof/>
        </w:rPr>
        <w:t>Assessment of the different available financing options, including scope for redeployment</w:t>
      </w:r>
      <w:bookmarkEnd w:id="28"/>
      <w:bookmarkEnd w:id="29"/>
    </w:p>
    <w:p w:rsidR="00D10CBC" w:rsidRDefault="00D10CBC">
      <w:pPr>
        <w:pStyle w:val="Text1"/>
        <w:pBdr>
          <w:top w:val="single" w:sz="4" w:space="1" w:color="auto"/>
          <w:left w:val="single" w:sz="4" w:space="4" w:color="auto"/>
          <w:bottom w:val="single" w:sz="4" w:space="1" w:color="auto"/>
          <w:right w:val="single" w:sz="4" w:space="4" w:color="auto"/>
        </w:pBdr>
        <w:rPr>
          <w:noProof/>
        </w:rPr>
      </w:pPr>
    </w:p>
    <w:p w:rsidR="00D10CBC" w:rsidRDefault="00D10CBC">
      <w:pPr>
        <w:pStyle w:val="Text1"/>
        <w:pBdr>
          <w:top w:val="single" w:sz="4" w:space="1" w:color="auto"/>
          <w:left w:val="single" w:sz="4" w:space="4" w:color="auto"/>
          <w:bottom w:val="single" w:sz="4" w:space="1" w:color="auto"/>
          <w:right w:val="single" w:sz="4" w:space="4" w:color="auto"/>
        </w:pBdr>
        <w:rPr>
          <w:noProof/>
        </w:rPr>
      </w:pPr>
    </w:p>
    <w:p w:rsidR="00D10CBC" w:rsidRDefault="00BC383A">
      <w:pPr>
        <w:pStyle w:val="ManualHeading2"/>
        <w:rPr>
          <w:bCs/>
          <w:noProof/>
          <w:szCs w:val="24"/>
        </w:rPr>
      </w:pPr>
      <w:bookmarkStart w:id="30" w:name="_GoBack"/>
      <w:bookmarkEnd w:id="30"/>
      <w:r>
        <w:rPr>
          <w:noProof/>
        </w:rPr>
        <w:br w:type="page"/>
      </w:r>
      <w:bookmarkStart w:id="31" w:name="_Toc514938039"/>
      <w:bookmarkStart w:id="32" w:name="_Toc520485040"/>
      <w:r>
        <w:lastRenderedPageBreak/>
        <w:t>1.6.</w:t>
      </w:r>
      <w:r>
        <w:tab/>
      </w:r>
      <w:r>
        <w:rPr>
          <w:noProof/>
        </w:rPr>
        <w:t>Duration and financial impact of the proposal/initiative</w:t>
      </w:r>
      <w:bookmarkEnd w:id="31"/>
      <w:bookmarkEnd w:id="32"/>
    </w:p>
    <w:p w:rsidR="00D10CBC" w:rsidRDefault="00BC383A">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rsidR="00D10CBC" w:rsidRDefault="00BC383A">
      <w:pPr>
        <w:pStyle w:val="Text1"/>
        <w:rPr>
          <w:noProof/>
        </w:rPr>
      </w:pPr>
      <w:r>
        <w:rPr>
          <w:noProof/>
        </w:rPr>
        <w:sym w:font="Wingdings" w:char="F0FE"/>
      </w:r>
      <w:r>
        <w:rPr>
          <w:b/>
          <w:i/>
          <w:noProof/>
        </w:rPr>
        <w:t xml:space="preserve"> </w:t>
      </w:r>
      <w:r>
        <w:rPr>
          <w:b/>
          <w:noProof/>
        </w:rPr>
        <w:t>unlimited duration</w:t>
      </w:r>
    </w:p>
    <w:p w:rsidR="00D10CBC" w:rsidRDefault="00BC383A">
      <w:pPr>
        <w:pStyle w:val="ListDash1"/>
        <w:numPr>
          <w:ilvl w:val="0"/>
          <w:numId w:val="22"/>
        </w:numPr>
        <w:spacing w:before="120" w:after="120"/>
        <w:rPr>
          <w:noProof/>
        </w:rPr>
      </w:pPr>
      <w:r>
        <w:rPr>
          <w:noProof/>
        </w:rPr>
        <w:t>Implementation with an estimated start-up period from September 2021 till middle of 2023,</w:t>
      </w:r>
    </w:p>
    <w:p w:rsidR="00D10CBC" w:rsidRDefault="00BC383A">
      <w:pPr>
        <w:pStyle w:val="ListDash1"/>
        <w:numPr>
          <w:ilvl w:val="0"/>
          <w:numId w:val="22"/>
        </w:numPr>
        <w:spacing w:before="120" w:after="120"/>
        <w:rPr>
          <w:noProof/>
        </w:rPr>
      </w:pPr>
      <w:r>
        <w:rPr>
          <w:noProof/>
        </w:rPr>
        <w:t>followed by full-scale operation.</w:t>
      </w:r>
    </w:p>
    <w:p w:rsidR="00D10CBC" w:rsidRDefault="00BC383A">
      <w:pPr>
        <w:pStyle w:val="ManualHeading2"/>
        <w:rPr>
          <w:bCs/>
          <w:noProof/>
          <w:szCs w:val="24"/>
        </w:rPr>
      </w:pPr>
      <w:bookmarkStart w:id="33" w:name="_Toc514938040"/>
      <w:bookmarkStart w:id="34" w:name="_Toc520485041"/>
      <w:r>
        <w:t>1.7.</w:t>
      </w:r>
      <w:r>
        <w:tab/>
      </w:r>
      <w:r>
        <w:rPr>
          <w:noProof/>
        </w:rPr>
        <w:t>Management mode(s) planned</w:t>
      </w:r>
      <w:r>
        <w:rPr>
          <w:rStyle w:val="FootnoteReference"/>
          <w:noProof/>
        </w:rPr>
        <w:footnoteReference w:id="35"/>
      </w:r>
      <w:bookmarkEnd w:id="33"/>
      <w:bookmarkEnd w:id="34"/>
      <w:r>
        <w:rPr>
          <w:rStyle w:val="FootnoteReference"/>
          <w:noProof/>
        </w:rPr>
        <w:t xml:space="preserve"> </w:t>
      </w:r>
    </w:p>
    <w:p w:rsidR="00D10CBC" w:rsidRDefault="00BC383A">
      <w:pPr>
        <w:pStyle w:val="Text1"/>
        <w:rPr>
          <w:noProof/>
        </w:rPr>
      </w:pPr>
      <w:r>
        <w:rPr>
          <w:noProof/>
        </w:rPr>
        <w:sym w:font="Wingdings" w:char="F0FE"/>
      </w:r>
      <w:r>
        <w:rPr>
          <w:i/>
          <w:noProof/>
        </w:rPr>
        <w:t xml:space="preserve"> </w:t>
      </w:r>
      <w:r>
        <w:rPr>
          <w:b/>
          <w:noProof/>
        </w:rPr>
        <w:t>Direct management</w:t>
      </w:r>
      <w:r>
        <w:rPr>
          <w:noProof/>
        </w:rPr>
        <w:t xml:space="preserve"> by the Commission</w:t>
      </w:r>
    </w:p>
    <w:p w:rsidR="00D10CBC" w:rsidRDefault="00BC383A">
      <w:pPr>
        <w:pStyle w:val="ListDash2"/>
        <w:rPr>
          <w:rFonts w:cs="EUAlbertina"/>
          <w:noProof/>
        </w:rPr>
      </w:pPr>
      <w:r>
        <w:rPr>
          <w:noProof/>
        </w:rPr>
        <w:sym w:font="Wingdings" w:char="F0FE"/>
      </w:r>
      <w:r>
        <w:rPr>
          <w:noProof/>
        </w:rPr>
        <w:t xml:space="preserve"> by its departments, including by its staff in the Union de</w:t>
      </w:r>
      <w:r>
        <w:rPr>
          <w:noProof/>
        </w:rPr>
        <w:t xml:space="preserve">legations; </w:t>
      </w:r>
    </w:p>
    <w:p w:rsidR="00D10CBC" w:rsidRDefault="00BC383A">
      <w:pPr>
        <w:pStyle w:val="ListDash2"/>
        <w:rPr>
          <w:noProof/>
        </w:rPr>
      </w:pPr>
      <w:r>
        <w:rPr>
          <w:noProof/>
        </w:rPr>
        <w:sym w:font="Wingdings" w:char="F0FE"/>
      </w:r>
      <w:r>
        <w:rPr>
          <w:noProof/>
        </w:rPr>
        <w:tab/>
        <w:t xml:space="preserve">by the executive agencies </w:t>
      </w:r>
    </w:p>
    <w:p w:rsidR="00D10CBC" w:rsidRDefault="00BC383A">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rsidR="00D10CBC" w:rsidRDefault="00BC383A">
      <w:pPr>
        <w:pStyle w:val="Text1"/>
        <w:rPr>
          <w:noProof/>
        </w:rPr>
      </w:pPr>
      <w:r>
        <w:rPr>
          <w:noProof/>
        </w:rPr>
        <w:sym w:font="Wingdings" w:char="F0FE"/>
      </w:r>
      <w:r>
        <w:rPr>
          <w:i/>
          <w:noProof/>
        </w:rPr>
        <w:t xml:space="preserve"> </w:t>
      </w:r>
      <w:r>
        <w:rPr>
          <w:b/>
          <w:noProof/>
        </w:rPr>
        <w:t>Indirect management</w:t>
      </w:r>
      <w:r>
        <w:rPr>
          <w:noProof/>
        </w:rPr>
        <w:t xml:space="preserve"> by entrusting budget implementation tasks to:</w:t>
      </w:r>
    </w:p>
    <w:p w:rsidR="00D10CBC" w:rsidRDefault="00BC383A">
      <w:pPr>
        <w:pStyle w:val="ListDash2"/>
        <w:rPr>
          <w:noProof/>
        </w:rPr>
      </w:pPr>
      <w:r>
        <w:rPr>
          <w:noProof/>
        </w:rPr>
        <w:sym w:font="Wingdings" w:char="F0A8"/>
      </w:r>
      <w:r>
        <w:rPr>
          <w:noProof/>
        </w:rPr>
        <w:t xml:space="preserve"> third countries or the bodies they have designated;</w:t>
      </w:r>
    </w:p>
    <w:p w:rsidR="00D10CBC" w:rsidRDefault="00BC383A">
      <w:pPr>
        <w:pStyle w:val="ListDash2"/>
        <w:rPr>
          <w:noProof/>
        </w:rPr>
      </w:pPr>
      <w:r>
        <w:rPr>
          <w:noProof/>
        </w:rPr>
        <w:sym w:font="Wingdings" w:char="F0A8"/>
      </w:r>
      <w:r>
        <w:rPr>
          <w:noProof/>
        </w:rPr>
        <w:t xml:space="preserve"> international organisations and their agencies </w:t>
      </w:r>
      <w:r>
        <w:rPr>
          <w:noProof/>
        </w:rPr>
        <w:t>(to be specified);</w:t>
      </w:r>
    </w:p>
    <w:p w:rsidR="00D10CBC" w:rsidRDefault="00BC383A">
      <w:pPr>
        <w:pStyle w:val="ListDash2"/>
        <w:rPr>
          <w:noProof/>
        </w:rPr>
      </w:pPr>
      <w:r>
        <w:rPr>
          <w:noProof/>
        </w:rPr>
        <w:sym w:font="Wingdings" w:char="F0A8"/>
      </w:r>
      <w:r>
        <w:rPr>
          <w:noProof/>
        </w:rPr>
        <w:t xml:space="preserve"> the EIB and the European Investment Fund;</w:t>
      </w:r>
    </w:p>
    <w:p w:rsidR="00D10CBC" w:rsidRDefault="00BC383A">
      <w:pPr>
        <w:pStyle w:val="ListDash2"/>
        <w:rPr>
          <w:noProof/>
        </w:rPr>
      </w:pPr>
      <w:r>
        <w:rPr>
          <w:noProof/>
        </w:rPr>
        <w:sym w:font="Wingdings" w:char="F0FE"/>
      </w:r>
      <w:r>
        <w:rPr>
          <w:noProof/>
        </w:rPr>
        <w:t xml:space="preserve"> bodies referred to in Articles 70 and 71 of the Financial Regulation;</w:t>
      </w:r>
    </w:p>
    <w:p w:rsidR="00D10CBC" w:rsidRDefault="00BC383A">
      <w:pPr>
        <w:pStyle w:val="ListDash2"/>
        <w:rPr>
          <w:noProof/>
        </w:rPr>
      </w:pPr>
      <w:r>
        <w:rPr>
          <w:noProof/>
        </w:rPr>
        <w:sym w:font="Wingdings" w:char="F0A8"/>
      </w:r>
      <w:r>
        <w:rPr>
          <w:noProof/>
        </w:rPr>
        <w:t xml:space="preserve"> public law bodies;</w:t>
      </w:r>
    </w:p>
    <w:p w:rsidR="00D10CBC" w:rsidRDefault="00BC383A">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rsidR="00D10CBC" w:rsidRDefault="00BC383A">
      <w:pPr>
        <w:pStyle w:val="ListDash2"/>
        <w:rPr>
          <w:noProof/>
        </w:rPr>
      </w:pPr>
      <w:r>
        <w:rPr>
          <w:noProof/>
        </w:rPr>
        <w:sym w:font="Wingdings" w:char="F0A8"/>
      </w:r>
      <w:r>
        <w:rPr>
          <w:noProof/>
        </w:rPr>
        <w:t xml:space="preserve"> bodies governed by the private law of a </w:t>
      </w:r>
      <w:smartTag w:uri="urn:schemas-microsoft-com:office:smarttags" w:element="place">
        <w:smartTag w:uri="urn:schemas-microsoft-com:office:smarttags" w:element="PlaceName">
          <w:r>
            <w:rPr>
              <w:noProof/>
            </w:rPr>
            <w:t>Member</w:t>
          </w:r>
        </w:smartTag>
        <w:r>
          <w:rPr>
            <w:noProof/>
          </w:rPr>
          <w:t xml:space="preserve"> </w:t>
        </w:r>
        <w:smartTag w:uri="urn:schemas-microsoft-com:office:smarttags" w:element="PlaceType">
          <w:r>
            <w:rPr>
              <w:noProof/>
            </w:rPr>
            <w:t>State</w:t>
          </w:r>
        </w:smartTag>
      </w:smartTag>
      <w:r>
        <w:rPr>
          <w:noProof/>
        </w:rPr>
        <w:t xml:space="preserve"> that are entrusted with the implementation of a public-private partnership a</w:t>
      </w:r>
      <w:r>
        <w:rPr>
          <w:noProof/>
        </w:rPr>
        <w:t>nd that provide adequate financial guarantees;</w:t>
      </w:r>
    </w:p>
    <w:p w:rsidR="00D10CBC" w:rsidRDefault="00BC383A">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D10CBC" w:rsidRDefault="00BC383A">
      <w:pPr>
        <w:pStyle w:val="ListDash2"/>
        <w:rPr>
          <w:i/>
          <w:noProof/>
          <w:sz w:val="18"/>
          <w:u w:val="single"/>
        </w:rPr>
      </w:pPr>
      <w:r>
        <w:rPr>
          <w:i/>
          <w:noProof/>
          <w:sz w:val="18"/>
        </w:rPr>
        <w:t>If more than one management mode is indicated, please provi</w:t>
      </w:r>
      <w:r>
        <w:rPr>
          <w:i/>
          <w:noProof/>
          <w:sz w:val="18"/>
        </w:rPr>
        <w:t>de details in the ‘Comments’ section.</w:t>
      </w:r>
    </w:p>
    <w:p w:rsidR="00D10CBC" w:rsidRDefault="00BC383A">
      <w:pPr>
        <w:rPr>
          <w:noProof/>
        </w:rPr>
      </w:pPr>
      <w:r>
        <w:rPr>
          <w:noProof/>
        </w:rPr>
        <w:t xml:space="preserve">Comments </w:t>
      </w:r>
    </w:p>
    <w:p w:rsidR="00D10CBC" w:rsidRDefault="00BC383A">
      <w:pPr>
        <w:pBdr>
          <w:top w:val="single" w:sz="4" w:space="1" w:color="auto"/>
          <w:left w:val="single" w:sz="4" w:space="4" w:color="auto"/>
          <w:bottom w:val="single" w:sz="4" w:space="1" w:color="auto"/>
          <w:right w:val="single" w:sz="4" w:space="4" w:color="auto"/>
        </w:pBdr>
        <w:rPr>
          <w:noProof/>
        </w:rPr>
      </w:pPr>
      <w:r>
        <w:rPr>
          <w:noProof/>
        </w:rPr>
        <w:t>Part of the activities envisaged to be managed by HERA and currently foreseen under specific EU programme (EU4Health / Horizon) are delegated to executive agencies. The HERA may decide to further delegate par</w:t>
      </w:r>
      <w:r>
        <w:rPr>
          <w:noProof/>
        </w:rPr>
        <w:t>t of the implementation of its programmes to an executive agency.</w:t>
      </w:r>
    </w:p>
    <w:p w:rsidR="00D10CBC" w:rsidRDefault="00BC383A">
      <w:pPr>
        <w:pBdr>
          <w:top w:val="single" w:sz="4" w:space="1" w:color="auto"/>
          <w:left w:val="single" w:sz="4" w:space="4" w:color="auto"/>
          <w:bottom w:val="single" w:sz="4" w:space="1" w:color="auto"/>
          <w:right w:val="single" w:sz="4" w:space="4" w:color="auto"/>
        </w:pBdr>
        <w:rPr>
          <w:noProof/>
        </w:rPr>
      </w:pPr>
      <w:r>
        <w:rPr>
          <w:noProof/>
        </w:rPr>
        <w:t>Moreover it may entrust decentralised Agencies (ECDC, EMA, EFSA, ECHA, Europol, EMCDDA,  European Climate and Health Observatory) with tasks aiming to achieve the objectives of the HERA.</w:t>
      </w:r>
    </w:p>
    <w:p w:rsidR="00D10CBC" w:rsidRDefault="00BC383A">
      <w:pPr>
        <w:pBdr>
          <w:top w:val="single" w:sz="4" w:space="1" w:color="auto"/>
          <w:left w:val="single" w:sz="4" w:space="4" w:color="auto"/>
          <w:bottom w:val="single" w:sz="4" w:space="1" w:color="auto"/>
          <w:right w:val="single" w:sz="4" w:space="4" w:color="auto"/>
        </w:pBdr>
        <w:rPr>
          <w:noProof/>
        </w:rPr>
      </w:pPr>
      <w:r>
        <w:rPr>
          <w:noProof/>
          <w:u w:val="single"/>
        </w:rPr>
        <w:t>Indirect management with international organisations</w:t>
      </w:r>
      <w:r>
        <w:rPr>
          <w:noProof/>
        </w:rPr>
        <w:t>:</w:t>
      </w:r>
    </w:p>
    <w:p w:rsidR="00D10CBC" w:rsidRDefault="00BC383A">
      <w:pPr>
        <w:pBdr>
          <w:top w:val="single" w:sz="4" w:space="1" w:color="auto"/>
          <w:left w:val="single" w:sz="4" w:space="4" w:color="auto"/>
          <w:bottom w:val="single" w:sz="4" w:space="1" w:color="auto"/>
          <w:right w:val="single" w:sz="4" w:space="4" w:color="auto"/>
        </w:pBdr>
        <w:rPr>
          <w:noProof/>
        </w:rPr>
      </w:pPr>
      <w:r>
        <w:rPr>
          <w:noProof/>
        </w:rPr>
        <w:lastRenderedPageBreak/>
        <w:t xml:space="preserve">For the implementation of its mandate, cooperation with international organisations like UN agencies, notably the WHO, Council of Europe, OECD, or any other relevant international organisations will be </w:t>
      </w:r>
      <w:r>
        <w:rPr>
          <w:noProof/>
        </w:rPr>
        <w:t>ensured, extended or pursued.</w:t>
      </w:r>
    </w:p>
    <w:p w:rsidR="00D10CBC" w:rsidRDefault="00BC383A">
      <w:pPr>
        <w:pStyle w:val="ManualHeading1"/>
        <w:rPr>
          <w:bCs/>
          <w:noProof/>
          <w:szCs w:val="24"/>
        </w:rPr>
      </w:pPr>
      <w:bookmarkStart w:id="35" w:name="_Toc514938041"/>
      <w:bookmarkStart w:id="36" w:name="_Toc520485042"/>
      <w:r>
        <w:t>2.</w:t>
      </w:r>
      <w:r>
        <w:tab/>
      </w:r>
      <w:r>
        <w:rPr>
          <w:noProof/>
        </w:rPr>
        <w:t>MANAGEMENT MEASURES</w:t>
      </w:r>
      <w:bookmarkEnd w:id="35"/>
      <w:bookmarkEnd w:id="36"/>
      <w:r>
        <w:rPr>
          <w:noProof/>
        </w:rPr>
        <w:t xml:space="preserve"> </w:t>
      </w:r>
    </w:p>
    <w:p w:rsidR="00D10CBC" w:rsidRDefault="00BC383A">
      <w:pPr>
        <w:pStyle w:val="ManualHeading2"/>
        <w:rPr>
          <w:noProof/>
        </w:rPr>
      </w:pPr>
      <w:bookmarkStart w:id="37" w:name="_Toc514938042"/>
      <w:bookmarkStart w:id="38" w:name="_Toc520485043"/>
      <w:r>
        <w:t>2.1.</w:t>
      </w:r>
      <w:r>
        <w:tab/>
      </w:r>
      <w:r>
        <w:rPr>
          <w:noProof/>
        </w:rPr>
        <w:t>Monitoring and reporting rules</w:t>
      </w:r>
      <w:bookmarkEnd w:id="37"/>
      <w:bookmarkEnd w:id="38"/>
      <w:r>
        <w:rPr>
          <w:noProof/>
        </w:rPr>
        <w:t xml:space="preserve"> </w:t>
      </w:r>
    </w:p>
    <w:p w:rsidR="00D10CBC" w:rsidRDefault="00BC383A">
      <w:pPr>
        <w:pStyle w:val="Text1"/>
        <w:rPr>
          <w:i/>
          <w:noProof/>
          <w:sz w:val="20"/>
        </w:rPr>
      </w:pPr>
      <w:r>
        <w:rPr>
          <w:i/>
          <w:noProof/>
          <w:sz w:val="20"/>
        </w:rPr>
        <w:t>Specify frequency and conditions.</w:t>
      </w:r>
    </w:p>
    <w:p w:rsidR="00D10CBC" w:rsidRDefault="00BC383A">
      <w:pPr>
        <w:pStyle w:val="Text1"/>
        <w:pBdr>
          <w:top w:val="single" w:sz="4" w:space="1" w:color="auto"/>
          <w:left w:val="single" w:sz="4" w:space="4" w:color="auto"/>
          <w:bottom w:val="single" w:sz="4" w:space="1" w:color="auto"/>
          <w:right w:val="single" w:sz="4" w:space="4" w:color="auto"/>
        </w:pBdr>
        <w:rPr>
          <w:noProof/>
        </w:rPr>
      </w:pPr>
      <w:bookmarkStart w:id="39" w:name="_Toc514938045"/>
      <w:bookmarkStart w:id="40" w:name="_Toc520485044"/>
      <w:r>
        <w:rPr>
          <w:noProof/>
        </w:rPr>
        <w:t>Performance frameworks will be developed within the programmes being implemented by HERA, building on the relevant practices of the</w:t>
      </w:r>
      <w:r>
        <w:rPr>
          <w:noProof/>
        </w:rPr>
        <w:t xml:space="preserve"> programmes 2021-2027 to ensure that data is collected efficiently, effectively and timely.</w:t>
      </w:r>
    </w:p>
    <w:p w:rsidR="00D10CBC" w:rsidRDefault="00BC383A">
      <w:pPr>
        <w:pStyle w:val="ManualHeading2"/>
        <w:rPr>
          <w:bCs/>
          <w:noProof/>
          <w:szCs w:val="24"/>
        </w:rPr>
      </w:pPr>
      <w:r>
        <w:t>2.2.</w:t>
      </w:r>
      <w:r>
        <w:tab/>
      </w:r>
      <w:r>
        <w:rPr>
          <w:noProof/>
        </w:rPr>
        <w:t>Management and control system(s)</w:t>
      </w:r>
      <w:bookmarkEnd w:id="39"/>
      <w:bookmarkEnd w:id="40"/>
      <w:r>
        <w:rPr>
          <w:noProof/>
        </w:rPr>
        <w:t xml:space="preserve"> </w:t>
      </w:r>
    </w:p>
    <w:p w:rsidR="00D10CBC" w:rsidRDefault="00BC383A">
      <w:pPr>
        <w:pStyle w:val="ManualHeading3"/>
        <w:rPr>
          <w:noProof/>
        </w:rPr>
      </w:pPr>
      <w:bookmarkStart w:id="41" w:name="_Toc514938046"/>
      <w:bookmarkStart w:id="42" w:name="_Toc520485045"/>
      <w:r>
        <w:t>2.2.1.</w:t>
      </w:r>
      <w:r>
        <w:tab/>
      </w:r>
      <w:r>
        <w:rPr>
          <w:noProof/>
        </w:rPr>
        <w:t>Justification of the management mode(s), the funding implementation mechanism(s), the payment modalities and the contr</w:t>
      </w:r>
      <w:r>
        <w:rPr>
          <w:noProof/>
        </w:rPr>
        <w:t>ol strategy proposed</w:t>
      </w:r>
      <w:bookmarkEnd w:id="41"/>
      <w:bookmarkEnd w:id="42"/>
    </w:p>
    <w:p w:rsidR="00D10CBC" w:rsidRDefault="00BC383A">
      <w:pPr>
        <w:pStyle w:val="Text1"/>
        <w:pBdr>
          <w:top w:val="single" w:sz="4" w:space="1" w:color="auto"/>
          <w:left w:val="single" w:sz="4" w:space="1" w:color="auto"/>
          <w:bottom w:val="single" w:sz="4" w:space="1" w:color="auto"/>
          <w:right w:val="single" w:sz="4" w:space="1" w:color="auto"/>
        </w:pBdr>
        <w:rPr>
          <w:noProof/>
        </w:rPr>
      </w:pPr>
      <w:r>
        <w:rPr>
          <w:noProof/>
        </w:rPr>
        <w:t xml:space="preserve">The HERA will be implemented through direct and indirect management, using the implementation modes offered by the Financial Regulation, mainly being grants and procurement. Direct management allows to establish grant </w:t>
      </w:r>
      <w:r>
        <w:rPr>
          <w:noProof/>
        </w:rPr>
        <w:t>agreements/contracts with beneficiaries/contractors directly engaged in activities that serve Union policies</w:t>
      </w:r>
      <w:r>
        <w:t xml:space="preserve">. </w:t>
      </w:r>
      <w:r>
        <w:rPr>
          <w:noProof/>
        </w:rPr>
        <w:t>The Commission ensures direct monitoring over the outcome of the actions financed. The payment modalities of the actions funded will be adapted to</w:t>
      </w:r>
      <w:r>
        <w:rPr>
          <w:noProof/>
        </w:rPr>
        <w:t xml:space="preserve"> the risks pertaining to the financial transactions. </w:t>
      </w:r>
    </w:p>
    <w:p w:rsidR="00D10CBC" w:rsidRDefault="00BC383A">
      <w:pPr>
        <w:pStyle w:val="Text1"/>
        <w:pBdr>
          <w:top w:val="single" w:sz="4" w:space="1" w:color="auto"/>
          <w:left w:val="single" w:sz="4" w:space="1" w:color="auto"/>
          <w:bottom w:val="single" w:sz="4" w:space="1" w:color="auto"/>
          <w:right w:val="single" w:sz="4" w:space="1" w:color="auto"/>
        </w:pBdr>
        <w:rPr>
          <w:noProof/>
        </w:rPr>
      </w:pPr>
      <w:r>
        <w:rPr>
          <w:noProof/>
        </w:rPr>
        <w:t>In order to ensure the effectiveness, efficiency and economy of the Commission controls, the control strategy will be oriented towards a balance of ex-ante and ex-post checks and focus on three key stag</w:t>
      </w:r>
      <w:r>
        <w:rPr>
          <w:noProof/>
        </w:rPr>
        <w:t>es of grant/contract implementation, in accordance with the Financial Regulation:</w:t>
      </w:r>
    </w:p>
    <w:p w:rsidR="00D10CBC" w:rsidRDefault="00BC383A">
      <w:pPr>
        <w:pStyle w:val="Tiret1"/>
        <w:pBdr>
          <w:top w:val="single" w:sz="4" w:space="1" w:color="auto"/>
          <w:left w:val="single" w:sz="4" w:space="1" w:color="auto"/>
          <w:bottom w:val="single" w:sz="4" w:space="1" w:color="auto"/>
          <w:right w:val="single" w:sz="4" w:space="1" w:color="auto"/>
        </w:pBdr>
        <w:rPr>
          <w:noProof/>
        </w:rPr>
      </w:pPr>
      <w:r>
        <w:rPr>
          <w:noProof/>
        </w:rPr>
        <w:t>Selection of proposals/tenders that fit the policy objectives of the programme;</w:t>
      </w:r>
    </w:p>
    <w:p w:rsidR="00D10CBC" w:rsidRDefault="00BC383A">
      <w:pPr>
        <w:pStyle w:val="Tiret1"/>
        <w:pBdr>
          <w:top w:val="single" w:sz="4" w:space="1" w:color="auto"/>
          <w:left w:val="single" w:sz="4" w:space="1" w:color="auto"/>
          <w:bottom w:val="single" w:sz="4" w:space="1" w:color="auto"/>
          <w:right w:val="single" w:sz="4" w:space="1" w:color="auto"/>
        </w:pBdr>
        <w:rPr>
          <w:noProof/>
        </w:rPr>
      </w:pPr>
      <w:r>
        <w:rPr>
          <w:noProof/>
        </w:rPr>
        <w:t>Operational, monitoring and ex-ante controls that cover project implementation, public procure</w:t>
      </w:r>
      <w:r>
        <w:rPr>
          <w:noProof/>
        </w:rPr>
        <w:t xml:space="preserve">ment, pre-financing, interim and final payments, management of guarantees; </w:t>
      </w:r>
    </w:p>
    <w:p w:rsidR="00D10CBC" w:rsidRDefault="00BC383A">
      <w:pPr>
        <w:pStyle w:val="Text1"/>
        <w:pBdr>
          <w:top w:val="single" w:sz="4" w:space="1" w:color="auto"/>
          <w:left w:val="single" w:sz="4" w:space="1" w:color="auto"/>
          <w:bottom w:val="single" w:sz="4" w:space="1" w:color="auto"/>
          <w:right w:val="single" w:sz="4" w:space="1" w:color="auto"/>
        </w:pBdr>
        <w:rPr>
          <w:noProof/>
        </w:rPr>
      </w:pPr>
      <w:r>
        <w:rPr>
          <w:noProof/>
        </w:rPr>
        <w:t>Ex-post controls at the beneficiaries/contractors’ sites will also be carried out  on a sample of transactions. The selection of these transactions will combine a risk assessment a</w:t>
      </w:r>
      <w:r>
        <w:rPr>
          <w:noProof/>
        </w:rPr>
        <w:t>nd a random selection</w:t>
      </w:r>
      <w:r>
        <w:t>.</w:t>
      </w:r>
    </w:p>
    <w:p w:rsidR="00D10CBC" w:rsidRDefault="00BC383A">
      <w:pPr>
        <w:pStyle w:val="ManualHeading3"/>
        <w:rPr>
          <w:bCs/>
          <w:noProof/>
          <w:szCs w:val="24"/>
        </w:rPr>
      </w:pPr>
      <w:bookmarkStart w:id="43" w:name="_Toc514938047"/>
      <w:bookmarkStart w:id="44" w:name="_Toc520485046"/>
      <w:r>
        <w:t>2.2.2.</w:t>
      </w:r>
      <w:r>
        <w:tab/>
      </w:r>
      <w:r>
        <w:rPr>
          <w:noProof/>
        </w:rPr>
        <w:t>Information concerning the risks identified and the internal control system(s) set up to mitigate them</w:t>
      </w:r>
      <w:bookmarkEnd w:id="43"/>
      <w:bookmarkEnd w:id="44"/>
    </w:p>
    <w:p w:rsidR="00D10CBC" w:rsidRDefault="00BC383A">
      <w:pPr>
        <w:pStyle w:val="Text1"/>
        <w:pBdr>
          <w:top w:val="single" w:sz="4" w:space="1" w:color="auto"/>
          <w:left w:val="single" w:sz="4" w:space="4" w:color="auto"/>
          <w:bottom w:val="single" w:sz="4" w:space="1" w:color="auto"/>
          <w:right w:val="single" w:sz="4" w:space="4" w:color="auto"/>
        </w:pBdr>
        <w:rPr>
          <w:noProof/>
        </w:rPr>
      </w:pPr>
      <w:bookmarkStart w:id="45" w:name="_Toc514938048"/>
      <w:bookmarkStart w:id="46" w:name="_Toc520485047"/>
      <w:r>
        <w:rPr>
          <w:noProof/>
        </w:rPr>
        <w:t>The implementation of the HERA focuses on the attribution of public procurement contracts as well as a number of grants for</w:t>
      </w:r>
      <w:r>
        <w:rPr>
          <w:noProof/>
        </w:rPr>
        <w:t xml:space="preserve"> specific activities and organisations.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xml:space="preserve">The public procurement contracts will mainly be concluded in areas such as procurement of medicines, vaccines, potential new treatments, </w:t>
      </w:r>
      <w:r>
        <w:rPr>
          <w:noProof/>
          <w:szCs w:val="24"/>
          <w:lang w:val="en-US"/>
        </w:rPr>
        <w:t>surveys, studies, collection of data, benchmark exercises</w:t>
      </w:r>
      <w:r>
        <w:rPr>
          <w:noProof/>
        </w:rPr>
        <w:t xml:space="preserve">, </w:t>
      </w:r>
      <w:r>
        <w:rPr>
          <w:noProof/>
          <w:szCs w:val="24"/>
          <w:lang w:val="en-US"/>
        </w:rPr>
        <w:t>monitoring and asses</w:t>
      </w:r>
      <w:r>
        <w:rPr>
          <w:noProof/>
          <w:szCs w:val="24"/>
          <w:lang w:val="en-US"/>
        </w:rPr>
        <w:t xml:space="preserve">sment activities, </w:t>
      </w:r>
      <w:r>
        <w:rPr>
          <w:noProof/>
        </w:rPr>
        <w:t xml:space="preserve">information campaigns, IT and communication services, etc. The contractors are mainly consultancy firms and other private companies; institutes and laboratories might also be main contractors.   </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lastRenderedPageBreak/>
        <w:t xml:space="preserve">Grants will mainly be awarded for support </w:t>
      </w:r>
      <w:r>
        <w:rPr>
          <w:noProof/>
        </w:rPr>
        <w:t>activities to competent authorities of the Member States, health organisations, national agencies, etc. The period of execution of the subsidised projects and activities varies from one to three years mostly.</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The main risks are the following:</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Risk of no</w:t>
      </w:r>
      <w:r>
        <w:rPr>
          <w:noProof/>
        </w:rPr>
        <w:t>t fully achieving the objectives of the programme due to insufficient uptake or quality/delays in the implementation of the selected projects or contracts;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Risk of inefficient or non-economic use of funds awarded, both for grants (complexity of funding r</w:t>
      </w:r>
      <w:r>
        <w:rPr>
          <w:noProof/>
        </w:rPr>
        <w:t>ules) and for procurement (limited number of economic providers with the required specialist knowledge entailing insufficient possibilities to compare price offers in some sectors);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Reputational risk for the Commission, if fraud or criminal activities ar</w:t>
      </w:r>
      <w:r>
        <w:rPr>
          <w:noProof/>
        </w:rPr>
        <w:t>e discovered; only partial assurance can be drawn from the third parties' internal control systems due to the rather large number of heterogeneous contractors and beneficiaries, each operating their own control system.</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The Commission puts in place internal</w:t>
      </w:r>
      <w:r>
        <w:rPr>
          <w:noProof/>
        </w:rPr>
        <w:t xml:space="preserve"> procedures that aim at covering the risks identified above. The internal procedures are in full compliance with the Financial Regulation and include anti-fraud measures and cost-benefit considerations. Within this framework, the Commission continues to ex</w:t>
      </w:r>
      <w:r>
        <w:rPr>
          <w:noProof/>
        </w:rPr>
        <w:t xml:space="preserve">plore possibilities to enhance the management and to realise efficiency gains. Main features of the control framework are the following: </w:t>
      </w:r>
    </w:p>
    <w:p w:rsidR="00D10CBC" w:rsidRDefault="00BC383A">
      <w:pPr>
        <w:pStyle w:val="Text1"/>
        <w:pBdr>
          <w:top w:val="single" w:sz="4" w:space="1" w:color="auto"/>
          <w:left w:val="single" w:sz="4" w:space="4" w:color="auto"/>
          <w:bottom w:val="single" w:sz="4" w:space="1" w:color="auto"/>
          <w:right w:val="single" w:sz="4" w:space="4" w:color="auto"/>
        </w:pBdr>
        <w:rPr>
          <w:b/>
          <w:noProof/>
        </w:rPr>
      </w:pPr>
      <w:r>
        <w:rPr>
          <w:b/>
          <w:noProof/>
        </w:rPr>
        <w:t xml:space="preserve">Controls before and during the implementation of the projects: </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An appropriate project management system will be put</w:t>
      </w:r>
      <w:r>
        <w:rPr>
          <w:noProof/>
        </w:rPr>
        <w:t xml:space="preserve"> in place focussing on the contributions of projects and contracts to the policy objectives, ensuring a systematic involvement of all actors, establishing a regular project management reporting complemented by on-site-visits on a case by case basis, includ</w:t>
      </w:r>
      <w:r>
        <w:rPr>
          <w:noProof/>
        </w:rPr>
        <w:t>ing risk reports to senior management, as well as maintaining appropriate budgetary flexibility.</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xml:space="preserve">• Model grant agreements and service contracts used are developed within the Commission. They provide for a number of control provisions such as audit </w:t>
      </w:r>
      <w:r>
        <w:rPr>
          <w:noProof/>
        </w:rPr>
        <w:t>certificates, financial guarantees, on-site audits as well as inspections by OLAF. The rules governing the eligibility of costs are being simplified, for example, by using unit costs, lump sums, contributions not linked to costs and other possibilities off</w:t>
      </w:r>
      <w:r>
        <w:rPr>
          <w:noProof/>
        </w:rPr>
        <w:t>ered by the Financial Regulation. This will reduce the cost of controls and put the focus on checks and controls in high risk areas.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All staff sign up to the code of good administrative behaviour. Staff who are involved in the selection procedure or in t</w:t>
      </w:r>
      <w:r>
        <w:rPr>
          <w:noProof/>
        </w:rPr>
        <w:t xml:space="preserve">he management of the grant agreements/contracts (also) sign a declaration of absence of a conflict of interest. Staff is regularly trained and uses networks to exchange best practices. </w:t>
      </w:r>
    </w:p>
    <w:p w:rsidR="00D10CBC" w:rsidRDefault="00BC383A">
      <w:pPr>
        <w:pStyle w:val="Text1"/>
        <w:pBdr>
          <w:top w:val="single" w:sz="4" w:space="1" w:color="auto"/>
          <w:left w:val="single" w:sz="4" w:space="4" w:color="auto"/>
          <w:bottom w:val="single" w:sz="4" w:space="1" w:color="auto"/>
          <w:right w:val="single" w:sz="4" w:space="4" w:color="auto"/>
        </w:pBdr>
        <w:rPr>
          <w:b/>
          <w:noProof/>
        </w:rPr>
      </w:pPr>
      <w:r>
        <w:rPr>
          <w:noProof/>
        </w:rPr>
        <w:t>• Technical implementation of a project is checked at regular interval</w:t>
      </w:r>
      <w:r>
        <w:rPr>
          <w:noProof/>
        </w:rPr>
        <w:t>s at the desk on the basis of technical progress reports of the contractors and beneficiaries; in addition contractors'/beneficiaries' meetings and on-site-visits are foreseen on a case by case basis.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b/>
          <w:noProof/>
        </w:rPr>
        <w:t>Controls at the end of the project:</w:t>
      </w:r>
      <w:r>
        <w:rPr>
          <w:noProof/>
        </w:rPr>
        <w:t xml:space="preserve">  Ex-post audits are</w:t>
      </w:r>
      <w:r>
        <w:rPr>
          <w:noProof/>
        </w:rPr>
        <w:t xml:space="preserve"> performed on a sample of transactions to verify on-the-spot the eligibility of cost claims. The aim of these controls is to prevent, detect and correct material errors related to the legality and regularity of financial transactions. With a view to achiev</w:t>
      </w:r>
      <w:r>
        <w:rPr>
          <w:noProof/>
        </w:rPr>
        <w:t xml:space="preserve">ing a high control impact, the selection of beneficiaries to be audited foresees to combine a risk based selection </w:t>
      </w:r>
      <w:r>
        <w:rPr>
          <w:noProof/>
        </w:rPr>
        <w:lastRenderedPageBreak/>
        <w:t>with a random sampling, and to pay attention to operational aspects whenever possible during the on-site audit.</w:t>
      </w:r>
    </w:p>
    <w:p w:rsidR="00D10CBC" w:rsidRDefault="00D10CBC">
      <w:pPr>
        <w:pStyle w:val="Text1"/>
        <w:pBdr>
          <w:top w:val="single" w:sz="4" w:space="1" w:color="auto"/>
          <w:left w:val="single" w:sz="4" w:space="4" w:color="auto"/>
          <w:bottom w:val="single" w:sz="4" w:space="1" w:color="auto"/>
          <w:right w:val="single" w:sz="4" w:space="4" w:color="auto"/>
        </w:pBdr>
        <w:rPr>
          <w:noProof/>
        </w:rPr>
      </w:pPr>
    </w:p>
    <w:p w:rsidR="00D10CBC" w:rsidRDefault="00BC383A">
      <w:pPr>
        <w:pStyle w:val="ManualHeading3"/>
        <w:rPr>
          <w:noProof/>
        </w:rPr>
      </w:pPr>
      <w:r>
        <w:t>2.2.3.</w:t>
      </w:r>
      <w:r>
        <w:tab/>
      </w:r>
      <w:r>
        <w:rPr>
          <w:noProof/>
        </w:rPr>
        <w:t xml:space="preserve">Estimation and </w:t>
      </w:r>
      <w:r>
        <w:rPr>
          <w:noProof/>
        </w:rPr>
        <w:t>justification of the cost-effectiveness of the controls (ratio of "control costs ÷ value of the related funds managed"), and assessment of the expected levels of risk of error (at payment &amp; at closure)</w:t>
      </w:r>
      <w:bookmarkEnd w:id="45"/>
      <w:bookmarkEnd w:id="46"/>
      <w:r>
        <w:rPr>
          <w:noProof/>
        </w:rPr>
        <w:t xml:space="preserve"> </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As a reference, the yearly costs of the suggested lev</w:t>
      </w:r>
      <w:r>
        <w:rPr>
          <w:noProof/>
        </w:rPr>
        <w:t>el of controls under the Health programme 2014-2020 represented approximately 4 to 7% of the yearly budget of the operational expenditure. This was justified by the diversity of transactions to be controlled, and implementation through direct management in</w:t>
      </w:r>
      <w:r>
        <w:rPr>
          <w:noProof/>
        </w:rPr>
        <w:t>volving the attribution of numerous contracts and grants for actions of very small to large sizes. The Commission considers that the average costs of controls is likely to decrease in view of the extended scope and increased budget of the programmes.</w:t>
      </w:r>
    </w:p>
    <w:p w:rsidR="00D10CBC" w:rsidRDefault="00BC383A">
      <w:pPr>
        <w:pStyle w:val="Text1"/>
        <w:pBdr>
          <w:top w:val="single" w:sz="4" w:space="1" w:color="auto"/>
          <w:left w:val="single" w:sz="4" w:space="4" w:color="auto"/>
          <w:bottom w:val="single" w:sz="4" w:space="1" w:color="auto"/>
          <w:right w:val="single" w:sz="4" w:space="4" w:color="auto"/>
        </w:pBdr>
        <w:rPr>
          <w:noProof/>
          <w:color w:val="0000FF"/>
        </w:rPr>
      </w:pPr>
      <w:r>
        <w:rPr>
          <w:noProof/>
        </w:rPr>
        <w:t>The H</w:t>
      </w:r>
      <w:r>
        <w:rPr>
          <w:noProof/>
        </w:rPr>
        <w:t xml:space="preserve">ERA will earmark credits within several programmes to ensure its implementation.  The existing control system for these programmes should be able to prevent and/or to detect errors and/or irregularities, and in case of errors or irregularities, to correct </w:t>
      </w:r>
      <w:r>
        <w:rPr>
          <w:noProof/>
        </w:rPr>
        <w:t>them. It will ensure that residual error rates (after correction) remain below the threshold of 2%</w:t>
      </w:r>
      <w:r>
        <w:t>.</w:t>
      </w:r>
    </w:p>
    <w:p w:rsidR="00D10CBC" w:rsidRDefault="00BC383A">
      <w:pPr>
        <w:pStyle w:val="ManualHeading2"/>
        <w:rPr>
          <w:bCs/>
          <w:noProof/>
          <w:szCs w:val="24"/>
        </w:rPr>
      </w:pPr>
      <w:bookmarkStart w:id="47" w:name="_Toc514938049"/>
      <w:bookmarkStart w:id="48" w:name="_Toc520485048"/>
      <w:r>
        <w:t>2.3.</w:t>
      </w:r>
      <w:r>
        <w:tab/>
      </w:r>
      <w:r>
        <w:rPr>
          <w:noProof/>
        </w:rPr>
        <w:t>Measures to prevent fraud and irregularities</w:t>
      </w:r>
      <w:bookmarkEnd w:id="47"/>
      <w:bookmarkEnd w:id="48"/>
      <w:r>
        <w:rPr>
          <w:noProof/>
        </w:rPr>
        <w:t xml:space="preserve"> </w:t>
      </w:r>
    </w:p>
    <w:p w:rsidR="00D10CBC" w:rsidRDefault="00BC383A">
      <w:pPr>
        <w:pStyle w:val="Text1"/>
        <w:rPr>
          <w:i/>
          <w:noProof/>
          <w:sz w:val="20"/>
        </w:rPr>
      </w:pPr>
      <w:r>
        <w:rPr>
          <w:i/>
          <w:noProof/>
          <w:sz w:val="20"/>
        </w:rPr>
        <w:t>Specify existing or envisaged prevention and protection measures, e.g. from the Anti-Fraud Strategy.</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As f</w:t>
      </w:r>
      <w:r>
        <w:rPr>
          <w:noProof/>
        </w:rPr>
        <w:t xml:space="preserve">or its activities in direct and indirect management, the Commission shall take appropriate measures ensuring that the financial interests of the European Union are protected by the application of preventive measures against fraud, corruption and any other </w:t>
      </w:r>
      <w:r>
        <w:rPr>
          <w:noProof/>
        </w:rPr>
        <w:t>illegal activities, by effective checks and, if irregularities are detected, by the recovery of the amounts wrongly paid and, where appropriate, by effective, proportional and deterrent penalties. To this effect, the Commission adopted an anti-fraud strate</w:t>
      </w:r>
      <w:r>
        <w:rPr>
          <w:noProof/>
        </w:rPr>
        <w:t>gy, latest update of April 2019 (COM(2019) 176), covering notably the following preventive, detective and corrective measures: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The Commission or its representatives and the Court of Auditors shall have the power of audit, on the basis of documents and on-t</w:t>
      </w:r>
      <w:r>
        <w:rPr>
          <w:noProof/>
        </w:rPr>
        <w:t>he-spot, over all grant beneficiaries, contractors and subcontractors who have received Union funds. OLAF shall be authorised to carry out on-the-spot checks and inspections on economic operators concerned directly or indirectly by such funding.</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The Commis</w:t>
      </w:r>
      <w:r>
        <w:rPr>
          <w:noProof/>
        </w:rPr>
        <w:t>sion also implements a series of measures such as: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decisions, agreements and contracts resulting from the implementation of the programme will expressly entitle the Commission, including OLAF, and the Court of Auditors to conduct audits, on-the-spot chec</w:t>
      </w:r>
      <w:r>
        <w:rPr>
          <w:noProof/>
        </w:rPr>
        <w:t>ks and inspections and to recover amounts unduly paid and, where appropriate, impose administrative sanctions;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during the evaluation phase of a call for proposals/tender, the applicants and tenderers are checked against the published exclusion criteria b</w:t>
      </w:r>
      <w:r>
        <w:rPr>
          <w:noProof/>
        </w:rPr>
        <w:t>ased on declarations and the Early Detection and Exclusion System (EDES);</w:t>
      </w:r>
    </w:p>
    <w:p w:rsidR="00D10CBC" w:rsidRDefault="00BC383A">
      <w:pPr>
        <w:pStyle w:val="Text1"/>
        <w:pBdr>
          <w:top w:val="single" w:sz="4" w:space="1" w:color="auto"/>
          <w:left w:val="single" w:sz="4" w:space="4" w:color="auto"/>
          <w:bottom w:val="single" w:sz="4" w:space="1" w:color="auto"/>
          <w:right w:val="single" w:sz="4" w:space="4" w:color="auto"/>
        </w:pBdr>
        <w:rPr>
          <w:noProof/>
        </w:rPr>
      </w:pPr>
      <w:r>
        <w:rPr>
          <w:noProof/>
        </w:rPr>
        <w:t>- the rules governing the eligibility of costs will be simplified in accordance with the provisions of the Financial Regulation;</w:t>
      </w:r>
    </w:p>
    <w:p w:rsidR="00D10CBC" w:rsidRDefault="00BC383A">
      <w:pPr>
        <w:pStyle w:val="Text1"/>
        <w:pBdr>
          <w:top w:val="single" w:sz="4" w:space="1" w:color="auto"/>
          <w:left w:val="single" w:sz="4" w:space="4" w:color="auto"/>
          <w:bottom w:val="single" w:sz="4" w:space="1" w:color="auto"/>
          <w:right w:val="single" w:sz="4" w:space="4" w:color="auto"/>
        </w:pBdr>
      </w:pPr>
      <w:r>
        <w:rPr>
          <w:noProof/>
        </w:rPr>
        <w:lastRenderedPageBreak/>
        <w:t>- regular training on issues related to fraud and irr</w:t>
      </w:r>
      <w:r>
        <w:rPr>
          <w:noProof/>
        </w:rPr>
        <w:t>egularities is given to all staff involved in contract management as well as to auditors and controllers who verify the beneficiaries' declarations on the spot.</w:t>
      </w:r>
    </w:p>
    <w:p w:rsidR="00D10CBC" w:rsidRDefault="00BC383A">
      <w:pPr>
        <w:pStyle w:val="ManualHeading1"/>
        <w:rPr>
          <w:bCs/>
          <w:noProof/>
          <w:szCs w:val="24"/>
        </w:rPr>
      </w:pPr>
      <w:bookmarkStart w:id="49" w:name="_Toc514938050"/>
      <w:bookmarkStart w:id="50" w:name="_Toc520485049"/>
      <w:r>
        <w:t>3.</w:t>
      </w:r>
      <w:r>
        <w:tab/>
      </w:r>
      <w:r>
        <w:rPr>
          <w:noProof/>
        </w:rPr>
        <w:t>ESTIMATED FINANCIAL IMPACT OF THE PROPOSAL/INITIATIVE</w:t>
      </w:r>
      <w:bookmarkEnd w:id="49"/>
      <w:bookmarkEnd w:id="50"/>
      <w:r>
        <w:rPr>
          <w:noProof/>
        </w:rPr>
        <w:t xml:space="preserve"> </w:t>
      </w:r>
    </w:p>
    <w:p w:rsidR="00D10CBC" w:rsidRDefault="00BC383A">
      <w:pPr>
        <w:pStyle w:val="ManualHeading2"/>
        <w:rPr>
          <w:noProof/>
        </w:rPr>
      </w:pPr>
      <w:bookmarkStart w:id="51" w:name="_Toc514938051"/>
      <w:bookmarkStart w:id="52" w:name="_Toc520485050"/>
      <w:r>
        <w:t>3.1.</w:t>
      </w:r>
      <w:r>
        <w:tab/>
      </w:r>
      <w:r>
        <w:rPr>
          <w:noProof/>
        </w:rPr>
        <w:t>Heading(s) of the multiannual fi</w:t>
      </w:r>
      <w:r>
        <w:rPr>
          <w:noProof/>
        </w:rPr>
        <w:t>nancial framework and expenditure budget line(s) affected</w:t>
      </w:r>
      <w:bookmarkEnd w:id="51"/>
      <w:bookmarkEnd w:id="52"/>
      <w:r>
        <w:rPr>
          <w:noProof/>
        </w:rPr>
        <w:t xml:space="preserve"> </w:t>
      </w:r>
    </w:p>
    <w:p w:rsidR="00D10CBC" w:rsidRDefault="00BC383A">
      <w:pPr>
        <w:pStyle w:val="ListBullet1"/>
        <w:rPr>
          <w:noProof/>
        </w:rPr>
      </w:pPr>
      <w:r>
        <w:rPr>
          <w:noProof/>
        </w:rPr>
        <w:t xml:space="preserve">Existing budget lines </w:t>
      </w:r>
    </w:p>
    <w:p w:rsidR="00D10CBC" w:rsidRDefault="00BC383A">
      <w:pPr>
        <w:pStyle w:val="Text1"/>
        <w:rPr>
          <w:i/>
          <w:noProof/>
          <w:sz w:val="20"/>
        </w:rPr>
      </w:pPr>
      <w:r>
        <w:rPr>
          <w:i/>
          <w:noProof/>
          <w:u w:val="single"/>
        </w:rPr>
        <w:t>In order</w:t>
      </w:r>
      <w:r>
        <w:rPr>
          <w:i/>
          <w:noProof/>
        </w:rPr>
        <w:t xml:space="preserve"> of multiannual financial framework headings and budget lines.</w:t>
      </w: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798"/>
        <w:gridCol w:w="1080"/>
        <w:gridCol w:w="900"/>
        <w:gridCol w:w="990"/>
        <w:gridCol w:w="900"/>
        <w:gridCol w:w="1530"/>
      </w:tblGrid>
      <w:tr w:rsidR="00D10CBC">
        <w:trPr>
          <w:jc w:val="center"/>
        </w:trPr>
        <w:tc>
          <w:tcPr>
            <w:tcW w:w="1080" w:type="dxa"/>
            <w:vMerge w:val="restart"/>
            <w:vAlign w:val="center"/>
          </w:tcPr>
          <w:p w:rsidR="00D10CBC" w:rsidRDefault="00BC383A">
            <w:pPr>
              <w:spacing w:before="60" w:after="60"/>
              <w:ind w:left="-37" w:right="-266"/>
              <w:rPr>
                <w:noProof/>
                <w:sz w:val="18"/>
                <w:szCs w:val="18"/>
              </w:rPr>
            </w:pPr>
            <w:r>
              <w:rPr>
                <w:noProof/>
                <w:sz w:val="18"/>
              </w:rPr>
              <w:t>Heading of multiannual financial framework</w:t>
            </w:r>
          </w:p>
        </w:tc>
        <w:tc>
          <w:tcPr>
            <w:tcW w:w="3798" w:type="dxa"/>
            <w:vAlign w:val="center"/>
          </w:tcPr>
          <w:p w:rsidR="00D10CBC" w:rsidRDefault="00BC383A">
            <w:pPr>
              <w:spacing w:before="60" w:after="60"/>
              <w:ind w:left="-482"/>
              <w:jc w:val="center"/>
              <w:rPr>
                <w:noProof/>
              </w:rPr>
            </w:pPr>
            <w:r>
              <w:rPr>
                <w:noProof/>
                <w:sz w:val="20"/>
              </w:rPr>
              <w:t>Budget line</w:t>
            </w:r>
          </w:p>
        </w:tc>
        <w:tc>
          <w:tcPr>
            <w:tcW w:w="1080" w:type="dxa"/>
            <w:vAlign w:val="center"/>
          </w:tcPr>
          <w:p w:rsidR="00D10CBC" w:rsidRDefault="00BC383A">
            <w:pPr>
              <w:spacing w:before="60" w:after="60"/>
              <w:jc w:val="center"/>
              <w:rPr>
                <w:noProof/>
              </w:rPr>
            </w:pPr>
            <w:r>
              <w:rPr>
                <w:noProof/>
                <w:sz w:val="18"/>
              </w:rPr>
              <w:t>Type of</w:t>
            </w:r>
            <w:r>
              <w:rPr>
                <w:noProof/>
                <w:sz w:val="22"/>
              </w:rPr>
              <w:br/>
            </w:r>
            <w:r>
              <w:rPr>
                <w:noProof/>
                <w:sz w:val="18"/>
              </w:rPr>
              <w:t>expenditure</w:t>
            </w:r>
          </w:p>
        </w:tc>
        <w:tc>
          <w:tcPr>
            <w:tcW w:w="4320" w:type="dxa"/>
            <w:gridSpan w:val="4"/>
            <w:vAlign w:val="center"/>
          </w:tcPr>
          <w:p w:rsidR="00D10CBC" w:rsidRDefault="00BC383A">
            <w:pPr>
              <w:spacing w:before="60" w:after="60"/>
              <w:ind w:left="-482"/>
              <w:jc w:val="center"/>
              <w:rPr>
                <w:noProof/>
              </w:rPr>
            </w:pPr>
            <w:r>
              <w:rPr>
                <w:noProof/>
                <w:sz w:val="20"/>
              </w:rPr>
              <w:t xml:space="preserve">Contribution </w:t>
            </w:r>
          </w:p>
        </w:tc>
      </w:tr>
      <w:tr w:rsidR="00D10CBC">
        <w:trPr>
          <w:jc w:val="center"/>
        </w:trPr>
        <w:tc>
          <w:tcPr>
            <w:tcW w:w="1080" w:type="dxa"/>
            <w:vMerge/>
            <w:vAlign w:val="center"/>
          </w:tcPr>
          <w:p w:rsidR="00D10CBC" w:rsidRDefault="00D10CBC">
            <w:pPr>
              <w:ind w:left="-482"/>
              <w:jc w:val="center"/>
              <w:rPr>
                <w:noProof/>
              </w:rPr>
            </w:pPr>
          </w:p>
        </w:tc>
        <w:tc>
          <w:tcPr>
            <w:tcW w:w="3798" w:type="dxa"/>
            <w:vAlign w:val="center"/>
          </w:tcPr>
          <w:p w:rsidR="00D10CBC" w:rsidRDefault="00D10CBC">
            <w:pPr>
              <w:ind w:left="-48" w:firstLine="48"/>
              <w:rPr>
                <w:noProof/>
              </w:rPr>
            </w:pPr>
          </w:p>
        </w:tc>
        <w:tc>
          <w:tcPr>
            <w:tcW w:w="1080" w:type="dxa"/>
            <w:vAlign w:val="center"/>
          </w:tcPr>
          <w:p w:rsidR="00D10CBC" w:rsidRDefault="00BC383A">
            <w:pPr>
              <w:ind w:left="-68"/>
              <w:jc w:val="center"/>
              <w:rPr>
                <w:noProof/>
              </w:rPr>
            </w:pPr>
            <w:r>
              <w:rPr>
                <w:noProof/>
                <w:sz w:val="18"/>
              </w:rPr>
              <w:t>Diff./Non-diff.</w:t>
            </w:r>
          </w:p>
        </w:tc>
        <w:tc>
          <w:tcPr>
            <w:tcW w:w="900" w:type="dxa"/>
            <w:vAlign w:val="center"/>
          </w:tcPr>
          <w:p w:rsidR="00D10CBC" w:rsidRDefault="00BC383A">
            <w:pPr>
              <w:ind w:left="-154"/>
              <w:jc w:val="center"/>
              <w:rPr>
                <w:noProof/>
                <w:sz w:val="18"/>
              </w:rPr>
            </w:pPr>
            <w:r>
              <w:rPr>
                <w:noProof/>
                <w:sz w:val="18"/>
              </w:rPr>
              <w:t>from EFTA countries</w:t>
            </w:r>
          </w:p>
        </w:tc>
        <w:tc>
          <w:tcPr>
            <w:tcW w:w="990" w:type="dxa"/>
            <w:vAlign w:val="center"/>
          </w:tcPr>
          <w:p w:rsidR="00D10CBC" w:rsidRDefault="00BC383A">
            <w:pPr>
              <w:ind w:left="-155"/>
              <w:jc w:val="center"/>
              <w:rPr>
                <w:noProof/>
                <w:sz w:val="18"/>
              </w:rPr>
            </w:pPr>
            <w:r>
              <w:rPr>
                <w:noProof/>
                <w:sz w:val="18"/>
              </w:rPr>
              <w:t>from candidate countries</w:t>
            </w:r>
          </w:p>
        </w:tc>
        <w:tc>
          <w:tcPr>
            <w:tcW w:w="900" w:type="dxa"/>
            <w:vAlign w:val="center"/>
          </w:tcPr>
          <w:p w:rsidR="00D10CBC" w:rsidRDefault="00BC383A">
            <w:pPr>
              <w:ind w:left="-155"/>
              <w:jc w:val="center"/>
              <w:rPr>
                <w:noProof/>
                <w:sz w:val="18"/>
              </w:rPr>
            </w:pPr>
            <w:r>
              <w:rPr>
                <w:noProof/>
                <w:sz w:val="18"/>
              </w:rPr>
              <w:t>from third countries</w:t>
            </w:r>
          </w:p>
        </w:tc>
        <w:tc>
          <w:tcPr>
            <w:tcW w:w="1530" w:type="dxa"/>
            <w:vAlign w:val="center"/>
          </w:tcPr>
          <w:p w:rsidR="00D10CBC" w:rsidRDefault="00BC383A">
            <w:pPr>
              <w:ind w:left="-67"/>
              <w:jc w:val="center"/>
              <w:rPr>
                <w:noProof/>
              </w:rPr>
            </w:pPr>
            <w:r>
              <w:rPr>
                <w:noProof/>
                <w:sz w:val="16"/>
              </w:rPr>
              <w:t>within the meaning of Article 21(2)(b) of the Financial Regulation</w:t>
            </w:r>
          </w:p>
        </w:tc>
      </w:tr>
      <w:tr w:rsidR="00D10CBC">
        <w:trPr>
          <w:jc w:val="center"/>
        </w:trPr>
        <w:tc>
          <w:tcPr>
            <w:tcW w:w="1080" w:type="dxa"/>
            <w:vAlign w:val="center"/>
          </w:tcPr>
          <w:p w:rsidR="00D10CBC" w:rsidRDefault="00BC383A">
            <w:pPr>
              <w:ind w:left="-482"/>
              <w:jc w:val="center"/>
              <w:rPr>
                <w:noProof/>
              </w:rPr>
            </w:pPr>
            <w:r>
              <w:rPr>
                <w:noProof/>
              </w:rPr>
              <w:t xml:space="preserve">1 </w:t>
            </w:r>
          </w:p>
        </w:tc>
        <w:tc>
          <w:tcPr>
            <w:tcW w:w="3798" w:type="dxa"/>
            <w:vAlign w:val="center"/>
          </w:tcPr>
          <w:p w:rsidR="00D10CBC" w:rsidRDefault="00BC383A">
            <w:pPr>
              <w:spacing w:before="60"/>
              <w:ind w:left="-48"/>
            </w:pPr>
            <w:r>
              <w:t>01 02 02 10 - Horizon Europe</w:t>
            </w:r>
          </w:p>
        </w:tc>
        <w:tc>
          <w:tcPr>
            <w:tcW w:w="1080" w:type="dxa"/>
            <w:vAlign w:val="center"/>
          </w:tcPr>
          <w:p w:rsidR="00D10CBC" w:rsidRDefault="00BC383A">
            <w:pPr>
              <w:ind w:left="-482"/>
              <w:jc w:val="center"/>
              <w:rPr>
                <w:noProof/>
                <w:color w:val="0000FF"/>
              </w:rPr>
            </w:pPr>
            <w:r>
              <w:rPr>
                <w:noProof/>
                <w:sz w:val="22"/>
              </w:rPr>
              <w:t>Diff.</w:t>
            </w:r>
          </w:p>
        </w:tc>
        <w:tc>
          <w:tcPr>
            <w:tcW w:w="900" w:type="dxa"/>
            <w:vAlign w:val="center"/>
          </w:tcPr>
          <w:p w:rsidR="00D10CBC" w:rsidRDefault="00BC383A">
            <w:pPr>
              <w:ind w:left="-482"/>
              <w:jc w:val="center"/>
              <w:rPr>
                <w:noProof/>
                <w:sz w:val="22"/>
              </w:rPr>
            </w:pPr>
            <w:r>
              <w:rPr>
                <w:noProof/>
                <w:sz w:val="22"/>
              </w:rPr>
              <w:t>Yes</w:t>
            </w:r>
          </w:p>
        </w:tc>
        <w:tc>
          <w:tcPr>
            <w:tcW w:w="990" w:type="dxa"/>
            <w:vAlign w:val="center"/>
          </w:tcPr>
          <w:p w:rsidR="00D10CBC" w:rsidRDefault="00BC383A">
            <w:pPr>
              <w:ind w:left="-482"/>
              <w:jc w:val="center"/>
              <w:rPr>
                <w:noProof/>
                <w:sz w:val="22"/>
              </w:rPr>
            </w:pPr>
            <w:r>
              <w:rPr>
                <w:noProof/>
                <w:sz w:val="22"/>
              </w:rPr>
              <w:t>Yes</w:t>
            </w:r>
          </w:p>
        </w:tc>
        <w:tc>
          <w:tcPr>
            <w:tcW w:w="900" w:type="dxa"/>
            <w:vAlign w:val="center"/>
          </w:tcPr>
          <w:p w:rsidR="00D10CBC" w:rsidRDefault="00BC383A">
            <w:pPr>
              <w:ind w:left="-482"/>
              <w:jc w:val="center"/>
              <w:rPr>
                <w:noProof/>
                <w:sz w:val="22"/>
              </w:rPr>
            </w:pPr>
            <w:r>
              <w:rPr>
                <w:noProof/>
                <w:sz w:val="22"/>
              </w:rPr>
              <w:t>Yes</w:t>
            </w:r>
          </w:p>
        </w:tc>
        <w:tc>
          <w:tcPr>
            <w:tcW w:w="1530" w:type="dxa"/>
            <w:vAlign w:val="center"/>
          </w:tcPr>
          <w:p w:rsidR="00D10CBC" w:rsidRDefault="00BC383A">
            <w:pPr>
              <w:ind w:left="-482"/>
              <w:jc w:val="center"/>
              <w:rPr>
                <w:noProof/>
                <w:sz w:val="22"/>
              </w:rPr>
            </w:pPr>
            <w:r>
              <w:rPr>
                <w:noProof/>
                <w:sz w:val="22"/>
              </w:rPr>
              <w:t>No</w:t>
            </w:r>
          </w:p>
        </w:tc>
      </w:tr>
      <w:tr w:rsidR="00D10CBC">
        <w:trPr>
          <w:jc w:val="center"/>
        </w:trPr>
        <w:tc>
          <w:tcPr>
            <w:tcW w:w="1080" w:type="dxa"/>
            <w:vAlign w:val="center"/>
          </w:tcPr>
          <w:p w:rsidR="00D10CBC" w:rsidRDefault="00BC383A">
            <w:pPr>
              <w:ind w:left="-482"/>
              <w:jc w:val="center"/>
              <w:rPr>
                <w:noProof/>
              </w:rPr>
            </w:pPr>
            <w:r>
              <w:rPr>
                <w:noProof/>
              </w:rPr>
              <w:t>2b</w:t>
            </w:r>
          </w:p>
        </w:tc>
        <w:tc>
          <w:tcPr>
            <w:tcW w:w="3798" w:type="dxa"/>
            <w:vAlign w:val="center"/>
          </w:tcPr>
          <w:p w:rsidR="00D10CBC" w:rsidRDefault="00BC383A">
            <w:pPr>
              <w:spacing w:before="60"/>
              <w:ind w:left="-48"/>
            </w:pPr>
            <w:r>
              <w:t>06 06 01 - EU4Health Programme</w:t>
            </w:r>
          </w:p>
        </w:tc>
        <w:tc>
          <w:tcPr>
            <w:tcW w:w="1080" w:type="dxa"/>
            <w:vAlign w:val="center"/>
          </w:tcPr>
          <w:p w:rsidR="00D10CBC" w:rsidRDefault="00BC383A">
            <w:pPr>
              <w:ind w:left="-482"/>
              <w:jc w:val="center"/>
              <w:rPr>
                <w:noProof/>
                <w:color w:val="0000FF"/>
              </w:rPr>
            </w:pPr>
            <w:r>
              <w:rPr>
                <w:noProof/>
                <w:sz w:val="22"/>
              </w:rPr>
              <w:t>Diff.</w:t>
            </w:r>
          </w:p>
        </w:tc>
        <w:tc>
          <w:tcPr>
            <w:tcW w:w="900" w:type="dxa"/>
            <w:vAlign w:val="center"/>
          </w:tcPr>
          <w:p w:rsidR="00D10CBC" w:rsidRDefault="00BC383A">
            <w:pPr>
              <w:ind w:left="-482"/>
              <w:jc w:val="center"/>
              <w:rPr>
                <w:noProof/>
                <w:sz w:val="22"/>
              </w:rPr>
            </w:pPr>
            <w:r>
              <w:rPr>
                <w:noProof/>
                <w:sz w:val="22"/>
              </w:rPr>
              <w:t>Yes</w:t>
            </w:r>
          </w:p>
        </w:tc>
        <w:tc>
          <w:tcPr>
            <w:tcW w:w="990" w:type="dxa"/>
            <w:vAlign w:val="center"/>
          </w:tcPr>
          <w:p w:rsidR="00D10CBC" w:rsidRDefault="00BC383A">
            <w:pPr>
              <w:ind w:left="-482"/>
              <w:jc w:val="center"/>
              <w:rPr>
                <w:noProof/>
                <w:sz w:val="22"/>
              </w:rPr>
            </w:pPr>
            <w:r>
              <w:rPr>
                <w:noProof/>
                <w:sz w:val="22"/>
              </w:rPr>
              <w:t>Yes</w:t>
            </w:r>
          </w:p>
        </w:tc>
        <w:tc>
          <w:tcPr>
            <w:tcW w:w="900" w:type="dxa"/>
            <w:vAlign w:val="center"/>
          </w:tcPr>
          <w:p w:rsidR="00D10CBC" w:rsidRDefault="00BC383A">
            <w:pPr>
              <w:ind w:left="-482"/>
              <w:jc w:val="center"/>
              <w:rPr>
                <w:noProof/>
                <w:sz w:val="22"/>
              </w:rPr>
            </w:pPr>
            <w:r>
              <w:rPr>
                <w:noProof/>
                <w:sz w:val="22"/>
              </w:rPr>
              <w:t>Yes</w:t>
            </w:r>
          </w:p>
        </w:tc>
        <w:tc>
          <w:tcPr>
            <w:tcW w:w="1530" w:type="dxa"/>
            <w:vAlign w:val="center"/>
          </w:tcPr>
          <w:p w:rsidR="00D10CBC" w:rsidRDefault="00BC383A">
            <w:pPr>
              <w:ind w:left="-482"/>
              <w:jc w:val="center"/>
              <w:rPr>
                <w:noProof/>
                <w:sz w:val="22"/>
              </w:rPr>
            </w:pPr>
            <w:r>
              <w:rPr>
                <w:noProof/>
                <w:sz w:val="22"/>
              </w:rPr>
              <w:t>No</w:t>
            </w:r>
          </w:p>
        </w:tc>
      </w:tr>
      <w:tr w:rsidR="00D10CBC">
        <w:trPr>
          <w:jc w:val="center"/>
        </w:trPr>
        <w:tc>
          <w:tcPr>
            <w:tcW w:w="1080" w:type="dxa"/>
            <w:vAlign w:val="center"/>
          </w:tcPr>
          <w:p w:rsidR="00D10CBC" w:rsidRDefault="00BC383A">
            <w:pPr>
              <w:ind w:left="-482"/>
              <w:jc w:val="center"/>
              <w:rPr>
                <w:noProof/>
              </w:rPr>
            </w:pPr>
            <w:r>
              <w:rPr>
                <w:noProof/>
              </w:rPr>
              <w:t>2b</w:t>
            </w:r>
          </w:p>
        </w:tc>
        <w:tc>
          <w:tcPr>
            <w:tcW w:w="3798" w:type="dxa"/>
            <w:vAlign w:val="center"/>
          </w:tcPr>
          <w:p w:rsidR="00D10CBC" w:rsidRDefault="00BC383A">
            <w:pPr>
              <w:spacing w:before="60"/>
              <w:ind w:left="-48"/>
            </w:pPr>
            <w:r>
              <w:t>06 05 01 - Union Civil Protection Mechanism (rescEU)</w:t>
            </w:r>
          </w:p>
        </w:tc>
        <w:tc>
          <w:tcPr>
            <w:tcW w:w="1080" w:type="dxa"/>
            <w:vAlign w:val="center"/>
          </w:tcPr>
          <w:p w:rsidR="00D10CBC" w:rsidRDefault="00BC383A">
            <w:pPr>
              <w:ind w:left="-482"/>
              <w:jc w:val="center"/>
              <w:rPr>
                <w:noProof/>
                <w:color w:val="0000FF"/>
              </w:rPr>
            </w:pPr>
            <w:r>
              <w:rPr>
                <w:noProof/>
                <w:sz w:val="22"/>
              </w:rPr>
              <w:t>Diff.</w:t>
            </w:r>
          </w:p>
        </w:tc>
        <w:tc>
          <w:tcPr>
            <w:tcW w:w="900" w:type="dxa"/>
            <w:vAlign w:val="center"/>
          </w:tcPr>
          <w:p w:rsidR="00D10CBC" w:rsidRDefault="00BC383A">
            <w:pPr>
              <w:ind w:left="-482"/>
              <w:jc w:val="center"/>
              <w:rPr>
                <w:noProof/>
                <w:sz w:val="22"/>
              </w:rPr>
            </w:pPr>
            <w:r>
              <w:rPr>
                <w:noProof/>
                <w:sz w:val="22"/>
              </w:rPr>
              <w:t>Yes</w:t>
            </w:r>
          </w:p>
        </w:tc>
        <w:tc>
          <w:tcPr>
            <w:tcW w:w="990" w:type="dxa"/>
            <w:vAlign w:val="center"/>
          </w:tcPr>
          <w:p w:rsidR="00D10CBC" w:rsidRDefault="00BC383A">
            <w:pPr>
              <w:ind w:left="-482"/>
              <w:jc w:val="center"/>
              <w:rPr>
                <w:noProof/>
                <w:sz w:val="22"/>
              </w:rPr>
            </w:pPr>
            <w:r>
              <w:rPr>
                <w:noProof/>
                <w:sz w:val="22"/>
              </w:rPr>
              <w:t>Yes</w:t>
            </w:r>
          </w:p>
        </w:tc>
        <w:tc>
          <w:tcPr>
            <w:tcW w:w="900" w:type="dxa"/>
            <w:vAlign w:val="center"/>
          </w:tcPr>
          <w:p w:rsidR="00D10CBC" w:rsidRDefault="00BC383A">
            <w:pPr>
              <w:ind w:left="-482"/>
              <w:jc w:val="center"/>
              <w:rPr>
                <w:noProof/>
                <w:sz w:val="22"/>
              </w:rPr>
            </w:pPr>
            <w:r>
              <w:rPr>
                <w:noProof/>
                <w:sz w:val="22"/>
              </w:rPr>
              <w:t>Yes</w:t>
            </w:r>
          </w:p>
        </w:tc>
        <w:tc>
          <w:tcPr>
            <w:tcW w:w="1530" w:type="dxa"/>
            <w:vAlign w:val="center"/>
          </w:tcPr>
          <w:p w:rsidR="00D10CBC" w:rsidRDefault="00BC383A">
            <w:pPr>
              <w:ind w:left="-482"/>
              <w:jc w:val="center"/>
              <w:rPr>
                <w:noProof/>
                <w:sz w:val="22"/>
              </w:rPr>
            </w:pPr>
            <w:r>
              <w:rPr>
                <w:noProof/>
                <w:sz w:val="22"/>
              </w:rPr>
              <w:t>No</w:t>
            </w:r>
          </w:p>
        </w:tc>
      </w:tr>
      <w:tr w:rsidR="00D10CBC">
        <w:trPr>
          <w:jc w:val="center"/>
        </w:trPr>
        <w:tc>
          <w:tcPr>
            <w:tcW w:w="1080" w:type="dxa"/>
            <w:vAlign w:val="center"/>
          </w:tcPr>
          <w:p w:rsidR="00D10CBC" w:rsidRDefault="00D10CBC">
            <w:pPr>
              <w:ind w:left="-482"/>
              <w:jc w:val="center"/>
              <w:rPr>
                <w:noProof/>
              </w:rPr>
            </w:pPr>
          </w:p>
        </w:tc>
        <w:tc>
          <w:tcPr>
            <w:tcW w:w="3798" w:type="dxa"/>
            <w:vAlign w:val="center"/>
          </w:tcPr>
          <w:p w:rsidR="00D10CBC" w:rsidRDefault="00D10CBC">
            <w:pPr>
              <w:spacing w:before="60"/>
              <w:ind w:left="-48"/>
            </w:pPr>
          </w:p>
        </w:tc>
        <w:tc>
          <w:tcPr>
            <w:tcW w:w="1080" w:type="dxa"/>
            <w:vAlign w:val="center"/>
          </w:tcPr>
          <w:p w:rsidR="00D10CBC" w:rsidRDefault="00D10CBC">
            <w:pPr>
              <w:ind w:left="-482"/>
              <w:jc w:val="center"/>
              <w:rPr>
                <w:noProof/>
                <w:color w:val="0000FF"/>
              </w:rPr>
            </w:pPr>
          </w:p>
        </w:tc>
        <w:tc>
          <w:tcPr>
            <w:tcW w:w="900" w:type="dxa"/>
            <w:vAlign w:val="center"/>
          </w:tcPr>
          <w:p w:rsidR="00D10CBC" w:rsidRDefault="00D10CBC">
            <w:pPr>
              <w:ind w:left="-482"/>
              <w:jc w:val="center"/>
              <w:rPr>
                <w:noProof/>
                <w:sz w:val="22"/>
              </w:rPr>
            </w:pPr>
          </w:p>
        </w:tc>
        <w:tc>
          <w:tcPr>
            <w:tcW w:w="990" w:type="dxa"/>
            <w:vAlign w:val="center"/>
          </w:tcPr>
          <w:p w:rsidR="00D10CBC" w:rsidRDefault="00D10CBC">
            <w:pPr>
              <w:ind w:left="-482"/>
              <w:jc w:val="center"/>
              <w:rPr>
                <w:noProof/>
                <w:sz w:val="22"/>
              </w:rPr>
            </w:pPr>
          </w:p>
        </w:tc>
        <w:tc>
          <w:tcPr>
            <w:tcW w:w="900" w:type="dxa"/>
            <w:vAlign w:val="center"/>
          </w:tcPr>
          <w:p w:rsidR="00D10CBC" w:rsidRDefault="00D10CBC">
            <w:pPr>
              <w:ind w:left="-482"/>
              <w:jc w:val="center"/>
              <w:rPr>
                <w:noProof/>
                <w:sz w:val="22"/>
              </w:rPr>
            </w:pPr>
          </w:p>
        </w:tc>
        <w:tc>
          <w:tcPr>
            <w:tcW w:w="1530" w:type="dxa"/>
            <w:vAlign w:val="center"/>
          </w:tcPr>
          <w:p w:rsidR="00D10CBC" w:rsidRDefault="00D10CBC">
            <w:pPr>
              <w:ind w:left="-482"/>
              <w:jc w:val="center"/>
              <w:rPr>
                <w:noProof/>
                <w:sz w:val="22"/>
              </w:rPr>
            </w:pPr>
          </w:p>
        </w:tc>
      </w:tr>
      <w:tr w:rsidR="00D10CBC">
        <w:trPr>
          <w:jc w:val="center"/>
        </w:trPr>
        <w:tc>
          <w:tcPr>
            <w:tcW w:w="1080" w:type="dxa"/>
            <w:vAlign w:val="center"/>
          </w:tcPr>
          <w:p w:rsidR="00D10CBC" w:rsidRDefault="00D10CBC">
            <w:pPr>
              <w:ind w:left="-482"/>
              <w:jc w:val="center"/>
              <w:rPr>
                <w:noProof/>
              </w:rPr>
            </w:pPr>
          </w:p>
        </w:tc>
        <w:tc>
          <w:tcPr>
            <w:tcW w:w="3798" w:type="dxa"/>
            <w:vAlign w:val="center"/>
          </w:tcPr>
          <w:p w:rsidR="00D10CBC" w:rsidRDefault="00BC383A">
            <w:pPr>
              <w:spacing w:before="60"/>
              <w:ind w:left="-48"/>
            </w:pPr>
            <w:r>
              <w:rPr>
                <w:noProof/>
                <w:sz w:val="20"/>
              </w:rPr>
              <w:t>Other programmes as detailed in the Communication, section xx (budget lines to be further detailed)</w:t>
            </w:r>
          </w:p>
        </w:tc>
        <w:tc>
          <w:tcPr>
            <w:tcW w:w="1080" w:type="dxa"/>
            <w:vAlign w:val="center"/>
          </w:tcPr>
          <w:p w:rsidR="00D10CBC" w:rsidRDefault="00D10CBC">
            <w:pPr>
              <w:ind w:left="-482"/>
              <w:jc w:val="center"/>
              <w:rPr>
                <w:noProof/>
                <w:sz w:val="22"/>
              </w:rPr>
            </w:pPr>
          </w:p>
        </w:tc>
        <w:tc>
          <w:tcPr>
            <w:tcW w:w="900" w:type="dxa"/>
            <w:vAlign w:val="center"/>
          </w:tcPr>
          <w:p w:rsidR="00D10CBC" w:rsidRDefault="00D10CBC">
            <w:pPr>
              <w:ind w:left="-482"/>
              <w:jc w:val="center"/>
              <w:rPr>
                <w:noProof/>
                <w:sz w:val="22"/>
              </w:rPr>
            </w:pPr>
          </w:p>
        </w:tc>
        <w:tc>
          <w:tcPr>
            <w:tcW w:w="990" w:type="dxa"/>
            <w:vAlign w:val="center"/>
          </w:tcPr>
          <w:p w:rsidR="00D10CBC" w:rsidRDefault="00D10CBC">
            <w:pPr>
              <w:ind w:left="-482"/>
              <w:jc w:val="center"/>
              <w:rPr>
                <w:noProof/>
                <w:sz w:val="22"/>
              </w:rPr>
            </w:pPr>
          </w:p>
        </w:tc>
        <w:tc>
          <w:tcPr>
            <w:tcW w:w="900" w:type="dxa"/>
            <w:vAlign w:val="center"/>
          </w:tcPr>
          <w:p w:rsidR="00D10CBC" w:rsidRDefault="00D10CBC">
            <w:pPr>
              <w:ind w:left="-482"/>
              <w:jc w:val="center"/>
              <w:rPr>
                <w:noProof/>
                <w:sz w:val="22"/>
              </w:rPr>
            </w:pPr>
          </w:p>
        </w:tc>
        <w:tc>
          <w:tcPr>
            <w:tcW w:w="1530" w:type="dxa"/>
            <w:vAlign w:val="center"/>
          </w:tcPr>
          <w:p w:rsidR="00D10CBC" w:rsidRDefault="00D10CBC">
            <w:pPr>
              <w:ind w:left="-482"/>
              <w:jc w:val="center"/>
              <w:rPr>
                <w:noProof/>
                <w:sz w:val="22"/>
              </w:rPr>
            </w:pPr>
          </w:p>
        </w:tc>
      </w:tr>
      <w:tr w:rsidR="00D10CBC">
        <w:trPr>
          <w:jc w:val="center"/>
        </w:trPr>
        <w:tc>
          <w:tcPr>
            <w:tcW w:w="10278" w:type="dxa"/>
            <w:gridSpan w:val="7"/>
            <w:vAlign w:val="center"/>
          </w:tcPr>
          <w:p w:rsidR="00D10CBC" w:rsidRDefault="00BC383A">
            <w:pPr>
              <w:ind w:left="-482"/>
              <w:jc w:val="center"/>
              <w:rPr>
                <w:b/>
                <w:noProof/>
                <w:sz w:val="22"/>
              </w:rPr>
            </w:pPr>
            <w:r>
              <w:rPr>
                <w:b/>
                <w:noProof/>
                <w:sz w:val="22"/>
              </w:rPr>
              <w:t xml:space="preserve">Budget lines for use in times of crisis (no budget </w:t>
            </w:r>
            <w:r>
              <w:rPr>
                <w:b/>
                <w:noProof/>
                <w:sz w:val="22"/>
              </w:rPr>
              <w:t>allocation foreseen in tables below)</w:t>
            </w:r>
          </w:p>
        </w:tc>
      </w:tr>
      <w:tr w:rsidR="00D10CBC">
        <w:trPr>
          <w:jc w:val="center"/>
        </w:trPr>
        <w:tc>
          <w:tcPr>
            <w:tcW w:w="1080" w:type="dxa"/>
            <w:vAlign w:val="center"/>
          </w:tcPr>
          <w:p w:rsidR="00D10CBC" w:rsidRDefault="00BC383A">
            <w:pPr>
              <w:ind w:left="-482"/>
              <w:jc w:val="center"/>
              <w:rPr>
                <w:noProof/>
              </w:rPr>
            </w:pPr>
            <w:r>
              <w:rPr>
                <w:noProof/>
              </w:rPr>
              <w:t>2b</w:t>
            </w:r>
          </w:p>
        </w:tc>
        <w:tc>
          <w:tcPr>
            <w:tcW w:w="3798" w:type="dxa"/>
            <w:vAlign w:val="center"/>
          </w:tcPr>
          <w:p w:rsidR="00D10CBC" w:rsidRDefault="00BC383A">
            <w:pPr>
              <w:spacing w:before="60"/>
              <w:ind w:left="-48"/>
            </w:pPr>
            <w:r>
              <w:t xml:space="preserve">06 07 01 -  Emergency Support Instrument </w:t>
            </w:r>
          </w:p>
        </w:tc>
        <w:tc>
          <w:tcPr>
            <w:tcW w:w="1080" w:type="dxa"/>
            <w:vAlign w:val="center"/>
          </w:tcPr>
          <w:p w:rsidR="00D10CBC" w:rsidRDefault="00BC383A">
            <w:pPr>
              <w:ind w:left="-482"/>
              <w:jc w:val="center"/>
              <w:rPr>
                <w:noProof/>
                <w:color w:val="0000FF"/>
              </w:rPr>
            </w:pPr>
            <w:r>
              <w:rPr>
                <w:noProof/>
                <w:sz w:val="22"/>
              </w:rPr>
              <w:t>Diff.</w:t>
            </w:r>
          </w:p>
        </w:tc>
        <w:tc>
          <w:tcPr>
            <w:tcW w:w="900" w:type="dxa"/>
            <w:vAlign w:val="center"/>
          </w:tcPr>
          <w:p w:rsidR="00D10CBC" w:rsidRDefault="00BC383A">
            <w:pPr>
              <w:ind w:left="-482"/>
              <w:jc w:val="center"/>
              <w:rPr>
                <w:noProof/>
                <w:sz w:val="22"/>
              </w:rPr>
            </w:pPr>
            <w:r>
              <w:rPr>
                <w:noProof/>
                <w:sz w:val="22"/>
              </w:rPr>
              <w:t>No</w:t>
            </w:r>
          </w:p>
        </w:tc>
        <w:tc>
          <w:tcPr>
            <w:tcW w:w="990" w:type="dxa"/>
            <w:vAlign w:val="center"/>
          </w:tcPr>
          <w:p w:rsidR="00D10CBC" w:rsidRDefault="00BC383A">
            <w:pPr>
              <w:ind w:left="-482"/>
              <w:jc w:val="center"/>
              <w:rPr>
                <w:noProof/>
                <w:sz w:val="22"/>
              </w:rPr>
            </w:pPr>
            <w:r>
              <w:rPr>
                <w:noProof/>
                <w:sz w:val="22"/>
              </w:rPr>
              <w:t>No</w:t>
            </w:r>
          </w:p>
        </w:tc>
        <w:tc>
          <w:tcPr>
            <w:tcW w:w="900" w:type="dxa"/>
            <w:vAlign w:val="center"/>
          </w:tcPr>
          <w:p w:rsidR="00D10CBC" w:rsidRDefault="00BC383A">
            <w:pPr>
              <w:ind w:left="-482"/>
              <w:jc w:val="center"/>
              <w:rPr>
                <w:noProof/>
                <w:sz w:val="22"/>
              </w:rPr>
            </w:pPr>
            <w:r>
              <w:rPr>
                <w:noProof/>
                <w:sz w:val="22"/>
              </w:rPr>
              <w:t>No</w:t>
            </w:r>
          </w:p>
        </w:tc>
        <w:tc>
          <w:tcPr>
            <w:tcW w:w="1530" w:type="dxa"/>
            <w:vAlign w:val="center"/>
          </w:tcPr>
          <w:p w:rsidR="00D10CBC" w:rsidRDefault="00BC383A">
            <w:pPr>
              <w:ind w:left="-482"/>
              <w:jc w:val="center"/>
              <w:rPr>
                <w:noProof/>
                <w:sz w:val="22"/>
              </w:rPr>
            </w:pPr>
            <w:r>
              <w:rPr>
                <w:noProof/>
                <w:sz w:val="22"/>
              </w:rPr>
              <w:t>No</w:t>
            </w:r>
          </w:p>
        </w:tc>
      </w:tr>
      <w:tr w:rsidR="00D10CBC">
        <w:trPr>
          <w:jc w:val="center"/>
        </w:trPr>
        <w:tc>
          <w:tcPr>
            <w:tcW w:w="1080" w:type="dxa"/>
            <w:vAlign w:val="center"/>
          </w:tcPr>
          <w:p w:rsidR="00D10CBC" w:rsidRDefault="00D10CBC">
            <w:pPr>
              <w:ind w:left="-482"/>
              <w:jc w:val="center"/>
              <w:rPr>
                <w:noProof/>
              </w:rPr>
            </w:pPr>
          </w:p>
        </w:tc>
        <w:tc>
          <w:tcPr>
            <w:tcW w:w="3798" w:type="dxa"/>
            <w:vAlign w:val="center"/>
          </w:tcPr>
          <w:p w:rsidR="00D10CBC" w:rsidRDefault="00D10CBC">
            <w:pPr>
              <w:spacing w:before="60"/>
              <w:ind w:left="-48"/>
            </w:pPr>
          </w:p>
        </w:tc>
        <w:tc>
          <w:tcPr>
            <w:tcW w:w="1080" w:type="dxa"/>
          </w:tcPr>
          <w:p w:rsidR="00D10CBC" w:rsidRDefault="00D10CBC">
            <w:pPr>
              <w:ind w:left="-482"/>
              <w:jc w:val="center"/>
              <w:rPr>
                <w:noProof/>
                <w:color w:val="0000FF"/>
              </w:rPr>
            </w:pPr>
          </w:p>
        </w:tc>
        <w:tc>
          <w:tcPr>
            <w:tcW w:w="900" w:type="dxa"/>
            <w:vAlign w:val="center"/>
          </w:tcPr>
          <w:p w:rsidR="00D10CBC" w:rsidRDefault="00D10CBC">
            <w:pPr>
              <w:ind w:left="-482"/>
              <w:jc w:val="center"/>
              <w:rPr>
                <w:noProof/>
                <w:sz w:val="22"/>
              </w:rPr>
            </w:pPr>
          </w:p>
        </w:tc>
        <w:tc>
          <w:tcPr>
            <w:tcW w:w="990" w:type="dxa"/>
            <w:vAlign w:val="center"/>
          </w:tcPr>
          <w:p w:rsidR="00D10CBC" w:rsidRDefault="00D10CBC">
            <w:pPr>
              <w:ind w:left="-482"/>
              <w:jc w:val="center"/>
              <w:rPr>
                <w:noProof/>
                <w:sz w:val="22"/>
              </w:rPr>
            </w:pPr>
          </w:p>
        </w:tc>
        <w:tc>
          <w:tcPr>
            <w:tcW w:w="900" w:type="dxa"/>
            <w:vAlign w:val="center"/>
          </w:tcPr>
          <w:p w:rsidR="00D10CBC" w:rsidRDefault="00D10CBC">
            <w:pPr>
              <w:ind w:left="-482"/>
              <w:jc w:val="center"/>
              <w:rPr>
                <w:noProof/>
                <w:sz w:val="22"/>
              </w:rPr>
            </w:pPr>
          </w:p>
        </w:tc>
        <w:tc>
          <w:tcPr>
            <w:tcW w:w="1530" w:type="dxa"/>
            <w:vAlign w:val="center"/>
          </w:tcPr>
          <w:p w:rsidR="00D10CBC" w:rsidRDefault="00D10CBC">
            <w:pPr>
              <w:ind w:left="-482"/>
              <w:jc w:val="center"/>
              <w:rPr>
                <w:noProof/>
                <w:sz w:val="22"/>
              </w:rPr>
            </w:pPr>
          </w:p>
        </w:tc>
      </w:tr>
    </w:tbl>
    <w:p w:rsidR="00D10CBC" w:rsidRDefault="00D10CBC">
      <w:pPr>
        <w:rPr>
          <w:noProof/>
        </w:rPr>
        <w:sectPr w:rsidR="00D10CBC" w:rsidSect="00BC383A">
          <w:pgSz w:w="11907" w:h="16840" w:code="1"/>
          <w:pgMar w:top="1134" w:right="1418" w:bottom="1134" w:left="1418" w:header="709" w:footer="709" w:gutter="0"/>
          <w:cols w:space="708"/>
          <w:docGrid w:linePitch="360"/>
        </w:sectPr>
      </w:pPr>
    </w:p>
    <w:p w:rsidR="00D10CBC" w:rsidRDefault="00BC383A">
      <w:pPr>
        <w:pStyle w:val="ManualHeading2"/>
        <w:rPr>
          <w:bCs/>
          <w:noProof/>
          <w:szCs w:val="24"/>
        </w:rPr>
      </w:pPr>
      <w:bookmarkStart w:id="53" w:name="_Toc514938052"/>
      <w:bookmarkStart w:id="54" w:name="_Toc520485051"/>
      <w:r>
        <w:lastRenderedPageBreak/>
        <w:t>3.2.</w:t>
      </w:r>
      <w:r>
        <w:tab/>
      </w:r>
      <w:r>
        <w:rPr>
          <w:noProof/>
        </w:rPr>
        <w:t>Estimated financial impact of the proposal on appropriations</w:t>
      </w:r>
      <w:bookmarkEnd w:id="53"/>
      <w:bookmarkEnd w:id="54"/>
      <w:r>
        <w:rPr>
          <w:noProof/>
        </w:rPr>
        <w:t xml:space="preserve"> </w:t>
      </w:r>
    </w:p>
    <w:p w:rsidR="00D10CBC" w:rsidRDefault="00BC383A">
      <w:pPr>
        <w:pStyle w:val="ManualHeading3"/>
        <w:rPr>
          <w:noProof/>
        </w:rPr>
      </w:pPr>
      <w:bookmarkStart w:id="55" w:name="_Toc514938053"/>
      <w:bookmarkStart w:id="56" w:name="_Toc520485052"/>
      <w:r>
        <w:t>3.2.1.</w:t>
      </w:r>
      <w:r>
        <w:tab/>
      </w:r>
      <w:r>
        <w:rPr>
          <w:noProof/>
        </w:rPr>
        <w:t xml:space="preserve">Summary of estimated impact on operational </w:t>
      </w:r>
      <w:r>
        <w:rPr>
          <w:noProof/>
        </w:rPr>
        <w:t>appropriations</w:t>
      </w:r>
      <w:bookmarkEnd w:id="55"/>
      <w:bookmarkEnd w:id="56"/>
      <w:r>
        <w:rPr>
          <w:noProof/>
        </w:rPr>
        <w:t xml:space="preserve"> </w:t>
      </w:r>
    </w:p>
    <w:p w:rsidR="00D10CBC" w:rsidRDefault="00BC383A">
      <w:pPr>
        <w:pStyle w:val="ListDash1"/>
        <w:numPr>
          <w:ilvl w:val="0"/>
          <w:numId w:val="22"/>
        </w:numPr>
        <w:spacing w:before="120" w:after="120"/>
        <w:rPr>
          <w:noProof/>
        </w:rPr>
      </w:pPr>
      <w:r>
        <w:rPr>
          <w:noProof/>
        </w:rPr>
        <w:sym w:font="Wingdings" w:char="F0A8"/>
      </w:r>
      <w:r>
        <w:rPr>
          <w:noProof/>
        </w:rPr>
        <w:tab/>
        <w:t xml:space="preserve">The proposal/initiative does not require the use of operational appropriations </w:t>
      </w:r>
    </w:p>
    <w:p w:rsidR="00D10CBC" w:rsidRDefault="00BC383A">
      <w:pPr>
        <w:pStyle w:val="ListDash1"/>
        <w:numPr>
          <w:ilvl w:val="0"/>
          <w:numId w:val="22"/>
        </w:numPr>
        <w:spacing w:before="120" w:after="120"/>
        <w:rPr>
          <w:noProof/>
        </w:rPr>
      </w:pPr>
      <w:r>
        <w:rPr>
          <w:noProof/>
        </w:rPr>
        <w:t>X</w:t>
      </w:r>
      <w:r>
        <w:rPr>
          <w:noProof/>
        </w:rPr>
        <w:tab/>
        <w:t>The proposal/initiative requires the use of operational appropriations, as explained below (all appropriations indicated will be covered by redeployement un</w:t>
      </w:r>
      <w:r>
        <w:rPr>
          <w:noProof/>
        </w:rPr>
        <w:t>der the Horizon cluster 4 Health, UCPM,  EU4Health and other programmes)</w:t>
      </w:r>
    </w:p>
    <w:p w:rsidR="00D10CBC" w:rsidRDefault="00BC383A">
      <w:pPr>
        <w:jc w:val="right"/>
        <w:rPr>
          <w:noProof/>
        </w:rPr>
      </w:pPr>
      <w:r>
        <w:rPr>
          <w:noProof/>
        </w:rPr>
        <w:t>EUR million (to three decimal places)</w:t>
      </w:r>
    </w:p>
    <w:p w:rsidR="00D10CBC" w:rsidRDefault="00D10CBC">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10CBC">
        <w:trPr>
          <w:jc w:val="center"/>
        </w:trPr>
        <w:tc>
          <w:tcPr>
            <w:tcW w:w="4744" w:type="dxa"/>
            <w:shd w:val="thinDiagStripe" w:color="C0C0C0" w:fill="auto"/>
            <w:vAlign w:val="center"/>
          </w:tcPr>
          <w:p w:rsidR="00D10CBC" w:rsidRDefault="00BC383A">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D10CBC" w:rsidRDefault="00BC383A">
            <w:pPr>
              <w:spacing w:before="60" w:after="60"/>
              <w:jc w:val="center"/>
              <w:rPr>
                <w:noProof/>
              </w:rPr>
            </w:pPr>
            <w:r>
              <w:rPr>
                <w:b/>
                <w:noProof/>
                <w:sz w:val="22"/>
              </w:rPr>
              <w:t>1</w:t>
            </w:r>
          </w:p>
        </w:tc>
        <w:tc>
          <w:tcPr>
            <w:tcW w:w="7817" w:type="dxa"/>
            <w:vAlign w:val="center"/>
          </w:tcPr>
          <w:p w:rsidR="00D10CBC" w:rsidRDefault="00BC383A">
            <w:pPr>
              <w:spacing w:before="60" w:after="60"/>
              <w:rPr>
                <w:b/>
                <w:noProof/>
              </w:rPr>
            </w:pPr>
            <w:r>
              <w:rPr>
                <w:b/>
                <w:noProof/>
                <w:sz w:val="22"/>
              </w:rPr>
              <w:t>Single Market, Innovation and Digital</w:t>
            </w:r>
          </w:p>
        </w:tc>
      </w:tr>
    </w:tbl>
    <w:p w:rsidR="00D10CBC" w:rsidRDefault="00D10CBC">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1031"/>
        <w:gridCol w:w="992"/>
        <w:gridCol w:w="1127"/>
      </w:tblGrid>
      <w:tr w:rsidR="00D10CBC">
        <w:tc>
          <w:tcPr>
            <w:tcW w:w="3780" w:type="dxa"/>
            <w:gridSpan w:val="2"/>
            <w:vAlign w:val="center"/>
          </w:tcPr>
          <w:p w:rsidR="00D10CBC" w:rsidRDefault="00BC383A">
            <w:pPr>
              <w:jc w:val="center"/>
              <w:rPr>
                <w:noProof/>
              </w:rPr>
            </w:pPr>
            <w:r>
              <w:rPr>
                <w:noProof/>
                <w:sz w:val="22"/>
              </w:rPr>
              <w:t>DG: RTD</w:t>
            </w:r>
          </w:p>
        </w:tc>
        <w:tc>
          <w:tcPr>
            <w:tcW w:w="1260" w:type="dxa"/>
          </w:tcPr>
          <w:p w:rsidR="00D10CBC" w:rsidRDefault="00D10CBC">
            <w:pPr>
              <w:rPr>
                <w:noProof/>
                <w:sz w:val="20"/>
              </w:rPr>
            </w:pPr>
          </w:p>
        </w:tc>
        <w:tc>
          <w:tcPr>
            <w:tcW w:w="540" w:type="dxa"/>
          </w:tcPr>
          <w:p w:rsidR="00D10CBC" w:rsidRDefault="00D10CBC">
            <w:pPr>
              <w:jc w:val="center"/>
              <w:rPr>
                <w:noProof/>
                <w:sz w:val="20"/>
              </w:rPr>
            </w:pPr>
          </w:p>
        </w:tc>
        <w:tc>
          <w:tcPr>
            <w:tcW w:w="990" w:type="dxa"/>
            <w:vAlign w:val="center"/>
          </w:tcPr>
          <w:p w:rsidR="00D10CBC" w:rsidRDefault="00BC383A">
            <w:pPr>
              <w:jc w:val="center"/>
              <w:rPr>
                <w:b/>
                <w:noProof/>
                <w:sz w:val="20"/>
              </w:rPr>
            </w:pPr>
            <w:r>
              <w:rPr>
                <w:b/>
                <w:noProof/>
                <w:sz w:val="20"/>
              </w:rPr>
              <w:t>2021</w:t>
            </w:r>
          </w:p>
        </w:tc>
        <w:tc>
          <w:tcPr>
            <w:tcW w:w="990" w:type="dxa"/>
            <w:vAlign w:val="center"/>
          </w:tcPr>
          <w:p w:rsidR="00D10CBC" w:rsidRDefault="00BC383A">
            <w:pPr>
              <w:jc w:val="center"/>
              <w:rPr>
                <w:noProof/>
                <w:sz w:val="20"/>
              </w:rPr>
            </w:pPr>
            <w:r>
              <w:rPr>
                <w:b/>
                <w:noProof/>
                <w:sz w:val="20"/>
              </w:rPr>
              <w:t>2022</w:t>
            </w:r>
          </w:p>
        </w:tc>
        <w:tc>
          <w:tcPr>
            <w:tcW w:w="990" w:type="dxa"/>
            <w:vAlign w:val="center"/>
          </w:tcPr>
          <w:p w:rsidR="00D10CBC" w:rsidRDefault="00BC383A">
            <w:pPr>
              <w:jc w:val="center"/>
              <w:rPr>
                <w:noProof/>
                <w:sz w:val="20"/>
              </w:rPr>
            </w:pPr>
            <w:r>
              <w:rPr>
                <w:b/>
                <w:noProof/>
                <w:sz w:val="20"/>
              </w:rPr>
              <w:t>2023</w:t>
            </w:r>
          </w:p>
        </w:tc>
        <w:tc>
          <w:tcPr>
            <w:tcW w:w="976" w:type="dxa"/>
            <w:vAlign w:val="center"/>
          </w:tcPr>
          <w:p w:rsidR="00D10CBC" w:rsidRDefault="00BC383A">
            <w:pPr>
              <w:jc w:val="center"/>
              <w:rPr>
                <w:noProof/>
                <w:sz w:val="20"/>
              </w:rPr>
            </w:pPr>
            <w:r>
              <w:rPr>
                <w:b/>
                <w:noProof/>
                <w:sz w:val="20"/>
              </w:rPr>
              <w:t>2024</w:t>
            </w:r>
          </w:p>
        </w:tc>
        <w:tc>
          <w:tcPr>
            <w:tcW w:w="1004" w:type="dxa"/>
            <w:vAlign w:val="center"/>
          </w:tcPr>
          <w:p w:rsidR="00D10CBC" w:rsidRDefault="00BC383A">
            <w:pPr>
              <w:jc w:val="center"/>
              <w:rPr>
                <w:b/>
                <w:noProof/>
                <w:sz w:val="18"/>
              </w:rPr>
            </w:pPr>
            <w:r>
              <w:rPr>
                <w:b/>
                <w:noProof/>
                <w:sz w:val="18"/>
              </w:rPr>
              <w:t>2025</w:t>
            </w:r>
          </w:p>
        </w:tc>
        <w:tc>
          <w:tcPr>
            <w:tcW w:w="990" w:type="dxa"/>
            <w:vAlign w:val="center"/>
          </w:tcPr>
          <w:p w:rsidR="00D10CBC" w:rsidRDefault="00BC383A">
            <w:pPr>
              <w:jc w:val="center"/>
              <w:rPr>
                <w:b/>
                <w:noProof/>
                <w:sz w:val="18"/>
              </w:rPr>
            </w:pPr>
            <w:r>
              <w:rPr>
                <w:b/>
                <w:noProof/>
                <w:sz w:val="18"/>
              </w:rPr>
              <w:t>2026</w:t>
            </w:r>
          </w:p>
        </w:tc>
        <w:tc>
          <w:tcPr>
            <w:tcW w:w="1031" w:type="dxa"/>
            <w:vAlign w:val="center"/>
          </w:tcPr>
          <w:p w:rsidR="00D10CBC" w:rsidRDefault="00BC383A">
            <w:pPr>
              <w:jc w:val="center"/>
              <w:rPr>
                <w:b/>
                <w:noProof/>
                <w:sz w:val="18"/>
              </w:rPr>
            </w:pPr>
            <w:r>
              <w:rPr>
                <w:b/>
                <w:noProof/>
                <w:sz w:val="18"/>
              </w:rPr>
              <w:t>2027</w:t>
            </w:r>
          </w:p>
        </w:tc>
        <w:tc>
          <w:tcPr>
            <w:tcW w:w="992" w:type="dxa"/>
          </w:tcPr>
          <w:p w:rsidR="00D10CBC" w:rsidRDefault="00BC383A">
            <w:pPr>
              <w:jc w:val="center"/>
              <w:rPr>
                <w:b/>
                <w:noProof/>
                <w:sz w:val="20"/>
              </w:rPr>
            </w:pPr>
            <w:r>
              <w:rPr>
                <w:b/>
                <w:i/>
                <w:noProof/>
                <w:sz w:val="20"/>
              </w:rPr>
              <w:t>Post 2027</w:t>
            </w:r>
          </w:p>
        </w:tc>
        <w:tc>
          <w:tcPr>
            <w:tcW w:w="1127" w:type="dxa"/>
            <w:vAlign w:val="center"/>
          </w:tcPr>
          <w:p w:rsidR="00D10CBC" w:rsidRDefault="00BC383A">
            <w:pPr>
              <w:jc w:val="center"/>
              <w:rPr>
                <w:b/>
                <w:noProof/>
                <w:sz w:val="20"/>
              </w:rPr>
            </w:pPr>
            <w:r>
              <w:rPr>
                <w:b/>
                <w:noProof/>
                <w:sz w:val="20"/>
              </w:rPr>
              <w:t>TOTAL</w:t>
            </w:r>
          </w:p>
        </w:tc>
      </w:tr>
      <w:tr w:rsidR="00D10CBC">
        <w:trPr>
          <w:trHeight w:val="213"/>
        </w:trPr>
        <w:tc>
          <w:tcPr>
            <w:tcW w:w="5580" w:type="dxa"/>
            <w:gridSpan w:val="4"/>
            <w:vAlign w:val="center"/>
          </w:tcPr>
          <w:p w:rsidR="00D10CBC" w:rsidRDefault="00BC383A">
            <w:pPr>
              <w:spacing w:before="20" w:after="20"/>
              <w:rPr>
                <w:noProof/>
                <w:sz w:val="21"/>
              </w:rPr>
            </w:pPr>
            <w:r>
              <w:rPr>
                <w:noProof/>
                <w:sz w:val="21"/>
              </w:rPr>
              <w:sym w:font="Wingdings" w:char="F09F"/>
            </w:r>
            <w:r>
              <w:rPr>
                <w:noProof/>
                <w:sz w:val="21"/>
              </w:rPr>
              <w:t xml:space="preserve"> Operational appropriations (C1 and NGEU credits)</w:t>
            </w: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76" w:type="dxa"/>
            <w:vAlign w:val="center"/>
          </w:tcPr>
          <w:p w:rsidR="00D10CBC" w:rsidRDefault="00D10CBC">
            <w:pPr>
              <w:rPr>
                <w:noProof/>
                <w:sz w:val="20"/>
              </w:rPr>
            </w:pPr>
          </w:p>
        </w:tc>
        <w:tc>
          <w:tcPr>
            <w:tcW w:w="1004"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1031" w:type="dxa"/>
            <w:vAlign w:val="center"/>
          </w:tcPr>
          <w:p w:rsidR="00D10CBC" w:rsidRDefault="00D10CBC">
            <w:pPr>
              <w:rPr>
                <w:b/>
                <w:noProof/>
                <w:sz w:val="20"/>
              </w:rPr>
            </w:pPr>
          </w:p>
        </w:tc>
        <w:tc>
          <w:tcPr>
            <w:tcW w:w="992" w:type="dxa"/>
          </w:tcPr>
          <w:p w:rsidR="00D10CBC" w:rsidRDefault="00D10CBC">
            <w:pPr>
              <w:rPr>
                <w:b/>
                <w:noProof/>
                <w:sz w:val="20"/>
              </w:rPr>
            </w:pPr>
          </w:p>
        </w:tc>
        <w:tc>
          <w:tcPr>
            <w:tcW w:w="1127" w:type="dxa"/>
            <w:vAlign w:val="center"/>
          </w:tcPr>
          <w:p w:rsidR="00D10CBC" w:rsidRDefault="00D10CBC">
            <w:pPr>
              <w:rPr>
                <w:b/>
                <w:noProof/>
                <w:sz w:val="20"/>
              </w:rPr>
            </w:pPr>
          </w:p>
        </w:tc>
      </w:tr>
      <w:tr w:rsidR="00D10CBC">
        <w:trPr>
          <w:trHeight w:val="277"/>
        </w:trPr>
        <w:tc>
          <w:tcPr>
            <w:tcW w:w="3780" w:type="dxa"/>
            <w:gridSpan w:val="2"/>
            <w:vMerge w:val="restart"/>
            <w:vAlign w:val="center"/>
          </w:tcPr>
          <w:p w:rsidR="00D10CBC" w:rsidRDefault="00BC383A">
            <w:pPr>
              <w:rPr>
                <w:noProof/>
              </w:rPr>
            </w:pPr>
            <w:r>
              <w:rPr>
                <w:noProof/>
                <w:sz w:val="20"/>
              </w:rPr>
              <w:t xml:space="preserve">01 02 02 10 – Horizon Europe </w:t>
            </w:r>
            <w:r>
              <w:rPr>
                <w:rStyle w:val="FootnoteReference"/>
                <w:noProof/>
                <w:sz w:val="20"/>
              </w:rPr>
              <w:footnoteReference w:id="36"/>
            </w:r>
            <w:r>
              <w:rPr>
                <w:rStyle w:val="FootnoteReference"/>
                <w:noProof/>
                <w:sz w:val="20"/>
              </w:rPr>
              <w:footnoteReference w:id="37"/>
            </w:r>
          </w:p>
        </w:tc>
        <w:tc>
          <w:tcPr>
            <w:tcW w:w="1260" w:type="dxa"/>
            <w:vAlign w:val="center"/>
          </w:tcPr>
          <w:p w:rsidR="00D10CBC" w:rsidRDefault="00BC383A">
            <w:pPr>
              <w:spacing w:before="20" w:after="20"/>
              <w:rPr>
                <w:noProof/>
                <w:sz w:val="18"/>
              </w:rPr>
            </w:pPr>
            <w:r>
              <w:rPr>
                <w:noProof/>
                <w:sz w:val="18"/>
              </w:rPr>
              <w:t>Commitments</w:t>
            </w:r>
          </w:p>
        </w:tc>
        <w:tc>
          <w:tcPr>
            <w:tcW w:w="540" w:type="dxa"/>
            <w:vAlign w:val="center"/>
          </w:tcPr>
          <w:p w:rsidR="00D10CBC" w:rsidRDefault="00BC383A">
            <w:pPr>
              <w:spacing w:before="20" w:after="20"/>
              <w:jc w:val="center"/>
              <w:rPr>
                <w:noProof/>
                <w:sz w:val="14"/>
              </w:rPr>
            </w:pPr>
            <w:r>
              <w:rPr>
                <w:noProof/>
                <w:sz w:val="14"/>
              </w:rPr>
              <w:t>(1)</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394.553</w:t>
            </w:r>
          </w:p>
        </w:tc>
        <w:tc>
          <w:tcPr>
            <w:tcW w:w="990" w:type="dxa"/>
            <w:vAlign w:val="center"/>
          </w:tcPr>
          <w:p w:rsidR="00D10CBC" w:rsidRDefault="00BC383A">
            <w:pPr>
              <w:spacing w:before="20" w:after="20"/>
              <w:jc w:val="right"/>
              <w:rPr>
                <w:noProof/>
                <w:sz w:val="20"/>
              </w:rPr>
            </w:pPr>
            <w:r>
              <w:rPr>
                <w:noProof/>
                <w:color w:val="000000"/>
                <w:sz w:val="20"/>
                <w:szCs w:val="20"/>
              </w:rPr>
              <w:t>418.135</w:t>
            </w:r>
          </w:p>
        </w:tc>
        <w:tc>
          <w:tcPr>
            <w:tcW w:w="976" w:type="dxa"/>
            <w:vAlign w:val="center"/>
          </w:tcPr>
          <w:p w:rsidR="00D10CBC" w:rsidRDefault="00BC383A">
            <w:pPr>
              <w:spacing w:before="20" w:after="20"/>
              <w:jc w:val="right"/>
              <w:rPr>
                <w:noProof/>
                <w:sz w:val="20"/>
              </w:rPr>
            </w:pPr>
            <w:r>
              <w:rPr>
                <w:noProof/>
                <w:color w:val="000000"/>
                <w:sz w:val="20"/>
                <w:szCs w:val="20"/>
              </w:rPr>
              <w:t>212.937</w:t>
            </w:r>
          </w:p>
        </w:tc>
        <w:tc>
          <w:tcPr>
            <w:tcW w:w="1004" w:type="dxa"/>
            <w:vAlign w:val="center"/>
          </w:tcPr>
          <w:p w:rsidR="00D10CBC" w:rsidRDefault="00BC383A">
            <w:pPr>
              <w:spacing w:before="20" w:after="20"/>
              <w:jc w:val="right"/>
              <w:rPr>
                <w:noProof/>
                <w:sz w:val="20"/>
              </w:rPr>
            </w:pPr>
            <w:r>
              <w:rPr>
                <w:noProof/>
                <w:color w:val="000000"/>
                <w:sz w:val="20"/>
                <w:szCs w:val="20"/>
              </w:rPr>
              <w:t>222.619</w:t>
            </w:r>
          </w:p>
        </w:tc>
        <w:tc>
          <w:tcPr>
            <w:tcW w:w="990" w:type="dxa"/>
            <w:vAlign w:val="center"/>
          </w:tcPr>
          <w:p w:rsidR="00D10CBC" w:rsidRDefault="00BC383A">
            <w:pPr>
              <w:spacing w:before="20" w:after="20"/>
              <w:jc w:val="right"/>
              <w:rPr>
                <w:noProof/>
                <w:sz w:val="20"/>
              </w:rPr>
            </w:pPr>
            <w:r>
              <w:rPr>
                <w:noProof/>
                <w:color w:val="000000"/>
                <w:sz w:val="20"/>
                <w:szCs w:val="20"/>
              </w:rPr>
              <w:t>229.512</w:t>
            </w:r>
          </w:p>
        </w:tc>
        <w:tc>
          <w:tcPr>
            <w:tcW w:w="1031" w:type="dxa"/>
            <w:vAlign w:val="center"/>
          </w:tcPr>
          <w:p w:rsidR="00D10CBC" w:rsidRDefault="00BC383A">
            <w:pPr>
              <w:spacing w:before="20" w:after="20"/>
              <w:jc w:val="right"/>
              <w:rPr>
                <w:b/>
                <w:noProof/>
                <w:sz w:val="20"/>
              </w:rPr>
            </w:pPr>
            <w:r>
              <w:rPr>
                <w:noProof/>
                <w:color w:val="000000"/>
                <w:sz w:val="20"/>
                <w:szCs w:val="20"/>
              </w:rPr>
              <w:t>231.272</w:t>
            </w:r>
          </w:p>
        </w:tc>
        <w:tc>
          <w:tcPr>
            <w:tcW w:w="992"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0" w:after="0"/>
              <w:jc w:val="right"/>
              <w:rPr>
                <w:b/>
                <w:bCs/>
                <w:noProof/>
                <w:color w:val="000000"/>
                <w:sz w:val="20"/>
                <w:szCs w:val="20"/>
              </w:rPr>
            </w:pPr>
            <w:r>
              <w:rPr>
                <w:b/>
                <w:bCs/>
                <w:noProof/>
                <w:color w:val="000000"/>
                <w:sz w:val="20"/>
                <w:szCs w:val="20"/>
              </w:rPr>
              <w:t>1 709.027</w:t>
            </w:r>
          </w:p>
        </w:tc>
      </w:tr>
      <w:tr w:rsidR="00D10CBC">
        <w:tc>
          <w:tcPr>
            <w:tcW w:w="3780" w:type="dxa"/>
            <w:gridSpan w:val="2"/>
            <w:vMerge/>
          </w:tcPr>
          <w:p w:rsidR="00D10CBC" w:rsidRDefault="00D10CBC">
            <w:pPr>
              <w:jc w:val="center"/>
              <w:rPr>
                <w:noProof/>
                <w:sz w:val="20"/>
              </w:rPr>
            </w:pPr>
          </w:p>
        </w:tc>
        <w:tc>
          <w:tcPr>
            <w:tcW w:w="1260" w:type="dxa"/>
            <w:vAlign w:val="center"/>
          </w:tcPr>
          <w:p w:rsidR="00D10CBC" w:rsidRDefault="00BC383A">
            <w:pPr>
              <w:spacing w:before="20" w:after="20"/>
              <w:rPr>
                <w:noProof/>
                <w:sz w:val="18"/>
              </w:rPr>
            </w:pPr>
            <w:r>
              <w:rPr>
                <w:noProof/>
                <w:sz w:val="18"/>
              </w:rPr>
              <w:t>Payments</w:t>
            </w:r>
          </w:p>
        </w:tc>
        <w:tc>
          <w:tcPr>
            <w:tcW w:w="540" w:type="dxa"/>
            <w:vAlign w:val="center"/>
          </w:tcPr>
          <w:p w:rsidR="00D10CBC" w:rsidRDefault="00BC383A">
            <w:pPr>
              <w:spacing w:before="20" w:after="20"/>
              <w:jc w:val="center"/>
              <w:rPr>
                <w:noProof/>
                <w:sz w:val="14"/>
              </w:rPr>
            </w:pPr>
            <w:r>
              <w:rPr>
                <w:noProof/>
                <w:sz w:val="14"/>
              </w:rPr>
              <w:t>(2)</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157.821</w:t>
            </w:r>
          </w:p>
        </w:tc>
        <w:tc>
          <w:tcPr>
            <w:tcW w:w="990" w:type="dxa"/>
            <w:vAlign w:val="center"/>
          </w:tcPr>
          <w:p w:rsidR="00D10CBC" w:rsidRDefault="00BC383A">
            <w:pPr>
              <w:spacing w:before="20" w:after="20"/>
              <w:jc w:val="right"/>
              <w:rPr>
                <w:noProof/>
                <w:sz w:val="20"/>
              </w:rPr>
            </w:pPr>
            <w:r>
              <w:rPr>
                <w:noProof/>
                <w:color w:val="000000"/>
                <w:sz w:val="20"/>
                <w:szCs w:val="20"/>
              </w:rPr>
              <w:t>285.620</w:t>
            </w:r>
          </w:p>
        </w:tc>
        <w:tc>
          <w:tcPr>
            <w:tcW w:w="976" w:type="dxa"/>
            <w:vAlign w:val="center"/>
          </w:tcPr>
          <w:p w:rsidR="00D10CBC" w:rsidRDefault="00BC383A">
            <w:pPr>
              <w:spacing w:before="20" w:after="20"/>
              <w:jc w:val="right"/>
              <w:rPr>
                <w:noProof/>
                <w:sz w:val="20"/>
              </w:rPr>
            </w:pPr>
            <w:r>
              <w:rPr>
                <w:noProof/>
                <w:color w:val="000000"/>
                <w:sz w:val="20"/>
                <w:szCs w:val="20"/>
              </w:rPr>
              <w:t>328.981</w:t>
            </w:r>
          </w:p>
        </w:tc>
        <w:tc>
          <w:tcPr>
            <w:tcW w:w="1004" w:type="dxa"/>
            <w:vAlign w:val="center"/>
          </w:tcPr>
          <w:p w:rsidR="00D10CBC" w:rsidRDefault="00BC383A">
            <w:pPr>
              <w:spacing w:before="20" w:after="20"/>
              <w:jc w:val="right"/>
              <w:rPr>
                <w:noProof/>
                <w:sz w:val="20"/>
              </w:rPr>
            </w:pPr>
            <w:r>
              <w:rPr>
                <w:noProof/>
                <w:color w:val="000000"/>
                <w:sz w:val="20"/>
                <w:szCs w:val="20"/>
              </w:rPr>
              <w:t>278.369</w:t>
            </w:r>
          </w:p>
        </w:tc>
        <w:tc>
          <w:tcPr>
            <w:tcW w:w="990" w:type="dxa"/>
            <w:vAlign w:val="center"/>
          </w:tcPr>
          <w:p w:rsidR="00D10CBC" w:rsidRDefault="00BC383A">
            <w:pPr>
              <w:spacing w:before="20" w:after="20"/>
              <w:jc w:val="right"/>
              <w:rPr>
                <w:noProof/>
                <w:sz w:val="20"/>
              </w:rPr>
            </w:pPr>
            <w:r>
              <w:rPr>
                <w:noProof/>
                <w:color w:val="000000"/>
                <w:sz w:val="20"/>
                <w:szCs w:val="20"/>
              </w:rPr>
              <w:t>222.471</w:t>
            </w:r>
          </w:p>
        </w:tc>
        <w:tc>
          <w:tcPr>
            <w:tcW w:w="1031" w:type="dxa"/>
            <w:vAlign w:val="center"/>
          </w:tcPr>
          <w:p w:rsidR="00D10CBC" w:rsidRDefault="00BC383A">
            <w:pPr>
              <w:spacing w:before="20" w:after="20"/>
              <w:jc w:val="right"/>
              <w:rPr>
                <w:b/>
                <w:noProof/>
                <w:sz w:val="20"/>
              </w:rPr>
            </w:pPr>
            <w:r>
              <w:rPr>
                <w:noProof/>
                <w:color w:val="000000"/>
                <w:sz w:val="20"/>
                <w:szCs w:val="20"/>
              </w:rPr>
              <w:t>228.148</w:t>
            </w:r>
          </w:p>
        </w:tc>
        <w:tc>
          <w:tcPr>
            <w:tcW w:w="992" w:type="dxa"/>
            <w:vAlign w:val="center"/>
          </w:tcPr>
          <w:p w:rsidR="00D10CBC" w:rsidRDefault="00BC383A">
            <w:pPr>
              <w:spacing w:before="20" w:after="20"/>
              <w:jc w:val="right"/>
              <w:rPr>
                <w:b/>
                <w:noProof/>
                <w:sz w:val="20"/>
              </w:rPr>
            </w:pPr>
            <w:r>
              <w:rPr>
                <w:noProof/>
                <w:color w:val="000000"/>
                <w:sz w:val="20"/>
                <w:szCs w:val="20"/>
              </w:rPr>
              <w:t>207.616</w:t>
            </w:r>
          </w:p>
        </w:tc>
        <w:tc>
          <w:tcPr>
            <w:tcW w:w="1127" w:type="dxa"/>
            <w:vAlign w:val="center"/>
          </w:tcPr>
          <w:p w:rsidR="00D10CBC" w:rsidRDefault="00BC383A">
            <w:pPr>
              <w:spacing w:before="20" w:after="20"/>
              <w:jc w:val="right"/>
              <w:rPr>
                <w:b/>
                <w:noProof/>
                <w:sz w:val="20"/>
              </w:rPr>
            </w:pPr>
            <w:r>
              <w:rPr>
                <w:b/>
                <w:bCs/>
                <w:noProof/>
                <w:color w:val="000000"/>
                <w:sz w:val="20"/>
                <w:szCs w:val="20"/>
              </w:rPr>
              <w:t xml:space="preserve">1 </w:t>
            </w:r>
            <w:r>
              <w:rPr>
                <w:b/>
                <w:bCs/>
                <w:noProof/>
                <w:color w:val="000000"/>
                <w:sz w:val="20"/>
                <w:szCs w:val="20"/>
              </w:rPr>
              <w:t>709.027</w:t>
            </w:r>
          </w:p>
        </w:tc>
      </w:tr>
      <w:tr w:rsidR="00D10CBC">
        <w:trPr>
          <w:trHeight w:val="231"/>
        </w:trPr>
        <w:tc>
          <w:tcPr>
            <w:tcW w:w="3720" w:type="dxa"/>
            <w:vAlign w:val="center"/>
          </w:tcPr>
          <w:p w:rsidR="00D10CBC" w:rsidRDefault="00BC383A">
            <w:pPr>
              <w:spacing w:before="20" w:after="20"/>
              <w:rPr>
                <w:noProof/>
              </w:rPr>
            </w:pPr>
            <w:r>
              <w:rPr>
                <w:noProof/>
                <w:sz w:val="21"/>
              </w:rPr>
              <w:sym w:font="Wingdings" w:char="F09F"/>
            </w:r>
            <w:r>
              <w:rPr>
                <w:noProof/>
                <w:sz w:val="21"/>
              </w:rPr>
              <w:t xml:space="preserve"> Appropriations of an administrative nature financed from the envelope of specific programmes</w:t>
            </w:r>
          </w:p>
        </w:tc>
        <w:tc>
          <w:tcPr>
            <w:tcW w:w="1320" w:type="dxa"/>
            <w:gridSpan w:val="2"/>
            <w:vAlign w:val="center"/>
          </w:tcPr>
          <w:p w:rsidR="00D10CBC" w:rsidRDefault="00D10CBC">
            <w:pPr>
              <w:spacing w:before="0" w:after="0"/>
              <w:rPr>
                <w:noProof/>
              </w:rPr>
            </w:pPr>
          </w:p>
        </w:tc>
        <w:tc>
          <w:tcPr>
            <w:tcW w:w="540" w:type="dxa"/>
            <w:vAlign w:val="center"/>
          </w:tcPr>
          <w:p w:rsidR="00D10CBC" w:rsidRDefault="00D10CBC">
            <w:pPr>
              <w:spacing w:before="20" w:after="20"/>
              <w:jc w:val="center"/>
              <w:rPr>
                <w:noProof/>
              </w:rPr>
            </w:pPr>
          </w:p>
        </w:tc>
        <w:tc>
          <w:tcPr>
            <w:tcW w:w="990" w:type="dxa"/>
            <w:vAlign w:val="center"/>
          </w:tcPr>
          <w:p w:rsidR="00D10CBC" w:rsidRDefault="00D10CBC">
            <w:pPr>
              <w:rPr>
                <w:b/>
                <w:noProof/>
                <w:sz w:val="20"/>
              </w:rPr>
            </w:pPr>
          </w:p>
        </w:tc>
        <w:tc>
          <w:tcPr>
            <w:tcW w:w="990"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976" w:type="dxa"/>
            <w:vAlign w:val="center"/>
          </w:tcPr>
          <w:p w:rsidR="00D10CBC" w:rsidRDefault="00BC383A">
            <w:pPr>
              <w:rPr>
                <w:b/>
                <w:noProof/>
                <w:sz w:val="20"/>
              </w:rPr>
            </w:pPr>
            <w:r>
              <w:rPr>
                <w:b/>
                <w:bCs/>
                <w:noProof/>
                <w:color w:val="000000"/>
                <w:sz w:val="20"/>
              </w:rPr>
              <w:t> </w:t>
            </w:r>
          </w:p>
        </w:tc>
        <w:tc>
          <w:tcPr>
            <w:tcW w:w="1004"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1031" w:type="dxa"/>
            <w:vAlign w:val="center"/>
          </w:tcPr>
          <w:p w:rsidR="00D10CBC" w:rsidRDefault="00BC383A">
            <w:pPr>
              <w:rPr>
                <w:b/>
                <w:noProof/>
                <w:sz w:val="20"/>
              </w:rPr>
            </w:pPr>
            <w:r>
              <w:rPr>
                <w:b/>
                <w:bCs/>
                <w:noProof/>
                <w:color w:val="000000"/>
                <w:sz w:val="20"/>
              </w:rPr>
              <w:t> </w:t>
            </w:r>
          </w:p>
        </w:tc>
        <w:tc>
          <w:tcPr>
            <w:tcW w:w="992" w:type="dxa"/>
            <w:vAlign w:val="center"/>
          </w:tcPr>
          <w:p w:rsidR="00D10CBC" w:rsidRDefault="00BC383A">
            <w:pPr>
              <w:rPr>
                <w:b/>
                <w:noProof/>
                <w:sz w:val="20"/>
              </w:rPr>
            </w:pPr>
            <w:r>
              <w:rPr>
                <w:b/>
                <w:bCs/>
                <w:noProof/>
                <w:color w:val="000000"/>
                <w:sz w:val="20"/>
              </w:rPr>
              <w:t> </w:t>
            </w:r>
          </w:p>
        </w:tc>
        <w:tc>
          <w:tcPr>
            <w:tcW w:w="1127" w:type="dxa"/>
            <w:vAlign w:val="center"/>
          </w:tcPr>
          <w:p w:rsidR="00D10CBC" w:rsidRDefault="00BC383A">
            <w:pPr>
              <w:spacing w:before="0" w:after="0"/>
              <w:jc w:val="right"/>
              <w:rPr>
                <w:b/>
                <w:noProof/>
                <w:sz w:val="20"/>
              </w:rPr>
            </w:pPr>
            <w:r>
              <w:rPr>
                <w:b/>
                <w:bCs/>
                <w:noProof/>
                <w:color w:val="000000"/>
                <w:sz w:val="20"/>
              </w:rPr>
              <w:t> </w:t>
            </w:r>
          </w:p>
        </w:tc>
      </w:tr>
      <w:tr w:rsidR="00D10CBC">
        <w:trPr>
          <w:trHeight w:val="319"/>
        </w:trPr>
        <w:tc>
          <w:tcPr>
            <w:tcW w:w="3780" w:type="dxa"/>
            <w:gridSpan w:val="2"/>
            <w:vAlign w:val="center"/>
          </w:tcPr>
          <w:p w:rsidR="00D10CBC" w:rsidRDefault="00BC383A">
            <w:pPr>
              <w:spacing w:before="60" w:after="60"/>
              <w:rPr>
                <w:noProof/>
              </w:rPr>
            </w:pPr>
            <w:r>
              <w:rPr>
                <w:noProof/>
                <w:sz w:val="20"/>
              </w:rPr>
              <w:t>01 01 – Support expenditure</w:t>
            </w:r>
          </w:p>
        </w:tc>
        <w:tc>
          <w:tcPr>
            <w:tcW w:w="1260" w:type="dxa"/>
            <w:vAlign w:val="center"/>
          </w:tcPr>
          <w:p w:rsidR="00D10CBC" w:rsidRDefault="00BC383A">
            <w:pPr>
              <w:spacing w:before="40" w:after="40"/>
              <w:jc w:val="right"/>
              <w:rPr>
                <w:noProof/>
                <w:sz w:val="18"/>
              </w:rPr>
            </w:pPr>
            <w:r>
              <w:rPr>
                <w:noProof/>
                <w:sz w:val="18"/>
              </w:rPr>
              <w:t>Commitments = Payments</w:t>
            </w:r>
          </w:p>
        </w:tc>
        <w:tc>
          <w:tcPr>
            <w:tcW w:w="540" w:type="dxa"/>
            <w:vAlign w:val="center"/>
          </w:tcPr>
          <w:p w:rsidR="00D10CBC" w:rsidRDefault="00BC383A">
            <w:pPr>
              <w:spacing w:before="40" w:after="40"/>
              <w:jc w:val="center"/>
              <w:rPr>
                <w:noProof/>
                <w:sz w:val="14"/>
              </w:rPr>
            </w:pPr>
            <w:r>
              <w:rPr>
                <w:noProof/>
                <w:sz w:val="14"/>
              </w:rPr>
              <w:t>(3)</w:t>
            </w:r>
          </w:p>
        </w:tc>
        <w:tc>
          <w:tcPr>
            <w:tcW w:w="990" w:type="dxa"/>
            <w:vAlign w:val="center"/>
          </w:tcPr>
          <w:p w:rsidR="00D10CBC" w:rsidRDefault="00D10CBC">
            <w:pPr>
              <w:spacing w:before="40" w:after="40"/>
              <w:jc w:val="right"/>
              <w:rPr>
                <w:noProof/>
                <w:sz w:val="20"/>
              </w:rPr>
            </w:pP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76" w:type="dxa"/>
            <w:vAlign w:val="center"/>
          </w:tcPr>
          <w:p w:rsidR="00D10CBC" w:rsidRDefault="00BC383A">
            <w:pPr>
              <w:spacing w:before="40" w:after="40"/>
              <w:jc w:val="center"/>
              <w:rPr>
                <w:b/>
                <w:noProof/>
                <w:sz w:val="20"/>
              </w:rPr>
            </w:pPr>
            <w:r>
              <w:rPr>
                <w:noProof/>
                <w:sz w:val="20"/>
              </w:rPr>
              <w:t>pm</w:t>
            </w:r>
          </w:p>
        </w:tc>
        <w:tc>
          <w:tcPr>
            <w:tcW w:w="1004"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1031" w:type="dxa"/>
            <w:vAlign w:val="center"/>
          </w:tcPr>
          <w:p w:rsidR="00D10CBC" w:rsidRDefault="00BC383A">
            <w:pPr>
              <w:spacing w:before="40" w:after="40"/>
              <w:jc w:val="center"/>
              <w:rPr>
                <w:b/>
                <w:noProof/>
                <w:sz w:val="20"/>
              </w:rPr>
            </w:pPr>
            <w:r>
              <w:rPr>
                <w:noProof/>
                <w:sz w:val="20"/>
              </w:rPr>
              <w:t>pm</w:t>
            </w:r>
          </w:p>
        </w:tc>
        <w:tc>
          <w:tcPr>
            <w:tcW w:w="992" w:type="dxa"/>
            <w:vAlign w:val="center"/>
          </w:tcPr>
          <w:p w:rsidR="00D10CBC" w:rsidRDefault="00D10CBC">
            <w:pPr>
              <w:spacing w:before="40" w:after="40"/>
              <w:jc w:val="center"/>
              <w:rPr>
                <w:b/>
                <w:noProof/>
                <w:sz w:val="20"/>
              </w:rPr>
            </w:pPr>
          </w:p>
        </w:tc>
        <w:tc>
          <w:tcPr>
            <w:tcW w:w="1127" w:type="dxa"/>
            <w:vAlign w:val="center"/>
          </w:tcPr>
          <w:p w:rsidR="00D10CBC" w:rsidRDefault="00BC383A">
            <w:pPr>
              <w:spacing w:before="40" w:after="40"/>
              <w:jc w:val="center"/>
              <w:rPr>
                <w:b/>
                <w:noProof/>
                <w:sz w:val="20"/>
              </w:rPr>
            </w:pPr>
            <w:r>
              <w:rPr>
                <w:b/>
                <w:noProof/>
                <w:sz w:val="20"/>
              </w:rPr>
              <w:t>pm</w:t>
            </w:r>
          </w:p>
        </w:tc>
      </w:tr>
      <w:tr w:rsidR="00D10CBC">
        <w:tc>
          <w:tcPr>
            <w:tcW w:w="3780" w:type="dxa"/>
            <w:gridSpan w:val="2"/>
            <w:vMerge w:val="restart"/>
            <w:vAlign w:val="center"/>
          </w:tcPr>
          <w:p w:rsidR="00D10CBC" w:rsidRDefault="00BC383A">
            <w:pPr>
              <w:jc w:val="center"/>
              <w:rPr>
                <w:b/>
                <w:noProof/>
              </w:rPr>
            </w:pPr>
            <w:r>
              <w:rPr>
                <w:b/>
                <w:noProof/>
                <w:sz w:val="22"/>
              </w:rPr>
              <w:t>TOTAL appropriations</w:t>
            </w:r>
            <w:r>
              <w:rPr>
                <w:noProof/>
                <w:sz w:val="22"/>
              </w:rPr>
              <w:br/>
            </w:r>
            <w:r>
              <w:rPr>
                <w:b/>
                <w:noProof/>
                <w:sz w:val="22"/>
              </w:rPr>
              <w:t xml:space="preserve">from budgetary procedures for </w:t>
            </w:r>
            <w:r>
              <w:rPr>
                <w:b/>
                <w:noProof/>
                <w:sz w:val="22"/>
              </w:rPr>
              <w:t>the envelope of the programme</w:t>
            </w:r>
          </w:p>
        </w:tc>
        <w:tc>
          <w:tcPr>
            <w:tcW w:w="1260"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=1+1a +3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394.553</w:t>
            </w:r>
          </w:p>
        </w:tc>
        <w:tc>
          <w:tcPr>
            <w:tcW w:w="990" w:type="dxa"/>
            <w:vAlign w:val="center"/>
          </w:tcPr>
          <w:p w:rsidR="00D10CBC" w:rsidRDefault="00BC383A">
            <w:pPr>
              <w:spacing w:before="20" w:after="20"/>
              <w:jc w:val="right"/>
              <w:rPr>
                <w:noProof/>
                <w:sz w:val="20"/>
              </w:rPr>
            </w:pPr>
            <w:r>
              <w:rPr>
                <w:noProof/>
                <w:color w:val="000000"/>
                <w:sz w:val="20"/>
                <w:szCs w:val="20"/>
              </w:rPr>
              <w:t>418.135</w:t>
            </w:r>
          </w:p>
        </w:tc>
        <w:tc>
          <w:tcPr>
            <w:tcW w:w="976" w:type="dxa"/>
            <w:vAlign w:val="center"/>
          </w:tcPr>
          <w:p w:rsidR="00D10CBC" w:rsidRDefault="00BC383A">
            <w:pPr>
              <w:spacing w:before="20" w:after="20"/>
              <w:jc w:val="right"/>
              <w:rPr>
                <w:noProof/>
                <w:sz w:val="20"/>
              </w:rPr>
            </w:pPr>
            <w:r>
              <w:rPr>
                <w:noProof/>
                <w:color w:val="000000"/>
                <w:sz w:val="20"/>
                <w:szCs w:val="20"/>
              </w:rPr>
              <w:t>212.937</w:t>
            </w:r>
          </w:p>
        </w:tc>
        <w:tc>
          <w:tcPr>
            <w:tcW w:w="1004" w:type="dxa"/>
            <w:vAlign w:val="center"/>
          </w:tcPr>
          <w:p w:rsidR="00D10CBC" w:rsidRDefault="00BC383A">
            <w:pPr>
              <w:spacing w:before="20" w:after="20"/>
              <w:jc w:val="right"/>
              <w:rPr>
                <w:noProof/>
                <w:sz w:val="20"/>
              </w:rPr>
            </w:pPr>
            <w:r>
              <w:rPr>
                <w:noProof/>
                <w:color w:val="000000"/>
                <w:sz w:val="20"/>
                <w:szCs w:val="20"/>
              </w:rPr>
              <w:t>222.619</w:t>
            </w:r>
          </w:p>
        </w:tc>
        <w:tc>
          <w:tcPr>
            <w:tcW w:w="990" w:type="dxa"/>
            <w:vAlign w:val="center"/>
          </w:tcPr>
          <w:p w:rsidR="00D10CBC" w:rsidRDefault="00BC383A">
            <w:pPr>
              <w:spacing w:before="20" w:after="20"/>
              <w:jc w:val="right"/>
              <w:rPr>
                <w:noProof/>
                <w:sz w:val="20"/>
              </w:rPr>
            </w:pPr>
            <w:r>
              <w:rPr>
                <w:noProof/>
                <w:color w:val="000000"/>
                <w:sz w:val="20"/>
                <w:szCs w:val="20"/>
              </w:rPr>
              <w:t>229.512</w:t>
            </w:r>
          </w:p>
        </w:tc>
        <w:tc>
          <w:tcPr>
            <w:tcW w:w="1031" w:type="dxa"/>
            <w:vAlign w:val="center"/>
          </w:tcPr>
          <w:p w:rsidR="00D10CBC" w:rsidRDefault="00BC383A">
            <w:pPr>
              <w:spacing w:before="20" w:after="20"/>
              <w:jc w:val="right"/>
              <w:rPr>
                <w:b/>
                <w:noProof/>
                <w:sz w:val="20"/>
              </w:rPr>
            </w:pPr>
            <w:r>
              <w:rPr>
                <w:noProof/>
                <w:color w:val="000000"/>
                <w:sz w:val="20"/>
                <w:szCs w:val="20"/>
              </w:rPr>
              <w:t>231.272</w:t>
            </w:r>
          </w:p>
        </w:tc>
        <w:tc>
          <w:tcPr>
            <w:tcW w:w="992"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20" w:after="20"/>
              <w:jc w:val="right"/>
              <w:rPr>
                <w:b/>
                <w:noProof/>
                <w:sz w:val="20"/>
              </w:rPr>
            </w:pPr>
            <w:r>
              <w:rPr>
                <w:b/>
                <w:bCs/>
                <w:noProof/>
                <w:color w:val="000000"/>
                <w:sz w:val="20"/>
                <w:szCs w:val="20"/>
              </w:rPr>
              <w:t>1 709.027</w:t>
            </w:r>
          </w:p>
        </w:tc>
      </w:tr>
      <w:tr w:rsidR="00D10CBC">
        <w:tc>
          <w:tcPr>
            <w:tcW w:w="3780" w:type="dxa"/>
            <w:gridSpan w:val="2"/>
            <w:vMerge/>
          </w:tcPr>
          <w:p w:rsidR="00D10CBC" w:rsidRDefault="00D10CBC">
            <w:pPr>
              <w:rPr>
                <w:noProof/>
                <w:sz w:val="20"/>
              </w:rPr>
            </w:pPr>
          </w:p>
        </w:tc>
        <w:tc>
          <w:tcPr>
            <w:tcW w:w="1260" w:type="dxa"/>
            <w:vAlign w:val="center"/>
          </w:tcPr>
          <w:p w:rsidR="00D10CBC" w:rsidRDefault="00BC383A">
            <w:pPr>
              <w:rPr>
                <w:noProof/>
                <w:sz w:val="18"/>
              </w:rPr>
            </w:pPr>
            <w:r>
              <w:rPr>
                <w:noProof/>
                <w:sz w:val="18"/>
              </w:rPr>
              <w:t>Payments</w:t>
            </w:r>
          </w:p>
        </w:tc>
        <w:tc>
          <w:tcPr>
            <w:tcW w:w="540" w:type="dxa"/>
            <w:vAlign w:val="center"/>
          </w:tcPr>
          <w:p w:rsidR="00D10CBC" w:rsidRDefault="00BC383A">
            <w:pPr>
              <w:jc w:val="center"/>
              <w:rPr>
                <w:noProof/>
                <w:sz w:val="14"/>
              </w:rPr>
            </w:pPr>
            <w:r>
              <w:rPr>
                <w:noProof/>
                <w:sz w:val="14"/>
              </w:rPr>
              <w:t>=2+2</w:t>
            </w:r>
            <w:r>
              <w:rPr>
                <w:noProof/>
                <w:sz w:val="14"/>
              </w:rPr>
              <w:lastRenderedPageBreak/>
              <w:t>a</w:t>
            </w:r>
          </w:p>
          <w:p w:rsidR="00D10CBC" w:rsidRDefault="00BC383A">
            <w:pPr>
              <w:jc w:val="center"/>
              <w:rPr>
                <w:noProof/>
                <w:sz w:val="14"/>
              </w:rPr>
            </w:pPr>
            <w:r>
              <w:rPr>
                <w:noProof/>
                <w:sz w:val="14"/>
              </w:rPr>
              <w:t>+3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157.821</w:t>
            </w:r>
          </w:p>
        </w:tc>
        <w:tc>
          <w:tcPr>
            <w:tcW w:w="990" w:type="dxa"/>
            <w:vAlign w:val="center"/>
          </w:tcPr>
          <w:p w:rsidR="00D10CBC" w:rsidRDefault="00BC383A">
            <w:pPr>
              <w:spacing w:before="20" w:after="20"/>
              <w:jc w:val="right"/>
              <w:rPr>
                <w:noProof/>
                <w:sz w:val="20"/>
              </w:rPr>
            </w:pPr>
            <w:r>
              <w:rPr>
                <w:noProof/>
                <w:color w:val="000000"/>
                <w:sz w:val="20"/>
                <w:szCs w:val="20"/>
              </w:rPr>
              <w:t>285.620</w:t>
            </w:r>
          </w:p>
        </w:tc>
        <w:tc>
          <w:tcPr>
            <w:tcW w:w="976" w:type="dxa"/>
            <w:vAlign w:val="center"/>
          </w:tcPr>
          <w:p w:rsidR="00D10CBC" w:rsidRDefault="00BC383A">
            <w:pPr>
              <w:spacing w:before="20" w:after="20"/>
              <w:jc w:val="right"/>
              <w:rPr>
                <w:noProof/>
                <w:sz w:val="20"/>
              </w:rPr>
            </w:pPr>
            <w:r>
              <w:rPr>
                <w:noProof/>
                <w:color w:val="000000"/>
                <w:sz w:val="20"/>
                <w:szCs w:val="20"/>
              </w:rPr>
              <w:t>328.981</w:t>
            </w:r>
          </w:p>
        </w:tc>
        <w:tc>
          <w:tcPr>
            <w:tcW w:w="1004" w:type="dxa"/>
            <w:vAlign w:val="center"/>
          </w:tcPr>
          <w:p w:rsidR="00D10CBC" w:rsidRDefault="00BC383A">
            <w:pPr>
              <w:spacing w:before="20" w:after="20"/>
              <w:jc w:val="right"/>
              <w:rPr>
                <w:noProof/>
                <w:sz w:val="20"/>
              </w:rPr>
            </w:pPr>
            <w:r>
              <w:rPr>
                <w:noProof/>
                <w:color w:val="000000"/>
                <w:sz w:val="20"/>
                <w:szCs w:val="20"/>
              </w:rPr>
              <w:t>278.369</w:t>
            </w:r>
          </w:p>
        </w:tc>
        <w:tc>
          <w:tcPr>
            <w:tcW w:w="990" w:type="dxa"/>
            <w:vAlign w:val="center"/>
          </w:tcPr>
          <w:p w:rsidR="00D10CBC" w:rsidRDefault="00BC383A">
            <w:pPr>
              <w:spacing w:before="20" w:after="20"/>
              <w:jc w:val="right"/>
              <w:rPr>
                <w:noProof/>
                <w:sz w:val="20"/>
              </w:rPr>
            </w:pPr>
            <w:r>
              <w:rPr>
                <w:noProof/>
                <w:color w:val="000000"/>
                <w:sz w:val="20"/>
                <w:szCs w:val="20"/>
              </w:rPr>
              <w:t>222.471</w:t>
            </w:r>
          </w:p>
        </w:tc>
        <w:tc>
          <w:tcPr>
            <w:tcW w:w="1031" w:type="dxa"/>
            <w:vAlign w:val="center"/>
          </w:tcPr>
          <w:p w:rsidR="00D10CBC" w:rsidRDefault="00BC383A">
            <w:pPr>
              <w:spacing w:before="20" w:after="20"/>
              <w:jc w:val="right"/>
              <w:rPr>
                <w:b/>
                <w:noProof/>
                <w:sz w:val="20"/>
              </w:rPr>
            </w:pPr>
            <w:r>
              <w:rPr>
                <w:noProof/>
                <w:color w:val="000000"/>
                <w:sz w:val="20"/>
                <w:szCs w:val="20"/>
              </w:rPr>
              <w:t>228.148</w:t>
            </w:r>
          </w:p>
        </w:tc>
        <w:tc>
          <w:tcPr>
            <w:tcW w:w="992" w:type="dxa"/>
            <w:vAlign w:val="center"/>
          </w:tcPr>
          <w:p w:rsidR="00D10CBC" w:rsidRDefault="00BC383A">
            <w:pPr>
              <w:spacing w:before="20" w:after="20"/>
              <w:jc w:val="right"/>
              <w:rPr>
                <w:b/>
                <w:noProof/>
                <w:sz w:val="20"/>
              </w:rPr>
            </w:pPr>
            <w:r>
              <w:rPr>
                <w:noProof/>
                <w:color w:val="000000"/>
                <w:sz w:val="20"/>
                <w:szCs w:val="20"/>
              </w:rPr>
              <w:t>207.616</w:t>
            </w:r>
          </w:p>
        </w:tc>
        <w:tc>
          <w:tcPr>
            <w:tcW w:w="1127" w:type="dxa"/>
            <w:vAlign w:val="center"/>
          </w:tcPr>
          <w:p w:rsidR="00D10CBC" w:rsidRDefault="00BC383A">
            <w:pPr>
              <w:spacing w:before="20" w:after="20"/>
              <w:jc w:val="right"/>
              <w:rPr>
                <w:b/>
                <w:noProof/>
                <w:sz w:val="20"/>
              </w:rPr>
            </w:pPr>
            <w:r>
              <w:rPr>
                <w:b/>
                <w:bCs/>
                <w:noProof/>
                <w:color w:val="000000"/>
                <w:sz w:val="20"/>
                <w:szCs w:val="20"/>
              </w:rPr>
              <w:t>1 709.027</w:t>
            </w:r>
          </w:p>
        </w:tc>
      </w:tr>
    </w:tbl>
    <w:p w:rsidR="00D10CBC" w:rsidRDefault="00D10CBC">
      <w:pPr>
        <w:rPr>
          <w:noProof/>
        </w:rPr>
      </w:pPr>
    </w:p>
    <w:p w:rsidR="00D10CBC" w:rsidRDefault="00D10CBC">
      <w:pPr>
        <w:rPr>
          <w:noProof/>
        </w:rPr>
      </w:pPr>
    </w:p>
    <w:p w:rsidR="00D10CBC" w:rsidRDefault="00BC383A">
      <w:pPr>
        <w:jc w:val="right"/>
        <w:rPr>
          <w:noProof/>
        </w:rPr>
      </w:pPr>
      <w:r>
        <w:rPr>
          <w:i/>
          <w:noProof/>
        </w:rPr>
        <w:t>EUR million (to three decimal places</w:t>
      </w:r>
      <w:r>
        <w:rPr>
          <w:noProof/>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10CBC">
        <w:trPr>
          <w:jc w:val="center"/>
        </w:trPr>
        <w:tc>
          <w:tcPr>
            <w:tcW w:w="4744" w:type="dxa"/>
            <w:shd w:val="thinDiagStripe" w:color="C0C0C0" w:fill="auto"/>
            <w:vAlign w:val="center"/>
          </w:tcPr>
          <w:p w:rsidR="00D10CBC" w:rsidRDefault="00BC383A">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D10CBC" w:rsidRDefault="00BC383A">
            <w:pPr>
              <w:spacing w:before="60" w:after="60"/>
              <w:jc w:val="center"/>
              <w:rPr>
                <w:noProof/>
              </w:rPr>
            </w:pPr>
            <w:r>
              <w:rPr>
                <w:b/>
                <w:noProof/>
                <w:sz w:val="22"/>
              </w:rPr>
              <w:t>2b</w:t>
            </w:r>
          </w:p>
        </w:tc>
        <w:tc>
          <w:tcPr>
            <w:tcW w:w="7817" w:type="dxa"/>
            <w:vAlign w:val="center"/>
          </w:tcPr>
          <w:p w:rsidR="00D10CBC" w:rsidRDefault="00BC383A">
            <w:pPr>
              <w:spacing w:before="60" w:after="60"/>
              <w:rPr>
                <w:b/>
                <w:noProof/>
              </w:rPr>
            </w:pPr>
            <w:r>
              <w:rPr>
                <w:b/>
                <w:noProof/>
                <w:sz w:val="22"/>
              </w:rPr>
              <w:t>Resilience and Values</w:t>
            </w:r>
          </w:p>
        </w:tc>
      </w:tr>
    </w:tbl>
    <w:p w:rsidR="00D10CBC" w:rsidRDefault="00D10CBC">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rsidR="00D10CBC">
        <w:tc>
          <w:tcPr>
            <w:tcW w:w="3780" w:type="dxa"/>
            <w:gridSpan w:val="2"/>
            <w:vAlign w:val="center"/>
          </w:tcPr>
          <w:p w:rsidR="00D10CBC" w:rsidRDefault="00BC383A">
            <w:pPr>
              <w:jc w:val="center"/>
              <w:rPr>
                <w:noProof/>
              </w:rPr>
            </w:pPr>
            <w:r>
              <w:rPr>
                <w:noProof/>
                <w:sz w:val="22"/>
              </w:rPr>
              <w:t>DG: SANTE</w:t>
            </w:r>
          </w:p>
        </w:tc>
        <w:tc>
          <w:tcPr>
            <w:tcW w:w="1260" w:type="dxa"/>
          </w:tcPr>
          <w:p w:rsidR="00D10CBC" w:rsidRDefault="00D10CBC">
            <w:pPr>
              <w:rPr>
                <w:noProof/>
                <w:sz w:val="20"/>
              </w:rPr>
            </w:pPr>
          </w:p>
        </w:tc>
        <w:tc>
          <w:tcPr>
            <w:tcW w:w="540" w:type="dxa"/>
          </w:tcPr>
          <w:p w:rsidR="00D10CBC" w:rsidRDefault="00D10CBC">
            <w:pPr>
              <w:jc w:val="center"/>
              <w:rPr>
                <w:noProof/>
                <w:sz w:val="20"/>
              </w:rPr>
            </w:pPr>
          </w:p>
        </w:tc>
        <w:tc>
          <w:tcPr>
            <w:tcW w:w="990" w:type="dxa"/>
            <w:vAlign w:val="center"/>
          </w:tcPr>
          <w:p w:rsidR="00D10CBC" w:rsidRDefault="00BC383A">
            <w:pPr>
              <w:jc w:val="center"/>
              <w:rPr>
                <w:noProof/>
                <w:sz w:val="20"/>
              </w:rPr>
            </w:pPr>
            <w:r>
              <w:rPr>
                <w:b/>
                <w:noProof/>
                <w:sz w:val="20"/>
              </w:rPr>
              <w:t>2021</w:t>
            </w:r>
          </w:p>
        </w:tc>
        <w:tc>
          <w:tcPr>
            <w:tcW w:w="990" w:type="dxa"/>
            <w:vAlign w:val="center"/>
          </w:tcPr>
          <w:p w:rsidR="00D10CBC" w:rsidRDefault="00BC383A">
            <w:pPr>
              <w:jc w:val="center"/>
              <w:rPr>
                <w:noProof/>
                <w:sz w:val="20"/>
              </w:rPr>
            </w:pPr>
            <w:r>
              <w:rPr>
                <w:b/>
                <w:noProof/>
                <w:sz w:val="20"/>
              </w:rPr>
              <w:t>2022</w:t>
            </w:r>
          </w:p>
        </w:tc>
        <w:tc>
          <w:tcPr>
            <w:tcW w:w="990" w:type="dxa"/>
            <w:vAlign w:val="center"/>
          </w:tcPr>
          <w:p w:rsidR="00D10CBC" w:rsidRDefault="00BC383A">
            <w:pPr>
              <w:jc w:val="center"/>
              <w:rPr>
                <w:noProof/>
                <w:sz w:val="20"/>
              </w:rPr>
            </w:pPr>
            <w:r>
              <w:rPr>
                <w:b/>
                <w:noProof/>
                <w:sz w:val="20"/>
              </w:rPr>
              <w:t>2023</w:t>
            </w:r>
          </w:p>
        </w:tc>
        <w:tc>
          <w:tcPr>
            <w:tcW w:w="976" w:type="dxa"/>
            <w:vAlign w:val="center"/>
          </w:tcPr>
          <w:p w:rsidR="00D10CBC" w:rsidRDefault="00BC383A">
            <w:pPr>
              <w:jc w:val="center"/>
              <w:rPr>
                <w:noProof/>
                <w:sz w:val="20"/>
              </w:rPr>
            </w:pPr>
            <w:r>
              <w:rPr>
                <w:b/>
                <w:noProof/>
                <w:sz w:val="20"/>
              </w:rPr>
              <w:t>2024</w:t>
            </w:r>
          </w:p>
        </w:tc>
        <w:tc>
          <w:tcPr>
            <w:tcW w:w="1004" w:type="dxa"/>
            <w:vAlign w:val="center"/>
          </w:tcPr>
          <w:p w:rsidR="00D10CBC" w:rsidRDefault="00BC383A">
            <w:pPr>
              <w:jc w:val="center"/>
              <w:rPr>
                <w:b/>
                <w:noProof/>
                <w:sz w:val="18"/>
              </w:rPr>
            </w:pPr>
            <w:r>
              <w:rPr>
                <w:b/>
                <w:noProof/>
                <w:sz w:val="18"/>
              </w:rPr>
              <w:t>2025</w:t>
            </w:r>
          </w:p>
        </w:tc>
        <w:tc>
          <w:tcPr>
            <w:tcW w:w="990" w:type="dxa"/>
            <w:vAlign w:val="center"/>
          </w:tcPr>
          <w:p w:rsidR="00D10CBC" w:rsidRDefault="00BC383A">
            <w:pPr>
              <w:jc w:val="center"/>
              <w:rPr>
                <w:b/>
                <w:noProof/>
                <w:sz w:val="18"/>
              </w:rPr>
            </w:pPr>
            <w:r>
              <w:rPr>
                <w:b/>
                <w:noProof/>
                <w:sz w:val="18"/>
              </w:rPr>
              <w:t>2026</w:t>
            </w:r>
          </w:p>
        </w:tc>
        <w:tc>
          <w:tcPr>
            <w:tcW w:w="990" w:type="dxa"/>
            <w:vAlign w:val="center"/>
          </w:tcPr>
          <w:p w:rsidR="00D10CBC" w:rsidRDefault="00BC383A">
            <w:pPr>
              <w:jc w:val="center"/>
              <w:rPr>
                <w:b/>
                <w:noProof/>
                <w:sz w:val="18"/>
              </w:rPr>
            </w:pPr>
            <w:r>
              <w:rPr>
                <w:b/>
                <w:noProof/>
                <w:sz w:val="18"/>
              </w:rPr>
              <w:t>2027</w:t>
            </w:r>
          </w:p>
        </w:tc>
        <w:tc>
          <w:tcPr>
            <w:tcW w:w="1033" w:type="dxa"/>
          </w:tcPr>
          <w:p w:rsidR="00D10CBC" w:rsidRDefault="00BC383A">
            <w:pPr>
              <w:jc w:val="center"/>
              <w:rPr>
                <w:b/>
                <w:noProof/>
                <w:sz w:val="20"/>
              </w:rPr>
            </w:pPr>
            <w:r>
              <w:rPr>
                <w:b/>
                <w:i/>
                <w:noProof/>
                <w:sz w:val="20"/>
              </w:rPr>
              <w:t>Post 2027</w:t>
            </w:r>
          </w:p>
        </w:tc>
        <w:tc>
          <w:tcPr>
            <w:tcW w:w="1127" w:type="dxa"/>
            <w:vAlign w:val="center"/>
          </w:tcPr>
          <w:p w:rsidR="00D10CBC" w:rsidRDefault="00BC383A">
            <w:pPr>
              <w:jc w:val="center"/>
              <w:rPr>
                <w:b/>
                <w:noProof/>
                <w:sz w:val="20"/>
              </w:rPr>
            </w:pPr>
            <w:r>
              <w:rPr>
                <w:b/>
                <w:noProof/>
                <w:sz w:val="20"/>
              </w:rPr>
              <w:t>TOTAL</w:t>
            </w:r>
          </w:p>
        </w:tc>
      </w:tr>
      <w:tr w:rsidR="00D10CBC">
        <w:trPr>
          <w:trHeight w:val="213"/>
        </w:trPr>
        <w:tc>
          <w:tcPr>
            <w:tcW w:w="5580" w:type="dxa"/>
            <w:gridSpan w:val="4"/>
            <w:vAlign w:val="center"/>
          </w:tcPr>
          <w:p w:rsidR="00D10CBC" w:rsidRDefault="00BC383A">
            <w:pPr>
              <w:spacing w:before="20" w:after="20"/>
              <w:rPr>
                <w:noProof/>
                <w:sz w:val="21"/>
              </w:rPr>
            </w:pPr>
            <w:r>
              <w:rPr>
                <w:noProof/>
                <w:sz w:val="21"/>
              </w:rPr>
              <w:sym w:font="Wingdings" w:char="F09F"/>
            </w:r>
            <w:r>
              <w:rPr>
                <w:noProof/>
                <w:sz w:val="21"/>
              </w:rPr>
              <w:t xml:space="preserve"> Operational appropriations (C1 credits)</w:t>
            </w: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76" w:type="dxa"/>
            <w:vAlign w:val="center"/>
          </w:tcPr>
          <w:p w:rsidR="00D10CBC" w:rsidRDefault="00D10CBC">
            <w:pPr>
              <w:rPr>
                <w:noProof/>
                <w:sz w:val="20"/>
              </w:rPr>
            </w:pPr>
          </w:p>
        </w:tc>
        <w:tc>
          <w:tcPr>
            <w:tcW w:w="1004"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b/>
                <w:noProof/>
                <w:sz w:val="20"/>
              </w:rPr>
            </w:pPr>
          </w:p>
        </w:tc>
        <w:tc>
          <w:tcPr>
            <w:tcW w:w="1033" w:type="dxa"/>
          </w:tcPr>
          <w:p w:rsidR="00D10CBC" w:rsidRDefault="00D10CBC">
            <w:pPr>
              <w:rPr>
                <w:b/>
                <w:noProof/>
                <w:sz w:val="20"/>
              </w:rPr>
            </w:pPr>
          </w:p>
        </w:tc>
        <w:tc>
          <w:tcPr>
            <w:tcW w:w="1127" w:type="dxa"/>
            <w:vAlign w:val="center"/>
          </w:tcPr>
          <w:p w:rsidR="00D10CBC" w:rsidRDefault="00D10CBC">
            <w:pPr>
              <w:rPr>
                <w:b/>
                <w:noProof/>
                <w:sz w:val="20"/>
              </w:rPr>
            </w:pPr>
          </w:p>
        </w:tc>
      </w:tr>
      <w:tr w:rsidR="00D10CBC">
        <w:trPr>
          <w:trHeight w:val="277"/>
        </w:trPr>
        <w:tc>
          <w:tcPr>
            <w:tcW w:w="3780" w:type="dxa"/>
            <w:gridSpan w:val="2"/>
            <w:vMerge w:val="restart"/>
            <w:vAlign w:val="center"/>
          </w:tcPr>
          <w:p w:rsidR="00D10CBC" w:rsidRDefault="00BC383A">
            <w:pPr>
              <w:spacing w:before="60" w:after="60"/>
              <w:rPr>
                <w:noProof/>
              </w:rPr>
            </w:pPr>
            <w:r>
              <w:rPr>
                <w:noProof/>
                <w:sz w:val="20"/>
              </w:rPr>
              <w:t>06 06 01 – EU4Health programme</w:t>
            </w:r>
            <w:r>
              <w:rPr>
                <w:rStyle w:val="FootnoteReference"/>
                <w:noProof/>
                <w:sz w:val="20"/>
              </w:rPr>
              <w:footnoteReference w:id="38"/>
            </w:r>
          </w:p>
        </w:tc>
        <w:tc>
          <w:tcPr>
            <w:tcW w:w="1260" w:type="dxa"/>
            <w:vAlign w:val="center"/>
          </w:tcPr>
          <w:p w:rsidR="00D10CBC" w:rsidRDefault="00BC383A">
            <w:pPr>
              <w:spacing w:before="20" w:after="20"/>
              <w:rPr>
                <w:noProof/>
                <w:sz w:val="18"/>
              </w:rPr>
            </w:pPr>
            <w:r>
              <w:rPr>
                <w:noProof/>
                <w:sz w:val="18"/>
              </w:rPr>
              <w:t>Commitments</w:t>
            </w:r>
          </w:p>
        </w:tc>
        <w:tc>
          <w:tcPr>
            <w:tcW w:w="540" w:type="dxa"/>
            <w:vAlign w:val="center"/>
          </w:tcPr>
          <w:p w:rsidR="00D10CBC" w:rsidRDefault="00BC383A">
            <w:pPr>
              <w:spacing w:before="20" w:after="20"/>
              <w:jc w:val="center"/>
              <w:rPr>
                <w:noProof/>
                <w:sz w:val="14"/>
              </w:rPr>
            </w:pPr>
            <w:r>
              <w:rPr>
                <w:noProof/>
                <w:sz w:val="14"/>
              </w:rPr>
              <w:t>(1)</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274.883</w:t>
            </w:r>
          </w:p>
        </w:tc>
        <w:tc>
          <w:tcPr>
            <w:tcW w:w="990" w:type="dxa"/>
            <w:vAlign w:val="center"/>
          </w:tcPr>
          <w:p w:rsidR="00D10CBC" w:rsidRDefault="00BC383A">
            <w:pPr>
              <w:spacing w:before="20" w:after="20"/>
              <w:jc w:val="right"/>
              <w:rPr>
                <w:noProof/>
                <w:sz w:val="20"/>
              </w:rPr>
            </w:pPr>
            <w:r>
              <w:rPr>
                <w:noProof/>
                <w:color w:val="000000"/>
                <w:sz w:val="20"/>
                <w:szCs w:val="20"/>
              </w:rPr>
              <w:t>243.145</w:t>
            </w:r>
          </w:p>
        </w:tc>
        <w:tc>
          <w:tcPr>
            <w:tcW w:w="976" w:type="dxa"/>
            <w:vAlign w:val="center"/>
          </w:tcPr>
          <w:p w:rsidR="00D10CBC" w:rsidRDefault="00BC383A">
            <w:pPr>
              <w:spacing w:before="20" w:after="20"/>
              <w:jc w:val="right"/>
              <w:rPr>
                <w:noProof/>
                <w:sz w:val="20"/>
              </w:rPr>
            </w:pPr>
            <w:r>
              <w:rPr>
                <w:noProof/>
                <w:color w:val="000000"/>
                <w:sz w:val="20"/>
                <w:szCs w:val="20"/>
              </w:rPr>
              <w:t>474.048</w:t>
            </w:r>
          </w:p>
        </w:tc>
        <w:tc>
          <w:tcPr>
            <w:tcW w:w="1004" w:type="dxa"/>
            <w:vAlign w:val="center"/>
          </w:tcPr>
          <w:p w:rsidR="00D10CBC" w:rsidRDefault="00BC383A">
            <w:pPr>
              <w:spacing w:before="20" w:after="20"/>
              <w:jc w:val="right"/>
              <w:rPr>
                <w:noProof/>
                <w:sz w:val="20"/>
              </w:rPr>
            </w:pPr>
            <w:r>
              <w:rPr>
                <w:noProof/>
                <w:color w:val="000000"/>
                <w:sz w:val="20"/>
                <w:szCs w:val="20"/>
              </w:rPr>
              <w:t>484.140</w:t>
            </w:r>
          </w:p>
        </w:tc>
        <w:tc>
          <w:tcPr>
            <w:tcW w:w="990" w:type="dxa"/>
            <w:vAlign w:val="center"/>
          </w:tcPr>
          <w:p w:rsidR="00D10CBC" w:rsidRDefault="00BC383A">
            <w:pPr>
              <w:spacing w:before="20" w:after="20"/>
              <w:jc w:val="right"/>
              <w:rPr>
                <w:noProof/>
                <w:sz w:val="20"/>
              </w:rPr>
            </w:pPr>
            <w:r>
              <w:rPr>
                <w:noProof/>
                <w:color w:val="000000"/>
                <w:sz w:val="20"/>
                <w:szCs w:val="20"/>
              </w:rPr>
              <w:t>492.488</w:t>
            </w:r>
          </w:p>
        </w:tc>
        <w:tc>
          <w:tcPr>
            <w:tcW w:w="990" w:type="dxa"/>
            <w:vAlign w:val="center"/>
          </w:tcPr>
          <w:p w:rsidR="00D10CBC" w:rsidRDefault="00BC383A">
            <w:pPr>
              <w:spacing w:before="20" w:after="20"/>
              <w:jc w:val="right"/>
              <w:rPr>
                <w:b/>
                <w:noProof/>
                <w:sz w:val="20"/>
              </w:rPr>
            </w:pPr>
            <w:r>
              <w:rPr>
                <w:noProof/>
                <w:color w:val="000000"/>
                <w:sz w:val="20"/>
                <w:szCs w:val="20"/>
              </w:rPr>
              <w:t>826.514</w:t>
            </w:r>
          </w:p>
        </w:tc>
        <w:tc>
          <w:tcPr>
            <w:tcW w:w="1033"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0" w:after="0"/>
              <w:jc w:val="right"/>
              <w:rPr>
                <w:b/>
                <w:bCs/>
                <w:noProof/>
                <w:color w:val="000000"/>
                <w:sz w:val="20"/>
                <w:szCs w:val="20"/>
              </w:rPr>
            </w:pPr>
            <w:r>
              <w:rPr>
                <w:b/>
                <w:bCs/>
                <w:noProof/>
                <w:color w:val="000000"/>
                <w:sz w:val="20"/>
                <w:szCs w:val="20"/>
              </w:rPr>
              <w:t>2 795.218</w:t>
            </w:r>
          </w:p>
        </w:tc>
      </w:tr>
      <w:tr w:rsidR="00D10CBC">
        <w:tc>
          <w:tcPr>
            <w:tcW w:w="3780" w:type="dxa"/>
            <w:gridSpan w:val="2"/>
            <w:vMerge/>
          </w:tcPr>
          <w:p w:rsidR="00D10CBC" w:rsidRDefault="00D10CBC">
            <w:pPr>
              <w:jc w:val="center"/>
              <w:rPr>
                <w:noProof/>
                <w:sz w:val="20"/>
              </w:rPr>
            </w:pPr>
          </w:p>
        </w:tc>
        <w:tc>
          <w:tcPr>
            <w:tcW w:w="1260" w:type="dxa"/>
            <w:vAlign w:val="center"/>
          </w:tcPr>
          <w:p w:rsidR="00D10CBC" w:rsidRDefault="00BC383A">
            <w:pPr>
              <w:spacing w:before="20" w:after="20"/>
              <w:rPr>
                <w:noProof/>
                <w:sz w:val="18"/>
              </w:rPr>
            </w:pPr>
            <w:r>
              <w:rPr>
                <w:noProof/>
                <w:sz w:val="18"/>
              </w:rPr>
              <w:t>Payments</w:t>
            </w:r>
          </w:p>
        </w:tc>
        <w:tc>
          <w:tcPr>
            <w:tcW w:w="540" w:type="dxa"/>
            <w:vAlign w:val="center"/>
          </w:tcPr>
          <w:p w:rsidR="00D10CBC" w:rsidRDefault="00BC383A">
            <w:pPr>
              <w:spacing w:before="20" w:after="20"/>
              <w:jc w:val="center"/>
              <w:rPr>
                <w:noProof/>
                <w:sz w:val="14"/>
              </w:rPr>
            </w:pPr>
            <w:r>
              <w:rPr>
                <w:noProof/>
                <w:sz w:val="14"/>
              </w:rPr>
              <w:t>(2)</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82.465</w:t>
            </w:r>
          </w:p>
        </w:tc>
        <w:tc>
          <w:tcPr>
            <w:tcW w:w="990" w:type="dxa"/>
            <w:vAlign w:val="center"/>
          </w:tcPr>
          <w:p w:rsidR="00D10CBC" w:rsidRDefault="00BC383A">
            <w:pPr>
              <w:spacing w:before="20" w:after="20"/>
              <w:jc w:val="right"/>
              <w:rPr>
                <w:noProof/>
                <w:sz w:val="20"/>
              </w:rPr>
            </w:pPr>
            <w:r>
              <w:rPr>
                <w:noProof/>
                <w:color w:val="000000"/>
                <w:sz w:val="20"/>
                <w:szCs w:val="20"/>
              </w:rPr>
              <w:t>155.409</w:t>
            </w:r>
          </w:p>
        </w:tc>
        <w:tc>
          <w:tcPr>
            <w:tcW w:w="976" w:type="dxa"/>
            <w:vAlign w:val="center"/>
          </w:tcPr>
          <w:p w:rsidR="00D10CBC" w:rsidRDefault="00BC383A">
            <w:pPr>
              <w:spacing w:before="20" w:after="20"/>
              <w:jc w:val="right"/>
              <w:rPr>
                <w:noProof/>
                <w:sz w:val="20"/>
              </w:rPr>
            </w:pPr>
            <w:r>
              <w:rPr>
                <w:noProof/>
                <w:color w:val="000000"/>
                <w:sz w:val="20"/>
                <w:szCs w:val="20"/>
              </w:rPr>
              <w:t>325.111</w:t>
            </w:r>
          </w:p>
        </w:tc>
        <w:tc>
          <w:tcPr>
            <w:tcW w:w="1004" w:type="dxa"/>
            <w:vAlign w:val="center"/>
          </w:tcPr>
          <w:p w:rsidR="00D10CBC" w:rsidRDefault="00BC383A">
            <w:pPr>
              <w:spacing w:before="20" w:after="20"/>
              <w:jc w:val="right"/>
              <w:rPr>
                <w:noProof/>
                <w:sz w:val="20"/>
              </w:rPr>
            </w:pPr>
            <w:r>
              <w:rPr>
                <w:noProof/>
                <w:color w:val="000000"/>
                <w:sz w:val="20"/>
                <w:szCs w:val="20"/>
              </w:rPr>
              <w:t>384.714</w:t>
            </w:r>
          </w:p>
        </w:tc>
        <w:tc>
          <w:tcPr>
            <w:tcW w:w="990" w:type="dxa"/>
            <w:vAlign w:val="center"/>
          </w:tcPr>
          <w:p w:rsidR="00D10CBC" w:rsidRDefault="00BC383A">
            <w:pPr>
              <w:spacing w:before="20" w:after="20"/>
              <w:jc w:val="right"/>
              <w:rPr>
                <w:noProof/>
                <w:sz w:val="20"/>
              </w:rPr>
            </w:pPr>
            <w:r>
              <w:rPr>
                <w:noProof/>
                <w:color w:val="000000"/>
                <w:sz w:val="20"/>
                <w:szCs w:val="20"/>
              </w:rPr>
              <w:t>482.608</w:t>
            </w:r>
          </w:p>
        </w:tc>
        <w:tc>
          <w:tcPr>
            <w:tcW w:w="990" w:type="dxa"/>
            <w:vAlign w:val="center"/>
          </w:tcPr>
          <w:p w:rsidR="00D10CBC" w:rsidRDefault="00BC383A">
            <w:pPr>
              <w:spacing w:before="20" w:after="20"/>
              <w:jc w:val="right"/>
              <w:rPr>
                <w:b/>
                <w:noProof/>
                <w:sz w:val="20"/>
              </w:rPr>
            </w:pPr>
            <w:r>
              <w:rPr>
                <w:noProof/>
                <w:color w:val="000000"/>
                <w:sz w:val="20"/>
                <w:szCs w:val="20"/>
              </w:rPr>
              <w:t>589.357</w:t>
            </w:r>
          </w:p>
        </w:tc>
        <w:tc>
          <w:tcPr>
            <w:tcW w:w="1033" w:type="dxa"/>
            <w:vAlign w:val="center"/>
          </w:tcPr>
          <w:p w:rsidR="00D10CBC" w:rsidRDefault="00BC383A">
            <w:pPr>
              <w:spacing w:before="20" w:after="20"/>
              <w:jc w:val="right"/>
              <w:rPr>
                <w:b/>
                <w:noProof/>
                <w:sz w:val="20"/>
              </w:rPr>
            </w:pPr>
            <w:r>
              <w:rPr>
                <w:noProof/>
                <w:color w:val="000000"/>
                <w:sz w:val="20"/>
                <w:szCs w:val="20"/>
              </w:rPr>
              <w:t>775.555</w:t>
            </w:r>
          </w:p>
        </w:tc>
        <w:tc>
          <w:tcPr>
            <w:tcW w:w="1127" w:type="dxa"/>
            <w:vAlign w:val="center"/>
          </w:tcPr>
          <w:p w:rsidR="00D10CBC" w:rsidRDefault="00BC383A">
            <w:pPr>
              <w:spacing w:before="20" w:after="20"/>
              <w:jc w:val="right"/>
              <w:rPr>
                <w:b/>
                <w:noProof/>
                <w:sz w:val="20"/>
              </w:rPr>
            </w:pPr>
            <w:r>
              <w:rPr>
                <w:b/>
                <w:bCs/>
                <w:noProof/>
                <w:color w:val="000000"/>
                <w:sz w:val="20"/>
                <w:szCs w:val="20"/>
              </w:rPr>
              <w:t>2 795.218</w:t>
            </w:r>
          </w:p>
        </w:tc>
      </w:tr>
      <w:tr w:rsidR="00D10CBC">
        <w:trPr>
          <w:trHeight w:val="231"/>
        </w:trPr>
        <w:tc>
          <w:tcPr>
            <w:tcW w:w="3720" w:type="dxa"/>
            <w:vAlign w:val="center"/>
          </w:tcPr>
          <w:p w:rsidR="00D10CBC" w:rsidRDefault="00BC383A">
            <w:pPr>
              <w:spacing w:before="20" w:after="20"/>
              <w:rPr>
                <w:noProof/>
              </w:rPr>
            </w:pPr>
            <w:r>
              <w:rPr>
                <w:noProof/>
                <w:sz w:val="21"/>
              </w:rPr>
              <w:sym w:font="Wingdings" w:char="F09F"/>
            </w:r>
            <w:r>
              <w:rPr>
                <w:noProof/>
                <w:sz w:val="21"/>
              </w:rPr>
              <w:t xml:space="preserve"> Appropriations of an administrative nature financed from the envelope of specific programmes</w:t>
            </w:r>
          </w:p>
        </w:tc>
        <w:tc>
          <w:tcPr>
            <w:tcW w:w="1320" w:type="dxa"/>
            <w:gridSpan w:val="2"/>
            <w:vAlign w:val="center"/>
          </w:tcPr>
          <w:p w:rsidR="00D10CBC" w:rsidRDefault="00D10CBC">
            <w:pPr>
              <w:spacing w:before="0" w:after="0"/>
              <w:rPr>
                <w:noProof/>
              </w:rPr>
            </w:pPr>
          </w:p>
        </w:tc>
        <w:tc>
          <w:tcPr>
            <w:tcW w:w="540" w:type="dxa"/>
            <w:vAlign w:val="center"/>
          </w:tcPr>
          <w:p w:rsidR="00D10CBC" w:rsidRDefault="00D10CBC">
            <w:pPr>
              <w:spacing w:before="20" w:after="20"/>
              <w:jc w:val="center"/>
              <w:rPr>
                <w:noProof/>
              </w:rPr>
            </w:pPr>
          </w:p>
        </w:tc>
        <w:tc>
          <w:tcPr>
            <w:tcW w:w="990" w:type="dxa"/>
            <w:vAlign w:val="center"/>
          </w:tcPr>
          <w:p w:rsidR="00D10CBC" w:rsidRDefault="00D10CBC">
            <w:pPr>
              <w:rPr>
                <w:b/>
                <w:noProof/>
                <w:sz w:val="20"/>
              </w:rPr>
            </w:pPr>
          </w:p>
        </w:tc>
        <w:tc>
          <w:tcPr>
            <w:tcW w:w="990"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976" w:type="dxa"/>
            <w:vAlign w:val="center"/>
          </w:tcPr>
          <w:p w:rsidR="00D10CBC" w:rsidRDefault="00BC383A">
            <w:pPr>
              <w:rPr>
                <w:b/>
                <w:noProof/>
                <w:sz w:val="20"/>
              </w:rPr>
            </w:pPr>
            <w:r>
              <w:rPr>
                <w:b/>
                <w:bCs/>
                <w:noProof/>
                <w:color w:val="000000"/>
                <w:sz w:val="20"/>
              </w:rPr>
              <w:t> </w:t>
            </w:r>
          </w:p>
        </w:tc>
        <w:tc>
          <w:tcPr>
            <w:tcW w:w="1004"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1033" w:type="dxa"/>
            <w:vAlign w:val="center"/>
          </w:tcPr>
          <w:p w:rsidR="00D10CBC" w:rsidRDefault="00BC383A">
            <w:pPr>
              <w:rPr>
                <w:b/>
                <w:noProof/>
                <w:sz w:val="20"/>
              </w:rPr>
            </w:pPr>
            <w:r>
              <w:rPr>
                <w:b/>
                <w:bCs/>
                <w:noProof/>
                <w:color w:val="000000"/>
                <w:sz w:val="20"/>
              </w:rPr>
              <w:t> </w:t>
            </w:r>
          </w:p>
        </w:tc>
        <w:tc>
          <w:tcPr>
            <w:tcW w:w="1127" w:type="dxa"/>
            <w:vAlign w:val="center"/>
          </w:tcPr>
          <w:p w:rsidR="00D10CBC" w:rsidRDefault="00BC383A">
            <w:pPr>
              <w:spacing w:before="0" w:after="0"/>
              <w:jc w:val="right"/>
              <w:rPr>
                <w:b/>
                <w:noProof/>
                <w:sz w:val="20"/>
              </w:rPr>
            </w:pPr>
            <w:r>
              <w:rPr>
                <w:b/>
                <w:bCs/>
                <w:noProof/>
                <w:color w:val="000000"/>
                <w:sz w:val="20"/>
              </w:rPr>
              <w:t> </w:t>
            </w:r>
          </w:p>
        </w:tc>
      </w:tr>
      <w:tr w:rsidR="00D10CBC">
        <w:trPr>
          <w:trHeight w:val="319"/>
        </w:trPr>
        <w:tc>
          <w:tcPr>
            <w:tcW w:w="3780" w:type="dxa"/>
            <w:gridSpan w:val="2"/>
            <w:vAlign w:val="center"/>
          </w:tcPr>
          <w:p w:rsidR="00D10CBC" w:rsidRDefault="00BC383A">
            <w:pPr>
              <w:spacing w:before="60" w:after="60"/>
              <w:rPr>
                <w:noProof/>
              </w:rPr>
            </w:pPr>
            <w:r>
              <w:rPr>
                <w:noProof/>
                <w:sz w:val="20"/>
              </w:rPr>
              <w:t xml:space="preserve">06 01 05 - </w:t>
            </w:r>
            <w:r>
              <w:rPr>
                <w:noProof/>
                <w:sz w:val="20"/>
              </w:rPr>
              <w:t>Support</w:t>
            </w:r>
          </w:p>
        </w:tc>
        <w:tc>
          <w:tcPr>
            <w:tcW w:w="1260" w:type="dxa"/>
            <w:vAlign w:val="center"/>
          </w:tcPr>
          <w:p w:rsidR="00D10CBC" w:rsidRDefault="00BC383A">
            <w:pPr>
              <w:spacing w:before="40" w:after="40"/>
              <w:jc w:val="right"/>
              <w:rPr>
                <w:noProof/>
                <w:sz w:val="18"/>
              </w:rPr>
            </w:pPr>
            <w:r>
              <w:rPr>
                <w:noProof/>
                <w:sz w:val="18"/>
              </w:rPr>
              <w:t>Commitments = Payments</w:t>
            </w:r>
          </w:p>
        </w:tc>
        <w:tc>
          <w:tcPr>
            <w:tcW w:w="540" w:type="dxa"/>
            <w:vAlign w:val="center"/>
          </w:tcPr>
          <w:p w:rsidR="00D10CBC" w:rsidRDefault="00BC383A">
            <w:pPr>
              <w:spacing w:before="40" w:after="40"/>
              <w:jc w:val="center"/>
              <w:rPr>
                <w:noProof/>
                <w:sz w:val="14"/>
              </w:rPr>
            </w:pPr>
            <w:r>
              <w:rPr>
                <w:noProof/>
                <w:sz w:val="14"/>
              </w:rPr>
              <w:t>(3)</w:t>
            </w:r>
          </w:p>
        </w:tc>
        <w:tc>
          <w:tcPr>
            <w:tcW w:w="990" w:type="dxa"/>
            <w:vAlign w:val="center"/>
          </w:tcPr>
          <w:p w:rsidR="00D10CBC" w:rsidRDefault="00D10CBC">
            <w:pPr>
              <w:spacing w:before="40" w:after="40"/>
              <w:jc w:val="right"/>
              <w:rPr>
                <w:b/>
                <w:noProof/>
                <w:sz w:val="20"/>
              </w:rPr>
            </w:pP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76" w:type="dxa"/>
            <w:vAlign w:val="center"/>
          </w:tcPr>
          <w:p w:rsidR="00D10CBC" w:rsidRDefault="00BC383A">
            <w:pPr>
              <w:spacing w:before="40" w:after="40"/>
              <w:jc w:val="center"/>
              <w:rPr>
                <w:b/>
                <w:noProof/>
                <w:sz w:val="20"/>
              </w:rPr>
            </w:pPr>
            <w:r>
              <w:rPr>
                <w:noProof/>
                <w:sz w:val="20"/>
              </w:rPr>
              <w:t>pm</w:t>
            </w:r>
          </w:p>
        </w:tc>
        <w:tc>
          <w:tcPr>
            <w:tcW w:w="1004"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1033" w:type="dxa"/>
            <w:vAlign w:val="center"/>
          </w:tcPr>
          <w:p w:rsidR="00D10CBC" w:rsidRDefault="00D10CBC">
            <w:pPr>
              <w:spacing w:before="40" w:after="40"/>
              <w:jc w:val="center"/>
              <w:rPr>
                <w:b/>
                <w:noProof/>
                <w:sz w:val="20"/>
              </w:rPr>
            </w:pPr>
          </w:p>
        </w:tc>
        <w:tc>
          <w:tcPr>
            <w:tcW w:w="1127" w:type="dxa"/>
            <w:vAlign w:val="center"/>
          </w:tcPr>
          <w:p w:rsidR="00D10CBC" w:rsidRDefault="00BC383A">
            <w:pPr>
              <w:spacing w:before="40" w:after="40"/>
              <w:jc w:val="center"/>
              <w:rPr>
                <w:b/>
                <w:noProof/>
                <w:sz w:val="20"/>
              </w:rPr>
            </w:pPr>
            <w:r>
              <w:rPr>
                <w:b/>
                <w:noProof/>
                <w:sz w:val="20"/>
              </w:rPr>
              <w:t>pm</w:t>
            </w:r>
          </w:p>
        </w:tc>
      </w:tr>
      <w:tr w:rsidR="00D10CBC">
        <w:tc>
          <w:tcPr>
            <w:tcW w:w="3780" w:type="dxa"/>
            <w:gridSpan w:val="2"/>
            <w:vMerge w:val="restart"/>
            <w:vAlign w:val="center"/>
          </w:tcPr>
          <w:p w:rsidR="00D10CBC" w:rsidRDefault="00BC383A">
            <w:pPr>
              <w:jc w:val="center"/>
              <w:rPr>
                <w:b/>
                <w:noProof/>
              </w:rPr>
            </w:pPr>
            <w:r>
              <w:rPr>
                <w:b/>
                <w:noProof/>
                <w:sz w:val="22"/>
              </w:rPr>
              <w:t>TOTAL appropriations</w:t>
            </w:r>
            <w:r>
              <w:rPr>
                <w:noProof/>
                <w:sz w:val="22"/>
              </w:rPr>
              <w:br/>
            </w:r>
            <w:r>
              <w:rPr>
                <w:b/>
                <w:noProof/>
                <w:sz w:val="22"/>
              </w:rPr>
              <w:t>from budgetary procedures for the envelope of the programme</w:t>
            </w:r>
          </w:p>
        </w:tc>
        <w:tc>
          <w:tcPr>
            <w:tcW w:w="1260"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=1+1a +3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274.883</w:t>
            </w:r>
          </w:p>
        </w:tc>
        <w:tc>
          <w:tcPr>
            <w:tcW w:w="990" w:type="dxa"/>
            <w:vAlign w:val="center"/>
          </w:tcPr>
          <w:p w:rsidR="00D10CBC" w:rsidRDefault="00BC383A">
            <w:pPr>
              <w:spacing w:before="20" w:after="20"/>
              <w:jc w:val="right"/>
              <w:rPr>
                <w:noProof/>
                <w:sz w:val="20"/>
              </w:rPr>
            </w:pPr>
            <w:r>
              <w:rPr>
                <w:noProof/>
                <w:color w:val="000000"/>
                <w:sz w:val="20"/>
                <w:szCs w:val="20"/>
              </w:rPr>
              <w:t>243.145</w:t>
            </w:r>
          </w:p>
        </w:tc>
        <w:tc>
          <w:tcPr>
            <w:tcW w:w="976" w:type="dxa"/>
            <w:vAlign w:val="center"/>
          </w:tcPr>
          <w:p w:rsidR="00D10CBC" w:rsidRDefault="00BC383A">
            <w:pPr>
              <w:spacing w:before="20" w:after="20"/>
              <w:jc w:val="right"/>
              <w:rPr>
                <w:noProof/>
                <w:sz w:val="20"/>
              </w:rPr>
            </w:pPr>
            <w:r>
              <w:rPr>
                <w:noProof/>
                <w:color w:val="000000"/>
                <w:sz w:val="20"/>
                <w:szCs w:val="20"/>
              </w:rPr>
              <w:t>474.048</w:t>
            </w:r>
          </w:p>
        </w:tc>
        <w:tc>
          <w:tcPr>
            <w:tcW w:w="1004" w:type="dxa"/>
            <w:vAlign w:val="center"/>
          </w:tcPr>
          <w:p w:rsidR="00D10CBC" w:rsidRDefault="00BC383A">
            <w:pPr>
              <w:spacing w:before="20" w:after="20"/>
              <w:jc w:val="right"/>
              <w:rPr>
                <w:noProof/>
                <w:sz w:val="20"/>
              </w:rPr>
            </w:pPr>
            <w:r>
              <w:rPr>
                <w:noProof/>
                <w:color w:val="000000"/>
                <w:sz w:val="20"/>
                <w:szCs w:val="20"/>
              </w:rPr>
              <w:t>484.140</w:t>
            </w:r>
          </w:p>
        </w:tc>
        <w:tc>
          <w:tcPr>
            <w:tcW w:w="990" w:type="dxa"/>
            <w:vAlign w:val="center"/>
          </w:tcPr>
          <w:p w:rsidR="00D10CBC" w:rsidRDefault="00BC383A">
            <w:pPr>
              <w:spacing w:before="20" w:after="20"/>
              <w:jc w:val="right"/>
              <w:rPr>
                <w:noProof/>
                <w:sz w:val="20"/>
              </w:rPr>
            </w:pPr>
            <w:r>
              <w:rPr>
                <w:noProof/>
                <w:color w:val="000000"/>
                <w:sz w:val="20"/>
                <w:szCs w:val="20"/>
              </w:rPr>
              <w:t>492.488</w:t>
            </w:r>
          </w:p>
        </w:tc>
        <w:tc>
          <w:tcPr>
            <w:tcW w:w="990" w:type="dxa"/>
            <w:vAlign w:val="center"/>
          </w:tcPr>
          <w:p w:rsidR="00D10CBC" w:rsidRDefault="00BC383A">
            <w:pPr>
              <w:spacing w:before="20" w:after="20"/>
              <w:jc w:val="right"/>
              <w:rPr>
                <w:b/>
                <w:noProof/>
                <w:sz w:val="20"/>
              </w:rPr>
            </w:pPr>
            <w:r>
              <w:rPr>
                <w:noProof/>
                <w:color w:val="000000"/>
                <w:sz w:val="20"/>
                <w:szCs w:val="20"/>
              </w:rPr>
              <w:t>826.514</w:t>
            </w:r>
          </w:p>
        </w:tc>
        <w:tc>
          <w:tcPr>
            <w:tcW w:w="1033" w:type="dxa"/>
            <w:vAlign w:val="center"/>
          </w:tcPr>
          <w:p w:rsidR="00D10CBC" w:rsidRDefault="00BC383A">
            <w:pPr>
              <w:spacing w:before="20" w:after="20"/>
              <w:jc w:val="right"/>
              <w:rPr>
                <w:b/>
                <w:noProof/>
                <w:sz w:val="20"/>
              </w:rPr>
            </w:pPr>
            <w:r>
              <w:rPr>
                <w:noProof/>
                <w:color w:val="000000"/>
                <w:sz w:val="20"/>
                <w:szCs w:val="20"/>
              </w:rPr>
              <w:t>0.000</w:t>
            </w:r>
          </w:p>
        </w:tc>
        <w:tc>
          <w:tcPr>
            <w:tcW w:w="1127" w:type="dxa"/>
            <w:vAlign w:val="center"/>
          </w:tcPr>
          <w:p w:rsidR="00D10CBC" w:rsidRDefault="00BC383A">
            <w:pPr>
              <w:spacing w:before="20" w:after="20"/>
              <w:jc w:val="right"/>
              <w:rPr>
                <w:b/>
                <w:noProof/>
                <w:sz w:val="20"/>
              </w:rPr>
            </w:pPr>
            <w:r>
              <w:rPr>
                <w:b/>
                <w:bCs/>
                <w:noProof/>
                <w:color w:val="000000"/>
                <w:sz w:val="20"/>
                <w:szCs w:val="20"/>
              </w:rPr>
              <w:t>2 795.218</w:t>
            </w:r>
          </w:p>
        </w:tc>
      </w:tr>
      <w:tr w:rsidR="00D10CBC">
        <w:tc>
          <w:tcPr>
            <w:tcW w:w="3780" w:type="dxa"/>
            <w:gridSpan w:val="2"/>
            <w:vMerge/>
          </w:tcPr>
          <w:p w:rsidR="00D10CBC" w:rsidRDefault="00D10CBC">
            <w:pPr>
              <w:rPr>
                <w:noProof/>
                <w:sz w:val="20"/>
              </w:rPr>
            </w:pPr>
          </w:p>
        </w:tc>
        <w:tc>
          <w:tcPr>
            <w:tcW w:w="1260" w:type="dxa"/>
            <w:vAlign w:val="center"/>
          </w:tcPr>
          <w:p w:rsidR="00D10CBC" w:rsidRDefault="00BC383A">
            <w:pPr>
              <w:rPr>
                <w:noProof/>
                <w:sz w:val="18"/>
              </w:rPr>
            </w:pPr>
            <w:r>
              <w:rPr>
                <w:noProof/>
                <w:sz w:val="18"/>
              </w:rPr>
              <w:t>Payments</w:t>
            </w:r>
          </w:p>
        </w:tc>
        <w:tc>
          <w:tcPr>
            <w:tcW w:w="540" w:type="dxa"/>
            <w:vAlign w:val="center"/>
          </w:tcPr>
          <w:p w:rsidR="00D10CBC" w:rsidRDefault="00BC383A">
            <w:pPr>
              <w:jc w:val="center"/>
              <w:rPr>
                <w:noProof/>
                <w:sz w:val="14"/>
              </w:rPr>
            </w:pPr>
            <w:r>
              <w:rPr>
                <w:noProof/>
                <w:sz w:val="14"/>
              </w:rPr>
              <w:t>=2+2a</w:t>
            </w:r>
          </w:p>
          <w:p w:rsidR="00D10CBC" w:rsidRDefault="00BC383A">
            <w:pPr>
              <w:jc w:val="center"/>
              <w:rPr>
                <w:noProof/>
                <w:sz w:val="14"/>
              </w:rPr>
            </w:pPr>
            <w:r>
              <w:rPr>
                <w:noProof/>
                <w:sz w:val="14"/>
              </w:rPr>
              <w:t>+3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82.465</w:t>
            </w:r>
          </w:p>
        </w:tc>
        <w:tc>
          <w:tcPr>
            <w:tcW w:w="990" w:type="dxa"/>
            <w:vAlign w:val="center"/>
          </w:tcPr>
          <w:p w:rsidR="00D10CBC" w:rsidRDefault="00BC383A">
            <w:pPr>
              <w:spacing w:before="20" w:after="20"/>
              <w:jc w:val="right"/>
              <w:rPr>
                <w:noProof/>
                <w:sz w:val="20"/>
              </w:rPr>
            </w:pPr>
            <w:r>
              <w:rPr>
                <w:noProof/>
                <w:color w:val="000000"/>
                <w:sz w:val="20"/>
                <w:szCs w:val="20"/>
              </w:rPr>
              <w:t>155.409</w:t>
            </w:r>
          </w:p>
        </w:tc>
        <w:tc>
          <w:tcPr>
            <w:tcW w:w="976" w:type="dxa"/>
            <w:vAlign w:val="center"/>
          </w:tcPr>
          <w:p w:rsidR="00D10CBC" w:rsidRDefault="00BC383A">
            <w:pPr>
              <w:spacing w:before="20" w:after="20"/>
              <w:jc w:val="right"/>
              <w:rPr>
                <w:noProof/>
                <w:sz w:val="20"/>
              </w:rPr>
            </w:pPr>
            <w:r>
              <w:rPr>
                <w:noProof/>
                <w:color w:val="000000"/>
                <w:sz w:val="20"/>
                <w:szCs w:val="20"/>
              </w:rPr>
              <w:t>325.111</w:t>
            </w:r>
          </w:p>
        </w:tc>
        <w:tc>
          <w:tcPr>
            <w:tcW w:w="1004" w:type="dxa"/>
            <w:vAlign w:val="center"/>
          </w:tcPr>
          <w:p w:rsidR="00D10CBC" w:rsidRDefault="00BC383A">
            <w:pPr>
              <w:spacing w:before="20" w:after="20"/>
              <w:jc w:val="right"/>
              <w:rPr>
                <w:noProof/>
                <w:sz w:val="20"/>
              </w:rPr>
            </w:pPr>
            <w:r>
              <w:rPr>
                <w:noProof/>
                <w:color w:val="000000"/>
                <w:sz w:val="20"/>
                <w:szCs w:val="20"/>
              </w:rPr>
              <w:t>384.714</w:t>
            </w:r>
          </w:p>
        </w:tc>
        <w:tc>
          <w:tcPr>
            <w:tcW w:w="990" w:type="dxa"/>
            <w:vAlign w:val="center"/>
          </w:tcPr>
          <w:p w:rsidR="00D10CBC" w:rsidRDefault="00BC383A">
            <w:pPr>
              <w:spacing w:before="20" w:after="20"/>
              <w:jc w:val="right"/>
              <w:rPr>
                <w:noProof/>
                <w:sz w:val="20"/>
              </w:rPr>
            </w:pPr>
            <w:r>
              <w:rPr>
                <w:noProof/>
                <w:color w:val="000000"/>
                <w:sz w:val="20"/>
                <w:szCs w:val="20"/>
              </w:rPr>
              <w:t>482.608</w:t>
            </w:r>
          </w:p>
        </w:tc>
        <w:tc>
          <w:tcPr>
            <w:tcW w:w="990" w:type="dxa"/>
            <w:vAlign w:val="center"/>
          </w:tcPr>
          <w:p w:rsidR="00D10CBC" w:rsidRDefault="00BC383A">
            <w:pPr>
              <w:spacing w:before="20" w:after="20"/>
              <w:jc w:val="right"/>
              <w:rPr>
                <w:b/>
                <w:noProof/>
                <w:sz w:val="20"/>
              </w:rPr>
            </w:pPr>
            <w:r>
              <w:rPr>
                <w:noProof/>
                <w:color w:val="000000"/>
                <w:sz w:val="20"/>
                <w:szCs w:val="20"/>
              </w:rPr>
              <w:t>589.357</w:t>
            </w:r>
          </w:p>
        </w:tc>
        <w:tc>
          <w:tcPr>
            <w:tcW w:w="1033" w:type="dxa"/>
            <w:vAlign w:val="center"/>
          </w:tcPr>
          <w:p w:rsidR="00D10CBC" w:rsidRDefault="00BC383A">
            <w:pPr>
              <w:spacing w:before="20" w:after="20"/>
              <w:jc w:val="right"/>
              <w:rPr>
                <w:b/>
                <w:noProof/>
                <w:sz w:val="20"/>
              </w:rPr>
            </w:pPr>
            <w:r>
              <w:rPr>
                <w:noProof/>
                <w:color w:val="000000"/>
                <w:sz w:val="20"/>
                <w:szCs w:val="20"/>
              </w:rPr>
              <w:t>775.555</w:t>
            </w:r>
          </w:p>
        </w:tc>
        <w:tc>
          <w:tcPr>
            <w:tcW w:w="1127" w:type="dxa"/>
            <w:vAlign w:val="center"/>
          </w:tcPr>
          <w:p w:rsidR="00D10CBC" w:rsidRDefault="00BC383A">
            <w:pPr>
              <w:spacing w:before="20" w:after="20"/>
              <w:jc w:val="right"/>
              <w:rPr>
                <w:b/>
                <w:noProof/>
                <w:sz w:val="20"/>
              </w:rPr>
            </w:pPr>
            <w:r>
              <w:rPr>
                <w:b/>
                <w:bCs/>
                <w:noProof/>
                <w:color w:val="000000"/>
                <w:sz w:val="20"/>
                <w:szCs w:val="20"/>
              </w:rPr>
              <w:t>2 795.218</w:t>
            </w:r>
          </w:p>
        </w:tc>
      </w:tr>
    </w:tbl>
    <w:p w:rsidR="00D10CBC" w:rsidRDefault="00D10CBC">
      <w:pPr>
        <w:jc w:val="right"/>
        <w:rPr>
          <w:noProof/>
        </w:rPr>
      </w:pPr>
    </w:p>
    <w:p w:rsidR="00D10CBC" w:rsidRDefault="00D10CBC">
      <w:pPr>
        <w:jc w:val="right"/>
        <w:rPr>
          <w:i/>
          <w:noProof/>
        </w:rPr>
      </w:pPr>
    </w:p>
    <w:p w:rsidR="00D10CBC" w:rsidRDefault="00D10CBC">
      <w:pPr>
        <w:jc w:val="right"/>
        <w:rPr>
          <w:i/>
          <w:noProof/>
        </w:rPr>
      </w:pPr>
    </w:p>
    <w:p w:rsidR="00D10CBC" w:rsidRDefault="00D10CBC">
      <w:pPr>
        <w:jc w:val="right"/>
        <w:rPr>
          <w:i/>
          <w:noProof/>
        </w:rPr>
      </w:pPr>
    </w:p>
    <w:p w:rsidR="00D10CBC" w:rsidRDefault="00D10CBC">
      <w:pPr>
        <w:jc w:val="right"/>
        <w:rPr>
          <w:i/>
          <w:noProof/>
        </w:rPr>
      </w:pPr>
    </w:p>
    <w:p w:rsidR="00D10CBC" w:rsidRDefault="00D10CBC">
      <w:pPr>
        <w:jc w:val="right"/>
        <w:rPr>
          <w:i/>
          <w:noProof/>
        </w:rPr>
      </w:pPr>
    </w:p>
    <w:p w:rsidR="00D10CBC" w:rsidRDefault="00BC383A">
      <w:pPr>
        <w:jc w:val="right"/>
        <w:rPr>
          <w:i/>
          <w:noProof/>
        </w:rPr>
      </w:pPr>
      <w:r>
        <w:rPr>
          <w:i/>
          <w:noProof/>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10CBC">
        <w:trPr>
          <w:jc w:val="center"/>
        </w:trPr>
        <w:tc>
          <w:tcPr>
            <w:tcW w:w="4744" w:type="dxa"/>
            <w:shd w:val="thinDiagStripe" w:color="C0C0C0" w:fill="auto"/>
            <w:vAlign w:val="center"/>
          </w:tcPr>
          <w:p w:rsidR="00D10CBC" w:rsidRDefault="00BC383A">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D10CBC" w:rsidRDefault="00BC383A">
            <w:pPr>
              <w:spacing w:before="60" w:after="60"/>
              <w:jc w:val="center"/>
              <w:rPr>
                <w:b/>
                <w:noProof/>
                <w:sz w:val="22"/>
              </w:rPr>
            </w:pPr>
            <w:r>
              <w:rPr>
                <w:b/>
                <w:noProof/>
                <w:sz w:val="22"/>
              </w:rPr>
              <w:t>2b</w:t>
            </w:r>
          </w:p>
        </w:tc>
        <w:tc>
          <w:tcPr>
            <w:tcW w:w="7817" w:type="dxa"/>
            <w:vAlign w:val="center"/>
          </w:tcPr>
          <w:p w:rsidR="00D10CBC" w:rsidRDefault="00BC383A">
            <w:pPr>
              <w:spacing w:before="60" w:after="60"/>
              <w:rPr>
                <w:b/>
                <w:noProof/>
                <w:sz w:val="22"/>
              </w:rPr>
            </w:pPr>
            <w:r>
              <w:rPr>
                <w:b/>
                <w:noProof/>
                <w:sz w:val="22"/>
              </w:rPr>
              <w:t>Resilience and Values</w:t>
            </w:r>
          </w:p>
        </w:tc>
      </w:tr>
    </w:tbl>
    <w:p w:rsidR="00D10CBC" w:rsidRDefault="00D10CBC">
      <w:pPr>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0"/>
        <w:gridCol w:w="60"/>
        <w:gridCol w:w="1260"/>
        <w:gridCol w:w="540"/>
        <w:gridCol w:w="990"/>
        <w:gridCol w:w="990"/>
        <w:gridCol w:w="990"/>
        <w:gridCol w:w="976"/>
        <w:gridCol w:w="1004"/>
        <w:gridCol w:w="990"/>
        <w:gridCol w:w="990"/>
        <w:gridCol w:w="1033"/>
        <w:gridCol w:w="1127"/>
      </w:tblGrid>
      <w:tr w:rsidR="00D10CBC">
        <w:tc>
          <w:tcPr>
            <w:tcW w:w="3780" w:type="dxa"/>
            <w:gridSpan w:val="2"/>
            <w:vAlign w:val="center"/>
          </w:tcPr>
          <w:p w:rsidR="00D10CBC" w:rsidRDefault="00BC383A">
            <w:pPr>
              <w:jc w:val="center"/>
              <w:rPr>
                <w:noProof/>
              </w:rPr>
            </w:pPr>
            <w:r>
              <w:rPr>
                <w:noProof/>
                <w:sz w:val="22"/>
              </w:rPr>
              <w:t>DG: ECHO</w:t>
            </w:r>
          </w:p>
        </w:tc>
        <w:tc>
          <w:tcPr>
            <w:tcW w:w="1260" w:type="dxa"/>
          </w:tcPr>
          <w:p w:rsidR="00D10CBC" w:rsidRDefault="00D10CBC">
            <w:pPr>
              <w:rPr>
                <w:noProof/>
                <w:sz w:val="20"/>
              </w:rPr>
            </w:pPr>
          </w:p>
        </w:tc>
        <w:tc>
          <w:tcPr>
            <w:tcW w:w="540" w:type="dxa"/>
          </w:tcPr>
          <w:p w:rsidR="00D10CBC" w:rsidRDefault="00D10CBC">
            <w:pPr>
              <w:jc w:val="center"/>
              <w:rPr>
                <w:noProof/>
                <w:sz w:val="20"/>
              </w:rPr>
            </w:pPr>
          </w:p>
        </w:tc>
        <w:tc>
          <w:tcPr>
            <w:tcW w:w="990" w:type="dxa"/>
            <w:vAlign w:val="center"/>
          </w:tcPr>
          <w:p w:rsidR="00D10CBC" w:rsidRDefault="00BC383A">
            <w:pPr>
              <w:jc w:val="center"/>
              <w:rPr>
                <w:noProof/>
                <w:sz w:val="20"/>
              </w:rPr>
            </w:pPr>
            <w:r>
              <w:rPr>
                <w:b/>
                <w:noProof/>
                <w:sz w:val="20"/>
              </w:rPr>
              <w:t>2021</w:t>
            </w:r>
          </w:p>
        </w:tc>
        <w:tc>
          <w:tcPr>
            <w:tcW w:w="990" w:type="dxa"/>
            <w:vAlign w:val="center"/>
          </w:tcPr>
          <w:p w:rsidR="00D10CBC" w:rsidRDefault="00BC383A">
            <w:pPr>
              <w:jc w:val="center"/>
              <w:rPr>
                <w:noProof/>
                <w:sz w:val="20"/>
              </w:rPr>
            </w:pPr>
            <w:r>
              <w:rPr>
                <w:b/>
                <w:noProof/>
                <w:sz w:val="20"/>
              </w:rPr>
              <w:t>2022</w:t>
            </w:r>
          </w:p>
        </w:tc>
        <w:tc>
          <w:tcPr>
            <w:tcW w:w="990" w:type="dxa"/>
            <w:vAlign w:val="center"/>
          </w:tcPr>
          <w:p w:rsidR="00D10CBC" w:rsidRDefault="00BC383A">
            <w:pPr>
              <w:jc w:val="center"/>
              <w:rPr>
                <w:noProof/>
                <w:sz w:val="20"/>
              </w:rPr>
            </w:pPr>
            <w:r>
              <w:rPr>
                <w:b/>
                <w:noProof/>
                <w:sz w:val="20"/>
              </w:rPr>
              <w:t>2023</w:t>
            </w:r>
          </w:p>
        </w:tc>
        <w:tc>
          <w:tcPr>
            <w:tcW w:w="976" w:type="dxa"/>
            <w:vAlign w:val="center"/>
          </w:tcPr>
          <w:p w:rsidR="00D10CBC" w:rsidRDefault="00BC383A">
            <w:pPr>
              <w:jc w:val="center"/>
              <w:rPr>
                <w:noProof/>
                <w:sz w:val="20"/>
              </w:rPr>
            </w:pPr>
            <w:r>
              <w:rPr>
                <w:b/>
                <w:noProof/>
                <w:sz w:val="20"/>
              </w:rPr>
              <w:t>2024</w:t>
            </w:r>
          </w:p>
        </w:tc>
        <w:tc>
          <w:tcPr>
            <w:tcW w:w="1004" w:type="dxa"/>
            <w:vAlign w:val="center"/>
          </w:tcPr>
          <w:p w:rsidR="00D10CBC" w:rsidRDefault="00BC383A">
            <w:pPr>
              <w:jc w:val="center"/>
              <w:rPr>
                <w:b/>
                <w:noProof/>
                <w:sz w:val="18"/>
              </w:rPr>
            </w:pPr>
            <w:r>
              <w:rPr>
                <w:b/>
                <w:noProof/>
                <w:sz w:val="18"/>
              </w:rPr>
              <w:t>2025</w:t>
            </w:r>
          </w:p>
        </w:tc>
        <w:tc>
          <w:tcPr>
            <w:tcW w:w="990" w:type="dxa"/>
            <w:vAlign w:val="center"/>
          </w:tcPr>
          <w:p w:rsidR="00D10CBC" w:rsidRDefault="00BC383A">
            <w:pPr>
              <w:jc w:val="center"/>
              <w:rPr>
                <w:b/>
                <w:noProof/>
                <w:sz w:val="18"/>
              </w:rPr>
            </w:pPr>
            <w:r>
              <w:rPr>
                <w:b/>
                <w:noProof/>
                <w:sz w:val="18"/>
              </w:rPr>
              <w:t>2026</w:t>
            </w:r>
          </w:p>
        </w:tc>
        <w:tc>
          <w:tcPr>
            <w:tcW w:w="990" w:type="dxa"/>
            <w:vAlign w:val="center"/>
          </w:tcPr>
          <w:p w:rsidR="00D10CBC" w:rsidRDefault="00BC383A">
            <w:pPr>
              <w:jc w:val="center"/>
              <w:rPr>
                <w:b/>
                <w:noProof/>
                <w:sz w:val="18"/>
              </w:rPr>
            </w:pPr>
            <w:r>
              <w:rPr>
                <w:b/>
                <w:noProof/>
                <w:sz w:val="18"/>
              </w:rPr>
              <w:t>2027</w:t>
            </w:r>
          </w:p>
        </w:tc>
        <w:tc>
          <w:tcPr>
            <w:tcW w:w="1033" w:type="dxa"/>
          </w:tcPr>
          <w:p w:rsidR="00D10CBC" w:rsidRDefault="00BC383A">
            <w:pPr>
              <w:jc w:val="center"/>
              <w:rPr>
                <w:b/>
                <w:noProof/>
                <w:sz w:val="20"/>
              </w:rPr>
            </w:pPr>
            <w:r>
              <w:rPr>
                <w:b/>
                <w:i/>
                <w:noProof/>
                <w:sz w:val="20"/>
              </w:rPr>
              <w:t>Post 2027</w:t>
            </w:r>
          </w:p>
        </w:tc>
        <w:tc>
          <w:tcPr>
            <w:tcW w:w="1127" w:type="dxa"/>
            <w:vAlign w:val="center"/>
          </w:tcPr>
          <w:p w:rsidR="00D10CBC" w:rsidRDefault="00BC383A">
            <w:pPr>
              <w:jc w:val="center"/>
              <w:rPr>
                <w:b/>
                <w:noProof/>
                <w:sz w:val="20"/>
              </w:rPr>
            </w:pPr>
            <w:r>
              <w:rPr>
                <w:b/>
                <w:noProof/>
                <w:sz w:val="20"/>
              </w:rPr>
              <w:t>TOTAL</w:t>
            </w:r>
          </w:p>
        </w:tc>
      </w:tr>
      <w:tr w:rsidR="00D10CBC">
        <w:trPr>
          <w:trHeight w:val="213"/>
        </w:trPr>
        <w:tc>
          <w:tcPr>
            <w:tcW w:w="5580" w:type="dxa"/>
            <w:gridSpan w:val="4"/>
            <w:vAlign w:val="center"/>
          </w:tcPr>
          <w:p w:rsidR="00D10CBC" w:rsidRDefault="00BC383A">
            <w:pPr>
              <w:spacing w:before="20" w:after="20"/>
              <w:rPr>
                <w:noProof/>
                <w:sz w:val="21"/>
              </w:rPr>
            </w:pPr>
            <w:r>
              <w:rPr>
                <w:noProof/>
                <w:sz w:val="21"/>
              </w:rPr>
              <w:sym w:font="Wingdings" w:char="F09F"/>
            </w:r>
            <w:r>
              <w:rPr>
                <w:noProof/>
                <w:sz w:val="21"/>
              </w:rPr>
              <w:t xml:space="preserve"> Operational appropriations (NGEU credits)</w:t>
            </w: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76" w:type="dxa"/>
            <w:vAlign w:val="center"/>
          </w:tcPr>
          <w:p w:rsidR="00D10CBC" w:rsidRDefault="00D10CBC">
            <w:pPr>
              <w:rPr>
                <w:noProof/>
                <w:sz w:val="20"/>
              </w:rPr>
            </w:pPr>
          </w:p>
        </w:tc>
        <w:tc>
          <w:tcPr>
            <w:tcW w:w="1004"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b/>
                <w:noProof/>
                <w:sz w:val="20"/>
              </w:rPr>
            </w:pPr>
          </w:p>
        </w:tc>
        <w:tc>
          <w:tcPr>
            <w:tcW w:w="1033" w:type="dxa"/>
          </w:tcPr>
          <w:p w:rsidR="00D10CBC" w:rsidRDefault="00D10CBC">
            <w:pPr>
              <w:rPr>
                <w:b/>
                <w:noProof/>
                <w:sz w:val="20"/>
              </w:rPr>
            </w:pPr>
          </w:p>
        </w:tc>
        <w:tc>
          <w:tcPr>
            <w:tcW w:w="1127" w:type="dxa"/>
            <w:vAlign w:val="center"/>
          </w:tcPr>
          <w:p w:rsidR="00D10CBC" w:rsidRDefault="00D10CBC">
            <w:pPr>
              <w:rPr>
                <w:b/>
                <w:noProof/>
                <w:sz w:val="20"/>
              </w:rPr>
            </w:pPr>
          </w:p>
        </w:tc>
      </w:tr>
      <w:tr w:rsidR="00D10CBC">
        <w:trPr>
          <w:trHeight w:val="277"/>
        </w:trPr>
        <w:tc>
          <w:tcPr>
            <w:tcW w:w="3780" w:type="dxa"/>
            <w:gridSpan w:val="2"/>
            <w:vMerge w:val="restart"/>
            <w:vAlign w:val="center"/>
          </w:tcPr>
          <w:p w:rsidR="00D10CBC" w:rsidRDefault="00BC383A">
            <w:pPr>
              <w:rPr>
                <w:noProof/>
              </w:rPr>
            </w:pPr>
            <w:r>
              <w:rPr>
                <w:noProof/>
                <w:sz w:val="20"/>
              </w:rPr>
              <w:t>06 05 01 – UCPM/RescEU</w:t>
            </w:r>
            <w:r>
              <w:rPr>
                <w:rStyle w:val="FootnoteReference"/>
                <w:noProof/>
                <w:sz w:val="20"/>
              </w:rPr>
              <w:footnoteReference w:id="39"/>
            </w:r>
          </w:p>
        </w:tc>
        <w:tc>
          <w:tcPr>
            <w:tcW w:w="1260" w:type="dxa"/>
            <w:vAlign w:val="center"/>
          </w:tcPr>
          <w:p w:rsidR="00D10CBC" w:rsidRDefault="00BC383A">
            <w:pPr>
              <w:spacing w:before="20" w:after="20"/>
              <w:rPr>
                <w:noProof/>
                <w:sz w:val="18"/>
              </w:rPr>
            </w:pPr>
            <w:r>
              <w:rPr>
                <w:noProof/>
                <w:sz w:val="18"/>
              </w:rPr>
              <w:t>Commitments</w:t>
            </w:r>
          </w:p>
        </w:tc>
        <w:tc>
          <w:tcPr>
            <w:tcW w:w="540" w:type="dxa"/>
            <w:vAlign w:val="center"/>
          </w:tcPr>
          <w:p w:rsidR="00D10CBC" w:rsidRDefault="00BC383A">
            <w:pPr>
              <w:spacing w:before="20" w:after="20"/>
              <w:jc w:val="center"/>
              <w:rPr>
                <w:noProof/>
                <w:sz w:val="14"/>
              </w:rPr>
            </w:pPr>
            <w:r>
              <w:rPr>
                <w:noProof/>
                <w:sz w:val="14"/>
              </w:rPr>
              <w:t>(1)</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630.000</w:t>
            </w:r>
          </w:p>
        </w:tc>
        <w:tc>
          <w:tcPr>
            <w:tcW w:w="990" w:type="dxa"/>
            <w:vAlign w:val="center"/>
          </w:tcPr>
          <w:p w:rsidR="00D10CBC" w:rsidRDefault="00BC383A">
            <w:pPr>
              <w:spacing w:before="20" w:after="20"/>
              <w:jc w:val="right"/>
              <w:rPr>
                <w:noProof/>
                <w:sz w:val="20"/>
              </w:rPr>
            </w:pPr>
            <w:r>
              <w:rPr>
                <w:noProof/>
                <w:color w:val="000000"/>
                <w:sz w:val="20"/>
                <w:szCs w:val="20"/>
              </w:rPr>
              <w:t>636.000</w:t>
            </w:r>
          </w:p>
        </w:tc>
        <w:tc>
          <w:tcPr>
            <w:tcW w:w="976" w:type="dxa"/>
            <w:vAlign w:val="center"/>
          </w:tcPr>
          <w:p w:rsidR="00D10CBC" w:rsidRDefault="00BC383A">
            <w:pPr>
              <w:spacing w:before="20" w:after="20"/>
              <w:jc w:val="right"/>
              <w:rPr>
                <w:noProof/>
                <w:sz w:val="20"/>
              </w:rPr>
            </w:pPr>
            <w:r>
              <w:rPr>
                <w:noProof/>
                <w:sz w:val="20"/>
              </w:rPr>
              <w:t>pm</w:t>
            </w:r>
          </w:p>
        </w:tc>
        <w:tc>
          <w:tcPr>
            <w:tcW w:w="1004" w:type="dxa"/>
            <w:vAlign w:val="center"/>
          </w:tcPr>
          <w:p w:rsidR="00D10CBC" w:rsidRDefault="00BC383A">
            <w:pPr>
              <w:spacing w:before="20" w:after="20"/>
              <w:jc w:val="right"/>
              <w:rPr>
                <w:noProof/>
                <w:sz w:val="20"/>
              </w:rPr>
            </w:pPr>
            <w:r>
              <w:rPr>
                <w:noProof/>
                <w:sz w:val="20"/>
              </w:rPr>
              <w:t>pm</w:t>
            </w:r>
          </w:p>
        </w:tc>
        <w:tc>
          <w:tcPr>
            <w:tcW w:w="990" w:type="dxa"/>
            <w:vAlign w:val="center"/>
          </w:tcPr>
          <w:p w:rsidR="00D10CBC" w:rsidRDefault="00BC383A">
            <w:pPr>
              <w:spacing w:before="20" w:after="20"/>
              <w:jc w:val="right"/>
              <w:rPr>
                <w:noProof/>
                <w:sz w:val="20"/>
              </w:rPr>
            </w:pPr>
            <w:r>
              <w:rPr>
                <w:noProof/>
                <w:sz w:val="20"/>
              </w:rPr>
              <w:t>pm</w:t>
            </w:r>
          </w:p>
        </w:tc>
        <w:tc>
          <w:tcPr>
            <w:tcW w:w="990" w:type="dxa"/>
            <w:vAlign w:val="center"/>
          </w:tcPr>
          <w:p w:rsidR="00D10CBC" w:rsidRDefault="00BC383A">
            <w:pPr>
              <w:spacing w:before="20" w:after="20"/>
              <w:jc w:val="right"/>
              <w:rPr>
                <w:noProof/>
                <w:sz w:val="20"/>
              </w:rPr>
            </w:pPr>
            <w:r>
              <w:rPr>
                <w:noProof/>
                <w:sz w:val="20"/>
              </w:rPr>
              <w:t>pm</w:t>
            </w:r>
          </w:p>
        </w:tc>
        <w:tc>
          <w:tcPr>
            <w:tcW w:w="1033"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0" w:after="0"/>
              <w:jc w:val="right"/>
              <w:rPr>
                <w:b/>
                <w:bCs/>
                <w:noProof/>
                <w:color w:val="000000"/>
                <w:sz w:val="20"/>
                <w:szCs w:val="20"/>
              </w:rPr>
            </w:pPr>
            <w:r>
              <w:rPr>
                <w:b/>
                <w:bCs/>
                <w:noProof/>
                <w:color w:val="000000"/>
                <w:sz w:val="20"/>
                <w:szCs w:val="20"/>
              </w:rPr>
              <w:t>1 266.000</w:t>
            </w:r>
          </w:p>
        </w:tc>
      </w:tr>
      <w:tr w:rsidR="00D10CBC">
        <w:tc>
          <w:tcPr>
            <w:tcW w:w="3780" w:type="dxa"/>
            <w:gridSpan w:val="2"/>
            <w:vMerge/>
          </w:tcPr>
          <w:p w:rsidR="00D10CBC" w:rsidRDefault="00D10CBC">
            <w:pPr>
              <w:jc w:val="center"/>
              <w:rPr>
                <w:noProof/>
                <w:sz w:val="20"/>
              </w:rPr>
            </w:pPr>
          </w:p>
        </w:tc>
        <w:tc>
          <w:tcPr>
            <w:tcW w:w="1260" w:type="dxa"/>
            <w:vAlign w:val="center"/>
          </w:tcPr>
          <w:p w:rsidR="00D10CBC" w:rsidRDefault="00BC383A">
            <w:pPr>
              <w:spacing w:before="20" w:after="20"/>
              <w:rPr>
                <w:noProof/>
                <w:sz w:val="18"/>
              </w:rPr>
            </w:pPr>
            <w:r>
              <w:rPr>
                <w:noProof/>
                <w:sz w:val="18"/>
              </w:rPr>
              <w:t>Payments</w:t>
            </w:r>
          </w:p>
        </w:tc>
        <w:tc>
          <w:tcPr>
            <w:tcW w:w="540" w:type="dxa"/>
            <w:vAlign w:val="center"/>
          </w:tcPr>
          <w:p w:rsidR="00D10CBC" w:rsidRDefault="00BC383A">
            <w:pPr>
              <w:spacing w:before="20" w:after="20"/>
              <w:jc w:val="center"/>
              <w:rPr>
                <w:noProof/>
                <w:sz w:val="14"/>
              </w:rPr>
            </w:pPr>
            <w:r>
              <w:rPr>
                <w:noProof/>
                <w:sz w:val="14"/>
              </w:rPr>
              <w:t>(2)</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189.000</w:t>
            </w:r>
          </w:p>
        </w:tc>
        <w:tc>
          <w:tcPr>
            <w:tcW w:w="990" w:type="dxa"/>
            <w:vAlign w:val="center"/>
          </w:tcPr>
          <w:p w:rsidR="00D10CBC" w:rsidRDefault="00BC383A">
            <w:pPr>
              <w:spacing w:before="20" w:after="20"/>
              <w:jc w:val="right"/>
              <w:rPr>
                <w:noProof/>
                <w:sz w:val="20"/>
              </w:rPr>
            </w:pPr>
            <w:r>
              <w:rPr>
                <w:noProof/>
                <w:color w:val="000000"/>
                <w:sz w:val="20"/>
                <w:szCs w:val="20"/>
              </w:rPr>
              <w:t>379.800</w:t>
            </w:r>
          </w:p>
        </w:tc>
        <w:tc>
          <w:tcPr>
            <w:tcW w:w="976" w:type="dxa"/>
            <w:vAlign w:val="center"/>
          </w:tcPr>
          <w:p w:rsidR="00D10CBC" w:rsidRDefault="00BC383A">
            <w:pPr>
              <w:spacing w:before="20" w:after="20"/>
              <w:jc w:val="right"/>
              <w:rPr>
                <w:noProof/>
                <w:sz w:val="20"/>
              </w:rPr>
            </w:pPr>
            <w:r>
              <w:rPr>
                <w:noProof/>
                <w:color w:val="000000"/>
                <w:sz w:val="20"/>
                <w:szCs w:val="20"/>
              </w:rPr>
              <w:t>442.800</w:t>
            </w:r>
          </w:p>
        </w:tc>
        <w:tc>
          <w:tcPr>
            <w:tcW w:w="1004" w:type="dxa"/>
            <w:vAlign w:val="center"/>
          </w:tcPr>
          <w:p w:rsidR="00D10CBC" w:rsidRDefault="00BC383A">
            <w:pPr>
              <w:spacing w:before="20" w:after="20"/>
              <w:jc w:val="right"/>
              <w:rPr>
                <w:noProof/>
                <w:sz w:val="20"/>
              </w:rPr>
            </w:pPr>
            <w:r>
              <w:rPr>
                <w:noProof/>
                <w:color w:val="000000"/>
                <w:sz w:val="20"/>
                <w:szCs w:val="20"/>
              </w:rPr>
              <w:t>254.400</w:t>
            </w:r>
          </w:p>
        </w:tc>
        <w:tc>
          <w:tcPr>
            <w:tcW w:w="990" w:type="dxa"/>
            <w:vAlign w:val="center"/>
          </w:tcPr>
          <w:p w:rsidR="00D10CBC" w:rsidRDefault="00BC383A">
            <w:pPr>
              <w:spacing w:before="20" w:after="20"/>
              <w:jc w:val="right"/>
              <w:rPr>
                <w:noProof/>
                <w:sz w:val="20"/>
              </w:rPr>
            </w:pPr>
            <w:r>
              <w:rPr>
                <w:noProof/>
                <w:color w:val="000000"/>
                <w:sz w:val="20"/>
                <w:szCs w:val="20"/>
              </w:rPr>
              <w:t>0.000</w:t>
            </w:r>
          </w:p>
        </w:tc>
        <w:tc>
          <w:tcPr>
            <w:tcW w:w="990" w:type="dxa"/>
            <w:vAlign w:val="center"/>
          </w:tcPr>
          <w:p w:rsidR="00D10CBC" w:rsidRDefault="00BC383A">
            <w:pPr>
              <w:spacing w:before="20" w:after="20"/>
              <w:jc w:val="right"/>
              <w:rPr>
                <w:b/>
                <w:noProof/>
                <w:sz w:val="20"/>
              </w:rPr>
            </w:pPr>
            <w:r>
              <w:rPr>
                <w:noProof/>
                <w:color w:val="000000"/>
                <w:sz w:val="20"/>
                <w:szCs w:val="20"/>
              </w:rPr>
              <w:t>0.000</w:t>
            </w:r>
          </w:p>
        </w:tc>
        <w:tc>
          <w:tcPr>
            <w:tcW w:w="1033"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20" w:after="20"/>
              <w:jc w:val="right"/>
              <w:rPr>
                <w:b/>
                <w:noProof/>
                <w:sz w:val="20"/>
              </w:rPr>
            </w:pPr>
            <w:r>
              <w:rPr>
                <w:b/>
                <w:bCs/>
                <w:noProof/>
                <w:color w:val="000000"/>
                <w:sz w:val="20"/>
                <w:szCs w:val="20"/>
              </w:rPr>
              <w:t>1 266.000</w:t>
            </w:r>
          </w:p>
        </w:tc>
      </w:tr>
      <w:tr w:rsidR="00D10CBC">
        <w:trPr>
          <w:trHeight w:val="231"/>
        </w:trPr>
        <w:tc>
          <w:tcPr>
            <w:tcW w:w="3720" w:type="dxa"/>
            <w:vAlign w:val="center"/>
          </w:tcPr>
          <w:p w:rsidR="00D10CBC" w:rsidRDefault="00BC383A">
            <w:pPr>
              <w:spacing w:before="20" w:after="20"/>
              <w:rPr>
                <w:noProof/>
              </w:rPr>
            </w:pPr>
            <w:r>
              <w:rPr>
                <w:noProof/>
                <w:sz w:val="21"/>
              </w:rPr>
              <w:sym w:font="Wingdings" w:char="F09F"/>
            </w:r>
            <w:r>
              <w:rPr>
                <w:noProof/>
                <w:sz w:val="21"/>
              </w:rPr>
              <w:t xml:space="preserve"> Appropriations of an administrative nature financed from the envelope of specific programmes</w:t>
            </w:r>
          </w:p>
        </w:tc>
        <w:tc>
          <w:tcPr>
            <w:tcW w:w="1320" w:type="dxa"/>
            <w:gridSpan w:val="2"/>
            <w:vAlign w:val="center"/>
          </w:tcPr>
          <w:p w:rsidR="00D10CBC" w:rsidRDefault="00D10CBC">
            <w:pPr>
              <w:spacing w:before="0" w:after="0"/>
              <w:rPr>
                <w:noProof/>
              </w:rPr>
            </w:pPr>
          </w:p>
        </w:tc>
        <w:tc>
          <w:tcPr>
            <w:tcW w:w="540" w:type="dxa"/>
            <w:vAlign w:val="center"/>
          </w:tcPr>
          <w:p w:rsidR="00D10CBC" w:rsidRDefault="00D10CBC">
            <w:pPr>
              <w:spacing w:before="20" w:after="20"/>
              <w:jc w:val="center"/>
              <w:rPr>
                <w:noProof/>
              </w:rPr>
            </w:pPr>
          </w:p>
        </w:tc>
        <w:tc>
          <w:tcPr>
            <w:tcW w:w="990" w:type="dxa"/>
            <w:vAlign w:val="center"/>
          </w:tcPr>
          <w:p w:rsidR="00D10CBC" w:rsidRDefault="00D10CBC">
            <w:pPr>
              <w:rPr>
                <w:b/>
                <w:noProof/>
                <w:sz w:val="20"/>
              </w:rPr>
            </w:pPr>
          </w:p>
        </w:tc>
        <w:tc>
          <w:tcPr>
            <w:tcW w:w="990"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976" w:type="dxa"/>
            <w:vAlign w:val="center"/>
          </w:tcPr>
          <w:p w:rsidR="00D10CBC" w:rsidRDefault="00BC383A">
            <w:pPr>
              <w:rPr>
                <w:b/>
                <w:noProof/>
                <w:sz w:val="20"/>
              </w:rPr>
            </w:pPr>
            <w:r>
              <w:rPr>
                <w:b/>
                <w:bCs/>
                <w:noProof/>
                <w:color w:val="000000"/>
                <w:sz w:val="20"/>
              </w:rPr>
              <w:t> </w:t>
            </w:r>
          </w:p>
        </w:tc>
        <w:tc>
          <w:tcPr>
            <w:tcW w:w="1004"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990" w:type="dxa"/>
            <w:vAlign w:val="center"/>
          </w:tcPr>
          <w:p w:rsidR="00D10CBC" w:rsidRDefault="00BC383A">
            <w:pPr>
              <w:rPr>
                <w:b/>
                <w:noProof/>
                <w:sz w:val="20"/>
              </w:rPr>
            </w:pPr>
            <w:r>
              <w:rPr>
                <w:b/>
                <w:bCs/>
                <w:noProof/>
                <w:color w:val="000000"/>
                <w:sz w:val="20"/>
              </w:rPr>
              <w:t> </w:t>
            </w:r>
          </w:p>
        </w:tc>
        <w:tc>
          <w:tcPr>
            <w:tcW w:w="1033" w:type="dxa"/>
            <w:vAlign w:val="center"/>
          </w:tcPr>
          <w:p w:rsidR="00D10CBC" w:rsidRDefault="00BC383A">
            <w:pPr>
              <w:rPr>
                <w:b/>
                <w:noProof/>
                <w:sz w:val="20"/>
              </w:rPr>
            </w:pPr>
            <w:r>
              <w:rPr>
                <w:b/>
                <w:bCs/>
                <w:noProof/>
                <w:color w:val="000000"/>
                <w:sz w:val="20"/>
              </w:rPr>
              <w:t> </w:t>
            </w:r>
          </w:p>
        </w:tc>
        <w:tc>
          <w:tcPr>
            <w:tcW w:w="1127" w:type="dxa"/>
            <w:vAlign w:val="center"/>
          </w:tcPr>
          <w:p w:rsidR="00D10CBC" w:rsidRDefault="00BC383A">
            <w:pPr>
              <w:spacing w:before="0" w:after="0"/>
              <w:jc w:val="right"/>
              <w:rPr>
                <w:b/>
                <w:noProof/>
                <w:sz w:val="20"/>
              </w:rPr>
            </w:pPr>
            <w:r>
              <w:rPr>
                <w:b/>
                <w:bCs/>
                <w:noProof/>
                <w:color w:val="000000"/>
                <w:sz w:val="20"/>
              </w:rPr>
              <w:t> </w:t>
            </w:r>
          </w:p>
        </w:tc>
      </w:tr>
      <w:tr w:rsidR="00D10CBC">
        <w:trPr>
          <w:trHeight w:val="319"/>
        </w:trPr>
        <w:tc>
          <w:tcPr>
            <w:tcW w:w="3780" w:type="dxa"/>
            <w:gridSpan w:val="2"/>
            <w:vAlign w:val="center"/>
          </w:tcPr>
          <w:p w:rsidR="00D10CBC" w:rsidRDefault="00BC383A">
            <w:pPr>
              <w:spacing w:before="60" w:after="60"/>
              <w:rPr>
                <w:noProof/>
              </w:rPr>
            </w:pPr>
            <w:r>
              <w:rPr>
                <w:rFonts w:ascii="Tahoma" w:hAnsi="Tahoma" w:cs="Tahoma"/>
                <w:noProof/>
                <w:color w:val="000000"/>
                <w:sz w:val="16"/>
                <w:szCs w:val="16"/>
                <w:lang w:eastAsia="fr-BE"/>
              </w:rPr>
              <w:t>06 01 04 - support</w:t>
            </w:r>
          </w:p>
        </w:tc>
        <w:tc>
          <w:tcPr>
            <w:tcW w:w="1260" w:type="dxa"/>
            <w:vAlign w:val="center"/>
          </w:tcPr>
          <w:p w:rsidR="00D10CBC" w:rsidRDefault="00BC383A">
            <w:pPr>
              <w:spacing w:before="40" w:after="40"/>
              <w:jc w:val="right"/>
              <w:rPr>
                <w:noProof/>
                <w:sz w:val="18"/>
              </w:rPr>
            </w:pPr>
            <w:r>
              <w:rPr>
                <w:noProof/>
                <w:sz w:val="18"/>
              </w:rPr>
              <w:t>Commitments = Payments</w:t>
            </w:r>
          </w:p>
        </w:tc>
        <w:tc>
          <w:tcPr>
            <w:tcW w:w="540" w:type="dxa"/>
            <w:vAlign w:val="center"/>
          </w:tcPr>
          <w:p w:rsidR="00D10CBC" w:rsidRDefault="00BC383A">
            <w:pPr>
              <w:spacing w:before="40" w:after="40"/>
              <w:jc w:val="center"/>
              <w:rPr>
                <w:noProof/>
                <w:sz w:val="14"/>
              </w:rPr>
            </w:pPr>
            <w:r>
              <w:rPr>
                <w:noProof/>
                <w:sz w:val="14"/>
              </w:rPr>
              <w:t>(3)</w:t>
            </w:r>
          </w:p>
        </w:tc>
        <w:tc>
          <w:tcPr>
            <w:tcW w:w="990" w:type="dxa"/>
            <w:vAlign w:val="center"/>
          </w:tcPr>
          <w:p w:rsidR="00D10CBC" w:rsidRDefault="00D10CBC">
            <w:pPr>
              <w:spacing w:before="40" w:after="40"/>
              <w:jc w:val="right"/>
              <w:rPr>
                <w:b/>
                <w:noProof/>
                <w:sz w:val="20"/>
              </w:rPr>
            </w:pP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76" w:type="dxa"/>
            <w:vAlign w:val="center"/>
          </w:tcPr>
          <w:p w:rsidR="00D10CBC" w:rsidRDefault="00BC383A">
            <w:pPr>
              <w:spacing w:before="40" w:after="40"/>
              <w:jc w:val="center"/>
              <w:rPr>
                <w:b/>
                <w:noProof/>
                <w:sz w:val="20"/>
              </w:rPr>
            </w:pPr>
            <w:r>
              <w:rPr>
                <w:noProof/>
                <w:sz w:val="20"/>
              </w:rPr>
              <w:t>pm</w:t>
            </w:r>
          </w:p>
        </w:tc>
        <w:tc>
          <w:tcPr>
            <w:tcW w:w="1004"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1033" w:type="dxa"/>
            <w:vAlign w:val="center"/>
          </w:tcPr>
          <w:p w:rsidR="00D10CBC" w:rsidRDefault="00D10CBC">
            <w:pPr>
              <w:spacing w:before="40" w:after="40"/>
              <w:jc w:val="center"/>
              <w:rPr>
                <w:b/>
                <w:noProof/>
                <w:sz w:val="20"/>
              </w:rPr>
            </w:pPr>
          </w:p>
        </w:tc>
        <w:tc>
          <w:tcPr>
            <w:tcW w:w="1127" w:type="dxa"/>
            <w:vAlign w:val="center"/>
          </w:tcPr>
          <w:p w:rsidR="00D10CBC" w:rsidRDefault="00BC383A">
            <w:pPr>
              <w:spacing w:before="40" w:after="40"/>
              <w:jc w:val="center"/>
              <w:rPr>
                <w:b/>
                <w:noProof/>
                <w:sz w:val="20"/>
              </w:rPr>
            </w:pPr>
            <w:r>
              <w:rPr>
                <w:b/>
                <w:noProof/>
                <w:sz w:val="20"/>
              </w:rPr>
              <w:t>pm</w:t>
            </w:r>
          </w:p>
        </w:tc>
      </w:tr>
      <w:tr w:rsidR="00D10CBC">
        <w:tc>
          <w:tcPr>
            <w:tcW w:w="3780" w:type="dxa"/>
            <w:gridSpan w:val="2"/>
            <w:vMerge w:val="restart"/>
            <w:vAlign w:val="center"/>
          </w:tcPr>
          <w:p w:rsidR="00D10CBC" w:rsidRDefault="00BC383A">
            <w:pPr>
              <w:jc w:val="center"/>
              <w:rPr>
                <w:b/>
                <w:noProof/>
              </w:rPr>
            </w:pPr>
            <w:r>
              <w:rPr>
                <w:b/>
                <w:noProof/>
                <w:sz w:val="22"/>
              </w:rPr>
              <w:t>TOTAL appropriations</w:t>
            </w:r>
            <w:r>
              <w:rPr>
                <w:noProof/>
                <w:sz w:val="22"/>
              </w:rPr>
              <w:br/>
            </w:r>
            <w:r>
              <w:rPr>
                <w:b/>
                <w:noProof/>
                <w:sz w:val="22"/>
              </w:rPr>
              <w:t xml:space="preserve">from budgetary procedures for the envelope of the </w:t>
            </w:r>
            <w:r>
              <w:rPr>
                <w:b/>
                <w:noProof/>
                <w:sz w:val="22"/>
              </w:rPr>
              <w:t>programme</w:t>
            </w:r>
          </w:p>
        </w:tc>
        <w:tc>
          <w:tcPr>
            <w:tcW w:w="1260"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=1+1a +3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630.000</w:t>
            </w:r>
          </w:p>
        </w:tc>
        <w:tc>
          <w:tcPr>
            <w:tcW w:w="990" w:type="dxa"/>
            <w:vAlign w:val="center"/>
          </w:tcPr>
          <w:p w:rsidR="00D10CBC" w:rsidRDefault="00BC383A">
            <w:pPr>
              <w:spacing w:before="20" w:after="20"/>
              <w:jc w:val="right"/>
              <w:rPr>
                <w:noProof/>
                <w:sz w:val="20"/>
              </w:rPr>
            </w:pPr>
            <w:r>
              <w:rPr>
                <w:noProof/>
                <w:color w:val="000000"/>
                <w:sz w:val="20"/>
                <w:szCs w:val="20"/>
              </w:rPr>
              <w:t>636.000</w:t>
            </w:r>
          </w:p>
        </w:tc>
        <w:tc>
          <w:tcPr>
            <w:tcW w:w="976" w:type="dxa"/>
            <w:vAlign w:val="center"/>
          </w:tcPr>
          <w:p w:rsidR="00D10CBC" w:rsidRDefault="00BC383A">
            <w:pPr>
              <w:spacing w:before="20" w:after="20"/>
              <w:jc w:val="right"/>
              <w:rPr>
                <w:noProof/>
                <w:sz w:val="20"/>
              </w:rPr>
            </w:pPr>
            <w:r>
              <w:rPr>
                <w:noProof/>
                <w:color w:val="000000"/>
                <w:sz w:val="20"/>
                <w:szCs w:val="20"/>
              </w:rPr>
              <w:t>0.000</w:t>
            </w:r>
          </w:p>
        </w:tc>
        <w:tc>
          <w:tcPr>
            <w:tcW w:w="1004" w:type="dxa"/>
            <w:vAlign w:val="center"/>
          </w:tcPr>
          <w:p w:rsidR="00D10CBC" w:rsidRDefault="00BC383A">
            <w:pPr>
              <w:spacing w:before="20" w:after="20"/>
              <w:jc w:val="right"/>
              <w:rPr>
                <w:noProof/>
                <w:sz w:val="20"/>
              </w:rPr>
            </w:pPr>
            <w:r>
              <w:rPr>
                <w:noProof/>
                <w:color w:val="000000"/>
                <w:sz w:val="20"/>
                <w:szCs w:val="20"/>
              </w:rPr>
              <w:t>0.000</w:t>
            </w:r>
          </w:p>
        </w:tc>
        <w:tc>
          <w:tcPr>
            <w:tcW w:w="990" w:type="dxa"/>
            <w:vAlign w:val="center"/>
          </w:tcPr>
          <w:p w:rsidR="00D10CBC" w:rsidRDefault="00BC383A">
            <w:pPr>
              <w:spacing w:before="20" w:after="20"/>
              <w:jc w:val="right"/>
              <w:rPr>
                <w:noProof/>
                <w:sz w:val="20"/>
              </w:rPr>
            </w:pPr>
            <w:r>
              <w:rPr>
                <w:noProof/>
                <w:color w:val="000000"/>
                <w:sz w:val="20"/>
                <w:szCs w:val="20"/>
              </w:rPr>
              <w:t>0.000</w:t>
            </w:r>
          </w:p>
        </w:tc>
        <w:tc>
          <w:tcPr>
            <w:tcW w:w="990" w:type="dxa"/>
            <w:vAlign w:val="center"/>
          </w:tcPr>
          <w:p w:rsidR="00D10CBC" w:rsidRDefault="00BC383A">
            <w:pPr>
              <w:spacing w:before="20" w:after="20"/>
              <w:jc w:val="right"/>
              <w:rPr>
                <w:b/>
                <w:noProof/>
                <w:sz w:val="20"/>
              </w:rPr>
            </w:pPr>
            <w:r>
              <w:rPr>
                <w:noProof/>
                <w:color w:val="000000"/>
                <w:sz w:val="20"/>
                <w:szCs w:val="20"/>
              </w:rPr>
              <w:t>0.000</w:t>
            </w:r>
          </w:p>
        </w:tc>
        <w:tc>
          <w:tcPr>
            <w:tcW w:w="1033"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20" w:after="20"/>
              <w:jc w:val="right"/>
              <w:rPr>
                <w:b/>
                <w:noProof/>
                <w:sz w:val="20"/>
              </w:rPr>
            </w:pPr>
            <w:r>
              <w:rPr>
                <w:b/>
                <w:bCs/>
                <w:noProof/>
                <w:color w:val="000000"/>
                <w:sz w:val="20"/>
                <w:szCs w:val="20"/>
              </w:rPr>
              <w:t>1 266.000</w:t>
            </w:r>
          </w:p>
        </w:tc>
      </w:tr>
      <w:tr w:rsidR="00D10CBC">
        <w:tc>
          <w:tcPr>
            <w:tcW w:w="3780" w:type="dxa"/>
            <w:gridSpan w:val="2"/>
            <w:vMerge/>
          </w:tcPr>
          <w:p w:rsidR="00D10CBC" w:rsidRDefault="00D10CBC">
            <w:pPr>
              <w:rPr>
                <w:noProof/>
                <w:sz w:val="20"/>
              </w:rPr>
            </w:pPr>
          </w:p>
        </w:tc>
        <w:tc>
          <w:tcPr>
            <w:tcW w:w="1260" w:type="dxa"/>
            <w:vAlign w:val="center"/>
          </w:tcPr>
          <w:p w:rsidR="00D10CBC" w:rsidRDefault="00BC383A">
            <w:pPr>
              <w:rPr>
                <w:noProof/>
                <w:sz w:val="18"/>
              </w:rPr>
            </w:pPr>
            <w:r>
              <w:rPr>
                <w:noProof/>
                <w:sz w:val="18"/>
              </w:rPr>
              <w:t>Payments</w:t>
            </w:r>
          </w:p>
        </w:tc>
        <w:tc>
          <w:tcPr>
            <w:tcW w:w="540" w:type="dxa"/>
            <w:vAlign w:val="center"/>
          </w:tcPr>
          <w:p w:rsidR="00D10CBC" w:rsidRDefault="00BC383A">
            <w:pPr>
              <w:jc w:val="center"/>
              <w:rPr>
                <w:noProof/>
                <w:sz w:val="14"/>
              </w:rPr>
            </w:pPr>
            <w:r>
              <w:rPr>
                <w:noProof/>
                <w:sz w:val="14"/>
              </w:rPr>
              <w:t>=2+2a</w:t>
            </w:r>
          </w:p>
          <w:p w:rsidR="00D10CBC" w:rsidRDefault="00BC383A">
            <w:pPr>
              <w:jc w:val="center"/>
              <w:rPr>
                <w:noProof/>
                <w:sz w:val="14"/>
              </w:rPr>
            </w:pPr>
            <w:r>
              <w:rPr>
                <w:noProof/>
                <w:sz w:val="14"/>
              </w:rPr>
              <w:t>+3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right"/>
              <w:rPr>
                <w:noProof/>
                <w:sz w:val="20"/>
              </w:rPr>
            </w:pPr>
            <w:r>
              <w:rPr>
                <w:noProof/>
                <w:color w:val="000000"/>
                <w:sz w:val="20"/>
                <w:szCs w:val="20"/>
              </w:rPr>
              <w:t>189.000</w:t>
            </w:r>
          </w:p>
        </w:tc>
        <w:tc>
          <w:tcPr>
            <w:tcW w:w="990" w:type="dxa"/>
            <w:vAlign w:val="center"/>
          </w:tcPr>
          <w:p w:rsidR="00D10CBC" w:rsidRDefault="00BC383A">
            <w:pPr>
              <w:spacing w:before="20" w:after="20"/>
              <w:jc w:val="right"/>
              <w:rPr>
                <w:noProof/>
                <w:sz w:val="20"/>
              </w:rPr>
            </w:pPr>
            <w:r>
              <w:rPr>
                <w:noProof/>
                <w:color w:val="000000"/>
                <w:sz w:val="20"/>
                <w:szCs w:val="20"/>
              </w:rPr>
              <w:t>379.800</w:t>
            </w:r>
          </w:p>
        </w:tc>
        <w:tc>
          <w:tcPr>
            <w:tcW w:w="976" w:type="dxa"/>
            <w:vAlign w:val="center"/>
          </w:tcPr>
          <w:p w:rsidR="00D10CBC" w:rsidRDefault="00BC383A">
            <w:pPr>
              <w:spacing w:before="20" w:after="20"/>
              <w:jc w:val="right"/>
              <w:rPr>
                <w:noProof/>
                <w:sz w:val="20"/>
              </w:rPr>
            </w:pPr>
            <w:r>
              <w:rPr>
                <w:noProof/>
                <w:color w:val="000000"/>
                <w:sz w:val="20"/>
                <w:szCs w:val="20"/>
              </w:rPr>
              <w:t>442.800</w:t>
            </w:r>
          </w:p>
        </w:tc>
        <w:tc>
          <w:tcPr>
            <w:tcW w:w="1004" w:type="dxa"/>
            <w:vAlign w:val="center"/>
          </w:tcPr>
          <w:p w:rsidR="00D10CBC" w:rsidRDefault="00BC383A">
            <w:pPr>
              <w:spacing w:before="20" w:after="20"/>
              <w:jc w:val="right"/>
              <w:rPr>
                <w:noProof/>
                <w:sz w:val="20"/>
              </w:rPr>
            </w:pPr>
            <w:r>
              <w:rPr>
                <w:noProof/>
                <w:color w:val="000000"/>
                <w:sz w:val="20"/>
                <w:szCs w:val="20"/>
              </w:rPr>
              <w:t>254.400</w:t>
            </w:r>
          </w:p>
        </w:tc>
        <w:tc>
          <w:tcPr>
            <w:tcW w:w="990" w:type="dxa"/>
            <w:vAlign w:val="center"/>
          </w:tcPr>
          <w:p w:rsidR="00D10CBC" w:rsidRDefault="00BC383A">
            <w:pPr>
              <w:spacing w:before="20" w:after="20"/>
              <w:jc w:val="right"/>
              <w:rPr>
                <w:noProof/>
                <w:sz w:val="20"/>
              </w:rPr>
            </w:pPr>
            <w:r>
              <w:rPr>
                <w:noProof/>
                <w:color w:val="000000"/>
                <w:sz w:val="20"/>
                <w:szCs w:val="20"/>
              </w:rPr>
              <w:t>0.000</w:t>
            </w:r>
          </w:p>
        </w:tc>
        <w:tc>
          <w:tcPr>
            <w:tcW w:w="990" w:type="dxa"/>
            <w:vAlign w:val="center"/>
          </w:tcPr>
          <w:p w:rsidR="00D10CBC" w:rsidRDefault="00BC383A">
            <w:pPr>
              <w:spacing w:before="20" w:after="20"/>
              <w:jc w:val="right"/>
              <w:rPr>
                <w:b/>
                <w:noProof/>
                <w:sz w:val="20"/>
              </w:rPr>
            </w:pPr>
            <w:r>
              <w:rPr>
                <w:noProof/>
                <w:color w:val="000000"/>
                <w:sz w:val="20"/>
                <w:szCs w:val="20"/>
              </w:rPr>
              <w:t>0.000</w:t>
            </w:r>
          </w:p>
        </w:tc>
        <w:tc>
          <w:tcPr>
            <w:tcW w:w="1033" w:type="dxa"/>
            <w:vAlign w:val="center"/>
          </w:tcPr>
          <w:p w:rsidR="00D10CBC" w:rsidRDefault="00D10CBC">
            <w:pPr>
              <w:spacing w:before="20" w:after="20"/>
              <w:jc w:val="right"/>
              <w:rPr>
                <w:b/>
                <w:noProof/>
                <w:sz w:val="20"/>
              </w:rPr>
            </w:pPr>
          </w:p>
        </w:tc>
        <w:tc>
          <w:tcPr>
            <w:tcW w:w="1127" w:type="dxa"/>
            <w:vAlign w:val="center"/>
          </w:tcPr>
          <w:p w:rsidR="00D10CBC" w:rsidRDefault="00BC383A">
            <w:pPr>
              <w:spacing w:before="20" w:after="20"/>
              <w:jc w:val="right"/>
              <w:rPr>
                <w:b/>
                <w:noProof/>
                <w:sz w:val="20"/>
              </w:rPr>
            </w:pPr>
            <w:r>
              <w:rPr>
                <w:b/>
                <w:bCs/>
                <w:noProof/>
                <w:color w:val="000000"/>
                <w:sz w:val="20"/>
                <w:szCs w:val="20"/>
              </w:rPr>
              <w:t>1 266.000</w:t>
            </w:r>
          </w:p>
        </w:tc>
      </w:tr>
    </w:tbl>
    <w:p w:rsidR="00D10CBC" w:rsidRDefault="00D10CBC">
      <w:pPr>
        <w:spacing w:before="0" w:after="200" w:line="276" w:lineRule="auto"/>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10CBC">
        <w:trPr>
          <w:jc w:val="center"/>
        </w:trPr>
        <w:tc>
          <w:tcPr>
            <w:tcW w:w="4744" w:type="dxa"/>
            <w:shd w:val="thinDiagStripe" w:color="C0C0C0" w:fill="auto"/>
            <w:vAlign w:val="center"/>
          </w:tcPr>
          <w:p w:rsidR="00D10CBC" w:rsidRDefault="00BC383A">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D10CBC" w:rsidRDefault="00BC383A">
            <w:pPr>
              <w:spacing w:before="60" w:after="60"/>
              <w:jc w:val="center"/>
              <w:rPr>
                <w:b/>
                <w:noProof/>
                <w:sz w:val="22"/>
              </w:rPr>
            </w:pPr>
            <w:r>
              <w:rPr>
                <w:b/>
                <w:noProof/>
                <w:sz w:val="22"/>
              </w:rPr>
              <w:t>2b</w:t>
            </w:r>
          </w:p>
        </w:tc>
        <w:tc>
          <w:tcPr>
            <w:tcW w:w="7817" w:type="dxa"/>
            <w:vAlign w:val="center"/>
          </w:tcPr>
          <w:p w:rsidR="00D10CBC" w:rsidRDefault="00BC383A">
            <w:pPr>
              <w:spacing w:before="60" w:after="60"/>
              <w:rPr>
                <w:b/>
                <w:noProof/>
                <w:sz w:val="22"/>
              </w:rPr>
            </w:pPr>
            <w:r>
              <w:rPr>
                <w:b/>
                <w:noProof/>
                <w:sz w:val="22"/>
              </w:rPr>
              <w:t>Resilience and Values</w:t>
            </w:r>
          </w:p>
        </w:tc>
      </w:tr>
    </w:tbl>
    <w:p w:rsidR="00D10CBC" w:rsidRDefault="00D10CBC">
      <w:pPr>
        <w:spacing w:before="0" w:after="200" w:line="276" w:lineRule="auto"/>
        <w:jc w:val="left"/>
        <w:rPr>
          <w:noProof/>
        </w:rPr>
      </w:pPr>
    </w:p>
    <w:tbl>
      <w:tblPr>
        <w:tblW w:w="146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990"/>
        <w:gridCol w:w="990"/>
        <w:gridCol w:w="990"/>
        <w:gridCol w:w="976"/>
        <w:gridCol w:w="1004"/>
        <w:gridCol w:w="990"/>
        <w:gridCol w:w="990"/>
        <w:gridCol w:w="1033"/>
        <w:gridCol w:w="1127"/>
      </w:tblGrid>
      <w:tr w:rsidR="00D10CBC">
        <w:tc>
          <w:tcPr>
            <w:tcW w:w="3780" w:type="dxa"/>
            <w:vAlign w:val="center"/>
          </w:tcPr>
          <w:p w:rsidR="00D10CBC" w:rsidRDefault="00BC383A">
            <w:pPr>
              <w:jc w:val="center"/>
              <w:rPr>
                <w:noProof/>
              </w:rPr>
            </w:pPr>
            <w:r>
              <w:rPr>
                <w:noProof/>
                <w:sz w:val="22"/>
              </w:rPr>
              <w:t>DG</w:t>
            </w:r>
          </w:p>
        </w:tc>
        <w:tc>
          <w:tcPr>
            <w:tcW w:w="1260" w:type="dxa"/>
          </w:tcPr>
          <w:p w:rsidR="00D10CBC" w:rsidRDefault="00D10CBC">
            <w:pPr>
              <w:rPr>
                <w:noProof/>
                <w:sz w:val="20"/>
              </w:rPr>
            </w:pPr>
          </w:p>
        </w:tc>
        <w:tc>
          <w:tcPr>
            <w:tcW w:w="540" w:type="dxa"/>
          </w:tcPr>
          <w:p w:rsidR="00D10CBC" w:rsidRDefault="00D10CBC">
            <w:pPr>
              <w:jc w:val="center"/>
              <w:rPr>
                <w:noProof/>
                <w:sz w:val="20"/>
              </w:rPr>
            </w:pPr>
          </w:p>
        </w:tc>
        <w:tc>
          <w:tcPr>
            <w:tcW w:w="990" w:type="dxa"/>
            <w:vAlign w:val="center"/>
          </w:tcPr>
          <w:p w:rsidR="00D10CBC" w:rsidRDefault="00BC383A">
            <w:pPr>
              <w:jc w:val="center"/>
              <w:rPr>
                <w:noProof/>
                <w:sz w:val="20"/>
              </w:rPr>
            </w:pPr>
            <w:r>
              <w:rPr>
                <w:b/>
                <w:noProof/>
                <w:sz w:val="20"/>
              </w:rPr>
              <w:t>2021</w:t>
            </w:r>
          </w:p>
        </w:tc>
        <w:tc>
          <w:tcPr>
            <w:tcW w:w="990" w:type="dxa"/>
            <w:vAlign w:val="center"/>
          </w:tcPr>
          <w:p w:rsidR="00D10CBC" w:rsidRDefault="00BC383A">
            <w:pPr>
              <w:jc w:val="center"/>
              <w:rPr>
                <w:noProof/>
                <w:sz w:val="20"/>
              </w:rPr>
            </w:pPr>
            <w:r>
              <w:rPr>
                <w:b/>
                <w:noProof/>
                <w:sz w:val="20"/>
              </w:rPr>
              <w:t>2022</w:t>
            </w:r>
          </w:p>
        </w:tc>
        <w:tc>
          <w:tcPr>
            <w:tcW w:w="990" w:type="dxa"/>
            <w:vAlign w:val="center"/>
          </w:tcPr>
          <w:p w:rsidR="00D10CBC" w:rsidRDefault="00BC383A">
            <w:pPr>
              <w:jc w:val="center"/>
              <w:rPr>
                <w:noProof/>
                <w:sz w:val="20"/>
              </w:rPr>
            </w:pPr>
            <w:r>
              <w:rPr>
                <w:b/>
                <w:noProof/>
                <w:sz w:val="20"/>
              </w:rPr>
              <w:t>2023</w:t>
            </w:r>
          </w:p>
        </w:tc>
        <w:tc>
          <w:tcPr>
            <w:tcW w:w="976" w:type="dxa"/>
            <w:vAlign w:val="center"/>
          </w:tcPr>
          <w:p w:rsidR="00D10CBC" w:rsidRDefault="00BC383A">
            <w:pPr>
              <w:jc w:val="center"/>
              <w:rPr>
                <w:noProof/>
                <w:sz w:val="20"/>
              </w:rPr>
            </w:pPr>
            <w:r>
              <w:rPr>
                <w:b/>
                <w:noProof/>
                <w:sz w:val="20"/>
              </w:rPr>
              <w:t>2024</w:t>
            </w:r>
          </w:p>
        </w:tc>
        <w:tc>
          <w:tcPr>
            <w:tcW w:w="1004" w:type="dxa"/>
            <w:vAlign w:val="center"/>
          </w:tcPr>
          <w:p w:rsidR="00D10CBC" w:rsidRDefault="00BC383A">
            <w:pPr>
              <w:jc w:val="center"/>
              <w:rPr>
                <w:b/>
                <w:noProof/>
                <w:sz w:val="18"/>
              </w:rPr>
            </w:pPr>
            <w:r>
              <w:rPr>
                <w:b/>
                <w:noProof/>
                <w:sz w:val="18"/>
              </w:rPr>
              <w:t>2025</w:t>
            </w:r>
          </w:p>
        </w:tc>
        <w:tc>
          <w:tcPr>
            <w:tcW w:w="990" w:type="dxa"/>
            <w:vAlign w:val="center"/>
          </w:tcPr>
          <w:p w:rsidR="00D10CBC" w:rsidRDefault="00BC383A">
            <w:pPr>
              <w:jc w:val="center"/>
              <w:rPr>
                <w:b/>
                <w:noProof/>
                <w:sz w:val="18"/>
              </w:rPr>
            </w:pPr>
            <w:r>
              <w:rPr>
                <w:b/>
                <w:noProof/>
                <w:sz w:val="18"/>
              </w:rPr>
              <w:t>2026</w:t>
            </w:r>
          </w:p>
        </w:tc>
        <w:tc>
          <w:tcPr>
            <w:tcW w:w="990" w:type="dxa"/>
            <w:vAlign w:val="center"/>
          </w:tcPr>
          <w:p w:rsidR="00D10CBC" w:rsidRDefault="00BC383A">
            <w:pPr>
              <w:jc w:val="center"/>
              <w:rPr>
                <w:b/>
                <w:noProof/>
                <w:sz w:val="18"/>
              </w:rPr>
            </w:pPr>
            <w:r>
              <w:rPr>
                <w:b/>
                <w:noProof/>
                <w:sz w:val="18"/>
              </w:rPr>
              <w:t>2027</w:t>
            </w:r>
          </w:p>
        </w:tc>
        <w:tc>
          <w:tcPr>
            <w:tcW w:w="1033" w:type="dxa"/>
          </w:tcPr>
          <w:p w:rsidR="00D10CBC" w:rsidRDefault="00BC383A">
            <w:pPr>
              <w:jc w:val="center"/>
              <w:rPr>
                <w:b/>
                <w:noProof/>
                <w:sz w:val="20"/>
              </w:rPr>
            </w:pPr>
            <w:r>
              <w:rPr>
                <w:b/>
                <w:i/>
                <w:noProof/>
                <w:sz w:val="20"/>
              </w:rPr>
              <w:t>Post 2027</w:t>
            </w:r>
          </w:p>
        </w:tc>
        <w:tc>
          <w:tcPr>
            <w:tcW w:w="1127" w:type="dxa"/>
            <w:vAlign w:val="center"/>
          </w:tcPr>
          <w:p w:rsidR="00D10CBC" w:rsidRDefault="00BC383A">
            <w:pPr>
              <w:jc w:val="center"/>
              <w:rPr>
                <w:b/>
                <w:noProof/>
                <w:sz w:val="20"/>
              </w:rPr>
            </w:pPr>
            <w:r>
              <w:rPr>
                <w:b/>
                <w:noProof/>
                <w:sz w:val="20"/>
              </w:rPr>
              <w:t>TOTAL</w:t>
            </w:r>
          </w:p>
        </w:tc>
      </w:tr>
      <w:tr w:rsidR="00D10CBC">
        <w:trPr>
          <w:trHeight w:val="213"/>
        </w:trPr>
        <w:tc>
          <w:tcPr>
            <w:tcW w:w="5580" w:type="dxa"/>
            <w:gridSpan w:val="3"/>
            <w:vAlign w:val="center"/>
          </w:tcPr>
          <w:p w:rsidR="00D10CBC" w:rsidRDefault="00BC383A">
            <w:pPr>
              <w:spacing w:before="20" w:after="20"/>
              <w:rPr>
                <w:noProof/>
                <w:sz w:val="21"/>
              </w:rPr>
            </w:pPr>
            <w:r>
              <w:rPr>
                <w:noProof/>
                <w:sz w:val="21"/>
              </w:rPr>
              <w:sym w:font="Wingdings" w:char="F09F"/>
            </w:r>
            <w:r>
              <w:rPr>
                <w:noProof/>
                <w:sz w:val="21"/>
              </w:rPr>
              <w:t xml:space="preserve"> Operational appropriations</w:t>
            </w: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76" w:type="dxa"/>
            <w:vAlign w:val="center"/>
          </w:tcPr>
          <w:p w:rsidR="00D10CBC" w:rsidRDefault="00D10CBC">
            <w:pPr>
              <w:rPr>
                <w:noProof/>
                <w:sz w:val="20"/>
              </w:rPr>
            </w:pPr>
          </w:p>
        </w:tc>
        <w:tc>
          <w:tcPr>
            <w:tcW w:w="1004" w:type="dxa"/>
            <w:vAlign w:val="center"/>
          </w:tcPr>
          <w:p w:rsidR="00D10CBC" w:rsidRDefault="00D10CBC">
            <w:pPr>
              <w:rPr>
                <w:noProof/>
                <w:sz w:val="20"/>
              </w:rPr>
            </w:pPr>
          </w:p>
        </w:tc>
        <w:tc>
          <w:tcPr>
            <w:tcW w:w="990" w:type="dxa"/>
            <w:vAlign w:val="center"/>
          </w:tcPr>
          <w:p w:rsidR="00D10CBC" w:rsidRDefault="00D10CBC">
            <w:pPr>
              <w:rPr>
                <w:noProof/>
                <w:sz w:val="20"/>
              </w:rPr>
            </w:pPr>
          </w:p>
        </w:tc>
        <w:tc>
          <w:tcPr>
            <w:tcW w:w="990" w:type="dxa"/>
            <w:vAlign w:val="center"/>
          </w:tcPr>
          <w:p w:rsidR="00D10CBC" w:rsidRDefault="00D10CBC">
            <w:pPr>
              <w:rPr>
                <w:b/>
                <w:noProof/>
                <w:sz w:val="20"/>
              </w:rPr>
            </w:pPr>
          </w:p>
        </w:tc>
        <w:tc>
          <w:tcPr>
            <w:tcW w:w="1033" w:type="dxa"/>
          </w:tcPr>
          <w:p w:rsidR="00D10CBC" w:rsidRDefault="00D10CBC">
            <w:pPr>
              <w:rPr>
                <w:b/>
                <w:noProof/>
                <w:sz w:val="20"/>
              </w:rPr>
            </w:pPr>
          </w:p>
        </w:tc>
        <w:tc>
          <w:tcPr>
            <w:tcW w:w="1127" w:type="dxa"/>
            <w:vAlign w:val="center"/>
          </w:tcPr>
          <w:p w:rsidR="00D10CBC" w:rsidRDefault="00D10CBC">
            <w:pPr>
              <w:rPr>
                <w:b/>
                <w:noProof/>
                <w:sz w:val="20"/>
              </w:rPr>
            </w:pPr>
          </w:p>
        </w:tc>
      </w:tr>
      <w:tr w:rsidR="00D10CBC">
        <w:trPr>
          <w:trHeight w:val="277"/>
        </w:trPr>
        <w:tc>
          <w:tcPr>
            <w:tcW w:w="3780" w:type="dxa"/>
            <w:vMerge w:val="restart"/>
            <w:vAlign w:val="center"/>
          </w:tcPr>
          <w:p w:rsidR="00D10CBC" w:rsidRDefault="00BC383A">
            <w:pPr>
              <w:rPr>
                <w:noProof/>
              </w:rPr>
            </w:pPr>
            <w:r>
              <w:rPr>
                <w:noProof/>
                <w:sz w:val="20"/>
              </w:rPr>
              <w:t>06 07 01 – Emergency Support Instrument</w:t>
            </w:r>
          </w:p>
        </w:tc>
        <w:tc>
          <w:tcPr>
            <w:tcW w:w="1260" w:type="dxa"/>
            <w:vAlign w:val="center"/>
          </w:tcPr>
          <w:p w:rsidR="00D10CBC" w:rsidRDefault="00BC383A">
            <w:pPr>
              <w:spacing w:before="20" w:after="20"/>
              <w:rPr>
                <w:noProof/>
                <w:sz w:val="18"/>
              </w:rPr>
            </w:pPr>
            <w:r>
              <w:rPr>
                <w:noProof/>
                <w:sz w:val="18"/>
              </w:rPr>
              <w:t>Commitments</w:t>
            </w:r>
          </w:p>
        </w:tc>
        <w:tc>
          <w:tcPr>
            <w:tcW w:w="540" w:type="dxa"/>
            <w:vAlign w:val="center"/>
          </w:tcPr>
          <w:p w:rsidR="00D10CBC" w:rsidRDefault="00BC383A">
            <w:pPr>
              <w:spacing w:before="20" w:after="20"/>
              <w:jc w:val="center"/>
              <w:rPr>
                <w:noProof/>
                <w:sz w:val="14"/>
              </w:rPr>
            </w:pPr>
            <w:r>
              <w:rPr>
                <w:noProof/>
                <w:sz w:val="14"/>
              </w:rPr>
              <w:t>(1)</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76" w:type="dxa"/>
            <w:vAlign w:val="center"/>
          </w:tcPr>
          <w:p w:rsidR="00D10CBC" w:rsidRDefault="00BC383A">
            <w:pPr>
              <w:spacing w:before="20" w:after="20"/>
              <w:jc w:val="center"/>
              <w:rPr>
                <w:noProof/>
                <w:sz w:val="20"/>
              </w:rPr>
            </w:pPr>
            <w:r>
              <w:rPr>
                <w:noProof/>
                <w:sz w:val="20"/>
              </w:rPr>
              <w:t>pm</w:t>
            </w:r>
          </w:p>
        </w:tc>
        <w:tc>
          <w:tcPr>
            <w:tcW w:w="1004"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1033" w:type="dxa"/>
            <w:vAlign w:val="center"/>
          </w:tcPr>
          <w:p w:rsidR="00D10CBC" w:rsidRDefault="00D10CBC">
            <w:pPr>
              <w:spacing w:before="20" w:after="20"/>
              <w:jc w:val="center"/>
              <w:rPr>
                <w:b/>
                <w:noProof/>
                <w:sz w:val="20"/>
              </w:rPr>
            </w:pPr>
          </w:p>
        </w:tc>
        <w:tc>
          <w:tcPr>
            <w:tcW w:w="1127" w:type="dxa"/>
            <w:vAlign w:val="center"/>
          </w:tcPr>
          <w:p w:rsidR="00D10CBC" w:rsidRDefault="00BC383A">
            <w:pPr>
              <w:spacing w:before="0" w:after="0"/>
              <w:jc w:val="center"/>
              <w:rPr>
                <w:b/>
                <w:bCs/>
                <w:noProof/>
                <w:color w:val="000000"/>
                <w:sz w:val="20"/>
                <w:szCs w:val="20"/>
              </w:rPr>
            </w:pPr>
            <w:r>
              <w:rPr>
                <w:b/>
                <w:bCs/>
                <w:noProof/>
                <w:color w:val="000000"/>
                <w:sz w:val="20"/>
                <w:szCs w:val="20"/>
              </w:rPr>
              <w:t>pm</w:t>
            </w:r>
          </w:p>
        </w:tc>
      </w:tr>
      <w:tr w:rsidR="00D10CBC">
        <w:tc>
          <w:tcPr>
            <w:tcW w:w="3780" w:type="dxa"/>
            <w:vMerge/>
          </w:tcPr>
          <w:p w:rsidR="00D10CBC" w:rsidRDefault="00D10CBC">
            <w:pPr>
              <w:jc w:val="center"/>
              <w:rPr>
                <w:noProof/>
                <w:sz w:val="20"/>
              </w:rPr>
            </w:pPr>
          </w:p>
        </w:tc>
        <w:tc>
          <w:tcPr>
            <w:tcW w:w="1260" w:type="dxa"/>
            <w:vAlign w:val="center"/>
          </w:tcPr>
          <w:p w:rsidR="00D10CBC" w:rsidRDefault="00BC383A">
            <w:pPr>
              <w:spacing w:before="20" w:after="20"/>
              <w:rPr>
                <w:noProof/>
                <w:sz w:val="18"/>
              </w:rPr>
            </w:pPr>
            <w:r>
              <w:rPr>
                <w:noProof/>
                <w:sz w:val="18"/>
              </w:rPr>
              <w:t>Payments</w:t>
            </w:r>
          </w:p>
        </w:tc>
        <w:tc>
          <w:tcPr>
            <w:tcW w:w="540" w:type="dxa"/>
            <w:vAlign w:val="center"/>
          </w:tcPr>
          <w:p w:rsidR="00D10CBC" w:rsidRDefault="00BC383A">
            <w:pPr>
              <w:spacing w:before="20" w:after="20"/>
              <w:jc w:val="center"/>
              <w:rPr>
                <w:noProof/>
                <w:sz w:val="14"/>
              </w:rPr>
            </w:pPr>
            <w:r>
              <w:rPr>
                <w:noProof/>
                <w:sz w:val="14"/>
              </w:rPr>
              <w:t>(2)</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76" w:type="dxa"/>
            <w:vAlign w:val="center"/>
          </w:tcPr>
          <w:p w:rsidR="00D10CBC" w:rsidRDefault="00BC383A">
            <w:pPr>
              <w:spacing w:before="20" w:after="20"/>
              <w:jc w:val="center"/>
              <w:rPr>
                <w:noProof/>
                <w:sz w:val="20"/>
              </w:rPr>
            </w:pPr>
            <w:r>
              <w:rPr>
                <w:noProof/>
                <w:sz w:val="20"/>
              </w:rPr>
              <w:t>pm</w:t>
            </w:r>
          </w:p>
        </w:tc>
        <w:tc>
          <w:tcPr>
            <w:tcW w:w="1004"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b/>
                <w:noProof/>
                <w:sz w:val="20"/>
              </w:rPr>
            </w:pPr>
            <w:r>
              <w:rPr>
                <w:noProof/>
                <w:sz w:val="20"/>
              </w:rPr>
              <w:t>pm</w:t>
            </w:r>
          </w:p>
        </w:tc>
        <w:tc>
          <w:tcPr>
            <w:tcW w:w="1033" w:type="dxa"/>
            <w:vAlign w:val="center"/>
          </w:tcPr>
          <w:p w:rsidR="00D10CBC" w:rsidRDefault="00D10CBC">
            <w:pPr>
              <w:spacing w:before="20" w:after="20"/>
              <w:jc w:val="center"/>
              <w:rPr>
                <w:b/>
                <w:noProof/>
                <w:sz w:val="20"/>
              </w:rPr>
            </w:pPr>
          </w:p>
        </w:tc>
        <w:tc>
          <w:tcPr>
            <w:tcW w:w="1127" w:type="dxa"/>
            <w:vAlign w:val="center"/>
          </w:tcPr>
          <w:p w:rsidR="00D10CBC" w:rsidRDefault="00BC383A">
            <w:pPr>
              <w:spacing w:before="20" w:after="20"/>
              <w:jc w:val="center"/>
              <w:rPr>
                <w:b/>
                <w:noProof/>
                <w:sz w:val="20"/>
              </w:rPr>
            </w:pPr>
            <w:r>
              <w:rPr>
                <w:b/>
                <w:bCs/>
                <w:noProof/>
                <w:color w:val="000000"/>
                <w:sz w:val="20"/>
                <w:szCs w:val="20"/>
              </w:rPr>
              <w:t>pm</w:t>
            </w:r>
          </w:p>
        </w:tc>
      </w:tr>
      <w:tr w:rsidR="00D10CBC">
        <w:tc>
          <w:tcPr>
            <w:tcW w:w="3780" w:type="dxa"/>
          </w:tcPr>
          <w:p w:rsidR="00D10CBC" w:rsidRDefault="00BC383A">
            <w:pPr>
              <w:jc w:val="center"/>
              <w:rPr>
                <w:noProof/>
                <w:sz w:val="20"/>
              </w:rPr>
            </w:pPr>
            <w:r>
              <w:rPr>
                <w:noProof/>
                <w:sz w:val="20"/>
              </w:rPr>
              <w:t xml:space="preserve">Appropriations of an administrative nature financed from the </w:t>
            </w:r>
            <w:r>
              <w:rPr>
                <w:noProof/>
                <w:sz w:val="20"/>
              </w:rPr>
              <w:t>envelope of specific programmes</w:t>
            </w:r>
          </w:p>
        </w:tc>
        <w:tc>
          <w:tcPr>
            <w:tcW w:w="1260" w:type="dxa"/>
            <w:vAlign w:val="center"/>
          </w:tcPr>
          <w:p w:rsidR="00D10CBC" w:rsidRDefault="00D10CBC">
            <w:pPr>
              <w:spacing w:before="20" w:after="20"/>
              <w:rPr>
                <w:noProof/>
                <w:sz w:val="18"/>
              </w:rPr>
            </w:pPr>
          </w:p>
        </w:tc>
        <w:tc>
          <w:tcPr>
            <w:tcW w:w="540" w:type="dxa"/>
            <w:vAlign w:val="center"/>
          </w:tcPr>
          <w:p w:rsidR="00D10CBC" w:rsidRDefault="00D10CBC">
            <w:pPr>
              <w:spacing w:before="20" w:after="20"/>
              <w:jc w:val="center"/>
              <w:rPr>
                <w:noProof/>
                <w:sz w:val="14"/>
              </w:rPr>
            </w:pP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D10CBC">
            <w:pPr>
              <w:spacing w:before="20" w:after="20"/>
              <w:jc w:val="center"/>
              <w:rPr>
                <w:noProof/>
                <w:sz w:val="20"/>
              </w:rPr>
            </w:pPr>
          </w:p>
        </w:tc>
        <w:tc>
          <w:tcPr>
            <w:tcW w:w="990" w:type="dxa"/>
            <w:vAlign w:val="center"/>
          </w:tcPr>
          <w:p w:rsidR="00D10CBC" w:rsidRDefault="00D10CBC">
            <w:pPr>
              <w:spacing w:before="20" w:after="20"/>
              <w:jc w:val="center"/>
              <w:rPr>
                <w:noProof/>
                <w:sz w:val="20"/>
              </w:rPr>
            </w:pPr>
          </w:p>
        </w:tc>
        <w:tc>
          <w:tcPr>
            <w:tcW w:w="976" w:type="dxa"/>
            <w:vAlign w:val="center"/>
          </w:tcPr>
          <w:p w:rsidR="00D10CBC" w:rsidRDefault="00D10CBC">
            <w:pPr>
              <w:spacing w:before="20" w:after="20"/>
              <w:jc w:val="center"/>
              <w:rPr>
                <w:noProof/>
                <w:sz w:val="20"/>
              </w:rPr>
            </w:pPr>
          </w:p>
        </w:tc>
        <w:tc>
          <w:tcPr>
            <w:tcW w:w="1004" w:type="dxa"/>
            <w:vAlign w:val="center"/>
          </w:tcPr>
          <w:p w:rsidR="00D10CBC" w:rsidRDefault="00D10CBC">
            <w:pPr>
              <w:spacing w:before="20" w:after="20"/>
              <w:jc w:val="center"/>
              <w:rPr>
                <w:noProof/>
                <w:sz w:val="20"/>
              </w:rPr>
            </w:pPr>
          </w:p>
        </w:tc>
        <w:tc>
          <w:tcPr>
            <w:tcW w:w="990" w:type="dxa"/>
            <w:vAlign w:val="center"/>
          </w:tcPr>
          <w:p w:rsidR="00D10CBC" w:rsidRDefault="00D10CBC">
            <w:pPr>
              <w:spacing w:before="20" w:after="20"/>
              <w:jc w:val="center"/>
              <w:rPr>
                <w:noProof/>
                <w:sz w:val="20"/>
              </w:rPr>
            </w:pPr>
          </w:p>
        </w:tc>
        <w:tc>
          <w:tcPr>
            <w:tcW w:w="990" w:type="dxa"/>
            <w:vAlign w:val="center"/>
          </w:tcPr>
          <w:p w:rsidR="00D10CBC" w:rsidRDefault="00D10CBC">
            <w:pPr>
              <w:spacing w:before="20" w:after="20"/>
              <w:jc w:val="center"/>
              <w:rPr>
                <w:noProof/>
                <w:sz w:val="20"/>
              </w:rPr>
            </w:pPr>
          </w:p>
        </w:tc>
        <w:tc>
          <w:tcPr>
            <w:tcW w:w="1033" w:type="dxa"/>
            <w:vAlign w:val="center"/>
          </w:tcPr>
          <w:p w:rsidR="00D10CBC" w:rsidRDefault="00D10CBC">
            <w:pPr>
              <w:spacing w:before="20" w:after="20"/>
              <w:jc w:val="center"/>
              <w:rPr>
                <w:b/>
                <w:noProof/>
                <w:sz w:val="20"/>
              </w:rPr>
            </w:pPr>
          </w:p>
        </w:tc>
        <w:tc>
          <w:tcPr>
            <w:tcW w:w="1127" w:type="dxa"/>
            <w:vAlign w:val="center"/>
          </w:tcPr>
          <w:p w:rsidR="00D10CBC" w:rsidRDefault="00D10CBC">
            <w:pPr>
              <w:spacing w:before="20" w:after="20"/>
              <w:jc w:val="center"/>
              <w:rPr>
                <w:b/>
                <w:bCs/>
                <w:noProof/>
                <w:color w:val="000000"/>
                <w:sz w:val="20"/>
                <w:szCs w:val="20"/>
              </w:rPr>
            </w:pPr>
          </w:p>
        </w:tc>
      </w:tr>
      <w:tr w:rsidR="00D10CBC">
        <w:trPr>
          <w:trHeight w:val="319"/>
        </w:trPr>
        <w:tc>
          <w:tcPr>
            <w:tcW w:w="3780" w:type="dxa"/>
            <w:vAlign w:val="center"/>
          </w:tcPr>
          <w:p w:rsidR="00D10CBC" w:rsidRDefault="00BC383A">
            <w:pPr>
              <w:spacing w:before="60" w:after="60"/>
              <w:rPr>
                <w:noProof/>
              </w:rPr>
            </w:pPr>
            <w:r>
              <w:rPr>
                <w:rFonts w:ascii="Tahoma" w:hAnsi="Tahoma" w:cs="Tahoma"/>
                <w:noProof/>
                <w:color w:val="000000"/>
                <w:sz w:val="16"/>
                <w:szCs w:val="16"/>
                <w:lang w:eastAsia="fr-BE"/>
              </w:rPr>
              <w:t>06 01 03 - support</w:t>
            </w:r>
          </w:p>
        </w:tc>
        <w:tc>
          <w:tcPr>
            <w:tcW w:w="1260" w:type="dxa"/>
            <w:vAlign w:val="center"/>
          </w:tcPr>
          <w:p w:rsidR="00D10CBC" w:rsidRDefault="00BC383A">
            <w:pPr>
              <w:spacing w:before="40" w:after="40"/>
              <w:jc w:val="right"/>
              <w:rPr>
                <w:noProof/>
                <w:sz w:val="18"/>
              </w:rPr>
            </w:pPr>
            <w:r>
              <w:rPr>
                <w:noProof/>
                <w:sz w:val="18"/>
              </w:rPr>
              <w:t>Commitments = Payments</w:t>
            </w:r>
          </w:p>
        </w:tc>
        <w:tc>
          <w:tcPr>
            <w:tcW w:w="540" w:type="dxa"/>
            <w:vAlign w:val="center"/>
          </w:tcPr>
          <w:p w:rsidR="00D10CBC" w:rsidRDefault="00BC383A">
            <w:pPr>
              <w:spacing w:before="40" w:after="40"/>
              <w:jc w:val="center"/>
              <w:rPr>
                <w:noProof/>
                <w:sz w:val="14"/>
              </w:rPr>
            </w:pPr>
            <w:r>
              <w:rPr>
                <w:noProof/>
                <w:sz w:val="14"/>
              </w:rPr>
              <w:t>(3)</w:t>
            </w:r>
          </w:p>
        </w:tc>
        <w:tc>
          <w:tcPr>
            <w:tcW w:w="990" w:type="dxa"/>
            <w:vAlign w:val="center"/>
          </w:tcPr>
          <w:p w:rsidR="00D10CBC" w:rsidRDefault="00D10CBC">
            <w:pPr>
              <w:spacing w:before="40" w:after="40"/>
              <w:jc w:val="right"/>
              <w:rPr>
                <w:b/>
                <w:noProof/>
                <w:sz w:val="20"/>
              </w:rPr>
            </w:pP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76" w:type="dxa"/>
            <w:vAlign w:val="center"/>
          </w:tcPr>
          <w:p w:rsidR="00D10CBC" w:rsidRDefault="00BC383A">
            <w:pPr>
              <w:spacing w:before="40" w:after="40"/>
              <w:jc w:val="center"/>
              <w:rPr>
                <w:b/>
                <w:noProof/>
                <w:sz w:val="20"/>
              </w:rPr>
            </w:pPr>
            <w:r>
              <w:rPr>
                <w:noProof/>
                <w:sz w:val="20"/>
              </w:rPr>
              <w:t>pm</w:t>
            </w:r>
          </w:p>
        </w:tc>
        <w:tc>
          <w:tcPr>
            <w:tcW w:w="1004"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990" w:type="dxa"/>
            <w:vAlign w:val="center"/>
          </w:tcPr>
          <w:p w:rsidR="00D10CBC" w:rsidRDefault="00BC383A">
            <w:pPr>
              <w:spacing w:before="40" w:after="40"/>
              <w:jc w:val="center"/>
              <w:rPr>
                <w:b/>
                <w:noProof/>
                <w:sz w:val="20"/>
              </w:rPr>
            </w:pPr>
            <w:r>
              <w:rPr>
                <w:noProof/>
                <w:sz w:val="20"/>
              </w:rPr>
              <w:t>pm</w:t>
            </w:r>
          </w:p>
        </w:tc>
        <w:tc>
          <w:tcPr>
            <w:tcW w:w="1033" w:type="dxa"/>
            <w:vAlign w:val="center"/>
          </w:tcPr>
          <w:p w:rsidR="00D10CBC" w:rsidRDefault="00D10CBC">
            <w:pPr>
              <w:spacing w:before="40" w:after="40"/>
              <w:jc w:val="center"/>
              <w:rPr>
                <w:b/>
                <w:noProof/>
                <w:sz w:val="20"/>
              </w:rPr>
            </w:pPr>
          </w:p>
        </w:tc>
        <w:tc>
          <w:tcPr>
            <w:tcW w:w="1127" w:type="dxa"/>
            <w:vAlign w:val="center"/>
          </w:tcPr>
          <w:p w:rsidR="00D10CBC" w:rsidRDefault="00BC383A">
            <w:pPr>
              <w:spacing w:before="40" w:after="40"/>
              <w:jc w:val="center"/>
              <w:rPr>
                <w:b/>
                <w:noProof/>
                <w:sz w:val="20"/>
              </w:rPr>
            </w:pPr>
            <w:r>
              <w:rPr>
                <w:b/>
                <w:noProof/>
                <w:sz w:val="20"/>
              </w:rPr>
              <w:t>pm</w:t>
            </w:r>
          </w:p>
        </w:tc>
      </w:tr>
      <w:tr w:rsidR="00D10CBC">
        <w:tc>
          <w:tcPr>
            <w:tcW w:w="3780" w:type="dxa"/>
            <w:vMerge w:val="restart"/>
            <w:vAlign w:val="center"/>
          </w:tcPr>
          <w:p w:rsidR="00D10CBC" w:rsidRDefault="00BC383A">
            <w:pPr>
              <w:jc w:val="center"/>
              <w:rPr>
                <w:b/>
                <w:noProof/>
              </w:rPr>
            </w:pPr>
            <w:r>
              <w:rPr>
                <w:b/>
                <w:noProof/>
                <w:sz w:val="22"/>
              </w:rPr>
              <w:t>TOTAL appropriations</w:t>
            </w:r>
            <w:r>
              <w:rPr>
                <w:noProof/>
                <w:sz w:val="22"/>
              </w:rPr>
              <w:br/>
            </w:r>
            <w:r>
              <w:rPr>
                <w:b/>
                <w:noProof/>
                <w:sz w:val="22"/>
              </w:rPr>
              <w:t>from budgetary procedures for the envelope of the programme</w:t>
            </w:r>
          </w:p>
        </w:tc>
        <w:tc>
          <w:tcPr>
            <w:tcW w:w="1260"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=1+1a +3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76" w:type="dxa"/>
            <w:vAlign w:val="center"/>
          </w:tcPr>
          <w:p w:rsidR="00D10CBC" w:rsidRDefault="00BC383A">
            <w:pPr>
              <w:spacing w:before="20" w:after="20"/>
              <w:jc w:val="center"/>
              <w:rPr>
                <w:noProof/>
                <w:sz w:val="20"/>
              </w:rPr>
            </w:pPr>
            <w:r>
              <w:rPr>
                <w:noProof/>
                <w:sz w:val="20"/>
              </w:rPr>
              <w:t>pm</w:t>
            </w:r>
          </w:p>
        </w:tc>
        <w:tc>
          <w:tcPr>
            <w:tcW w:w="1004"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b/>
                <w:noProof/>
                <w:sz w:val="20"/>
              </w:rPr>
            </w:pPr>
            <w:r>
              <w:rPr>
                <w:noProof/>
                <w:sz w:val="20"/>
              </w:rPr>
              <w:t>pm</w:t>
            </w:r>
          </w:p>
        </w:tc>
        <w:tc>
          <w:tcPr>
            <w:tcW w:w="1033" w:type="dxa"/>
            <w:vAlign w:val="center"/>
          </w:tcPr>
          <w:p w:rsidR="00D10CBC" w:rsidRDefault="00D10CBC">
            <w:pPr>
              <w:spacing w:before="20" w:after="20"/>
              <w:jc w:val="center"/>
              <w:rPr>
                <w:b/>
                <w:noProof/>
                <w:sz w:val="20"/>
              </w:rPr>
            </w:pPr>
          </w:p>
        </w:tc>
        <w:tc>
          <w:tcPr>
            <w:tcW w:w="1127" w:type="dxa"/>
            <w:vAlign w:val="center"/>
          </w:tcPr>
          <w:p w:rsidR="00D10CBC" w:rsidRDefault="00BC383A">
            <w:pPr>
              <w:spacing w:before="20" w:after="20"/>
              <w:jc w:val="center"/>
              <w:rPr>
                <w:b/>
                <w:noProof/>
                <w:sz w:val="20"/>
              </w:rPr>
            </w:pPr>
            <w:r>
              <w:rPr>
                <w:b/>
                <w:bCs/>
                <w:noProof/>
                <w:color w:val="000000"/>
                <w:sz w:val="20"/>
                <w:szCs w:val="20"/>
              </w:rPr>
              <w:t>pm</w:t>
            </w:r>
          </w:p>
        </w:tc>
      </w:tr>
      <w:tr w:rsidR="00D10CBC">
        <w:tc>
          <w:tcPr>
            <w:tcW w:w="3780" w:type="dxa"/>
            <w:vMerge/>
          </w:tcPr>
          <w:p w:rsidR="00D10CBC" w:rsidRDefault="00D10CBC">
            <w:pPr>
              <w:rPr>
                <w:noProof/>
                <w:sz w:val="20"/>
              </w:rPr>
            </w:pPr>
          </w:p>
        </w:tc>
        <w:tc>
          <w:tcPr>
            <w:tcW w:w="1260" w:type="dxa"/>
            <w:vAlign w:val="center"/>
          </w:tcPr>
          <w:p w:rsidR="00D10CBC" w:rsidRDefault="00BC383A">
            <w:pPr>
              <w:rPr>
                <w:noProof/>
                <w:sz w:val="18"/>
              </w:rPr>
            </w:pPr>
            <w:r>
              <w:rPr>
                <w:noProof/>
                <w:sz w:val="18"/>
              </w:rPr>
              <w:t>Payments</w:t>
            </w:r>
          </w:p>
        </w:tc>
        <w:tc>
          <w:tcPr>
            <w:tcW w:w="540" w:type="dxa"/>
            <w:vAlign w:val="center"/>
          </w:tcPr>
          <w:p w:rsidR="00D10CBC" w:rsidRDefault="00BC383A">
            <w:pPr>
              <w:jc w:val="center"/>
              <w:rPr>
                <w:noProof/>
                <w:sz w:val="14"/>
              </w:rPr>
            </w:pPr>
            <w:r>
              <w:rPr>
                <w:noProof/>
                <w:sz w:val="14"/>
              </w:rPr>
              <w:t>=2+2a</w:t>
            </w:r>
          </w:p>
          <w:p w:rsidR="00D10CBC" w:rsidRDefault="00BC383A">
            <w:pPr>
              <w:jc w:val="center"/>
              <w:rPr>
                <w:noProof/>
                <w:sz w:val="14"/>
              </w:rPr>
            </w:pPr>
            <w:r>
              <w:rPr>
                <w:noProof/>
                <w:sz w:val="14"/>
              </w:rPr>
              <w:t>+3</w:t>
            </w:r>
          </w:p>
        </w:tc>
        <w:tc>
          <w:tcPr>
            <w:tcW w:w="990" w:type="dxa"/>
            <w:vAlign w:val="center"/>
          </w:tcPr>
          <w:p w:rsidR="00D10CBC" w:rsidRDefault="00D10CBC">
            <w:pPr>
              <w:spacing w:before="20" w:after="20"/>
              <w:jc w:val="right"/>
              <w:rPr>
                <w:noProof/>
                <w:sz w:val="20"/>
              </w:rPr>
            </w:pP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76" w:type="dxa"/>
            <w:vAlign w:val="center"/>
          </w:tcPr>
          <w:p w:rsidR="00D10CBC" w:rsidRDefault="00BC383A">
            <w:pPr>
              <w:spacing w:before="20" w:after="20"/>
              <w:jc w:val="center"/>
              <w:rPr>
                <w:noProof/>
                <w:sz w:val="20"/>
              </w:rPr>
            </w:pPr>
            <w:r>
              <w:rPr>
                <w:noProof/>
                <w:sz w:val="20"/>
              </w:rPr>
              <w:t>pm</w:t>
            </w:r>
          </w:p>
        </w:tc>
        <w:tc>
          <w:tcPr>
            <w:tcW w:w="1004"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noProof/>
                <w:sz w:val="20"/>
              </w:rPr>
            </w:pPr>
            <w:r>
              <w:rPr>
                <w:noProof/>
                <w:sz w:val="20"/>
              </w:rPr>
              <w:t>pm</w:t>
            </w:r>
          </w:p>
        </w:tc>
        <w:tc>
          <w:tcPr>
            <w:tcW w:w="990" w:type="dxa"/>
            <w:vAlign w:val="center"/>
          </w:tcPr>
          <w:p w:rsidR="00D10CBC" w:rsidRDefault="00BC383A">
            <w:pPr>
              <w:spacing w:before="20" w:after="20"/>
              <w:jc w:val="center"/>
              <w:rPr>
                <w:b/>
                <w:noProof/>
                <w:sz w:val="20"/>
              </w:rPr>
            </w:pPr>
            <w:r>
              <w:rPr>
                <w:noProof/>
                <w:sz w:val="20"/>
              </w:rPr>
              <w:t>pm</w:t>
            </w:r>
          </w:p>
        </w:tc>
        <w:tc>
          <w:tcPr>
            <w:tcW w:w="1033" w:type="dxa"/>
            <w:vAlign w:val="center"/>
          </w:tcPr>
          <w:p w:rsidR="00D10CBC" w:rsidRDefault="00D10CBC">
            <w:pPr>
              <w:spacing w:before="20" w:after="20"/>
              <w:jc w:val="center"/>
              <w:rPr>
                <w:b/>
                <w:noProof/>
                <w:sz w:val="20"/>
              </w:rPr>
            </w:pPr>
          </w:p>
        </w:tc>
        <w:tc>
          <w:tcPr>
            <w:tcW w:w="1127" w:type="dxa"/>
            <w:vAlign w:val="center"/>
          </w:tcPr>
          <w:p w:rsidR="00D10CBC" w:rsidRDefault="00BC383A">
            <w:pPr>
              <w:spacing w:before="20" w:after="20"/>
              <w:jc w:val="center"/>
              <w:rPr>
                <w:b/>
                <w:noProof/>
                <w:sz w:val="20"/>
              </w:rPr>
            </w:pPr>
            <w:r>
              <w:rPr>
                <w:b/>
                <w:bCs/>
                <w:noProof/>
                <w:color w:val="000000"/>
                <w:sz w:val="20"/>
                <w:szCs w:val="20"/>
              </w:rPr>
              <w:t>pm</w:t>
            </w:r>
          </w:p>
        </w:tc>
      </w:tr>
    </w:tbl>
    <w:p w:rsidR="00D10CBC" w:rsidRDefault="00BC383A">
      <w:pPr>
        <w:spacing w:before="0" w:after="200" w:line="276" w:lineRule="auto"/>
        <w:jc w:val="left"/>
        <w:rPr>
          <w:noProof/>
        </w:rPr>
      </w:pPr>
      <w:r>
        <w:rPr>
          <w:noProof/>
        </w:rPr>
        <w:br w:type="page"/>
      </w:r>
    </w:p>
    <w:tbl>
      <w:tblPr>
        <w:tblW w:w="1496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2"/>
        <w:gridCol w:w="1278"/>
        <w:gridCol w:w="540"/>
        <w:gridCol w:w="734"/>
        <w:gridCol w:w="1080"/>
        <w:gridCol w:w="1081"/>
        <w:gridCol w:w="1081"/>
        <w:gridCol w:w="1081"/>
        <w:gridCol w:w="1081"/>
        <w:gridCol w:w="1081"/>
        <w:gridCol w:w="1081"/>
        <w:gridCol w:w="1081"/>
      </w:tblGrid>
      <w:tr w:rsidR="00D10CBC">
        <w:tc>
          <w:tcPr>
            <w:tcW w:w="3762" w:type="dxa"/>
            <w:vAlign w:val="center"/>
          </w:tcPr>
          <w:p w:rsidR="00D10CBC" w:rsidRDefault="00D10CBC">
            <w:pPr>
              <w:jc w:val="center"/>
              <w:rPr>
                <w:noProof/>
              </w:rPr>
            </w:pPr>
          </w:p>
        </w:tc>
        <w:tc>
          <w:tcPr>
            <w:tcW w:w="1278" w:type="dxa"/>
          </w:tcPr>
          <w:p w:rsidR="00D10CBC" w:rsidRDefault="00D10CBC">
            <w:pPr>
              <w:rPr>
                <w:noProof/>
                <w:sz w:val="20"/>
              </w:rPr>
            </w:pPr>
          </w:p>
        </w:tc>
        <w:tc>
          <w:tcPr>
            <w:tcW w:w="540" w:type="dxa"/>
          </w:tcPr>
          <w:p w:rsidR="00D10CBC" w:rsidRDefault="00D10CBC">
            <w:pPr>
              <w:jc w:val="center"/>
              <w:rPr>
                <w:noProof/>
                <w:sz w:val="20"/>
              </w:rPr>
            </w:pPr>
          </w:p>
        </w:tc>
        <w:tc>
          <w:tcPr>
            <w:tcW w:w="734" w:type="dxa"/>
            <w:vAlign w:val="center"/>
          </w:tcPr>
          <w:p w:rsidR="00D10CBC" w:rsidRDefault="00BC383A">
            <w:pPr>
              <w:jc w:val="center"/>
              <w:rPr>
                <w:noProof/>
                <w:sz w:val="20"/>
              </w:rPr>
            </w:pPr>
            <w:r>
              <w:rPr>
                <w:b/>
                <w:noProof/>
                <w:sz w:val="20"/>
              </w:rPr>
              <w:t>2021</w:t>
            </w:r>
          </w:p>
        </w:tc>
        <w:tc>
          <w:tcPr>
            <w:tcW w:w="1080" w:type="dxa"/>
            <w:vAlign w:val="center"/>
          </w:tcPr>
          <w:p w:rsidR="00D10CBC" w:rsidRDefault="00BC383A">
            <w:pPr>
              <w:jc w:val="center"/>
              <w:rPr>
                <w:noProof/>
                <w:sz w:val="20"/>
              </w:rPr>
            </w:pPr>
            <w:r>
              <w:rPr>
                <w:b/>
                <w:noProof/>
                <w:sz w:val="20"/>
              </w:rPr>
              <w:t>2022</w:t>
            </w:r>
          </w:p>
        </w:tc>
        <w:tc>
          <w:tcPr>
            <w:tcW w:w="1081" w:type="dxa"/>
            <w:vAlign w:val="center"/>
          </w:tcPr>
          <w:p w:rsidR="00D10CBC" w:rsidRDefault="00BC383A">
            <w:pPr>
              <w:jc w:val="center"/>
              <w:rPr>
                <w:noProof/>
                <w:sz w:val="20"/>
              </w:rPr>
            </w:pPr>
            <w:r>
              <w:rPr>
                <w:b/>
                <w:noProof/>
                <w:sz w:val="20"/>
              </w:rPr>
              <w:t>2023</w:t>
            </w:r>
          </w:p>
        </w:tc>
        <w:tc>
          <w:tcPr>
            <w:tcW w:w="1081" w:type="dxa"/>
            <w:vAlign w:val="center"/>
          </w:tcPr>
          <w:p w:rsidR="00D10CBC" w:rsidRDefault="00BC383A">
            <w:pPr>
              <w:jc w:val="center"/>
              <w:rPr>
                <w:noProof/>
                <w:sz w:val="20"/>
              </w:rPr>
            </w:pPr>
            <w:r>
              <w:rPr>
                <w:b/>
                <w:noProof/>
                <w:sz w:val="20"/>
              </w:rPr>
              <w:t>2024</w:t>
            </w:r>
          </w:p>
        </w:tc>
        <w:tc>
          <w:tcPr>
            <w:tcW w:w="1081" w:type="dxa"/>
            <w:vAlign w:val="center"/>
          </w:tcPr>
          <w:p w:rsidR="00D10CBC" w:rsidRDefault="00BC383A">
            <w:pPr>
              <w:jc w:val="center"/>
              <w:rPr>
                <w:b/>
                <w:noProof/>
                <w:sz w:val="18"/>
              </w:rPr>
            </w:pPr>
            <w:r>
              <w:rPr>
                <w:b/>
                <w:noProof/>
                <w:sz w:val="18"/>
              </w:rPr>
              <w:t>2025</w:t>
            </w:r>
          </w:p>
        </w:tc>
        <w:tc>
          <w:tcPr>
            <w:tcW w:w="1081" w:type="dxa"/>
            <w:vAlign w:val="center"/>
          </w:tcPr>
          <w:p w:rsidR="00D10CBC" w:rsidRDefault="00BC383A">
            <w:pPr>
              <w:jc w:val="center"/>
              <w:rPr>
                <w:b/>
                <w:noProof/>
                <w:sz w:val="18"/>
              </w:rPr>
            </w:pPr>
            <w:r>
              <w:rPr>
                <w:b/>
                <w:noProof/>
                <w:sz w:val="18"/>
              </w:rPr>
              <w:t>2026</w:t>
            </w:r>
          </w:p>
        </w:tc>
        <w:tc>
          <w:tcPr>
            <w:tcW w:w="1081" w:type="dxa"/>
            <w:vAlign w:val="center"/>
          </w:tcPr>
          <w:p w:rsidR="00D10CBC" w:rsidRDefault="00BC383A">
            <w:pPr>
              <w:jc w:val="center"/>
              <w:rPr>
                <w:b/>
                <w:noProof/>
                <w:sz w:val="18"/>
              </w:rPr>
            </w:pPr>
            <w:r>
              <w:rPr>
                <w:b/>
                <w:noProof/>
                <w:sz w:val="18"/>
              </w:rPr>
              <w:t>2027</w:t>
            </w:r>
          </w:p>
        </w:tc>
        <w:tc>
          <w:tcPr>
            <w:tcW w:w="1081" w:type="dxa"/>
          </w:tcPr>
          <w:p w:rsidR="00D10CBC" w:rsidRDefault="00BC383A">
            <w:pPr>
              <w:jc w:val="center"/>
              <w:rPr>
                <w:b/>
                <w:noProof/>
                <w:sz w:val="20"/>
              </w:rPr>
            </w:pPr>
            <w:r>
              <w:rPr>
                <w:b/>
                <w:i/>
                <w:noProof/>
                <w:sz w:val="20"/>
              </w:rPr>
              <w:t>Post 2027</w:t>
            </w:r>
          </w:p>
        </w:tc>
        <w:tc>
          <w:tcPr>
            <w:tcW w:w="1081" w:type="dxa"/>
            <w:vAlign w:val="center"/>
          </w:tcPr>
          <w:p w:rsidR="00D10CBC" w:rsidRDefault="00BC383A">
            <w:pPr>
              <w:jc w:val="center"/>
              <w:rPr>
                <w:b/>
                <w:noProof/>
                <w:sz w:val="20"/>
              </w:rPr>
            </w:pPr>
            <w:r>
              <w:rPr>
                <w:b/>
                <w:noProof/>
                <w:sz w:val="20"/>
              </w:rPr>
              <w:t>TOTAL</w:t>
            </w:r>
          </w:p>
        </w:tc>
      </w:tr>
      <w:tr w:rsidR="00D10CBC">
        <w:trPr>
          <w:trHeight w:val="213"/>
        </w:trPr>
        <w:tc>
          <w:tcPr>
            <w:tcW w:w="5580" w:type="dxa"/>
            <w:gridSpan w:val="3"/>
            <w:vAlign w:val="center"/>
          </w:tcPr>
          <w:p w:rsidR="00D10CBC" w:rsidRDefault="00BC383A">
            <w:pPr>
              <w:spacing w:before="20" w:after="20"/>
              <w:rPr>
                <w:noProof/>
                <w:sz w:val="21"/>
              </w:rPr>
            </w:pPr>
            <w:r>
              <w:rPr>
                <w:noProof/>
                <w:sz w:val="21"/>
              </w:rPr>
              <w:sym w:font="Wingdings" w:char="F09F"/>
            </w:r>
            <w:r>
              <w:rPr>
                <w:noProof/>
                <w:sz w:val="21"/>
              </w:rPr>
              <w:t xml:space="preserve"> Operational appropriations (C1 credits)</w:t>
            </w:r>
          </w:p>
        </w:tc>
        <w:tc>
          <w:tcPr>
            <w:tcW w:w="734" w:type="dxa"/>
            <w:vAlign w:val="center"/>
          </w:tcPr>
          <w:p w:rsidR="00D10CBC" w:rsidRDefault="00D10CBC">
            <w:pPr>
              <w:rPr>
                <w:noProof/>
                <w:sz w:val="20"/>
              </w:rPr>
            </w:pPr>
          </w:p>
        </w:tc>
        <w:tc>
          <w:tcPr>
            <w:tcW w:w="1080" w:type="dxa"/>
            <w:vAlign w:val="center"/>
          </w:tcPr>
          <w:p w:rsidR="00D10CBC" w:rsidRDefault="00D10CBC">
            <w:pPr>
              <w:rPr>
                <w:noProof/>
                <w:sz w:val="20"/>
              </w:rPr>
            </w:pPr>
          </w:p>
        </w:tc>
        <w:tc>
          <w:tcPr>
            <w:tcW w:w="1081" w:type="dxa"/>
            <w:vAlign w:val="center"/>
          </w:tcPr>
          <w:p w:rsidR="00D10CBC" w:rsidRDefault="00D10CBC">
            <w:pPr>
              <w:rPr>
                <w:noProof/>
                <w:sz w:val="20"/>
              </w:rPr>
            </w:pPr>
          </w:p>
        </w:tc>
        <w:tc>
          <w:tcPr>
            <w:tcW w:w="1081" w:type="dxa"/>
            <w:vAlign w:val="center"/>
          </w:tcPr>
          <w:p w:rsidR="00D10CBC" w:rsidRDefault="00D10CBC">
            <w:pPr>
              <w:rPr>
                <w:noProof/>
                <w:sz w:val="20"/>
              </w:rPr>
            </w:pPr>
          </w:p>
        </w:tc>
        <w:tc>
          <w:tcPr>
            <w:tcW w:w="1081" w:type="dxa"/>
            <w:vAlign w:val="center"/>
          </w:tcPr>
          <w:p w:rsidR="00D10CBC" w:rsidRDefault="00D10CBC">
            <w:pPr>
              <w:rPr>
                <w:noProof/>
                <w:sz w:val="20"/>
              </w:rPr>
            </w:pPr>
          </w:p>
        </w:tc>
        <w:tc>
          <w:tcPr>
            <w:tcW w:w="1081" w:type="dxa"/>
            <w:vAlign w:val="center"/>
          </w:tcPr>
          <w:p w:rsidR="00D10CBC" w:rsidRDefault="00D10CBC">
            <w:pPr>
              <w:rPr>
                <w:noProof/>
                <w:sz w:val="20"/>
              </w:rPr>
            </w:pPr>
          </w:p>
        </w:tc>
        <w:tc>
          <w:tcPr>
            <w:tcW w:w="1081" w:type="dxa"/>
            <w:vAlign w:val="center"/>
          </w:tcPr>
          <w:p w:rsidR="00D10CBC" w:rsidRDefault="00D10CBC">
            <w:pPr>
              <w:rPr>
                <w:b/>
                <w:noProof/>
                <w:sz w:val="20"/>
              </w:rPr>
            </w:pPr>
          </w:p>
        </w:tc>
        <w:tc>
          <w:tcPr>
            <w:tcW w:w="1081" w:type="dxa"/>
          </w:tcPr>
          <w:p w:rsidR="00D10CBC" w:rsidRDefault="00D10CBC">
            <w:pPr>
              <w:rPr>
                <w:b/>
                <w:noProof/>
                <w:sz w:val="20"/>
              </w:rPr>
            </w:pPr>
          </w:p>
        </w:tc>
        <w:tc>
          <w:tcPr>
            <w:tcW w:w="1081" w:type="dxa"/>
            <w:vAlign w:val="center"/>
          </w:tcPr>
          <w:p w:rsidR="00D10CBC" w:rsidRDefault="00D10CBC">
            <w:pPr>
              <w:rPr>
                <w:b/>
                <w:noProof/>
                <w:sz w:val="20"/>
              </w:rPr>
            </w:pPr>
          </w:p>
        </w:tc>
      </w:tr>
      <w:tr w:rsidR="00D10CBC">
        <w:trPr>
          <w:trHeight w:val="277"/>
        </w:trPr>
        <w:tc>
          <w:tcPr>
            <w:tcW w:w="3762" w:type="dxa"/>
            <w:vMerge w:val="restart"/>
            <w:vAlign w:val="center"/>
          </w:tcPr>
          <w:p w:rsidR="00D10CBC" w:rsidRDefault="00BC383A">
            <w:pPr>
              <w:rPr>
                <w:noProof/>
              </w:rPr>
            </w:pPr>
            <w:r>
              <w:rPr>
                <w:noProof/>
                <w:sz w:val="20"/>
              </w:rPr>
              <w:t>Other programmes as detailed in the Communication (budget lines to be further detailed)</w:t>
            </w:r>
          </w:p>
        </w:tc>
        <w:tc>
          <w:tcPr>
            <w:tcW w:w="1278" w:type="dxa"/>
            <w:vAlign w:val="center"/>
          </w:tcPr>
          <w:p w:rsidR="00D10CBC" w:rsidRDefault="00BC383A">
            <w:pPr>
              <w:spacing w:before="20" w:after="20"/>
              <w:rPr>
                <w:noProof/>
                <w:sz w:val="18"/>
              </w:rPr>
            </w:pPr>
            <w:r>
              <w:rPr>
                <w:noProof/>
                <w:sz w:val="18"/>
              </w:rPr>
              <w:t>Commitments</w:t>
            </w:r>
          </w:p>
        </w:tc>
        <w:tc>
          <w:tcPr>
            <w:tcW w:w="540" w:type="dxa"/>
            <w:vAlign w:val="center"/>
          </w:tcPr>
          <w:p w:rsidR="00D10CBC" w:rsidRDefault="00BC383A">
            <w:pPr>
              <w:spacing w:before="20" w:after="20"/>
              <w:jc w:val="center"/>
              <w:rPr>
                <w:noProof/>
                <w:sz w:val="14"/>
              </w:rPr>
            </w:pPr>
            <w:r>
              <w:rPr>
                <w:noProof/>
                <w:sz w:val="14"/>
              </w:rPr>
              <w:t>(1)</w:t>
            </w:r>
          </w:p>
        </w:tc>
        <w:tc>
          <w:tcPr>
            <w:tcW w:w="734" w:type="dxa"/>
            <w:vAlign w:val="center"/>
          </w:tcPr>
          <w:p w:rsidR="00D10CBC" w:rsidRDefault="00D10CBC">
            <w:pPr>
              <w:spacing w:before="20" w:after="20"/>
              <w:jc w:val="right"/>
              <w:rPr>
                <w:noProof/>
                <w:sz w:val="20"/>
              </w:rPr>
            </w:pPr>
          </w:p>
        </w:tc>
        <w:tc>
          <w:tcPr>
            <w:tcW w:w="1080"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b/>
                <w:bCs/>
                <w:noProof/>
                <w:color w:val="000000"/>
                <w:sz w:val="20"/>
                <w:szCs w:val="20"/>
              </w:rPr>
              <w:t>41.167</w:t>
            </w:r>
          </w:p>
        </w:tc>
        <w:tc>
          <w:tcPr>
            <w:tcW w:w="1081" w:type="dxa"/>
            <w:vAlign w:val="center"/>
          </w:tcPr>
          <w:p w:rsidR="00D10CBC" w:rsidRDefault="00D10CBC">
            <w:pPr>
              <w:spacing w:before="20" w:after="20"/>
              <w:jc w:val="right"/>
              <w:rPr>
                <w:b/>
                <w:noProof/>
                <w:sz w:val="20"/>
              </w:rPr>
            </w:pPr>
          </w:p>
        </w:tc>
        <w:tc>
          <w:tcPr>
            <w:tcW w:w="1081" w:type="dxa"/>
            <w:vAlign w:val="center"/>
          </w:tcPr>
          <w:p w:rsidR="00D10CBC" w:rsidRDefault="00BC383A">
            <w:pPr>
              <w:spacing w:before="0" w:after="0"/>
              <w:jc w:val="right"/>
              <w:rPr>
                <w:b/>
                <w:bCs/>
                <w:noProof/>
                <w:color w:val="000000"/>
                <w:sz w:val="20"/>
                <w:szCs w:val="20"/>
              </w:rPr>
            </w:pPr>
            <w:r>
              <w:rPr>
                <w:b/>
                <w:bCs/>
                <w:noProof/>
                <w:color w:val="000000"/>
                <w:sz w:val="20"/>
                <w:szCs w:val="20"/>
              </w:rPr>
              <w:t>247.000</w:t>
            </w:r>
          </w:p>
        </w:tc>
      </w:tr>
      <w:tr w:rsidR="00D10CBC">
        <w:tc>
          <w:tcPr>
            <w:tcW w:w="3762" w:type="dxa"/>
            <w:vMerge/>
          </w:tcPr>
          <w:p w:rsidR="00D10CBC" w:rsidRDefault="00D10CBC">
            <w:pPr>
              <w:jc w:val="center"/>
              <w:rPr>
                <w:noProof/>
                <w:sz w:val="20"/>
              </w:rPr>
            </w:pPr>
          </w:p>
        </w:tc>
        <w:tc>
          <w:tcPr>
            <w:tcW w:w="1278" w:type="dxa"/>
            <w:vAlign w:val="center"/>
          </w:tcPr>
          <w:p w:rsidR="00D10CBC" w:rsidRDefault="00BC383A">
            <w:pPr>
              <w:spacing w:before="20" w:after="20"/>
              <w:rPr>
                <w:noProof/>
                <w:sz w:val="18"/>
              </w:rPr>
            </w:pPr>
            <w:r>
              <w:rPr>
                <w:noProof/>
                <w:sz w:val="18"/>
              </w:rPr>
              <w:t>Payments</w:t>
            </w:r>
          </w:p>
        </w:tc>
        <w:tc>
          <w:tcPr>
            <w:tcW w:w="540" w:type="dxa"/>
            <w:vAlign w:val="center"/>
          </w:tcPr>
          <w:p w:rsidR="00D10CBC" w:rsidRDefault="00BC383A">
            <w:pPr>
              <w:spacing w:before="20" w:after="20"/>
              <w:jc w:val="center"/>
              <w:rPr>
                <w:noProof/>
                <w:sz w:val="14"/>
              </w:rPr>
            </w:pPr>
            <w:r>
              <w:rPr>
                <w:noProof/>
                <w:sz w:val="14"/>
              </w:rPr>
              <w:t>(2)</w:t>
            </w:r>
          </w:p>
        </w:tc>
        <w:tc>
          <w:tcPr>
            <w:tcW w:w="734" w:type="dxa"/>
            <w:vAlign w:val="center"/>
          </w:tcPr>
          <w:p w:rsidR="00D10CBC" w:rsidRDefault="00D10CBC">
            <w:pPr>
              <w:spacing w:before="20" w:after="20"/>
              <w:jc w:val="right"/>
              <w:rPr>
                <w:noProof/>
                <w:sz w:val="20"/>
              </w:rPr>
            </w:pPr>
          </w:p>
        </w:tc>
        <w:tc>
          <w:tcPr>
            <w:tcW w:w="1080" w:type="dxa"/>
            <w:vAlign w:val="center"/>
          </w:tcPr>
          <w:p w:rsidR="00D10CBC" w:rsidRDefault="00BC383A">
            <w:pPr>
              <w:spacing w:before="20" w:after="20"/>
              <w:jc w:val="right"/>
              <w:rPr>
                <w:noProof/>
                <w:sz w:val="20"/>
              </w:rPr>
            </w:pPr>
            <w:r>
              <w:rPr>
                <w:noProof/>
                <w:color w:val="000000"/>
                <w:sz w:val="20"/>
                <w:szCs w:val="20"/>
              </w:rPr>
              <w:t>12.350</w:t>
            </w:r>
          </w:p>
        </w:tc>
        <w:tc>
          <w:tcPr>
            <w:tcW w:w="1081" w:type="dxa"/>
            <w:vAlign w:val="center"/>
          </w:tcPr>
          <w:p w:rsidR="00D10CBC" w:rsidRDefault="00BC383A">
            <w:pPr>
              <w:spacing w:before="20" w:after="20"/>
              <w:jc w:val="right"/>
              <w:rPr>
                <w:noProof/>
                <w:sz w:val="20"/>
              </w:rPr>
            </w:pPr>
            <w:r>
              <w:rPr>
                <w:noProof/>
                <w:color w:val="000000"/>
                <w:sz w:val="20"/>
                <w:szCs w:val="20"/>
              </w:rPr>
              <w:t>24.700</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45.283</w:t>
            </w:r>
          </w:p>
        </w:tc>
        <w:tc>
          <w:tcPr>
            <w:tcW w:w="1081" w:type="dxa"/>
            <w:vAlign w:val="center"/>
          </w:tcPr>
          <w:p w:rsidR="00D10CBC" w:rsidRDefault="00BC383A">
            <w:pPr>
              <w:spacing w:before="20" w:after="20"/>
              <w:jc w:val="right"/>
              <w:rPr>
                <w:b/>
                <w:noProof/>
                <w:sz w:val="20"/>
              </w:rPr>
            </w:pPr>
            <w:r>
              <w:rPr>
                <w:b/>
                <w:bCs/>
                <w:noProof/>
                <w:color w:val="000000"/>
                <w:sz w:val="20"/>
                <w:szCs w:val="20"/>
              </w:rPr>
              <w:t>247.000</w:t>
            </w:r>
          </w:p>
        </w:tc>
      </w:tr>
      <w:tr w:rsidR="00D10CBC">
        <w:trPr>
          <w:trHeight w:val="231"/>
        </w:trPr>
        <w:tc>
          <w:tcPr>
            <w:tcW w:w="3762" w:type="dxa"/>
            <w:vAlign w:val="center"/>
          </w:tcPr>
          <w:p w:rsidR="00D10CBC" w:rsidRDefault="00BC383A">
            <w:pPr>
              <w:spacing w:before="20" w:after="20"/>
              <w:rPr>
                <w:noProof/>
              </w:rPr>
            </w:pPr>
            <w:r>
              <w:rPr>
                <w:noProof/>
                <w:sz w:val="21"/>
              </w:rPr>
              <w:sym w:font="Wingdings" w:char="F09F"/>
            </w:r>
            <w:r>
              <w:rPr>
                <w:noProof/>
                <w:sz w:val="21"/>
              </w:rPr>
              <w:t xml:space="preserve"> Appropriations of an administrative nature financed from the envelope of specific programmes</w:t>
            </w:r>
            <w:r>
              <w:rPr>
                <w:rStyle w:val="FootnoteReference"/>
                <w:noProof/>
                <w:sz w:val="21"/>
              </w:rPr>
              <w:footnoteReference w:id="40"/>
            </w:r>
            <w:r>
              <w:rPr>
                <w:noProof/>
                <w:sz w:val="21"/>
              </w:rPr>
              <w:t xml:space="preserve"> </w:t>
            </w:r>
          </w:p>
        </w:tc>
        <w:tc>
          <w:tcPr>
            <w:tcW w:w="1278" w:type="dxa"/>
            <w:vAlign w:val="center"/>
          </w:tcPr>
          <w:p w:rsidR="00D10CBC" w:rsidRDefault="00D10CBC">
            <w:pPr>
              <w:spacing w:before="0" w:after="0"/>
              <w:rPr>
                <w:noProof/>
              </w:rPr>
            </w:pPr>
          </w:p>
        </w:tc>
        <w:tc>
          <w:tcPr>
            <w:tcW w:w="540" w:type="dxa"/>
            <w:vAlign w:val="center"/>
          </w:tcPr>
          <w:p w:rsidR="00D10CBC" w:rsidRDefault="00D10CBC">
            <w:pPr>
              <w:spacing w:before="20" w:after="20"/>
              <w:jc w:val="center"/>
              <w:rPr>
                <w:noProof/>
              </w:rPr>
            </w:pPr>
          </w:p>
        </w:tc>
        <w:tc>
          <w:tcPr>
            <w:tcW w:w="734" w:type="dxa"/>
            <w:vAlign w:val="center"/>
          </w:tcPr>
          <w:p w:rsidR="00D10CBC" w:rsidRDefault="00D10CBC">
            <w:pPr>
              <w:rPr>
                <w:b/>
                <w:noProof/>
                <w:sz w:val="20"/>
              </w:rPr>
            </w:pPr>
          </w:p>
        </w:tc>
        <w:tc>
          <w:tcPr>
            <w:tcW w:w="1080"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rPr>
                <w:b/>
                <w:noProof/>
                <w:sz w:val="20"/>
              </w:rPr>
            </w:pPr>
            <w:r>
              <w:rPr>
                <w:b/>
                <w:bCs/>
                <w:noProof/>
                <w:color w:val="000000"/>
                <w:sz w:val="20"/>
              </w:rPr>
              <w:t> </w:t>
            </w:r>
          </w:p>
        </w:tc>
        <w:tc>
          <w:tcPr>
            <w:tcW w:w="1081" w:type="dxa"/>
            <w:vAlign w:val="center"/>
          </w:tcPr>
          <w:p w:rsidR="00D10CBC" w:rsidRDefault="00BC383A">
            <w:pPr>
              <w:spacing w:before="0" w:after="0"/>
              <w:jc w:val="right"/>
              <w:rPr>
                <w:b/>
                <w:noProof/>
                <w:sz w:val="20"/>
              </w:rPr>
            </w:pPr>
            <w:r>
              <w:rPr>
                <w:b/>
                <w:bCs/>
                <w:noProof/>
                <w:color w:val="000000"/>
                <w:sz w:val="20"/>
              </w:rPr>
              <w:t> </w:t>
            </w:r>
          </w:p>
        </w:tc>
      </w:tr>
      <w:tr w:rsidR="00D10CBC">
        <w:trPr>
          <w:trHeight w:val="319"/>
        </w:trPr>
        <w:tc>
          <w:tcPr>
            <w:tcW w:w="3762" w:type="dxa"/>
            <w:vAlign w:val="center"/>
          </w:tcPr>
          <w:p w:rsidR="00D10CBC" w:rsidRDefault="00D10CBC">
            <w:pPr>
              <w:spacing w:before="60" w:after="60"/>
              <w:rPr>
                <w:noProof/>
              </w:rPr>
            </w:pPr>
          </w:p>
        </w:tc>
        <w:tc>
          <w:tcPr>
            <w:tcW w:w="1278" w:type="dxa"/>
            <w:vAlign w:val="center"/>
          </w:tcPr>
          <w:p w:rsidR="00D10CBC" w:rsidRDefault="00BC383A">
            <w:pPr>
              <w:spacing w:before="40" w:after="40"/>
              <w:jc w:val="right"/>
              <w:rPr>
                <w:noProof/>
                <w:sz w:val="18"/>
              </w:rPr>
            </w:pPr>
            <w:r>
              <w:rPr>
                <w:noProof/>
                <w:sz w:val="18"/>
              </w:rPr>
              <w:t>Commitments = Payments</w:t>
            </w:r>
          </w:p>
        </w:tc>
        <w:tc>
          <w:tcPr>
            <w:tcW w:w="540" w:type="dxa"/>
            <w:vAlign w:val="center"/>
          </w:tcPr>
          <w:p w:rsidR="00D10CBC" w:rsidRDefault="00BC383A">
            <w:pPr>
              <w:spacing w:before="40" w:after="40"/>
              <w:jc w:val="center"/>
              <w:rPr>
                <w:noProof/>
                <w:sz w:val="14"/>
              </w:rPr>
            </w:pPr>
            <w:r>
              <w:rPr>
                <w:noProof/>
                <w:sz w:val="14"/>
              </w:rPr>
              <w:t>(3)</w:t>
            </w:r>
          </w:p>
        </w:tc>
        <w:tc>
          <w:tcPr>
            <w:tcW w:w="734" w:type="dxa"/>
            <w:vAlign w:val="center"/>
          </w:tcPr>
          <w:p w:rsidR="00D10CBC" w:rsidRDefault="00D10CBC">
            <w:pPr>
              <w:spacing w:before="40" w:after="40"/>
              <w:jc w:val="right"/>
              <w:rPr>
                <w:b/>
                <w:noProof/>
                <w:sz w:val="20"/>
              </w:rPr>
            </w:pPr>
          </w:p>
        </w:tc>
        <w:tc>
          <w:tcPr>
            <w:tcW w:w="1080"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BC383A">
            <w:pPr>
              <w:spacing w:before="40" w:after="40"/>
              <w:jc w:val="right"/>
              <w:rPr>
                <w:b/>
                <w:noProof/>
                <w:sz w:val="20"/>
              </w:rPr>
            </w:pPr>
            <w:r>
              <w:rPr>
                <w:noProof/>
                <w:sz w:val="20"/>
              </w:rPr>
              <w:t>pm</w:t>
            </w:r>
          </w:p>
        </w:tc>
        <w:tc>
          <w:tcPr>
            <w:tcW w:w="1081" w:type="dxa"/>
            <w:vAlign w:val="center"/>
          </w:tcPr>
          <w:p w:rsidR="00D10CBC" w:rsidRDefault="00D10CBC">
            <w:pPr>
              <w:spacing w:before="40" w:after="40"/>
              <w:jc w:val="right"/>
              <w:rPr>
                <w:b/>
                <w:noProof/>
                <w:sz w:val="20"/>
              </w:rPr>
            </w:pPr>
          </w:p>
        </w:tc>
        <w:tc>
          <w:tcPr>
            <w:tcW w:w="1081" w:type="dxa"/>
            <w:vAlign w:val="center"/>
          </w:tcPr>
          <w:p w:rsidR="00D10CBC" w:rsidRDefault="00BC383A">
            <w:pPr>
              <w:spacing w:before="40" w:after="40"/>
              <w:jc w:val="right"/>
              <w:rPr>
                <w:b/>
                <w:noProof/>
                <w:sz w:val="20"/>
              </w:rPr>
            </w:pPr>
            <w:r>
              <w:rPr>
                <w:b/>
                <w:bCs/>
                <w:noProof/>
                <w:color w:val="000000"/>
                <w:sz w:val="20"/>
                <w:szCs w:val="20"/>
              </w:rPr>
              <w:t>pm</w:t>
            </w:r>
          </w:p>
        </w:tc>
      </w:tr>
      <w:tr w:rsidR="00D10CBC">
        <w:tc>
          <w:tcPr>
            <w:tcW w:w="3762" w:type="dxa"/>
            <w:vMerge w:val="restart"/>
            <w:vAlign w:val="center"/>
          </w:tcPr>
          <w:p w:rsidR="00D10CBC" w:rsidRDefault="00BC383A">
            <w:pPr>
              <w:jc w:val="center"/>
              <w:rPr>
                <w:b/>
                <w:noProof/>
              </w:rPr>
            </w:pPr>
            <w:r>
              <w:rPr>
                <w:b/>
                <w:noProof/>
                <w:sz w:val="22"/>
              </w:rPr>
              <w:t>TOTAL appropriations</w:t>
            </w:r>
            <w:r>
              <w:rPr>
                <w:noProof/>
                <w:sz w:val="22"/>
              </w:rPr>
              <w:br/>
            </w:r>
            <w:r>
              <w:rPr>
                <w:b/>
                <w:noProof/>
                <w:sz w:val="22"/>
              </w:rPr>
              <w:t>from budgetary procedures for the envelope of the programme</w:t>
            </w:r>
          </w:p>
        </w:tc>
        <w:tc>
          <w:tcPr>
            <w:tcW w:w="1278"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=1+1a +3</w:t>
            </w:r>
          </w:p>
        </w:tc>
        <w:tc>
          <w:tcPr>
            <w:tcW w:w="734" w:type="dxa"/>
            <w:vAlign w:val="center"/>
          </w:tcPr>
          <w:p w:rsidR="00D10CBC" w:rsidRDefault="00D10CBC">
            <w:pPr>
              <w:spacing w:before="20" w:after="20"/>
              <w:jc w:val="right"/>
              <w:rPr>
                <w:noProof/>
                <w:sz w:val="20"/>
              </w:rPr>
            </w:pPr>
          </w:p>
        </w:tc>
        <w:tc>
          <w:tcPr>
            <w:tcW w:w="1080"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0.000</w:t>
            </w:r>
          </w:p>
        </w:tc>
        <w:tc>
          <w:tcPr>
            <w:tcW w:w="1081" w:type="dxa"/>
            <w:vAlign w:val="center"/>
          </w:tcPr>
          <w:p w:rsidR="00D10CBC" w:rsidRDefault="00BC383A">
            <w:pPr>
              <w:spacing w:before="20" w:after="20"/>
              <w:jc w:val="right"/>
              <w:rPr>
                <w:b/>
                <w:noProof/>
                <w:sz w:val="20"/>
              </w:rPr>
            </w:pPr>
            <w:r>
              <w:rPr>
                <w:b/>
                <w:bCs/>
                <w:noProof/>
                <w:color w:val="000000"/>
                <w:sz w:val="20"/>
                <w:szCs w:val="20"/>
              </w:rPr>
              <w:t>247.000</w:t>
            </w:r>
          </w:p>
        </w:tc>
      </w:tr>
      <w:tr w:rsidR="00D10CBC">
        <w:tc>
          <w:tcPr>
            <w:tcW w:w="3762" w:type="dxa"/>
            <w:vMerge/>
          </w:tcPr>
          <w:p w:rsidR="00D10CBC" w:rsidRDefault="00D10CBC">
            <w:pPr>
              <w:rPr>
                <w:noProof/>
                <w:sz w:val="20"/>
              </w:rPr>
            </w:pPr>
          </w:p>
        </w:tc>
        <w:tc>
          <w:tcPr>
            <w:tcW w:w="1278" w:type="dxa"/>
            <w:vAlign w:val="center"/>
          </w:tcPr>
          <w:p w:rsidR="00D10CBC" w:rsidRDefault="00BC383A">
            <w:pPr>
              <w:rPr>
                <w:noProof/>
                <w:sz w:val="18"/>
              </w:rPr>
            </w:pPr>
            <w:r>
              <w:rPr>
                <w:noProof/>
                <w:sz w:val="18"/>
              </w:rPr>
              <w:t>Payments</w:t>
            </w:r>
          </w:p>
        </w:tc>
        <w:tc>
          <w:tcPr>
            <w:tcW w:w="540" w:type="dxa"/>
            <w:vAlign w:val="center"/>
          </w:tcPr>
          <w:p w:rsidR="00D10CBC" w:rsidRDefault="00BC383A">
            <w:pPr>
              <w:jc w:val="center"/>
              <w:rPr>
                <w:noProof/>
                <w:sz w:val="14"/>
              </w:rPr>
            </w:pPr>
            <w:r>
              <w:rPr>
                <w:noProof/>
                <w:sz w:val="14"/>
              </w:rPr>
              <w:t>=2+2a</w:t>
            </w:r>
          </w:p>
          <w:p w:rsidR="00D10CBC" w:rsidRDefault="00BC383A">
            <w:pPr>
              <w:jc w:val="center"/>
              <w:rPr>
                <w:noProof/>
                <w:sz w:val="14"/>
              </w:rPr>
            </w:pPr>
            <w:r>
              <w:rPr>
                <w:noProof/>
                <w:sz w:val="14"/>
              </w:rPr>
              <w:t>+3</w:t>
            </w:r>
          </w:p>
        </w:tc>
        <w:tc>
          <w:tcPr>
            <w:tcW w:w="734" w:type="dxa"/>
            <w:vAlign w:val="center"/>
          </w:tcPr>
          <w:p w:rsidR="00D10CBC" w:rsidRDefault="00D10CBC">
            <w:pPr>
              <w:spacing w:before="20" w:after="20"/>
              <w:jc w:val="right"/>
              <w:rPr>
                <w:noProof/>
                <w:sz w:val="20"/>
              </w:rPr>
            </w:pPr>
          </w:p>
        </w:tc>
        <w:tc>
          <w:tcPr>
            <w:tcW w:w="1080" w:type="dxa"/>
            <w:vAlign w:val="center"/>
          </w:tcPr>
          <w:p w:rsidR="00D10CBC" w:rsidRDefault="00BC383A">
            <w:pPr>
              <w:spacing w:before="20" w:after="20"/>
              <w:jc w:val="right"/>
              <w:rPr>
                <w:noProof/>
                <w:sz w:val="20"/>
              </w:rPr>
            </w:pPr>
            <w:r>
              <w:rPr>
                <w:noProof/>
                <w:color w:val="000000"/>
                <w:sz w:val="20"/>
                <w:szCs w:val="20"/>
              </w:rPr>
              <w:t>12.350</w:t>
            </w:r>
          </w:p>
        </w:tc>
        <w:tc>
          <w:tcPr>
            <w:tcW w:w="1081" w:type="dxa"/>
            <w:vAlign w:val="center"/>
          </w:tcPr>
          <w:p w:rsidR="00D10CBC" w:rsidRDefault="00BC383A">
            <w:pPr>
              <w:spacing w:before="20" w:after="20"/>
              <w:jc w:val="right"/>
              <w:rPr>
                <w:noProof/>
                <w:sz w:val="20"/>
              </w:rPr>
            </w:pPr>
            <w:r>
              <w:rPr>
                <w:noProof/>
                <w:color w:val="000000"/>
                <w:sz w:val="20"/>
                <w:szCs w:val="20"/>
              </w:rPr>
              <w:t>24.700</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41.167</w:t>
            </w:r>
          </w:p>
        </w:tc>
        <w:tc>
          <w:tcPr>
            <w:tcW w:w="1081" w:type="dxa"/>
            <w:vAlign w:val="center"/>
          </w:tcPr>
          <w:p w:rsidR="00D10CBC" w:rsidRDefault="00BC383A">
            <w:pPr>
              <w:spacing w:before="20" w:after="20"/>
              <w:jc w:val="right"/>
              <w:rPr>
                <w:b/>
                <w:noProof/>
                <w:sz w:val="20"/>
              </w:rPr>
            </w:pPr>
            <w:r>
              <w:rPr>
                <w:noProof/>
                <w:color w:val="000000"/>
                <w:sz w:val="20"/>
                <w:szCs w:val="20"/>
              </w:rPr>
              <w:t>45.283</w:t>
            </w:r>
          </w:p>
        </w:tc>
        <w:tc>
          <w:tcPr>
            <w:tcW w:w="1081" w:type="dxa"/>
            <w:vAlign w:val="center"/>
          </w:tcPr>
          <w:p w:rsidR="00D10CBC" w:rsidRDefault="00BC383A">
            <w:pPr>
              <w:spacing w:before="20" w:after="20"/>
              <w:jc w:val="right"/>
              <w:rPr>
                <w:b/>
                <w:noProof/>
                <w:sz w:val="20"/>
              </w:rPr>
            </w:pPr>
            <w:r>
              <w:rPr>
                <w:b/>
                <w:bCs/>
                <w:noProof/>
                <w:color w:val="000000"/>
                <w:sz w:val="20"/>
                <w:szCs w:val="20"/>
              </w:rPr>
              <w:t>247.000</w:t>
            </w:r>
          </w:p>
        </w:tc>
      </w:tr>
    </w:tbl>
    <w:p w:rsidR="00D10CBC" w:rsidRDefault="00D10CBC">
      <w:pPr>
        <w:spacing w:after="40"/>
        <w:rPr>
          <w:b/>
          <w:noProof/>
          <w:sz w:val="22"/>
          <w:u w:val="single"/>
        </w:rPr>
      </w:pPr>
    </w:p>
    <w:tbl>
      <w:tblPr>
        <w:tblW w:w="14961"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780"/>
        <w:gridCol w:w="1260"/>
        <w:gridCol w:w="540"/>
        <w:gridCol w:w="734"/>
        <w:gridCol w:w="1080"/>
        <w:gridCol w:w="1081"/>
        <w:gridCol w:w="1081"/>
        <w:gridCol w:w="1081"/>
        <w:gridCol w:w="1081"/>
        <w:gridCol w:w="1081"/>
        <w:gridCol w:w="1081"/>
        <w:gridCol w:w="1081"/>
      </w:tblGrid>
      <w:tr w:rsidR="00D10CBC">
        <w:trPr>
          <w:trHeight w:val="277"/>
        </w:trPr>
        <w:tc>
          <w:tcPr>
            <w:tcW w:w="3780" w:type="dxa"/>
            <w:vMerge w:val="restart"/>
            <w:tcBorders>
              <w:top w:val="single" w:sz="4" w:space="0" w:color="auto"/>
              <w:left w:val="single" w:sz="4" w:space="0" w:color="auto"/>
              <w:bottom w:val="single" w:sz="4" w:space="0" w:color="FF0000"/>
            </w:tcBorders>
            <w:vAlign w:val="center"/>
          </w:tcPr>
          <w:p w:rsidR="00D10CBC" w:rsidRDefault="00BC383A">
            <w:pPr>
              <w:spacing w:before="20" w:after="20"/>
              <w:rPr>
                <w:noProof/>
              </w:rPr>
            </w:pPr>
            <w:r>
              <w:rPr>
                <w:noProof/>
                <w:sz w:val="21"/>
              </w:rPr>
              <w:sym w:font="Wingdings" w:char="F09F"/>
            </w:r>
            <w:r>
              <w:rPr>
                <w:noProof/>
                <w:sz w:val="21"/>
              </w:rPr>
              <w:t xml:space="preserve"> TOTAL operational appropriations (all operational headings)</w:t>
            </w:r>
          </w:p>
        </w:tc>
        <w:tc>
          <w:tcPr>
            <w:tcW w:w="1260" w:type="dxa"/>
            <w:tcBorders>
              <w:top w:val="single" w:sz="4" w:space="0" w:color="auto"/>
            </w:tcBorders>
            <w:vAlign w:val="center"/>
          </w:tcPr>
          <w:p w:rsidR="00D10CBC" w:rsidRDefault="00BC383A">
            <w:pPr>
              <w:spacing w:beforeLines="20" w:before="48" w:afterLines="20" w:after="48"/>
              <w:rPr>
                <w:noProof/>
                <w:sz w:val="18"/>
              </w:rPr>
            </w:pPr>
            <w:r>
              <w:rPr>
                <w:noProof/>
                <w:sz w:val="18"/>
              </w:rPr>
              <w:t>Commitments</w:t>
            </w:r>
          </w:p>
        </w:tc>
        <w:tc>
          <w:tcPr>
            <w:tcW w:w="540" w:type="dxa"/>
            <w:tcBorders>
              <w:top w:val="single" w:sz="4" w:space="0" w:color="auto"/>
            </w:tcBorders>
            <w:vAlign w:val="center"/>
          </w:tcPr>
          <w:p w:rsidR="00D10CBC" w:rsidRDefault="00BC383A">
            <w:pPr>
              <w:spacing w:beforeLines="20" w:before="48" w:afterLines="20" w:after="48"/>
              <w:jc w:val="center"/>
              <w:rPr>
                <w:noProof/>
                <w:sz w:val="14"/>
              </w:rPr>
            </w:pPr>
            <w:r>
              <w:rPr>
                <w:noProof/>
                <w:sz w:val="14"/>
              </w:rPr>
              <w:t>(4)</w:t>
            </w:r>
          </w:p>
        </w:tc>
        <w:tc>
          <w:tcPr>
            <w:tcW w:w="734" w:type="dxa"/>
            <w:tcBorders>
              <w:top w:val="single" w:sz="4" w:space="0" w:color="auto"/>
            </w:tcBorders>
            <w:vAlign w:val="center"/>
          </w:tcPr>
          <w:p w:rsidR="00D10CBC" w:rsidRDefault="00D10CBC">
            <w:pPr>
              <w:spacing w:before="20" w:after="20"/>
              <w:jc w:val="right"/>
              <w:rPr>
                <w:noProof/>
                <w:sz w:val="20"/>
              </w:rPr>
            </w:pPr>
          </w:p>
        </w:tc>
        <w:tc>
          <w:tcPr>
            <w:tcW w:w="1080"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1.340.603</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1.338.447</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728.152</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747.926</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763.167</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1.098.953</w:t>
            </w:r>
          </w:p>
        </w:tc>
        <w:tc>
          <w:tcPr>
            <w:tcW w:w="1081" w:type="dxa"/>
            <w:tcBorders>
              <w:top w:val="single" w:sz="4" w:space="0" w:color="auto"/>
            </w:tcBorders>
          </w:tcPr>
          <w:p w:rsidR="00D10CBC" w:rsidRDefault="00BC383A">
            <w:pPr>
              <w:spacing w:before="20" w:after="20"/>
              <w:jc w:val="right"/>
              <w:rPr>
                <w:noProof/>
                <w:color w:val="000000"/>
                <w:sz w:val="20"/>
                <w:szCs w:val="20"/>
              </w:rPr>
            </w:pPr>
            <w:r>
              <w:rPr>
                <w:noProof/>
                <w:color w:val="000000"/>
                <w:sz w:val="20"/>
                <w:szCs w:val="20"/>
              </w:rPr>
              <w:t>0</w:t>
            </w:r>
          </w:p>
        </w:tc>
        <w:tc>
          <w:tcPr>
            <w:tcW w:w="1081" w:type="dxa"/>
            <w:tcBorders>
              <w:top w:val="single" w:sz="4" w:space="0" w:color="auto"/>
              <w:right w:val="single" w:sz="4" w:space="0" w:color="auto"/>
            </w:tcBorders>
          </w:tcPr>
          <w:p w:rsidR="00D10CBC" w:rsidRDefault="00BC383A">
            <w:pPr>
              <w:spacing w:before="20" w:after="20"/>
              <w:jc w:val="right"/>
              <w:rPr>
                <w:noProof/>
                <w:color w:val="000000"/>
                <w:sz w:val="20"/>
                <w:szCs w:val="20"/>
              </w:rPr>
            </w:pPr>
            <w:r>
              <w:rPr>
                <w:noProof/>
                <w:color w:val="000000"/>
                <w:sz w:val="20"/>
                <w:szCs w:val="20"/>
              </w:rPr>
              <w:t>6.017.245</w:t>
            </w:r>
          </w:p>
        </w:tc>
      </w:tr>
      <w:tr w:rsidR="00D10CBC">
        <w:tc>
          <w:tcPr>
            <w:tcW w:w="3780" w:type="dxa"/>
            <w:vMerge/>
            <w:tcBorders>
              <w:top w:val="single" w:sz="4" w:space="0" w:color="FF0000"/>
              <w:left w:val="single" w:sz="4" w:space="0" w:color="auto"/>
              <w:bottom w:val="single" w:sz="4" w:space="0" w:color="FF0000"/>
            </w:tcBorders>
          </w:tcPr>
          <w:p w:rsidR="00D10CBC" w:rsidRDefault="00D10CBC">
            <w:pPr>
              <w:jc w:val="center"/>
              <w:rPr>
                <w:noProof/>
                <w:sz w:val="20"/>
              </w:rPr>
            </w:pPr>
          </w:p>
        </w:tc>
        <w:tc>
          <w:tcPr>
            <w:tcW w:w="1260" w:type="dxa"/>
            <w:vAlign w:val="center"/>
          </w:tcPr>
          <w:p w:rsidR="00D10CBC" w:rsidRDefault="00BC383A">
            <w:pPr>
              <w:spacing w:beforeLines="20" w:before="48" w:afterLines="20" w:after="48"/>
              <w:rPr>
                <w:noProof/>
                <w:sz w:val="18"/>
              </w:rPr>
            </w:pPr>
            <w:r>
              <w:rPr>
                <w:noProof/>
                <w:sz w:val="18"/>
              </w:rPr>
              <w:t>Payments</w:t>
            </w:r>
          </w:p>
        </w:tc>
        <w:tc>
          <w:tcPr>
            <w:tcW w:w="540" w:type="dxa"/>
            <w:vAlign w:val="center"/>
          </w:tcPr>
          <w:p w:rsidR="00D10CBC" w:rsidRDefault="00BC383A">
            <w:pPr>
              <w:spacing w:beforeLines="20" w:before="48" w:afterLines="20" w:after="48"/>
              <w:jc w:val="center"/>
              <w:rPr>
                <w:noProof/>
                <w:sz w:val="14"/>
              </w:rPr>
            </w:pPr>
            <w:r>
              <w:rPr>
                <w:noProof/>
                <w:sz w:val="14"/>
              </w:rPr>
              <w:t>(5)</w:t>
            </w:r>
          </w:p>
        </w:tc>
        <w:tc>
          <w:tcPr>
            <w:tcW w:w="734" w:type="dxa"/>
            <w:vAlign w:val="center"/>
          </w:tcPr>
          <w:p w:rsidR="00D10CBC" w:rsidRDefault="00D10CBC">
            <w:pPr>
              <w:spacing w:before="20" w:after="20"/>
              <w:jc w:val="right"/>
              <w:rPr>
                <w:noProof/>
                <w:sz w:val="20"/>
              </w:rPr>
            </w:pPr>
          </w:p>
        </w:tc>
        <w:tc>
          <w:tcPr>
            <w:tcW w:w="1080" w:type="dxa"/>
          </w:tcPr>
          <w:p w:rsidR="00D10CBC" w:rsidRDefault="00BC383A">
            <w:pPr>
              <w:spacing w:before="20" w:after="20"/>
              <w:jc w:val="right"/>
              <w:rPr>
                <w:noProof/>
                <w:color w:val="000000"/>
                <w:sz w:val="20"/>
                <w:szCs w:val="20"/>
              </w:rPr>
            </w:pPr>
            <w:r>
              <w:rPr>
                <w:noProof/>
                <w:color w:val="000000"/>
                <w:sz w:val="20"/>
                <w:szCs w:val="20"/>
              </w:rPr>
              <w:t>441.636</w:t>
            </w:r>
          </w:p>
        </w:tc>
        <w:tc>
          <w:tcPr>
            <w:tcW w:w="1081" w:type="dxa"/>
          </w:tcPr>
          <w:p w:rsidR="00D10CBC" w:rsidRDefault="00BC383A">
            <w:pPr>
              <w:spacing w:before="20" w:after="20"/>
              <w:jc w:val="right"/>
              <w:rPr>
                <w:noProof/>
                <w:color w:val="000000"/>
                <w:sz w:val="20"/>
                <w:szCs w:val="20"/>
              </w:rPr>
            </w:pPr>
            <w:r>
              <w:rPr>
                <w:noProof/>
                <w:color w:val="000000"/>
                <w:sz w:val="20"/>
                <w:szCs w:val="20"/>
              </w:rPr>
              <w:t>845.529</w:t>
            </w:r>
          </w:p>
        </w:tc>
        <w:tc>
          <w:tcPr>
            <w:tcW w:w="1081" w:type="dxa"/>
          </w:tcPr>
          <w:p w:rsidR="00D10CBC" w:rsidRDefault="00BC383A">
            <w:pPr>
              <w:spacing w:before="20" w:after="20"/>
              <w:jc w:val="right"/>
              <w:rPr>
                <w:noProof/>
                <w:color w:val="000000"/>
                <w:sz w:val="20"/>
                <w:szCs w:val="20"/>
              </w:rPr>
            </w:pPr>
            <w:r>
              <w:rPr>
                <w:noProof/>
                <w:color w:val="000000"/>
                <w:sz w:val="20"/>
                <w:szCs w:val="20"/>
              </w:rPr>
              <w:t>1.138.059</w:t>
            </w:r>
          </w:p>
        </w:tc>
        <w:tc>
          <w:tcPr>
            <w:tcW w:w="1081" w:type="dxa"/>
          </w:tcPr>
          <w:p w:rsidR="00D10CBC" w:rsidRDefault="00BC383A">
            <w:pPr>
              <w:spacing w:before="20" w:after="20"/>
              <w:jc w:val="right"/>
              <w:rPr>
                <w:noProof/>
                <w:color w:val="000000"/>
                <w:sz w:val="20"/>
                <w:szCs w:val="20"/>
              </w:rPr>
            </w:pPr>
            <w:r>
              <w:rPr>
                <w:noProof/>
                <w:color w:val="000000"/>
                <w:sz w:val="20"/>
                <w:szCs w:val="20"/>
              </w:rPr>
              <w:t>958.650</w:t>
            </w:r>
          </w:p>
        </w:tc>
        <w:tc>
          <w:tcPr>
            <w:tcW w:w="1081" w:type="dxa"/>
          </w:tcPr>
          <w:p w:rsidR="00D10CBC" w:rsidRDefault="00BC383A">
            <w:pPr>
              <w:spacing w:before="20" w:after="20"/>
              <w:jc w:val="right"/>
              <w:rPr>
                <w:noProof/>
                <w:color w:val="000000"/>
                <w:sz w:val="20"/>
                <w:szCs w:val="20"/>
              </w:rPr>
            </w:pPr>
            <w:r>
              <w:rPr>
                <w:noProof/>
                <w:color w:val="000000"/>
                <w:sz w:val="20"/>
                <w:szCs w:val="20"/>
              </w:rPr>
              <w:t>746.246</w:t>
            </w:r>
          </w:p>
        </w:tc>
        <w:tc>
          <w:tcPr>
            <w:tcW w:w="1081" w:type="dxa"/>
          </w:tcPr>
          <w:p w:rsidR="00D10CBC" w:rsidRDefault="00BC383A">
            <w:pPr>
              <w:spacing w:before="20" w:after="20"/>
              <w:jc w:val="right"/>
              <w:rPr>
                <w:noProof/>
                <w:color w:val="000000"/>
                <w:sz w:val="20"/>
                <w:szCs w:val="20"/>
              </w:rPr>
            </w:pPr>
            <w:r>
              <w:rPr>
                <w:noProof/>
                <w:color w:val="000000"/>
                <w:sz w:val="20"/>
                <w:szCs w:val="20"/>
              </w:rPr>
              <w:t>858.672</w:t>
            </w:r>
          </w:p>
        </w:tc>
        <w:tc>
          <w:tcPr>
            <w:tcW w:w="1081" w:type="dxa"/>
          </w:tcPr>
          <w:p w:rsidR="00D10CBC" w:rsidRDefault="00BC383A">
            <w:pPr>
              <w:spacing w:before="20" w:after="20"/>
              <w:jc w:val="right"/>
              <w:rPr>
                <w:noProof/>
                <w:color w:val="000000"/>
                <w:sz w:val="20"/>
                <w:szCs w:val="20"/>
              </w:rPr>
            </w:pPr>
            <w:r>
              <w:rPr>
                <w:noProof/>
                <w:color w:val="000000"/>
                <w:sz w:val="20"/>
                <w:szCs w:val="20"/>
              </w:rPr>
              <w:t>1.028.454</w:t>
            </w:r>
          </w:p>
        </w:tc>
        <w:tc>
          <w:tcPr>
            <w:tcW w:w="1081" w:type="dxa"/>
            <w:tcBorders>
              <w:right w:val="single" w:sz="4" w:space="0" w:color="auto"/>
            </w:tcBorders>
          </w:tcPr>
          <w:p w:rsidR="00D10CBC" w:rsidRDefault="00BC383A">
            <w:pPr>
              <w:spacing w:before="20" w:after="20"/>
              <w:jc w:val="right"/>
              <w:rPr>
                <w:noProof/>
                <w:color w:val="000000"/>
                <w:sz w:val="20"/>
                <w:szCs w:val="20"/>
              </w:rPr>
            </w:pPr>
            <w:r>
              <w:rPr>
                <w:noProof/>
                <w:color w:val="000000"/>
                <w:sz w:val="20"/>
                <w:szCs w:val="20"/>
              </w:rPr>
              <w:t>6.017.245</w:t>
            </w:r>
          </w:p>
        </w:tc>
      </w:tr>
      <w:tr w:rsidR="00D10CBC">
        <w:tblPrEx>
          <w:tblBorders>
            <w:top w:val="single" w:sz="4" w:space="0" w:color="auto"/>
            <w:left w:val="single" w:sz="4" w:space="0" w:color="auto"/>
            <w:bottom w:val="single" w:sz="4" w:space="0" w:color="auto"/>
            <w:right w:val="single" w:sz="4" w:space="0" w:color="auto"/>
          </w:tblBorders>
        </w:tblPrEx>
        <w:trPr>
          <w:trHeight w:val="533"/>
        </w:trPr>
        <w:tc>
          <w:tcPr>
            <w:tcW w:w="5040" w:type="dxa"/>
            <w:gridSpan w:val="2"/>
            <w:vAlign w:val="center"/>
          </w:tcPr>
          <w:p w:rsidR="00D10CBC" w:rsidRDefault="00BC383A">
            <w:pPr>
              <w:spacing w:beforeLines="20" w:before="48" w:afterLines="20" w:after="48"/>
              <w:rPr>
                <w:noProof/>
              </w:rPr>
            </w:pPr>
            <w:r>
              <w:rPr>
                <w:noProof/>
                <w:sz w:val="21"/>
              </w:rPr>
              <w:t xml:space="preserve"> TOTAL appropriations of an administrative nature financed from the envelope for specific programmes (all operational headings)</w:t>
            </w:r>
          </w:p>
        </w:tc>
        <w:tc>
          <w:tcPr>
            <w:tcW w:w="540" w:type="dxa"/>
            <w:vAlign w:val="center"/>
          </w:tcPr>
          <w:p w:rsidR="00D10CBC" w:rsidRDefault="00D10CBC">
            <w:pPr>
              <w:rPr>
                <w:noProof/>
              </w:rPr>
            </w:pPr>
          </w:p>
          <w:p w:rsidR="00D10CBC" w:rsidRDefault="00BC383A">
            <w:pPr>
              <w:spacing w:beforeLines="20" w:before="48" w:afterLines="20" w:after="48"/>
              <w:jc w:val="center"/>
              <w:rPr>
                <w:noProof/>
                <w:sz w:val="14"/>
              </w:rPr>
            </w:pPr>
            <w:r>
              <w:rPr>
                <w:noProof/>
                <w:sz w:val="14"/>
              </w:rPr>
              <w:t>(6)</w:t>
            </w:r>
          </w:p>
        </w:tc>
        <w:tc>
          <w:tcPr>
            <w:tcW w:w="734" w:type="dxa"/>
            <w:vAlign w:val="center"/>
          </w:tcPr>
          <w:p w:rsidR="00D10CBC" w:rsidRDefault="00D10CBC">
            <w:pPr>
              <w:spacing w:before="20" w:after="20"/>
              <w:jc w:val="right"/>
              <w:rPr>
                <w:b/>
                <w:noProof/>
                <w:sz w:val="20"/>
              </w:rPr>
            </w:pPr>
          </w:p>
        </w:tc>
        <w:tc>
          <w:tcPr>
            <w:tcW w:w="1080" w:type="dxa"/>
            <w:vAlign w:val="center"/>
          </w:tcPr>
          <w:p w:rsidR="00D10CBC" w:rsidRDefault="00BC383A">
            <w:pPr>
              <w:spacing w:before="20" w:after="20"/>
              <w:jc w:val="right"/>
              <w:rPr>
                <w:b/>
                <w:noProof/>
                <w:sz w:val="20"/>
              </w:rPr>
            </w:pPr>
            <w:r>
              <w:rPr>
                <w:noProof/>
                <w:sz w:val="20"/>
              </w:rPr>
              <w:t>pm</w:t>
            </w:r>
          </w:p>
        </w:tc>
        <w:tc>
          <w:tcPr>
            <w:tcW w:w="1081" w:type="dxa"/>
            <w:vAlign w:val="center"/>
          </w:tcPr>
          <w:p w:rsidR="00D10CBC" w:rsidRDefault="00BC383A">
            <w:pPr>
              <w:spacing w:before="20" w:after="20"/>
              <w:jc w:val="right"/>
              <w:rPr>
                <w:b/>
                <w:noProof/>
                <w:sz w:val="20"/>
              </w:rPr>
            </w:pPr>
            <w:r>
              <w:rPr>
                <w:noProof/>
                <w:sz w:val="20"/>
              </w:rPr>
              <w:t>pm</w:t>
            </w:r>
          </w:p>
        </w:tc>
        <w:tc>
          <w:tcPr>
            <w:tcW w:w="1081" w:type="dxa"/>
            <w:vAlign w:val="center"/>
          </w:tcPr>
          <w:p w:rsidR="00D10CBC" w:rsidRDefault="00BC383A">
            <w:pPr>
              <w:spacing w:before="20" w:after="20"/>
              <w:jc w:val="right"/>
              <w:rPr>
                <w:b/>
                <w:noProof/>
                <w:sz w:val="20"/>
              </w:rPr>
            </w:pPr>
            <w:r>
              <w:rPr>
                <w:noProof/>
                <w:sz w:val="20"/>
              </w:rPr>
              <w:t>pm</w:t>
            </w:r>
          </w:p>
        </w:tc>
        <w:tc>
          <w:tcPr>
            <w:tcW w:w="1081" w:type="dxa"/>
            <w:vAlign w:val="center"/>
          </w:tcPr>
          <w:p w:rsidR="00D10CBC" w:rsidRDefault="00BC383A">
            <w:pPr>
              <w:spacing w:before="20" w:after="20"/>
              <w:jc w:val="right"/>
              <w:rPr>
                <w:b/>
                <w:noProof/>
                <w:sz w:val="20"/>
              </w:rPr>
            </w:pPr>
            <w:r>
              <w:rPr>
                <w:noProof/>
                <w:sz w:val="20"/>
              </w:rPr>
              <w:t>pm</w:t>
            </w:r>
          </w:p>
        </w:tc>
        <w:tc>
          <w:tcPr>
            <w:tcW w:w="1081" w:type="dxa"/>
            <w:vAlign w:val="center"/>
          </w:tcPr>
          <w:p w:rsidR="00D10CBC" w:rsidRDefault="00BC383A">
            <w:pPr>
              <w:spacing w:before="20" w:after="20"/>
              <w:jc w:val="right"/>
              <w:rPr>
                <w:b/>
                <w:noProof/>
                <w:sz w:val="20"/>
              </w:rPr>
            </w:pPr>
            <w:r>
              <w:rPr>
                <w:noProof/>
                <w:sz w:val="20"/>
              </w:rPr>
              <w:t>pm</w:t>
            </w:r>
          </w:p>
        </w:tc>
        <w:tc>
          <w:tcPr>
            <w:tcW w:w="1081" w:type="dxa"/>
            <w:vAlign w:val="center"/>
          </w:tcPr>
          <w:p w:rsidR="00D10CBC" w:rsidRDefault="00BC383A">
            <w:pPr>
              <w:spacing w:before="20" w:after="20"/>
              <w:jc w:val="right"/>
              <w:rPr>
                <w:noProof/>
                <w:color w:val="000000"/>
                <w:sz w:val="20"/>
                <w:szCs w:val="20"/>
              </w:rPr>
            </w:pPr>
            <w:r>
              <w:rPr>
                <w:noProof/>
                <w:sz w:val="20"/>
              </w:rPr>
              <w:t>pm</w:t>
            </w:r>
          </w:p>
        </w:tc>
        <w:tc>
          <w:tcPr>
            <w:tcW w:w="1081" w:type="dxa"/>
            <w:vAlign w:val="center"/>
          </w:tcPr>
          <w:p w:rsidR="00D10CBC" w:rsidRDefault="00D10CBC">
            <w:pPr>
              <w:spacing w:before="20" w:after="20"/>
              <w:jc w:val="right"/>
              <w:rPr>
                <w:b/>
                <w:noProof/>
                <w:sz w:val="20"/>
              </w:rPr>
            </w:pPr>
          </w:p>
        </w:tc>
        <w:tc>
          <w:tcPr>
            <w:tcW w:w="1081" w:type="dxa"/>
            <w:vAlign w:val="center"/>
          </w:tcPr>
          <w:p w:rsidR="00D10CBC" w:rsidRDefault="00BC383A">
            <w:pPr>
              <w:spacing w:before="20" w:after="20"/>
              <w:jc w:val="right"/>
              <w:rPr>
                <w:b/>
                <w:noProof/>
                <w:sz w:val="20"/>
              </w:rPr>
            </w:pPr>
            <w:r>
              <w:rPr>
                <w:b/>
                <w:bCs/>
                <w:noProof/>
                <w:color w:val="000000"/>
                <w:sz w:val="20"/>
                <w:szCs w:val="20"/>
              </w:rPr>
              <w:t>pm</w:t>
            </w:r>
          </w:p>
        </w:tc>
      </w:tr>
      <w:tr w:rsidR="00D10CBC">
        <w:tc>
          <w:tcPr>
            <w:tcW w:w="3780" w:type="dxa"/>
            <w:vMerge w:val="restart"/>
            <w:tcBorders>
              <w:top w:val="single" w:sz="4" w:space="0" w:color="FF0000"/>
              <w:left w:val="single" w:sz="4" w:space="0" w:color="auto"/>
              <w:bottom w:val="single" w:sz="4" w:space="0" w:color="FF0000"/>
            </w:tcBorders>
            <w:shd w:val="thinDiagStripe" w:color="C0C0C0" w:fill="auto"/>
            <w:vAlign w:val="center"/>
          </w:tcPr>
          <w:p w:rsidR="00D10CBC" w:rsidRDefault="00BC383A">
            <w:pPr>
              <w:jc w:val="center"/>
              <w:rPr>
                <w:b/>
                <w:noProof/>
              </w:rPr>
            </w:pPr>
            <w:r>
              <w:rPr>
                <w:b/>
                <w:noProof/>
                <w:sz w:val="22"/>
              </w:rPr>
              <w:t xml:space="preserve">TOTAL appropriations </w:t>
            </w:r>
            <w:r>
              <w:rPr>
                <w:noProof/>
                <w:sz w:val="22"/>
              </w:rPr>
              <w:br/>
            </w:r>
            <w:r>
              <w:rPr>
                <w:b/>
                <w:noProof/>
                <w:sz w:val="22"/>
              </w:rPr>
              <w:t>under HEADINGS 1 to 6</w:t>
            </w:r>
            <w:r>
              <w:rPr>
                <w:noProof/>
                <w:sz w:val="22"/>
              </w:rPr>
              <w:br/>
              <w:t>of the multiannual financial framework</w:t>
            </w:r>
            <w:r>
              <w:rPr>
                <w:noProof/>
                <w:sz w:val="22"/>
              </w:rPr>
              <w:br/>
            </w:r>
            <w:r>
              <w:rPr>
                <w:noProof/>
                <w:sz w:val="20"/>
              </w:rPr>
              <w:t xml:space="preserve">(Reference </w:t>
            </w:r>
            <w:r>
              <w:rPr>
                <w:noProof/>
                <w:sz w:val="20"/>
              </w:rPr>
              <w:t>amount)</w:t>
            </w:r>
          </w:p>
        </w:tc>
        <w:tc>
          <w:tcPr>
            <w:tcW w:w="1260" w:type="dxa"/>
            <w:vAlign w:val="center"/>
          </w:tcPr>
          <w:p w:rsidR="00D10CBC" w:rsidRDefault="00BC383A">
            <w:pPr>
              <w:rPr>
                <w:noProof/>
                <w:sz w:val="18"/>
              </w:rPr>
            </w:pPr>
            <w:r>
              <w:rPr>
                <w:noProof/>
                <w:sz w:val="18"/>
              </w:rPr>
              <w:t>Commitments</w:t>
            </w:r>
          </w:p>
        </w:tc>
        <w:tc>
          <w:tcPr>
            <w:tcW w:w="540" w:type="dxa"/>
            <w:vAlign w:val="center"/>
          </w:tcPr>
          <w:p w:rsidR="00D10CBC" w:rsidRDefault="00BC383A">
            <w:pPr>
              <w:jc w:val="center"/>
              <w:rPr>
                <w:noProof/>
                <w:sz w:val="14"/>
              </w:rPr>
            </w:pPr>
            <w:r>
              <w:rPr>
                <w:noProof/>
                <w:sz w:val="14"/>
              </w:rPr>
              <w:t>=4+ 6</w:t>
            </w:r>
          </w:p>
        </w:tc>
        <w:tc>
          <w:tcPr>
            <w:tcW w:w="734" w:type="dxa"/>
            <w:vAlign w:val="center"/>
          </w:tcPr>
          <w:p w:rsidR="00D10CBC" w:rsidRDefault="00D10CBC">
            <w:pPr>
              <w:spacing w:before="20" w:after="20"/>
              <w:jc w:val="right"/>
              <w:rPr>
                <w:noProof/>
                <w:sz w:val="20"/>
              </w:rPr>
            </w:pPr>
          </w:p>
        </w:tc>
        <w:tc>
          <w:tcPr>
            <w:tcW w:w="1080" w:type="dxa"/>
          </w:tcPr>
          <w:p w:rsidR="00D10CBC" w:rsidRDefault="00BC383A">
            <w:pPr>
              <w:spacing w:before="20" w:after="20"/>
              <w:jc w:val="right"/>
              <w:rPr>
                <w:noProof/>
                <w:sz w:val="20"/>
              </w:rPr>
            </w:pPr>
            <w:r>
              <w:rPr>
                <w:noProof/>
                <w:color w:val="000000"/>
                <w:sz w:val="20"/>
                <w:szCs w:val="20"/>
              </w:rPr>
              <w:t>1.340.603</w:t>
            </w:r>
          </w:p>
        </w:tc>
        <w:tc>
          <w:tcPr>
            <w:tcW w:w="1081" w:type="dxa"/>
          </w:tcPr>
          <w:p w:rsidR="00D10CBC" w:rsidRDefault="00BC383A">
            <w:pPr>
              <w:spacing w:before="20" w:after="20"/>
              <w:jc w:val="right"/>
              <w:rPr>
                <w:noProof/>
                <w:sz w:val="20"/>
              </w:rPr>
            </w:pPr>
            <w:r>
              <w:rPr>
                <w:noProof/>
                <w:color w:val="000000"/>
                <w:sz w:val="20"/>
                <w:szCs w:val="20"/>
              </w:rPr>
              <w:t>1.338.447</w:t>
            </w:r>
          </w:p>
        </w:tc>
        <w:tc>
          <w:tcPr>
            <w:tcW w:w="1081" w:type="dxa"/>
          </w:tcPr>
          <w:p w:rsidR="00D10CBC" w:rsidRDefault="00BC383A">
            <w:pPr>
              <w:spacing w:before="20" w:after="20"/>
              <w:jc w:val="right"/>
              <w:rPr>
                <w:noProof/>
                <w:sz w:val="20"/>
              </w:rPr>
            </w:pPr>
            <w:r>
              <w:rPr>
                <w:noProof/>
                <w:color w:val="000000"/>
                <w:sz w:val="20"/>
                <w:szCs w:val="20"/>
              </w:rPr>
              <w:t>728.152</w:t>
            </w:r>
          </w:p>
        </w:tc>
        <w:tc>
          <w:tcPr>
            <w:tcW w:w="1081" w:type="dxa"/>
          </w:tcPr>
          <w:p w:rsidR="00D10CBC" w:rsidRDefault="00BC383A">
            <w:pPr>
              <w:spacing w:before="20" w:after="20"/>
              <w:jc w:val="right"/>
              <w:rPr>
                <w:noProof/>
                <w:sz w:val="20"/>
              </w:rPr>
            </w:pPr>
            <w:r>
              <w:rPr>
                <w:noProof/>
                <w:color w:val="000000"/>
                <w:sz w:val="20"/>
                <w:szCs w:val="20"/>
              </w:rPr>
              <w:t>747.926</w:t>
            </w:r>
          </w:p>
        </w:tc>
        <w:tc>
          <w:tcPr>
            <w:tcW w:w="1081" w:type="dxa"/>
          </w:tcPr>
          <w:p w:rsidR="00D10CBC" w:rsidRDefault="00BC383A">
            <w:pPr>
              <w:spacing w:before="20" w:after="20"/>
              <w:jc w:val="right"/>
              <w:rPr>
                <w:noProof/>
                <w:sz w:val="20"/>
              </w:rPr>
            </w:pPr>
            <w:r>
              <w:rPr>
                <w:noProof/>
                <w:color w:val="000000"/>
                <w:sz w:val="20"/>
                <w:szCs w:val="20"/>
              </w:rPr>
              <w:t>763.167</w:t>
            </w:r>
          </w:p>
        </w:tc>
        <w:tc>
          <w:tcPr>
            <w:tcW w:w="1081" w:type="dxa"/>
          </w:tcPr>
          <w:p w:rsidR="00D10CBC" w:rsidRDefault="00BC383A">
            <w:pPr>
              <w:spacing w:before="20" w:after="20"/>
              <w:jc w:val="right"/>
              <w:rPr>
                <w:b/>
                <w:noProof/>
                <w:sz w:val="20"/>
              </w:rPr>
            </w:pPr>
            <w:r>
              <w:rPr>
                <w:noProof/>
                <w:color w:val="000000"/>
                <w:sz w:val="20"/>
                <w:szCs w:val="20"/>
              </w:rPr>
              <w:t>1.098.953</w:t>
            </w:r>
          </w:p>
        </w:tc>
        <w:tc>
          <w:tcPr>
            <w:tcW w:w="1081" w:type="dxa"/>
          </w:tcPr>
          <w:p w:rsidR="00D10CBC" w:rsidRDefault="00BC383A">
            <w:pPr>
              <w:spacing w:before="20" w:after="20"/>
              <w:jc w:val="right"/>
              <w:rPr>
                <w:b/>
                <w:noProof/>
                <w:sz w:val="20"/>
              </w:rPr>
            </w:pPr>
            <w:r>
              <w:rPr>
                <w:noProof/>
                <w:color w:val="000000"/>
                <w:sz w:val="20"/>
                <w:szCs w:val="20"/>
              </w:rPr>
              <w:t>0</w:t>
            </w:r>
          </w:p>
        </w:tc>
        <w:tc>
          <w:tcPr>
            <w:tcW w:w="1081" w:type="dxa"/>
            <w:tcBorders>
              <w:right w:val="single" w:sz="4" w:space="0" w:color="auto"/>
            </w:tcBorders>
          </w:tcPr>
          <w:p w:rsidR="00D10CBC" w:rsidRDefault="00BC383A">
            <w:pPr>
              <w:spacing w:before="20" w:after="20"/>
              <w:jc w:val="right"/>
              <w:rPr>
                <w:b/>
                <w:noProof/>
                <w:sz w:val="20"/>
              </w:rPr>
            </w:pPr>
            <w:r>
              <w:rPr>
                <w:noProof/>
                <w:color w:val="000000"/>
                <w:sz w:val="20"/>
                <w:szCs w:val="20"/>
              </w:rPr>
              <w:t>6.017.245</w:t>
            </w:r>
          </w:p>
        </w:tc>
      </w:tr>
      <w:tr w:rsidR="00D10CBC">
        <w:tc>
          <w:tcPr>
            <w:tcW w:w="3780" w:type="dxa"/>
            <w:vMerge/>
            <w:tcBorders>
              <w:top w:val="single" w:sz="4" w:space="0" w:color="FF0000"/>
              <w:left w:val="single" w:sz="4" w:space="0" w:color="auto"/>
              <w:bottom w:val="single" w:sz="4" w:space="0" w:color="auto"/>
            </w:tcBorders>
            <w:shd w:val="thinDiagStripe" w:color="C0C0C0" w:fill="auto"/>
          </w:tcPr>
          <w:p w:rsidR="00D10CBC" w:rsidRDefault="00D10CBC">
            <w:pPr>
              <w:rPr>
                <w:noProof/>
                <w:sz w:val="20"/>
              </w:rPr>
            </w:pPr>
          </w:p>
        </w:tc>
        <w:tc>
          <w:tcPr>
            <w:tcW w:w="1260" w:type="dxa"/>
            <w:tcBorders>
              <w:bottom w:val="single" w:sz="4" w:space="0" w:color="auto"/>
            </w:tcBorders>
            <w:vAlign w:val="center"/>
          </w:tcPr>
          <w:p w:rsidR="00D10CBC" w:rsidRDefault="00BC383A">
            <w:pPr>
              <w:rPr>
                <w:noProof/>
                <w:sz w:val="18"/>
              </w:rPr>
            </w:pPr>
            <w:r>
              <w:rPr>
                <w:noProof/>
                <w:sz w:val="18"/>
              </w:rPr>
              <w:t>Payments</w:t>
            </w:r>
          </w:p>
        </w:tc>
        <w:tc>
          <w:tcPr>
            <w:tcW w:w="540" w:type="dxa"/>
            <w:tcBorders>
              <w:bottom w:val="single" w:sz="4" w:space="0" w:color="auto"/>
            </w:tcBorders>
            <w:vAlign w:val="center"/>
          </w:tcPr>
          <w:p w:rsidR="00D10CBC" w:rsidRDefault="00BC383A">
            <w:pPr>
              <w:jc w:val="center"/>
              <w:rPr>
                <w:noProof/>
                <w:sz w:val="14"/>
              </w:rPr>
            </w:pPr>
            <w:r>
              <w:rPr>
                <w:noProof/>
                <w:sz w:val="14"/>
              </w:rPr>
              <w:t>=5+ 6</w:t>
            </w:r>
          </w:p>
        </w:tc>
        <w:tc>
          <w:tcPr>
            <w:tcW w:w="734" w:type="dxa"/>
            <w:tcBorders>
              <w:bottom w:val="single" w:sz="4" w:space="0" w:color="auto"/>
            </w:tcBorders>
            <w:vAlign w:val="center"/>
          </w:tcPr>
          <w:p w:rsidR="00D10CBC" w:rsidRDefault="00D10CBC">
            <w:pPr>
              <w:spacing w:before="20" w:after="20"/>
              <w:jc w:val="right"/>
              <w:rPr>
                <w:noProof/>
                <w:sz w:val="20"/>
              </w:rPr>
            </w:pPr>
          </w:p>
        </w:tc>
        <w:tc>
          <w:tcPr>
            <w:tcW w:w="1080" w:type="dxa"/>
            <w:tcBorders>
              <w:bottom w:val="single" w:sz="4" w:space="0" w:color="auto"/>
            </w:tcBorders>
          </w:tcPr>
          <w:p w:rsidR="00D10CBC" w:rsidRDefault="00BC383A">
            <w:pPr>
              <w:spacing w:before="20" w:after="20"/>
              <w:jc w:val="right"/>
              <w:rPr>
                <w:noProof/>
                <w:sz w:val="20"/>
              </w:rPr>
            </w:pPr>
            <w:r>
              <w:rPr>
                <w:noProof/>
                <w:color w:val="000000"/>
                <w:sz w:val="20"/>
                <w:szCs w:val="20"/>
              </w:rPr>
              <w:t>441.636</w:t>
            </w:r>
          </w:p>
        </w:tc>
        <w:tc>
          <w:tcPr>
            <w:tcW w:w="1081" w:type="dxa"/>
            <w:tcBorders>
              <w:bottom w:val="single" w:sz="4" w:space="0" w:color="auto"/>
            </w:tcBorders>
          </w:tcPr>
          <w:p w:rsidR="00D10CBC" w:rsidRDefault="00BC383A">
            <w:pPr>
              <w:spacing w:before="20" w:after="20"/>
              <w:jc w:val="right"/>
              <w:rPr>
                <w:noProof/>
                <w:sz w:val="20"/>
              </w:rPr>
            </w:pPr>
            <w:r>
              <w:rPr>
                <w:noProof/>
                <w:color w:val="000000"/>
                <w:sz w:val="20"/>
                <w:szCs w:val="20"/>
              </w:rPr>
              <w:t>845.529</w:t>
            </w:r>
          </w:p>
        </w:tc>
        <w:tc>
          <w:tcPr>
            <w:tcW w:w="1081" w:type="dxa"/>
            <w:tcBorders>
              <w:bottom w:val="single" w:sz="4" w:space="0" w:color="auto"/>
            </w:tcBorders>
          </w:tcPr>
          <w:p w:rsidR="00D10CBC" w:rsidRDefault="00BC383A">
            <w:pPr>
              <w:spacing w:before="20" w:after="20"/>
              <w:jc w:val="right"/>
              <w:rPr>
                <w:noProof/>
                <w:sz w:val="20"/>
              </w:rPr>
            </w:pPr>
            <w:r>
              <w:rPr>
                <w:noProof/>
                <w:color w:val="000000"/>
                <w:sz w:val="20"/>
                <w:szCs w:val="20"/>
              </w:rPr>
              <w:t>1.138.059</w:t>
            </w:r>
          </w:p>
        </w:tc>
        <w:tc>
          <w:tcPr>
            <w:tcW w:w="1081" w:type="dxa"/>
            <w:tcBorders>
              <w:bottom w:val="single" w:sz="4" w:space="0" w:color="auto"/>
            </w:tcBorders>
          </w:tcPr>
          <w:p w:rsidR="00D10CBC" w:rsidRDefault="00BC383A">
            <w:pPr>
              <w:spacing w:before="20" w:after="20"/>
              <w:jc w:val="right"/>
              <w:rPr>
                <w:noProof/>
                <w:sz w:val="20"/>
              </w:rPr>
            </w:pPr>
            <w:r>
              <w:rPr>
                <w:noProof/>
                <w:color w:val="000000"/>
                <w:sz w:val="20"/>
                <w:szCs w:val="20"/>
              </w:rPr>
              <w:t>958.650</w:t>
            </w:r>
          </w:p>
        </w:tc>
        <w:tc>
          <w:tcPr>
            <w:tcW w:w="1081" w:type="dxa"/>
            <w:tcBorders>
              <w:bottom w:val="single" w:sz="4" w:space="0" w:color="auto"/>
            </w:tcBorders>
          </w:tcPr>
          <w:p w:rsidR="00D10CBC" w:rsidRDefault="00BC383A">
            <w:pPr>
              <w:spacing w:before="20" w:after="20"/>
              <w:jc w:val="right"/>
              <w:rPr>
                <w:noProof/>
                <w:sz w:val="20"/>
              </w:rPr>
            </w:pPr>
            <w:r>
              <w:rPr>
                <w:noProof/>
                <w:color w:val="000000"/>
                <w:sz w:val="20"/>
                <w:szCs w:val="20"/>
              </w:rPr>
              <w:t>746.246</w:t>
            </w:r>
          </w:p>
        </w:tc>
        <w:tc>
          <w:tcPr>
            <w:tcW w:w="1081" w:type="dxa"/>
            <w:tcBorders>
              <w:bottom w:val="single" w:sz="4" w:space="0" w:color="auto"/>
            </w:tcBorders>
          </w:tcPr>
          <w:p w:rsidR="00D10CBC" w:rsidRDefault="00BC383A">
            <w:pPr>
              <w:spacing w:before="20" w:after="20"/>
              <w:jc w:val="right"/>
              <w:rPr>
                <w:b/>
                <w:noProof/>
                <w:sz w:val="20"/>
              </w:rPr>
            </w:pPr>
            <w:r>
              <w:rPr>
                <w:noProof/>
                <w:color w:val="000000"/>
                <w:sz w:val="20"/>
                <w:szCs w:val="20"/>
              </w:rPr>
              <w:t>858.672</w:t>
            </w:r>
          </w:p>
        </w:tc>
        <w:tc>
          <w:tcPr>
            <w:tcW w:w="1081" w:type="dxa"/>
            <w:tcBorders>
              <w:bottom w:val="single" w:sz="4" w:space="0" w:color="auto"/>
            </w:tcBorders>
          </w:tcPr>
          <w:p w:rsidR="00D10CBC" w:rsidRDefault="00BC383A">
            <w:pPr>
              <w:spacing w:before="20" w:after="20"/>
              <w:jc w:val="right"/>
              <w:rPr>
                <w:b/>
                <w:noProof/>
                <w:sz w:val="20"/>
              </w:rPr>
            </w:pPr>
            <w:r>
              <w:rPr>
                <w:noProof/>
                <w:color w:val="000000"/>
                <w:sz w:val="20"/>
                <w:szCs w:val="20"/>
              </w:rPr>
              <w:t>1.028.454</w:t>
            </w:r>
          </w:p>
        </w:tc>
        <w:tc>
          <w:tcPr>
            <w:tcW w:w="1081" w:type="dxa"/>
            <w:tcBorders>
              <w:bottom w:val="single" w:sz="4" w:space="0" w:color="auto"/>
              <w:right w:val="single" w:sz="4" w:space="0" w:color="auto"/>
            </w:tcBorders>
          </w:tcPr>
          <w:p w:rsidR="00D10CBC" w:rsidRDefault="00BC383A">
            <w:pPr>
              <w:spacing w:before="20" w:after="20"/>
              <w:jc w:val="right"/>
              <w:rPr>
                <w:b/>
                <w:noProof/>
                <w:sz w:val="20"/>
              </w:rPr>
            </w:pPr>
            <w:r>
              <w:rPr>
                <w:noProof/>
                <w:color w:val="000000"/>
                <w:sz w:val="20"/>
                <w:szCs w:val="20"/>
              </w:rPr>
              <w:t>6.017.245</w:t>
            </w:r>
          </w:p>
        </w:tc>
      </w:tr>
    </w:tbl>
    <w:p w:rsidR="00D10CBC" w:rsidRDefault="00D10CBC">
      <w:pPr>
        <w:rPr>
          <w:noProof/>
        </w:rPr>
      </w:pPr>
    </w:p>
    <w:p w:rsidR="00D10CBC" w:rsidRDefault="00D10CBC">
      <w:pPr>
        <w:spacing w:before="0" w:after="0"/>
        <w:jc w:val="lef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D10CBC">
        <w:trPr>
          <w:jc w:val="center"/>
        </w:trPr>
        <w:tc>
          <w:tcPr>
            <w:tcW w:w="4744" w:type="dxa"/>
            <w:shd w:val="thinDiagStripe" w:color="C0C0C0" w:fill="auto"/>
            <w:vAlign w:val="center"/>
          </w:tcPr>
          <w:p w:rsidR="00D10CBC" w:rsidRDefault="00BC383A">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D10CBC" w:rsidRDefault="00BC383A">
            <w:pPr>
              <w:spacing w:before="60" w:after="60"/>
              <w:jc w:val="center"/>
              <w:rPr>
                <w:noProof/>
              </w:rPr>
            </w:pPr>
            <w:r>
              <w:rPr>
                <w:b/>
                <w:noProof/>
                <w:sz w:val="22"/>
              </w:rPr>
              <w:t>7</w:t>
            </w:r>
          </w:p>
        </w:tc>
        <w:tc>
          <w:tcPr>
            <w:tcW w:w="7817" w:type="dxa"/>
            <w:vAlign w:val="center"/>
          </w:tcPr>
          <w:p w:rsidR="00D10CBC" w:rsidRDefault="00BC383A">
            <w:pPr>
              <w:spacing w:before="60" w:after="60"/>
              <w:rPr>
                <w:noProof/>
              </w:rPr>
            </w:pPr>
            <w:r>
              <w:rPr>
                <w:noProof/>
                <w:sz w:val="22"/>
              </w:rPr>
              <w:t xml:space="preserve">‘Administrative </w:t>
            </w:r>
            <w:r>
              <w:rPr>
                <w:noProof/>
                <w:sz w:val="22"/>
              </w:rPr>
              <w:t>expenditure’</w:t>
            </w:r>
          </w:p>
        </w:tc>
      </w:tr>
    </w:tbl>
    <w:p w:rsidR="00D10CBC" w:rsidRDefault="00BC383A">
      <w:pPr>
        <w:jc w:val="left"/>
        <w:rPr>
          <w:noProof/>
          <w:sz w:val="20"/>
        </w:rPr>
      </w:pPr>
      <w:r>
        <w:rPr>
          <w:noProof/>
        </w:rPr>
        <w:t xml:space="preserve">This section should be filled in using the 'budget data of an administrative nature' to be firstly introduced in the </w:t>
      </w:r>
      <w:hyperlink r:id="rId20" w:history="1">
        <w:r>
          <w:rPr>
            <w:rStyle w:val="Hyperlink"/>
            <w:noProof/>
          </w:rPr>
          <w:t>Annex to the Legislative Financial Statement</w:t>
        </w:r>
      </w:hyperlink>
      <w:r>
        <w:rPr>
          <w:noProof/>
        </w:rPr>
        <w:t xml:space="preserve"> (Annex V to the internal rules), which is uploaded to DECIDE for interservice c</w:t>
      </w:r>
      <w:r>
        <w:rPr>
          <w:noProof/>
        </w:rPr>
        <w:t>onsultation purposes.</w:t>
      </w:r>
    </w:p>
    <w:p w:rsidR="00D10CBC" w:rsidRDefault="00BC383A">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370"/>
        <w:gridCol w:w="240"/>
        <w:gridCol w:w="1170"/>
        <w:gridCol w:w="900"/>
        <w:gridCol w:w="900"/>
        <w:gridCol w:w="900"/>
        <w:gridCol w:w="900"/>
        <w:gridCol w:w="900"/>
        <w:gridCol w:w="1080"/>
        <w:gridCol w:w="1397"/>
      </w:tblGrid>
      <w:tr w:rsidR="00D10CBC">
        <w:tc>
          <w:tcPr>
            <w:tcW w:w="3150" w:type="dxa"/>
            <w:tcBorders>
              <w:top w:val="nil"/>
              <w:left w:val="nil"/>
              <w:right w:val="nil"/>
            </w:tcBorders>
            <w:vAlign w:val="center"/>
          </w:tcPr>
          <w:p w:rsidR="00D10CBC" w:rsidRDefault="00D10CBC">
            <w:pPr>
              <w:jc w:val="center"/>
              <w:rPr>
                <w:noProof/>
              </w:rPr>
            </w:pPr>
          </w:p>
        </w:tc>
        <w:tc>
          <w:tcPr>
            <w:tcW w:w="2370" w:type="dxa"/>
            <w:tcBorders>
              <w:top w:val="nil"/>
              <w:left w:val="nil"/>
              <w:right w:val="nil"/>
            </w:tcBorders>
          </w:tcPr>
          <w:p w:rsidR="00D10CBC" w:rsidRDefault="00D10CBC">
            <w:pPr>
              <w:rPr>
                <w:noProof/>
                <w:sz w:val="20"/>
              </w:rPr>
            </w:pPr>
          </w:p>
        </w:tc>
        <w:tc>
          <w:tcPr>
            <w:tcW w:w="240" w:type="dxa"/>
            <w:tcBorders>
              <w:top w:val="nil"/>
              <w:left w:val="nil"/>
            </w:tcBorders>
          </w:tcPr>
          <w:p w:rsidR="00D10CBC" w:rsidRDefault="00D10CBC">
            <w:pPr>
              <w:jc w:val="center"/>
              <w:rPr>
                <w:noProof/>
                <w:sz w:val="20"/>
              </w:rPr>
            </w:pPr>
          </w:p>
        </w:tc>
        <w:tc>
          <w:tcPr>
            <w:tcW w:w="1170" w:type="dxa"/>
            <w:vAlign w:val="center"/>
          </w:tcPr>
          <w:p w:rsidR="00D10CBC" w:rsidRDefault="00BC383A">
            <w:pPr>
              <w:jc w:val="center"/>
              <w:rPr>
                <w:noProof/>
                <w:sz w:val="20"/>
              </w:rPr>
            </w:pPr>
            <w:r>
              <w:rPr>
                <w:b/>
                <w:noProof/>
                <w:sz w:val="20"/>
              </w:rPr>
              <w:t>2021</w:t>
            </w:r>
          </w:p>
        </w:tc>
        <w:tc>
          <w:tcPr>
            <w:tcW w:w="900" w:type="dxa"/>
            <w:vAlign w:val="center"/>
          </w:tcPr>
          <w:p w:rsidR="00D10CBC" w:rsidRDefault="00BC383A">
            <w:pPr>
              <w:jc w:val="center"/>
              <w:rPr>
                <w:noProof/>
                <w:sz w:val="20"/>
              </w:rPr>
            </w:pPr>
            <w:r>
              <w:rPr>
                <w:b/>
                <w:noProof/>
                <w:sz w:val="20"/>
              </w:rPr>
              <w:t>2022</w:t>
            </w:r>
          </w:p>
        </w:tc>
        <w:tc>
          <w:tcPr>
            <w:tcW w:w="900" w:type="dxa"/>
            <w:vAlign w:val="center"/>
          </w:tcPr>
          <w:p w:rsidR="00D10CBC" w:rsidRDefault="00BC383A">
            <w:pPr>
              <w:jc w:val="center"/>
              <w:rPr>
                <w:noProof/>
                <w:sz w:val="20"/>
              </w:rPr>
            </w:pPr>
            <w:r>
              <w:rPr>
                <w:b/>
                <w:noProof/>
                <w:sz w:val="20"/>
              </w:rPr>
              <w:t>2023</w:t>
            </w:r>
          </w:p>
        </w:tc>
        <w:tc>
          <w:tcPr>
            <w:tcW w:w="900" w:type="dxa"/>
            <w:vAlign w:val="center"/>
          </w:tcPr>
          <w:p w:rsidR="00D10CBC" w:rsidRDefault="00BC383A">
            <w:pPr>
              <w:jc w:val="center"/>
              <w:rPr>
                <w:noProof/>
                <w:sz w:val="20"/>
              </w:rPr>
            </w:pPr>
            <w:r>
              <w:rPr>
                <w:b/>
                <w:noProof/>
                <w:sz w:val="20"/>
              </w:rPr>
              <w:t>2024</w:t>
            </w:r>
          </w:p>
        </w:tc>
        <w:tc>
          <w:tcPr>
            <w:tcW w:w="900" w:type="dxa"/>
            <w:vAlign w:val="center"/>
          </w:tcPr>
          <w:p w:rsidR="00D10CBC" w:rsidRDefault="00BC383A">
            <w:pPr>
              <w:jc w:val="center"/>
              <w:rPr>
                <w:b/>
                <w:noProof/>
                <w:sz w:val="18"/>
              </w:rPr>
            </w:pPr>
            <w:r>
              <w:rPr>
                <w:b/>
                <w:noProof/>
                <w:sz w:val="18"/>
              </w:rPr>
              <w:t>2025</w:t>
            </w:r>
          </w:p>
        </w:tc>
        <w:tc>
          <w:tcPr>
            <w:tcW w:w="900" w:type="dxa"/>
            <w:vAlign w:val="center"/>
          </w:tcPr>
          <w:p w:rsidR="00D10CBC" w:rsidRDefault="00BC383A">
            <w:pPr>
              <w:jc w:val="center"/>
              <w:rPr>
                <w:b/>
                <w:noProof/>
                <w:sz w:val="18"/>
              </w:rPr>
            </w:pPr>
            <w:r>
              <w:rPr>
                <w:b/>
                <w:noProof/>
                <w:sz w:val="18"/>
              </w:rPr>
              <w:t>2026</w:t>
            </w:r>
          </w:p>
        </w:tc>
        <w:tc>
          <w:tcPr>
            <w:tcW w:w="1080" w:type="dxa"/>
            <w:vAlign w:val="center"/>
          </w:tcPr>
          <w:p w:rsidR="00D10CBC" w:rsidRDefault="00BC383A">
            <w:pPr>
              <w:jc w:val="center"/>
              <w:rPr>
                <w:b/>
                <w:noProof/>
                <w:sz w:val="18"/>
              </w:rPr>
            </w:pPr>
            <w:r>
              <w:rPr>
                <w:b/>
                <w:noProof/>
                <w:sz w:val="18"/>
              </w:rPr>
              <w:t>2027</w:t>
            </w:r>
          </w:p>
        </w:tc>
        <w:tc>
          <w:tcPr>
            <w:tcW w:w="1397" w:type="dxa"/>
            <w:vAlign w:val="center"/>
          </w:tcPr>
          <w:p w:rsidR="00D10CBC" w:rsidRDefault="00BC383A">
            <w:pPr>
              <w:jc w:val="center"/>
              <w:rPr>
                <w:b/>
                <w:noProof/>
                <w:sz w:val="20"/>
              </w:rPr>
            </w:pPr>
            <w:r>
              <w:rPr>
                <w:b/>
                <w:noProof/>
                <w:sz w:val="20"/>
              </w:rPr>
              <w:t>TOTAL</w:t>
            </w:r>
          </w:p>
        </w:tc>
      </w:tr>
      <w:tr w:rsidR="00D10CBC">
        <w:trPr>
          <w:gridAfter w:val="10"/>
          <w:wAfter w:w="10757" w:type="dxa"/>
        </w:trPr>
        <w:tc>
          <w:tcPr>
            <w:tcW w:w="3150" w:type="dxa"/>
            <w:vAlign w:val="center"/>
          </w:tcPr>
          <w:p w:rsidR="00D10CBC" w:rsidRDefault="00BC383A">
            <w:pPr>
              <w:spacing w:before="60" w:after="60"/>
              <w:jc w:val="center"/>
              <w:rPr>
                <w:noProof/>
              </w:rPr>
            </w:pPr>
            <w:r>
              <w:rPr>
                <w:b/>
                <w:noProof/>
                <w:sz w:val="28"/>
                <w:szCs w:val="28"/>
              </w:rPr>
              <w:t>HERA</w:t>
            </w:r>
          </w:p>
        </w:tc>
      </w:tr>
      <w:tr w:rsidR="00D10CBC">
        <w:trPr>
          <w:trHeight w:val="313"/>
        </w:trPr>
        <w:tc>
          <w:tcPr>
            <w:tcW w:w="5760" w:type="dxa"/>
            <w:gridSpan w:val="3"/>
            <w:vAlign w:val="center"/>
          </w:tcPr>
          <w:p w:rsidR="00D10CBC" w:rsidRDefault="00BC383A">
            <w:pPr>
              <w:spacing w:before="20" w:after="20"/>
              <w:rPr>
                <w:noProof/>
              </w:rPr>
            </w:pPr>
            <w:r>
              <w:rPr>
                <w:noProof/>
                <w:sz w:val="22"/>
              </w:rPr>
              <w:sym w:font="Wingdings" w:char="F09F"/>
            </w:r>
            <w:r>
              <w:rPr>
                <w:noProof/>
                <w:sz w:val="22"/>
              </w:rPr>
              <w:t xml:space="preserve"> Human resources </w:t>
            </w:r>
          </w:p>
        </w:tc>
        <w:tc>
          <w:tcPr>
            <w:tcW w:w="1170" w:type="dxa"/>
            <w:vAlign w:val="bottom"/>
          </w:tcPr>
          <w:p w:rsidR="00D10CBC" w:rsidRDefault="00BC383A">
            <w:pPr>
              <w:spacing w:before="20" w:after="20"/>
              <w:jc w:val="right"/>
              <w:rPr>
                <w:noProof/>
                <w:sz w:val="20"/>
                <w:szCs w:val="20"/>
              </w:rPr>
            </w:pPr>
            <w:r>
              <w:rPr>
                <w:bCs/>
                <w:noProof/>
                <w:color w:val="000000"/>
                <w:sz w:val="20"/>
                <w:szCs w:val="20"/>
              </w:rPr>
              <w:t>5.776</w:t>
            </w:r>
          </w:p>
        </w:tc>
        <w:tc>
          <w:tcPr>
            <w:tcW w:w="900" w:type="dxa"/>
            <w:vAlign w:val="bottom"/>
          </w:tcPr>
          <w:p w:rsidR="00D10CBC" w:rsidRDefault="00BC383A">
            <w:pPr>
              <w:spacing w:before="20" w:after="20"/>
              <w:jc w:val="right"/>
              <w:rPr>
                <w:noProof/>
                <w:sz w:val="20"/>
                <w:szCs w:val="20"/>
              </w:rPr>
            </w:pPr>
            <w:r>
              <w:rPr>
                <w:bCs/>
                <w:noProof/>
                <w:color w:val="000000"/>
                <w:sz w:val="20"/>
                <w:szCs w:val="20"/>
              </w:rPr>
              <w:t>11.148</w:t>
            </w:r>
          </w:p>
        </w:tc>
        <w:tc>
          <w:tcPr>
            <w:tcW w:w="900" w:type="dxa"/>
            <w:vAlign w:val="bottom"/>
          </w:tcPr>
          <w:p w:rsidR="00D10CBC" w:rsidRDefault="00BC383A">
            <w:pPr>
              <w:spacing w:before="20" w:after="20"/>
              <w:jc w:val="right"/>
              <w:rPr>
                <w:noProof/>
                <w:sz w:val="20"/>
                <w:szCs w:val="20"/>
              </w:rPr>
            </w:pPr>
            <w:r>
              <w:rPr>
                <w:bCs/>
                <w:noProof/>
                <w:color w:val="000000"/>
                <w:sz w:val="20"/>
                <w:szCs w:val="20"/>
              </w:rPr>
              <w:t>14.644</w:t>
            </w:r>
          </w:p>
        </w:tc>
        <w:tc>
          <w:tcPr>
            <w:tcW w:w="900" w:type="dxa"/>
            <w:vAlign w:val="bottom"/>
          </w:tcPr>
          <w:p w:rsidR="00D10CBC" w:rsidRDefault="00BC383A">
            <w:pPr>
              <w:spacing w:before="20" w:after="20"/>
              <w:jc w:val="right"/>
              <w:rPr>
                <w:noProof/>
                <w:sz w:val="20"/>
                <w:szCs w:val="20"/>
              </w:rPr>
            </w:pPr>
            <w:r>
              <w:rPr>
                <w:bCs/>
                <w:noProof/>
                <w:color w:val="000000"/>
                <w:sz w:val="20"/>
                <w:szCs w:val="20"/>
              </w:rPr>
              <w:t>14.644</w:t>
            </w:r>
          </w:p>
        </w:tc>
        <w:tc>
          <w:tcPr>
            <w:tcW w:w="900" w:type="dxa"/>
            <w:vAlign w:val="bottom"/>
          </w:tcPr>
          <w:p w:rsidR="00D10CBC" w:rsidRDefault="00BC383A">
            <w:pPr>
              <w:spacing w:before="20" w:after="20"/>
              <w:jc w:val="right"/>
              <w:rPr>
                <w:noProof/>
                <w:sz w:val="20"/>
                <w:szCs w:val="20"/>
              </w:rPr>
            </w:pPr>
            <w:r>
              <w:rPr>
                <w:bCs/>
                <w:noProof/>
                <w:color w:val="000000"/>
                <w:sz w:val="20"/>
                <w:szCs w:val="20"/>
              </w:rPr>
              <w:t>14.644</w:t>
            </w:r>
          </w:p>
        </w:tc>
        <w:tc>
          <w:tcPr>
            <w:tcW w:w="900" w:type="dxa"/>
            <w:vAlign w:val="bottom"/>
          </w:tcPr>
          <w:p w:rsidR="00D10CBC" w:rsidRDefault="00BC383A">
            <w:pPr>
              <w:spacing w:before="20" w:after="20"/>
              <w:jc w:val="right"/>
              <w:rPr>
                <w:noProof/>
                <w:sz w:val="20"/>
                <w:szCs w:val="20"/>
              </w:rPr>
            </w:pPr>
            <w:r>
              <w:rPr>
                <w:bCs/>
                <w:noProof/>
                <w:color w:val="000000"/>
                <w:sz w:val="20"/>
                <w:szCs w:val="20"/>
              </w:rPr>
              <w:t>14.644</w:t>
            </w:r>
          </w:p>
        </w:tc>
        <w:tc>
          <w:tcPr>
            <w:tcW w:w="1080" w:type="dxa"/>
            <w:vAlign w:val="bottom"/>
          </w:tcPr>
          <w:p w:rsidR="00D10CBC" w:rsidRDefault="00BC383A">
            <w:pPr>
              <w:spacing w:before="20" w:after="20"/>
              <w:jc w:val="right"/>
              <w:rPr>
                <w:noProof/>
                <w:sz w:val="20"/>
                <w:szCs w:val="20"/>
              </w:rPr>
            </w:pPr>
            <w:r>
              <w:rPr>
                <w:bCs/>
                <w:noProof/>
                <w:color w:val="000000"/>
                <w:sz w:val="20"/>
                <w:szCs w:val="20"/>
              </w:rPr>
              <w:t>14.644</w:t>
            </w:r>
          </w:p>
        </w:tc>
        <w:tc>
          <w:tcPr>
            <w:tcW w:w="1397" w:type="dxa"/>
            <w:vAlign w:val="bottom"/>
          </w:tcPr>
          <w:p w:rsidR="00D10CBC" w:rsidRDefault="00BC383A">
            <w:pPr>
              <w:spacing w:before="0" w:after="0"/>
              <w:jc w:val="right"/>
              <w:rPr>
                <w:bCs/>
                <w:noProof/>
                <w:color w:val="000000"/>
                <w:sz w:val="20"/>
                <w:szCs w:val="20"/>
              </w:rPr>
            </w:pPr>
            <w:r>
              <w:rPr>
                <w:bCs/>
                <w:noProof/>
                <w:color w:val="000000"/>
                <w:sz w:val="20"/>
                <w:szCs w:val="20"/>
              </w:rPr>
              <w:t>90.144</w:t>
            </w:r>
          </w:p>
        </w:tc>
      </w:tr>
      <w:tr w:rsidR="00D10CBC">
        <w:trPr>
          <w:trHeight w:val="351"/>
        </w:trPr>
        <w:tc>
          <w:tcPr>
            <w:tcW w:w="5760" w:type="dxa"/>
            <w:gridSpan w:val="3"/>
            <w:vAlign w:val="center"/>
          </w:tcPr>
          <w:p w:rsidR="00D10CBC" w:rsidRDefault="00BC383A">
            <w:pPr>
              <w:spacing w:before="20" w:after="20"/>
              <w:rPr>
                <w:noProof/>
              </w:rPr>
            </w:pPr>
            <w:r>
              <w:rPr>
                <w:noProof/>
                <w:sz w:val="22"/>
              </w:rPr>
              <w:sym w:font="Wingdings" w:char="F09F"/>
            </w:r>
            <w:r>
              <w:rPr>
                <w:noProof/>
                <w:sz w:val="22"/>
              </w:rPr>
              <w:t xml:space="preserve"> Other administrative expenditure </w:t>
            </w:r>
          </w:p>
        </w:tc>
        <w:tc>
          <w:tcPr>
            <w:tcW w:w="1170" w:type="dxa"/>
            <w:vAlign w:val="center"/>
          </w:tcPr>
          <w:p w:rsidR="00D10CBC" w:rsidRDefault="00D10CBC">
            <w:pPr>
              <w:spacing w:before="20" w:after="20"/>
              <w:jc w:val="right"/>
              <w:rPr>
                <w:b/>
                <w:noProof/>
                <w:sz w:val="20"/>
                <w:szCs w:val="20"/>
              </w:rPr>
            </w:pPr>
          </w:p>
        </w:tc>
        <w:tc>
          <w:tcPr>
            <w:tcW w:w="900" w:type="dxa"/>
            <w:vAlign w:val="bottom"/>
          </w:tcPr>
          <w:p w:rsidR="00D10CBC" w:rsidRDefault="00BC383A">
            <w:pPr>
              <w:spacing w:before="20" w:after="20"/>
              <w:jc w:val="right"/>
              <w:rPr>
                <w:b/>
                <w:noProof/>
                <w:sz w:val="20"/>
                <w:szCs w:val="20"/>
              </w:rPr>
            </w:pPr>
            <w:r>
              <w:rPr>
                <w:bCs/>
                <w:noProof/>
                <w:color w:val="000000"/>
                <w:sz w:val="20"/>
                <w:szCs w:val="20"/>
              </w:rPr>
              <w:t>0.818</w:t>
            </w:r>
          </w:p>
        </w:tc>
        <w:tc>
          <w:tcPr>
            <w:tcW w:w="900" w:type="dxa"/>
            <w:vAlign w:val="bottom"/>
          </w:tcPr>
          <w:p w:rsidR="00D10CBC" w:rsidRDefault="00BC383A">
            <w:pPr>
              <w:spacing w:before="20" w:after="20"/>
              <w:jc w:val="right"/>
              <w:rPr>
                <w:b/>
                <w:noProof/>
                <w:sz w:val="20"/>
                <w:szCs w:val="20"/>
              </w:rPr>
            </w:pPr>
            <w:r>
              <w:rPr>
                <w:bCs/>
                <w:noProof/>
                <w:color w:val="000000"/>
                <w:sz w:val="20"/>
                <w:szCs w:val="20"/>
              </w:rPr>
              <w:t>0.864</w:t>
            </w:r>
          </w:p>
        </w:tc>
        <w:tc>
          <w:tcPr>
            <w:tcW w:w="900" w:type="dxa"/>
            <w:vAlign w:val="bottom"/>
          </w:tcPr>
          <w:p w:rsidR="00D10CBC" w:rsidRDefault="00BC383A">
            <w:pPr>
              <w:spacing w:before="20" w:after="20"/>
              <w:jc w:val="right"/>
              <w:rPr>
                <w:b/>
                <w:noProof/>
                <w:sz w:val="20"/>
                <w:szCs w:val="20"/>
              </w:rPr>
            </w:pPr>
            <w:r>
              <w:rPr>
                <w:bCs/>
                <w:noProof/>
                <w:color w:val="000000"/>
                <w:sz w:val="20"/>
                <w:szCs w:val="20"/>
              </w:rPr>
              <w:t>0.864</w:t>
            </w:r>
          </w:p>
        </w:tc>
        <w:tc>
          <w:tcPr>
            <w:tcW w:w="900" w:type="dxa"/>
            <w:vAlign w:val="bottom"/>
          </w:tcPr>
          <w:p w:rsidR="00D10CBC" w:rsidRDefault="00BC383A">
            <w:pPr>
              <w:spacing w:before="20" w:after="20"/>
              <w:jc w:val="right"/>
              <w:rPr>
                <w:b/>
                <w:noProof/>
                <w:sz w:val="20"/>
                <w:szCs w:val="20"/>
              </w:rPr>
            </w:pPr>
            <w:r>
              <w:rPr>
                <w:bCs/>
                <w:noProof/>
                <w:color w:val="000000"/>
                <w:sz w:val="20"/>
                <w:szCs w:val="20"/>
              </w:rPr>
              <w:t>0.864</w:t>
            </w:r>
          </w:p>
        </w:tc>
        <w:tc>
          <w:tcPr>
            <w:tcW w:w="900" w:type="dxa"/>
            <w:vAlign w:val="bottom"/>
          </w:tcPr>
          <w:p w:rsidR="00D10CBC" w:rsidRDefault="00BC383A">
            <w:pPr>
              <w:spacing w:before="20" w:after="20"/>
              <w:jc w:val="right"/>
              <w:rPr>
                <w:b/>
                <w:noProof/>
                <w:sz w:val="20"/>
                <w:szCs w:val="20"/>
              </w:rPr>
            </w:pPr>
            <w:r>
              <w:rPr>
                <w:bCs/>
                <w:noProof/>
                <w:color w:val="000000"/>
                <w:sz w:val="20"/>
                <w:szCs w:val="20"/>
              </w:rPr>
              <w:t>0.864</w:t>
            </w:r>
          </w:p>
        </w:tc>
        <w:tc>
          <w:tcPr>
            <w:tcW w:w="1080" w:type="dxa"/>
            <w:vAlign w:val="bottom"/>
          </w:tcPr>
          <w:p w:rsidR="00D10CBC" w:rsidRDefault="00BC383A">
            <w:pPr>
              <w:spacing w:before="20" w:after="20"/>
              <w:jc w:val="right"/>
              <w:rPr>
                <w:b/>
                <w:noProof/>
                <w:sz w:val="20"/>
                <w:szCs w:val="20"/>
              </w:rPr>
            </w:pPr>
            <w:r>
              <w:rPr>
                <w:bCs/>
                <w:noProof/>
                <w:color w:val="000000"/>
                <w:sz w:val="20"/>
                <w:szCs w:val="20"/>
              </w:rPr>
              <w:t>0.864</w:t>
            </w:r>
          </w:p>
        </w:tc>
        <w:tc>
          <w:tcPr>
            <w:tcW w:w="1397" w:type="dxa"/>
            <w:vAlign w:val="bottom"/>
          </w:tcPr>
          <w:p w:rsidR="00D10CBC" w:rsidRDefault="00BC383A">
            <w:pPr>
              <w:spacing w:before="20" w:after="20"/>
              <w:jc w:val="right"/>
              <w:rPr>
                <w:b/>
                <w:noProof/>
                <w:sz w:val="20"/>
                <w:szCs w:val="20"/>
              </w:rPr>
            </w:pPr>
            <w:r>
              <w:rPr>
                <w:bCs/>
                <w:noProof/>
                <w:color w:val="000000"/>
                <w:sz w:val="20"/>
                <w:szCs w:val="20"/>
              </w:rPr>
              <w:t>5.138</w:t>
            </w:r>
          </w:p>
        </w:tc>
      </w:tr>
      <w:tr w:rsidR="00D10CBC">
        <w:tc>
          <w:tcPr>
            <w:tcW w:w="3150" w:type="dxa"/>
            <w:vAlign w:val="center"/>
          </w:tcPr>
          <w:p w:rsidR="00D10CBC" w:rsidRDefault="00BC383A">
            <w:pPr>
              <w:jc w:val="center"/>
              <w:rPr>
                <w:b/>
                <w:noProof/>
              </w:rPr>
            </w:pPr>
            <w:r>
              <w:rPr>
                <w:b/>
                <w:noProof/>
                <w:sz w:val="22"/>
              </w:rPr>
              <w:t>TOTAL appropriations under HEADING 7 – HERA</w:t>
            </w:r>
          </w:p>
        </w:tc>
        <w:tc>
          <w:tcPr>
            <w:tcW w:w="2610" w:type="dxa"/>
            <w:gridSpan w:val="2"/>
            <w:vAlign w:val="center"/>
          </w:tcPr>
          <w:p w:rsidR="00D10CBC" w:rsidRDefault="00BC383A">
            <w:pPr>
              <w:rPr>
                <w:noProof/>
                <w:sz w:val="14"/>
              </w:rPr>
            </w:pPr>
            <w:r>
              <w:rPr>
                <w:noProof/>
                <w:sz w:val="18"/>
              </w:rPr>
              <w:t xml:space="preserve">Appropriations </w:t>
            </w:r>
          </w:p>
        </w:tc>
        <w:tc>
          <w:tcPr>
            <w:tcW w:w="1170" w:type="dxa"/>
            <w:vAlign w:val="bottom"/>
          </w:tcPr>
          <w:p w:rsidR="00D10CBC" w:rsidRDefault="00BC383A">
            <w:pPr>
              <w:spacing w:before="60" w:after="60"/>
              <w:jc w:val="center"/>
              <w:rPr>
                <w:b/>
                <w:noProof/>
                <w:sz w:val="20"/>
                <w:szCs w:val="20"/>
              </w:rPr>
            </w:pPr>
            <w:r>
              <w:rPr>
                <w:b/>
                <w:bCs/>
                <w:noProof/>
                <w:color w:val="000000"/>
                <w:sz w:val="20"/>
                <w:szCs w:val="20"/>
              </w:rPr>
              <w:t>5.776</w:t>
            </w:r>
          </w:p>
        </w:tc>
        <w:tc>
          <w:tcPr>
            <w:tcW w:w="900" w:type="dxa"/>
            <w:vAlign w:val="bottom"/>
          </w:tcPr>
          <w:p w:rsidR="00D10CBC" w:rsidRDefault="00BC383A">
            <w:pPr>
              <w:spacing w:before="20" w:after="20"/>
              <w:jc w:val="right"/>
              <w:rPr>
                <w:b/>
                <w:noProof/>
                <w:sz w:val="20"/>
                <w:szCs w:val="20"/>
              </w:rPr>
            </w:pPr>
            <w:r>
              <w:rPr>
                <w:b/>
                <w:bCs/>
                <w:noProof/>
                <w:color w:val="000000"/>
                <w:sz w:val="20"/>
                <w:szCs w:val="20"/>
              </w:rPr>
              <w:t>11.966</w:t>
            </w:r>
          </w:p>
        </w:tc>
        <w:tc>
          <w:tcPr>
            <w:tcW w:w="90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108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1397" w:type="dxa"/>
            <w:vAlign w:val="bottom"/>
          </w:tcPr>
          <w:p w:rsidR="00D10CBC" w:rsidRDefault="00BC383A">
            <w:pPr>
              <w:spacing w:before="20" w:after="20"/>
              <w:jc w:val="right"/>
              <w:rPr>
                <w:b/>
                <w:noProof/>
                <w:sz w:val="20"/>
                <w:szCs w:val="20"/>
              </w:rPr>
            </w:pPr>
            <w:r>
              <w:rPr>
                <w:b/>
                <w:bCs/>
                <w:noProof/>
                <w:color w:val="000000"/>
                <w:sz w:val="20"/>
                <w:szCs w:val="20"/>
              </w:rPr>
              <w:t>95.282</w:t>
            </w:r>
          </w:p>
        </w:tc>
      </w:tr>
    </w:tbl>
    <w:p w:rsidR="00D10CBC" w:rsidRDefault="00D10CBC">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2610"/>
        <w:gridCol w:w="1170"/>
        <w:gridCol w:w="900"/>
        <w:gridCol w:w="900"/>
        <w:gridCol w:w="900"/>
        <w:gridCol w:w="900"/>
        <w:gridCol w:w="900"/>
        <w:gridCol w:w="1080"/>
        <w:gridCol w:w="1350"/>
      </w:tblGrid>
      <w:tr w:rsidR="00D10CBC">
        <w:tc>
          <w:tcPr>
            <w:tcW w:w="3150" w:type="dxa"/>
            <w:shd w:val="thinDiagStripe" w:color="C0C0C0" w:fill="auto"/>
            <w:vAlign w:val="center"/>
          </w:tcPr>
          <w:p w:rsidR="00D10CBC" w:rsidRDefault="00BC383A">
            <w:pPr>
              <w:jc w:val="center"/>
              <w:rPr>
                <w:b/>
                <w:noProof/>
              </w:rPr>
            </w:pPr>
            <w:r>
              <w:rPr>
                <w:b/>
                <w:noProof/>
                <w:sz w:val="22"/>
              </w:rPr>
              <w:t>TOTAL appropriations</w:t>
            </w:r>
            <w:r>
              <w:rPr>
                <w:noProof/>
                <w:sz w:val="22"/>
              </w:rPr>
              <w:br/>
            </w:r>
            <w:r>
              <w:rPr>
                <w:b/>
                <w:noProof/>
                <w:sz w:val="22"/>
              </w:rPr>
              <w:t>under HEADING 7</w:t>
            </w:r>
            <w:r>
              <w:rPr>
                <w:noProof/>
                <w:sz w:val="22"/>
              </w:rPr>
              <w:br/>
              <w:t>of the multiannual financial framework</w:t>
            </w:r>
            <w:r>
              <w:rPr>
                <w:b/>
                <w:noProof/>
                <w:sz w:val="22"/>
              </w:rPr>
              <w:t xml:space="preserve"> </w:t>
            </w:r>
          </w:p>
        </w:tc>
        <w:tc>
          <w:tcPr>
            <w:tcW w:w="2610" w:type="dxa"/>
            <w:vAlign w:val="center"/>
          </w:tcPr>
          <w:p w:rsidR="00D10CBC" w:rsidRDefault="00BC383A">
            <w:pPr>
              <w:spacing w:before="40" w:after="40"/>
              <w:rPr>
                <w:noProof/>
              </w:rPr>
            </w:pPr>
            <w:r>
              <w:rPr>
                <w:noProof/>
                <w:sz w:val="18"/>
              </w:rPr>
              <w:t>(Total commitments = Total payments)</w:t>
            </w:r>
          </w:p>
        </w:tc>
        <w:tc>
          <w:tcPr>
            <w:tcW w:w="1170" w:type="dxa"/>
            <w:vAlign w:val="bottom"/>
          </w:tcPr>
          <w:p w:rsidR="00D10CBC" w:rsidRDefault="00BC383A">
            <w:pPr>
              <w:spacing w:before="20" w:after="20"/>
              <w:jc w:val="right"/>
              <w:rPr>
                <w:noProof/>
                <w:sz w:val="20"/>
                <w:szCs w:val="20"/>
              </w:rPr>
            </w:pPr>
            <w:r>
              <w:rPr>
                <w:b/>
                <w:bCs/>
                <w:noProof/>
                <w:color w:val="000000"/>
                <w:sz w:val="20"/>
                <w:szCs w:val="20"/>
              </w:rPr>
              <w:t>5.776</w:t>
            </w:r>
          </w:p>
        </w:tc>
        <w:tc>
          <w:tcPr>
            <w:tcW w:w="900" w:type="dxa"/>
            <w:vAlign w:val="bottom"/>
          </w:tcPr>
          <w:p w:rsidR="00D10CBC" w:rsidRDefault="00BC383A">
            <w:pPr>
              <w:spacing w:before="20" w:after="20"/>
              <w:jc w:val="right"/>
              <w:rPr>
                <w:noProof/>
                <w:sz w:val="20"/>
                <w:szCs w:val="20"/>
              </w:rPr>
            </w:pPr>
            <w:r>
              <w:rPr>
                <w:b/>
                <w:bCs/>
                <w:noProof/>
                <w:color w:val="000000"/>
                <w:sz w:val="20"/>
                <w:szCs w:val="20"/>
              </w:rPr>
              <w:t>11.966</w:t>
            </w:r>
          </w:p>
        </w:tc>
        <w:tc>
          <w:tcPr>
            <w:tcW w:w="900" w:type="dxa"/>
            <w:vAlign w:val="bottom"/>
          </w:tcPr>
          <w:p w:rsidR="00D10CBC" w:rsidRDefault="00BC383A">
            <w:pPr>
              <w:spacing w:before="20" w:after="20"/>
              <w:jc w:val="right"/>
              <w:rPr>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noProof/>
                <w:sz w:val="20"/>
                <w:szCs w:val="20"/>
              </w:rPr>
            </w:pPr>
            <w:r>
              <w:rPr>
                <w:b/>
                <w:bCs/>
                <w:noProof/>
                <w:color w:val="000000"/>
                <w:sz w:val="20"/>
                <w:szCs w:val="20"/>
              </w:rPr>
              <w:t>15.508</w:t>
            </w:r>
          </w:p>
        </w:tc>
        <w:tc>
          <w:tcPr>
            <w:tcW w:w="900" w:type="dxa"/>
            <w:vAlign w:val="bottom"/>
          </w:tcPr>
          <w:p w:rsidR="00D10CBC" w:rsidRDefault="00BC383A">
            <w:pPr>
              <w:spacing w:before="20" w:after="20"/>
              <w:jc w:val="right"/>
              <w:rPr>
                <w:noProof/>
                <w:sz w:val="20"/>
                <w:szCs w:val="20"/>
              </w:rPr>
            </w:pPr>
            <w:r>
              <w:rPr>
                <w:b/>
                <w:bCs/>
                <w:noProof/>
                <w:color w:val="000000"/>
                <w:sz w:val="20"/>
                <w:szCs w:val="20"/>
              </w:rPr>
              <w:t>15.508</w:t>
            </w:r>
          </w:p>
        </w:tc>
        <w:tc>
          <w:tcPr>
            <w:tcW w:w="1080" w:type="dxa"/>
            <w:vAlign w:val="bottom"/>
          </w:tcPr>
          <w:p w:rsidR="00D10CBC" w:rsidRDefault="00BC383A">
            <w:pPr>
              <w:spacing w:before="20" w:after="20"/>
              <w:jc w:val="right"/>
              <w:rPr>
                <w:b/>
                <w:noProof/>
                <w:sz w:val="20"/>
                <w:szCs w:val="20"/>
              </w:rPr>
            </w:pPr>
            <w:r>
              <w:rPr>
                <w:b/>
                <w:bCs/>
                <w:noProof/>
                <w:color w:val="000000"/>
                <w:sz w:val="20"/>
                <w:szCs w:val="20"/>
              </w:rPr>
              <w:t>15.508</w:t>
            </w:r>
          </w:p>
        </w:tc>
        <w:tc>
          <w:tcPr>
            <w:tcW w:w="1350" w:type="dxa"/>
            <w:vAlign w:val="bottom"/>
          </w:tcPr>
          <w:p w:rsidR="00D10CBC" w:rsidRDefault="00BC383A">
            <w:pPr>
              <w:spacing w:before="20" w:after="20"/>
              <w:jc w:val="right"/>
              <w:rPr>
                <w:b/>
                <w:noProof/>
                <w:sz w:val="20"/>
                <w:szCs w:val="20"/>
              </w:rPr>
            </w:pPr>
            <w:r>
              <w:rPr>
                <w:b/>
                <w:bCs/>
                <w:noProof/>
                <w:color w:val="000000"/>
                <w:sz w:val="20"/>
                <w:szCs w:val="20"/>
              </w:rPr>
              <w:t>95.282</w:t>
            </w:r>
          </w:p>
        </w:tc>
      </w:tr>
    </w:tbl>
    <w:p w:rsidR="00D10CBC" w:rsidRDefault="00BC383A">
      <w:pPr>
        <w:jc w:val="right"/>
        <w:rPr>
          <w:noProof/>
          <w:sz w:val="20"/>
        </w:rPr>
      </w:pPr>
      <w:r>
        <w:rPr>
          <w:noProof/>
          <w:sz w:val="20"/>
        </w:rPr>
        <w:t>EUR million (to three decimal places)</w:t>
      </w:r>
    </w:p>
    <w:tbl>
      <w:tblPr>
        <w:tblW w:w="1514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29"/>
        <w:gridCol w:w="345"/>
        <w:gridCol w:w="889"/>
        <w:gridCol w:w="1040"/>
        <w:gridCol w:w="1029"/>
        <w:gridCol w:w="1080"/>
        <w:gridCol w:w="1080"/>
        <w:gridCol w:w="1170"/>
        <w:gridCol w:w="1080"/>
        <w:gridCol w:w="1170"/>
        <w:gridCol w:w="1284"/>
      </w:tblGrid>
      <w:tr w:rsidR="00D10CBC">
        <w:tc>
          <w:tcPr>
            <w:tcW w:w="3148" w:type="dxa"/>
            <w:tcBorders>
              <w:top w:val="nil"/>
              <w:left w:val="nil"/>
              <w:right w:val="nil"/>
            </w:tcBorders>
            <w:vAlign w:val="center"/>
          </w:tcPr>
          <w:p w:rsidR="00D10CBC" w:rsidRDefault="00D10CBC">
            <w:pPr>
              <w:jc w:val="center"/>
              <w:rPr>
                <w:noProof/>
              </w:rPr>
            </w:pPr>
          </w:p>
        </w:tc>
        <w:tc>
          <w:tcPr>
            <w:tcW w:w="1829" w:type="dxa"/>
            <w:tcBorders>
              <w:top w:val="nil"/>
              <w:left w:val="nil"/>
              <w:right w:val="nil"/>
            </w:tcBorders>
          </w:tcPr>
          <w:p w:rsidR="00D10CBC" w:rsidRDefault="00D10CBC">
            <w:pPr>
              <w:rPr>
                <w:noProof/>
                <w:sz w:val="20"/>
              </w:rPr>
            </w:pPr>
          </w:p>
        </w:tc>
        <w:tc>
          <w:tcPr>
            <w:tcW w:w="345" w:type="dxa"/>
            <w:tcBorders>
              <w:top w:val="nil"/>
              <w:left w:val="nil"/>
            </w:tcBorders>
          </w:tcPr>
          <w:p w:rsidR="00D10CBC" w:rsidRDefault="00D10CBC">
            <w:pPr>
              <w:jc w:val="center"/>
              <w:rPr>
                <w:noProof/>
                <w:sz w:val="20"/>
              </w:rPr>
            </w:pPr>
          </w:p>
        </w:tc>
        <w:tc>
          <w:tcPr>
            <w:tcW w:w="889" w:type="dxa"/>
            <w:vAlign w:val="center"/>
          </w:tcPr>
          <w:p w:rsidR="00D10CBC" w:rsidRDefault="00BC383A">
            <w:pPr>
              <w:jc w:val="center"/>
              <w:rPr>
                <w:noProof/>
                <w:sz w:val="20"/>
              </w:rPr>
            </w:pPr>
            <w:r>
              <w:rPr>
                <w:b/>
                <w:noProof/>
                <w:sz w:val="20"/>
              </w:rPr>
              <w:t>2021</w:t>
            </w:r>
          </w:p>
        </w:tc>
        <w:tc>
          <w:tcPr>
            <w:tcW w:w="1040" w:type="dxa"/>
            <w:vAlign w:val="center"/>
          </w:tcPr>
          <w:p w:rsidR="00D10CBC" w:rsidRDefault="00BC383A">
            <w:pPr>
              <w:jc w:val="center"/>
              <w:rPr>
                <w:noProof/>
                <w:sz w:val="20"/>
              </w:rPr>
            </w:pPr>
            <w:r>
              <w:rPr>
                <w:b/>
                <w:noProof/>
                <w:sz w:val="20"/>
              </w:rPr>
              <w:t>2022</w:t>
            </w:r>
          </w:p>
        </w:tc>
        <w:tc>
          <w:tcPr>
            <w:tcW w:w="1029" w:type="dxa"/>
            <w:vAlign w:val="center"/>
          </w:tcPr>
          <w:p w:rsidR="00D10CBC" w:rsidRDefault="00BC383A">
            <w:pPr>
              <w:jc w:val="center"/>
              <w:rPr>
                <w:noProof/>
                <w:sz w:val="20"/>
              </w:rPr>
            </w:pPr>
            <w:r>
              <w:rPr>
                <w:b/>
                <w:noProof/>
                <w:sz w:val="20"/>
              </w:rPr>
              <w:t>2023</w:t>
            </w:r>
          </w:p>
        </w:tc>
        <w:tc>
          <w:tcPr>
            <w:tcW w:w="1080" w:type="dxa"/>
            <w:vAlign w:val="center"/>
          </w:tcPr>
          <w:p w:rsidR="00D10CBC" w:rsidRDefault="00BC383A">
            <w:pPr>
              <w:jc w:val="center"/>
              <w:rPr>
                <w:noProof/>
                <w:sz w:val="20"/>
              </w:rPr>
            </w:pPr>
            <w:r>
              <w:rPr>
                <w:b/>
                <w:noProof/>
                <w:sz w:val="20"/>
              </w:rPr>
              <w:t>2024</w:t>
            </w:r>
          </w:p>
        </w:tc>
        <w:tc>
          <w:tcPr>
            <w:tcW w:w="1080" w:type="dxa"/>
            <w:vAlign w:val="center"/>
          </w:tcPr>
          <w:p w:rsidR="00D10CBC" w:rsidRDefault="00BC383A">
            <w:pPr>
              <w:jc w:val="center"/>
              <w:rPr>
                <w:b/>
                <w:noProof/>
                <w:sz w:val="18"/>
              </w:rPr>
            </w:pPr>
            <w:r>
              <w:rPr>
                <w:b/>
                <w:noProof/>
                <w:sz w:val="18"/>
              </w:rPr>
              <w:t>2025</w:t>
            </w:r>
          </w:p>
        </w:tc>
        <w:tc>
          <w:tcPr>
            <w:tcW w:w="1170" w:type="dxa"/>
            <w:vAlign w:val="center"/>
          </w:tcPr>
          <w:p w:rsidR="00D10CBC" w:rsidRDefault="00BC383A">
            <w:pPr>
              <w:jc w:val="center"/>
              <w:rPr>
                <w:b/>
                <w:noProof/>
                <w:sz w:val="18"/>
              </w:rPr>
            </w:pPr>
            <w:r>
              <w:rPr>
                <w:b/>
                <w:noProof/>
                <w:sz w:val="18"/>
              </w:rPr>
              <w:t>2026</w:t>
            </w:r>
          </w:p>
        </w:tc>
        <w:tc>
          <w:tcPr>
            <w:tcW w:w="1080" w:type="dxa"/>
            <w:vAlign w:val="center"/>
          </w:tcPr>
          <w:p w:rsidR="00D10CBC" w:rsidRDefault="00BC383A">
            <w:pPr>
              <w:jc w:val="center"/>
              <w:rPr>
                <w:b/>
                <w:noProof/>
                <w:sz w:val="18"/>
              </w:rPr>
            </w:pPr>
            <w:r>
              <w:rPr>
                <w:b/>
                <w:noProof/>
                <w:sz w:val="18"/>
              </w:rPr>
              <w:t>2027</w:t>
            </w:r>
          </w:p>
        </w:tc>
        <w:tc>
          <w:tcPr>
            <w:tcW w:w="1170" w:type="dxa"/>
          </w:tcPr>
          <w:p w:rsidR="00D10CBC" w:rsidRDefault="00BC383A">
            <w:pPr>
              <w:jc w:val="center"/>
              <w:rPr>
                <w:b/>
                <w:noProof/>
                <w:sz w:val="20"/>
              </w:rPr>
            </w:pPr>
            <w:r>
              <w:rPr>
                <w:b/>
                <w:i/>
                <w:noProof/>
                <w:sz w:val="20"/>
              </w:rPr>
              <w:t>Post 2027</w:t>
            </w:r>
          </w:p>
        </w:tc>
        <w:tc>
          <w:tcPr>
            <w:tcW w:w="1284" w:type="dxa"/>
            <w:vAlign w:val="center"/>
          </w:tcPr>
          <w:p w:rsidR="00D10CBC" w:rsidRDefault="00BC383A">
            <w:pPr>
              <w:jc w:val="center"/>
              <w:rPr>
                <w:b/>
                <w:noProof/>
                <w:sz w:val="20"/>
              </w:rPr>
            </w:pPr>
            <w:r>
              <w:rPr>
                <w:b/>
                <w:noProof/>
                <w:sz w:val="20"/>
              </w:rPr>
              <w:t>TOTAL</w:t>
            </w:r>
          </w:p>
        </w:tc>
      </w:tr>
      <w:tr w:rsidR="00D10CBC">
        <w:tc>
          <w:tcPr>
            <w:tcW w:w="3148" w:type="dxa"/>
            <w:vMerge w:val="restart"/>
            <w:shd w:val="clear" w:color="auto" w:fill="C0C0C0"/>
            <w:vAlign w:val="center"/>
          </w:tcPr>
          <w:p w:rsidR="00D10CBC" w:rsidRDefault="00BC383A">
            <w:pPr>
              <w:jc w:val="center"/>
              <w:rPr>
                <w:b/>
                <w:noProof/>
              </w:rPr>
            </w:pPr>
            <w:r>
              <w:rPr>
                <w:b/>
                <w:noProof/>
                <w:sz w:val="22"/>
              </w:rPr>
              <w:t xml:space="preserve">TOTAL appropriations </w:t>
            </w:r>
            <w:r>
              <w:rPr>
                <w:noProof/>
                <w:sz w:val="22"/>
              </w:rPr>
              <w:br/>
            </w:r>
            <w:r>
              <w:rPr>
                <w:b/>
                <w:noProof/>
                <w:sz w:val="22"/>
              </w:rPr>
              <w:t xml:space="preserve">under HEADINGS </w:t>
            </w:r>
            <w:r>
              <w:rPr>
                <w:noProof/>
                <w:sz w:val="22"/>
              </w:rPr>
              <w:t>of the multiannual financial framework</w:t>
            </w:r>
            <w:r>
              <w:rPr>
                <w:b/>
                <w:noProof/>
                <w:sz w:val="22"/>
              </w:rPr>
              <w:t xml:space="preserve"> – from budgetary procedures</w:t>
            </w:r>
          </w:p>
        </w:tc>
        <w:tc>
          <w:tcPr>
            <w:tcW w:w="2174" w:type="dxa"/>
            <w:gridSpan w:val="2"/>
            <w:vAlign w:val="center"/>
          </w:tcPr>
          <w:p w:rsidR="00D10CBC" w:rsidRDefault="00BC383A">
            <w:pPr>
              <w:rPr>
                <w:noProof/>
                <w:sz w:val="14"/>
              </w:rPr>
            </w:pPr>
            <w:r>
              <w:rPr>
                <w:noProof/>
                <w:sz w:val="18"/>
              </w:rPr>
              <w:t>Commitments</w:t>
            </w:r>
          </w:p>
        </w:tc>
        <w:tc>
          <w:tcPr>
            <w:tcW w:w="889" w:type="dxa"/>
          </w:tcPr>
          <w:p w:rsidR="00D10CBC" w:rsidRDefault="00BC383A">
            <w:pPr>
              <w:spacing w:before="20" w:after="20"/>
              <w:jc w:val="right"/>
              <w:rPr>
                <w:bCs/>
                <w:noProof/>
                <w:color w:val="000000"/>
                <w:sz w:val="20"/>
                <w:szCs w:val="20"/>
              </w:rPr>
            </w:pPr>
            <w:r>
              <w:rPr>
                <w:bCs/>
                <w:noProof/>
                <w:color w:val="000000"/>
                <w:sz w:val="20"/>
                <w:szCs w:val="20"/>
              </w:rPr>
              <w:t>5.776</w:t>
            </w:r>
          </w:p>
        </w:tc>
        <w:tc>
          <w:tcPr>
            <w:tcW w:w="1040" w:type="dxa"/>
          </w:tcPr>
          <w:p w:rsidR="00D10CBC" w:rsidRDefault="00BC383A">
            <w:pPr>
              <w:spacing w:before="20" w:after="20"/>
              <w:jc w:val="right"/>
              <w:rPr>
                <w:bCs/>
                <w:noProof/>
                <w:color w:val="000000"/>
                <w:sz w:val="20"/>
                <w:szCs w:val="20"/>
              </w:rPr>
            </w:pPr>
            <w:r>
              <w:rPr>
                <w:bCs/>
                <w:noProof/>
                <w:color w:val="000000"/>
                <w:sz w:val="20"/>
                <w:szCs w:val="20"/>
              </w:rPr>
              <w:t>1.352.569</w:t>
            </w:r>
          </w:p>
        </w:tc>
        <w:tc>
          <w:tcPr>
            <w:tcW w:w="1029" w:type="dxa"/>
          </w:tcPr>
          <w:p w:rsidR="00D10CBC" w:rsidRDefault="00BC383A">
            <w:pPr>
              <w:spacing w:before="20" w:after="20"/>
              <w:jc w:val="right"/>
              <w:rPr>
                <w:bCs/>
                <w:noProof/>
                <w:color w:val="000000"/>
                <w:sz w:val="20"/>
                <w:szCs w:val="20"/>
              </w:rPr>
            </w:pPr>
            <w:r>
              <w:rPr>
                <w:bCs/>
                <w:noProof/>
                <w:color w:val="000000"/>
                <w:sz w:val="20"/>
                <w:szCs w:val="20"/>
              </w:rPr>
              <w:t>1.353.955</w:t>
            </w:r>
          </w:p>
        </w:tc>
        <w:tc>
          <w:tcPr>
            <w:tcW w:w="1080" w:type="dxa"/>
          </w:tcPr>
          <w:p w:rsidR="00D10CBC" w:rsidRDefault="00BC383A">
            <w:pPr>
              <w:spacing w:before="20" w:after="20"/>
              <w:jc w:val="right"/>
              <w:rPr>
                <w:bCs/>
                <w:noProof/>
                <w:color w:val="000000"/>
                <w:sz w:val="20"/>
                <w:szCs w:val="20"/>
              </w:rPr>
            </w:pPr>
            <w:r>
              <w:rPr>
                <w:bCs/>
                <w:noProof/>
                <w:color w:val="000000"/>
                <w:sz w:val="20"/>
                <w:szCs w:val="20"/>
              </w:rPr>
              <w:t>743.660</w:t>
            </w:r>
          </w:p>
        </w:tc>
        <w:tc>
          <w:tcPr>
            <w:tcW w:w="1080" w:type="dxa"/>
          </w:tcPr>
          <w:p w:rsidR="00D10CBC" w:rsidRDefault="00BC383A">
            <w:pPr>
              <w:spacing w:before="20" w:after="20"/>
              <w:jc w:val="right"/>
              <w:rPr>
                <w:bCs/>
                <w:noProof/>
                <w:color w:val="000000"/>
                <w:sz w:val="20"/>
                <w:szCs w:val="20"/>
              </w:rPr>
            </w:pPr>
            <w:r>
              <w:rPr>
                <w:bCs/>
                <w:noProof/>
                <w:color w:val="000000"/>
                <w:sz w:val="20"/>
                <w:szCs w:val="20"/>
              </w:rPr>
              <w:t>763.434</w:t>
            </w:r>
          </w:p>
        </w:tc>
        <w:tc>
          <w:tcPr>
            <w:tcW w:w="1170" w:type="dxa"/>
          </w:tcPr>
          <w:p w:rsidR="00D10CBC" w:rsidRDefault="00BC383A">
            <w:pPr>
              <w:spacing w:before="20" w:after="20"/>
              <w:jc w:val="right"/>
              <w:rPr>
                <w:bCs/>
                <w:noProof/>
                <w:color w:val="000000"/>
                <w:sz w:val="20"/>
                <w:szCs w:val="20"/>
              </w:rPr>
            </w:pPr>
            <w:r>
              <w:rPr>
                <w:bCs/>
                <w:noProof/>
                <w:color w:val="000000"/>
                <w:sz w:val="20"/>
                <w:szCs w:val="20"/>
              </w:rPr>
              <w:t>778.675</w:t>
            </w:r>
          </w:p>
        </w:tc>
        <w:tc>
          <w:tcPr>
            <w:tcW w:w="1080" w:type="dxa"/>
          </w:tcPr>
          <w:p w:rsidR="00D10CBC" w:rsidRDefault="00BC383A">
            <w:pPr>
              <w:spacing w:before="20" w:after="20"/>
              <w:jc w:val="right"/>
              <w:rPr>
                <w:bCs/>
                <w:noProof/>
                <w:color w:val="000000"/>
                <w:sz w:val="20"/>
                <w:szCs w:val="20"/>
              </w:rPr>
            </w:pPr>
            <w:r>
              <w:rPr>
                <w:bCs/>
                <w:noProof/>
                <w:color w:val="000000"/>
                <w:sz w:val="20"/>
                <w:szCs w:val="20"/>
              </w:rPr>
              <w:t>1.114.461</w:t>
            </w:r>
          </w:p>
        </w:tc>
        <w:tc>
          <w:tcPr>
            <w:tcW w:w="1170" w:type="dxa"/>
          </w:tcPr>
          <w:p w:rsidR="00D10CBC" w:rsidRDefault="00BC383A">
            <w:pPr>
              <w:spacing w:before="20" w:after="20"/>
              <w:jc w:val="right"/>
              <w:rPr>
                <w:bCs/>
                <w:noProof/>
                <w:color w:val="000000"/>
                <w:sz w:val="20"/>
                <w:szCs w:val="20"/>
              </w:rPr>
            </w:pPr>
            <w:r>
              <w:rPr>
                <w:bCs/>
                <w:noProof/>
                <w:color w:val="000000"/>
                <w:sz w:val="20"/>
                <w:szCs w:val="20"/>
              </w:rPr>
              <w:t>0</w:t>
            </w:r>
          </w:p>
        </w:tc>
        <w:tc>
          <w:tcPr>
            <w:tcW w:w="1284" w:type="dxa"/>
          </w:tcPr>
          <w:p w:rsidR="00D10CBC" w:rsidRDefault="00BC383A">
            <w:pPr>
              <w:spacing w:before="20" w:after="20"/>
              <w:jc w:val="right"/>
              <w:rPr>
                <w:bCs/>
                <w:noProof/>
                <w:color w:val="000000"/>
                <w:sz w:val="20"/>
                <w:szCs w:val="20"/>
              </w:rPr>
            </w:pPr>
            <w:r>
              <w:rPr>
                <w:bCs/>
                <w:noProof/>
                <w:color w:val="000000"/>
                <w:sz w:val="20"/>
                <w:szCs w:val="20"/>
              </w:rPr>
              <w:t>6.112.527</w:t>
            </w:r>
          </w:p>
        </w:tc>
      </w:tr>
      <w:tr w:rsidR="00D10CBC">
        <w:tc>
          <w:tcPr>
            <w:tcW w:w="3148" w:type="dxa"/>
            <w:vMerge/>
            <w:shd w:val="clear" w:color="auto" w:fill="C0C0C0"/>
          </w:tcPr>
          <w:p w:rsidR="00D10CBC" w:rsidRDefault="00D10CBC">
            <w:pPr>
              <w:rPr>
                <w:noProof/>
                <w:sz w:val="20"/>
              </w:rPr>
            </w:pPr>
          </w:p>
        </w:tc>
        <w:tc>
          <w:tcPr>
            <w:tcW w:w="2174" w:type="dxa"/>
            <w:gridSpan w:val="2"/>
            <w:vAlign w:val="center"/>
          </w:tcPr>
          <w:p w:rsidR="00D10CBC" w:rsidRDefault="00BC383A">
            <w:pPr>
              <w:rPr>
                <w:noProof/>
                <w:sz w:val="14"/>
              </w:rPr>
            </w:pPr>
            <w:r>
              <w:rPr>
                <w:noProof/>
                <w:sz w:val="18"/>
              </w:rPr>
              <w:t>Payments</w:t>
            </w:r>
          </w:p>
        </w:tc>
        <w:tc>
          <w:tcPr>
            <w:tcW w:w="889" w:type="dxa"/>
          </w:tcPr>
          <w:p w:rsidR="00D10CBC" w:rsidRDefault="00BC383A">
            <w:pPr>
              <w:spacing w:before="20" w:after="20"/>
              <w:jc w:val="right"/>
              <w:rPr>
                <w:bCs/>
                <w:noProof/>
                <w:color w:val="000000"/>
                <w:sz w:val="20"/>
                <w:szCs w:val="20"/>
              </w:rPr>
            </w:pPr>
            <w:r>
              <w:rPr>
                <w:bCs/>
                <w:noProof/>
                <w:color w:val="000000"/>
                <w:sz w:val="20"/>
                <w:szCs w:val="20"/>
              </w:rPr>
              <w:t>5.776</w:t>
            </w:r>
          </w:p>
        </w:tc>
        <w:tc>
          <w:tcPr>
            <w:tcW w:w="1040" w:type="dxa"/>
          </w:tcPr>
          <w:p w:rsidR="00D10CBC" w:rsidRDefault="00BC383A">
            <w:pPr>
              <w:spacing w:before="20" w:after="20"/>
              <w:jc w:val="right"/>
              <w:rPr>
                <w:bCs/>
                <w:noProof/>
                <w:color w:val="000000"/>
                <w:sz w:val="20"/>
                <w:szCs w:val="20"/>
              </w:rPr>
            </w:pPr>
            <w:r>
              <w:rPr>
                <w:bCs/>
                <w:noProof/>
                <w:color w:val="000000"/>
                <w:sz w:val="20"/>
                <w:szCs w:val="20"/>
              </w:rPr>
              <w:t>453.602</w:t>
            </w:r>
          </w:p>
        </w:tc>
        <w:tc>
          <w:tcPr>
            <w:tcW w:w="1029" w:type="dxa"/>
          </w:tcPr>
          <w:p w:rsidR="00D10CBC" w:rsidRDefault="00BC383A">
            <w:pPr>
              <w:spacing w:before="20" w:after="20"/>
              <w:jc w:val="right"/>
              <w:rPr>
                <w:bCs/>
                <w:noProof/>
                <w:color w:val="000000"/>
                <w:sz w:val="20"/>
                <w:szCs w:val="20"/>
              </w:rPr>
            </w:pPr>
            <w:r>
              <w:rPr>
                <w:bCs/>
                <w:noProof/>
                <w:color w:val="000000"/>
                <w:sz w:val="20"/>
                <w:szCs w:val="20"/>
              </w:rPr>
              <w:t>861.037</w:t>
            </w:r>
          </w:p>
        </w:tc>
        <w:tc>
          <w:tcPr>
            <w:tcW w:w="1080" w:type="dxa"/>
          </w:tcPr>
          <w:p w:rsidR="00D10CBC" w:rsidRDefault="00BC383A">
            <w:pPr>
              <w:spacing w:before="20" w:after="20"/>
              <w:jc w:val="right"/>
              <w:rPr>
                <w:bCs/>
                <w:noProof/>
                <w:color w:val="000000"/>
                <w:sz w:val="20"/>
                <w:szCs w:val="20"/>
              </w:rPr>
            </w:pPr>
            <w:r>
              <w:rPr>
                <w:bCs/>
                <w:noProof/>
                <w:color w:val="000000"/>
                <w:sz w:val="20"/>
                <w:szCs w:val="20"/>
              </w:rPr>
              <w:t>1.153.567</w:t>
            </w:r>
          </w:p>
        </w:tc>
        <w:tc>
          <w:tcPr>
            <w:tcW w:w="1080" w:type="dxa"/>
          </w:tcPr>
          <w:p w:rsidR="00D10CBC" w:rsidRDefault="00BC383A">
            <w:pPr>
              <w:spacing w:before="20" w:after="20"/>
              <w:jc w:val="right"/>
              <w:rPr>
                <w:bCs/>
                <w:noProof/>
                <w:color w:val="000000"/>
                <w:sz w:val="20"/>
                <w:szCs w:val="20"/>
              </w:rPr>
            </w:pPr>
            <w:r>
              <w:rPr>
                <w:bCs/>
                <w:noProof/>
                <w:color w:val="000000"/>
                <w:sz w:val="20"/>
                <w:szCs w:val="20"/>
              </w:rPr>
              <w:t>974.158</w:t>
            </w:r>
          </w:p>
        </w:tc>
        <w:tc>
          <w:tcPr>
            <w:tcW w:w="1170" w:type="dxa"/>
          </w:tcPr>
          <w:p w:rsidR="00D10CBC" w:rsidRDefault="00BC383A">
            <w:pPr>
              <w:spacing w:before="20" w:after="20"/>
              <w:jc w:val="right"/>
              <w:rPr>
                <w:bCs/>
                <w:noProof/>
                <w:color w:val="000000"/>
                <w:sz w:val="20"/>
                <w:szCs w:val="20"/>
              </w:rPr>
            </w:pPr>
            <w:r>
              <w:rPr>
                <w:bCs/>
                <w:noProof/>
                <w:color w:val="000000"/>
                <w:sz w:val="20"/>
                <w:szCs w:val="20"/>
              </w:rPr>
              <w:t>761.754</w:t>
            </w:r>
          </w:p>
        </w:tc>
        <w:tc>
          <w:tcPr>
            <w:tcW w:w="1080" w:type="dxa"/>
          </w:tcPr>
          <w:p w:rsidR="00D10CBC" w:rsidRDefault="00BC383A">
            <w:pPr>
              <w:spacing w:before="20" w:after="20"/>
              <w:jc w:val="right"/>
              <w:rPr>
                <w:bCs/>
                <w:noProof/>
                <w:color w:val="000000"/>
                <w:sz w:val="20"/>
                <w:szCs w:val="20"/>
              </w:rPr>
            </w:pPr>
            <w:r>
              <w:rPr>
                <w:bCs/>
                <w:noProof/>
                <w:color w:val="000000"/>
                <w:sz w:val="20"/>
                <w:szCs w:val="20"/>
              </w:rPr>
              <w:t>874.180</w:t>
            </w:r>
          </w:p>
        </w:tc>
        <w:tc>
          <w:tcPr>
            <w:tcW w:w="1170" w:type="dxa"/>
          </w:tcPr>
          <w:p w:rsidR="00D10CBC" w:rsidRDefault="00BC383A">
            <w:pPr>
              <w:spacing w:before="20" w:after="20"/>
              <w:jc w:val="right"/>
              <w:rPr>
                <w:bCs/>
                <w:noProof/>
                <w:color w:val="000000"/>
                <w:sz w:val="20"/>
                <w:szCs w:val="20"/>
              </w:rPr>
            </w:pPr>
            <w:r>
              <w:rPr>
                <w:bCs/>
                <w:noProof/>
                <w:color w:val="000000"/>
                <w:sz w:val="20"/>
                <w:szCs w:val="20"/>
              </w:rPr>
              <w:t>1.028.454</w:t>
            </w:r>
          </w:p>
        </w:tc>
        <w:tc>
          <w:tcPr>
            <w:tcW w:w="1284" w:type="dxa"/>
          </w:tcPr>
          <w:p w:rsidR="00D10CBC" w:rsidRDefault="00BC383A">
            <w:pPr>
              <w:spacing w:before="20" w:after="20"/>
              <w:jc w:val="right"/>
              <w:rPr>
                <w:bCs/>
                <w:noProof/>
                <w:color w:val="000000"/>
                <w:sz w:val="20"/>
                <w:szCs w:val="20"/>
              </w:rPr>
            </w:pPr>
            <w:r>
              <w:rPr>
                <w:bCs/>
                <w:noProof/>
                <w:color w:val="000000"/>
                <w:sz w:val="20"/>
                <w:szCs w:val="20"/>
              </w:rPr>
              <w:t>6.112.527</w:t>
            </w:r>
          </w:p>
        </w:tc>
      </w:tr>
      <w:tr w:rsidR="00D10CBC">
        <w:tc>
          <w:tcPr>
            <w:tcW w:w="3148" w:type="dxa"/>
            <w:shd w:val="clear" w:color="auto" w:fill="C0C0C0"/>
          </w:tcPr>
          <w:p w:rsidR="00D10CBC" w:rsidRDefault="00D10CBC">
            <w:pPr>
              <w:rPr>
                <w:noProof/>
                <w:sz w:val="20"/>
              </w:rPr>
            </w:pPr>
          </w:p>
        </w:tc>
        <w:tc>
          <w:tcPr>
            <w:tcW w:w="2174" w:type="dxa"/>
            <w:gridSpan w:val="2"/>
            <w:vAlign w:val="center"/>
          </w:tcPr>
          <w:p w:rsidR="00D10CBC" w:rsidRDefault="00D10CBC">
            <w:pPr>
              <w:rPr>
                <w:noProof/>
                <w:sz w:val="18"/>
              </w:rPr>
            </w:pPr>
          </w:p>
        </w:tc>
        <w:tc>
          <w:tcPr>
            <w:tcW w:w="889" w:type="dxa"/>
            <w:vAlign w:val="center"/>
          </w:tcPr>
          <w:p w:rsidR="00D10CBC" w:rsidRDefault="00D10CBC">
            <w:pPr>
              <w:spacing w:before="60" w:after="60"/>
              <w:jc w:val="right"/>
              <w:rPr>
                <w:noProof/>
                <w:color w:val="000000"/>
                <w:sz w:val="20"/>
                <w:szCs w:val="20"/>
              </w:rPr>
            </w:pPr>
          </w:p>
        </w:tc>
        <w:tc>
          <w:tcPr>
            <w:tcW w:w="1040" w:type="dxa"/>
            <w:vAlign w:val="center"/>
          </w:tcPr>
          <w:p w:rsidR="00D10CBC" w:rsidRDefault="00D10CBC">
            <w:pPr>
              <w:spacing w:before="60" w:after="60"/>
              <w:jc w:val="right"/>
              <w:rPr>
                <w:noProof/>
                <w:color w:val="000000"/>
                <w:sz w:val="20"/>
                <w:szCs w:val="20"/>
              </w:rPr>
            </w:pPr>
          </w:p>
        </w:tc>
        <w:tc>
          <w:tcPr>
            <w:tcW w:w="1029" w:type="dxa"/>
            <w:vAlign w:val="center"/>
          </w:tcPr>
          <w:p w:rsidR="00D10CBC" w:rsidRDefault="00D10CBC">
            <w:pPr>
              <w:spacing w:before="60" w:after="60"/>
              <w:jc w:val="right"/>
              <w:rPr>
                <w:noProof/>
                <w:color w:val="000000"/>
                <w:sz w:val="20"/>
                <w:szCs w:val="20"/>
              </w:rPr>
            </w:pPr>
          </w:p>
        </w:tc>
        <w:tc>
          <w:tcPr>
            <w:tcW w:w="1080" w:type="dxa"/>
            <w:vAlign w:val="center"/>
          </w:tcPr>
          <w:p w:rsidR="00D10CBC" w:rsidRDefault="00D10CBC">
            <w:pPr>
              <w:spacing w:before="60" w:after="60"/>
              <w:jc w:val="right"/>
              <w:rPr>
                <w:noProof/>
                <w:color w:val="000000"/>
                <w:sz w:val="20"/>
                <w:szCs w:val="20"/>
              </w:rPr>
            </w:pPr>
          </w:p>
        </w:tc>
        <w:tc>
          <w:tcPr>
            <w:tcW w:w="1080" w:type="dxa"/>
            <w:vAlign w:val="center"/>
          </w:tcPr>
          <w:p w:rsidR="00D10CBC" w:rsidRDefault="00D10CBC">
            <w:pPr>
              <w:spacing w:before="60" w:after="60"/>
              <w:jc w:val="right"/>
              <w:rPr>
                <w:noProof/>
                <w:color w:val="000000"/>
                <w:sz w:val="20"/>
                <w:szCs w:val="20"/>
              </w:rPr>
            </w:pPr>
          </w:p>
        </w:tc>
        <w:tc>
          <w:tcPr>
            <w:tcW w:w="1170" w:type="dxa"/>
            <w:vAlign w:val="center"/>
          </w:tcPr>
          <w:p w:rsidR="00D10CBC" w:rsidRDefault="00D10CBC">
            <w:pPr>
              <w:spacing w:before="60" w:after="60"/>
              <w:jc w:val="right"/>
              <w:rPr>
                <w:noProof/>
                <w:color w:val="000000"/>
                <w:sz w:val="20"/>
                <w:szCs w:val="20"/>
              </w:rPr>
            </w:pPr>
          </w:p>
        </w:tc>
        <w:tc>
          <w:tcPr>
            <w:tcW w:w="1080" w:type="dxa"/>
            <w:vAlign w:val="center"/>
          </w:tcPr>
          <w:p w:rsidR="00D10CBC" w:rsidRDefault="00D10CBC">
            <w:pPr>
              <w:spacing w:before="60" w:after="60"/>
              <w:jc w:val="right"/>
              <w:rPr>
                <w:noProof/>
                <w:color w:val="000000"/>
                <w:sz w:val="20"/>
                <w:szCs w:val="20"/>
              </w:rPr>
            </w:pPr>
          </w:p>
        </w:tc>
        <w:tc>
          <w:tcPr>
            <w:tcW w:w="1170" w:type="dxa"/>
            <w:vAlign w:val="center"/>
          </w:tcPr>
          <w:p w:rsidR="00D10CBC" w:rsidRDefault="00D10CBC">
            <w:pPr>
              <w:spacing w:before="60" w:after="60"/>
              <w:jc w:val="right"/>
              <w:rPr>
                <w:noProof/>
                <w:color w:val="000000"/>
                <w:sz w:val="20"/>
                <w:szCs w:val="20"/>
              </w:rPr>
            </w:pPr>
          </w:p>
        </w:tc>
        <w:tc>
          <w:tcPr>
            <w:tcW w:w="1284" w:type="dxa"/>
            <w:vAlign w:val="center"/>
          </w:tcPr>
          <w:p w:rsidR="00D10CBC" w:rsidRDefault="00D10CBC">
            <w:pPr>
              <w:spacing w:before="60" w:after="60"/>
              <w:jc w:val="right"/>
              <w:rPr>
                <w:b/>
                <w:bCs/>
                <w:noProof/>
                <w:color w:val="000000"/>
                <w:sz w:val="20"/>
                <w:szCs w:val="20"/>
              </w:rPr>
            </w:pPr>
          </w:p>
        </w:tc>
      </w:tr>
    </w:tbl>
    <w:p w:rsidR="00D10CBC" w:rsidRDefault="00D10CBC">
      <w:pPr>
        <w:rPr>
          <w:noProof/>
        </w:rPr>
      </w:pPr>
    </w:p>
    <w:p w:rsidR="00D10CBC" w:rsidRDefault="00BC383A">
      <w:pPr>
        <w:pStyle w:val="ManualHeading3"/>
        <w:rPr>
          <w:bCs/>
          <w:noProof/>
          <w:szCs w:val="24"/>
        </w:rPr>
      </w:pPr>
      <w:bookmarkStart w:id="57" w:name="_Toc514938054"/>
      <w:bookmarkStart w:id="58" w:name="_Toc520485053"/>
      <w:r>
        <w:t>3.2.2.</w:t>
      </w:r>
      <w:r>
        <w:tab/>
      </w:r>
      <w:r>
        <w:rPr>
          <w:noProof/>
        </w:rPr>
        <w:t>Estimated output funded with operational appropriations</w:t>
      </w:r>
      <w:bookmarkEnd w:id="57"/>
      <w:bookmarkEnd w:id="58"/>
      <w:r>
        <w:rPr>
          <w:noProof/>
        </w:rPr>
        <w:t xml:space="preserve"> </w:t>
      </w:r>
    </w:p>
    <w:p w:rsidR="00D10CBC" w:rsidRDefault="00BC383A">
      <w:pPr>
        <w:jc w:val="right"/>
        <w:rPr>
          <w:noProof/>
          <w:sz w:val="20"/>
        </w:rPr>
      </w:pPr>
      <w:r>
        <w:rPr>
          <w:noProof/>
          <w:sz w:val="20"/>
        </w:rPr>
        <w:t xml:space="preserve">Commitment </w:t>
      </w:r>
      <w:r>
        <w:rPr>
          <w:noProof/>
          <w:sz w:val="20"/>
        </w:rPr>
        <w:t>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12"/>
        <w:gridCol w:w="420"/>
        <w:gridCol w:w="720"/>
        <w:gridCol w:w="60"/>
        <w:gridCol w:w="480"/>
        <w:gridCol w:w="720"/>
        <w:gridCol w:w="720"/>
        <w:gridCol w:w="900"/>
      </w:tblGrid>
      <w:tr w:rsidR="00D10CBC">
        <w:trPr>
          <w:jc w:val="center"/>
        </w:trPr>
        <w:tc>
          <w:tcPr>
            <w:tcW w:w="1423" w:type="dxa"/>
            <w:vMerge w:val="restart"/>
            <w:vAlign w:val="center"/>
          </w:tcPr>
          <w:p w:rsidR="00D10CBC" w:rsidRDefault="00BC383A">
            <w:pPr>
              <w:ind w:right="-29"/>
              <w:jc w:val="center"/>
              <w:rPr>
                <w:b/>
                <w:noProof/>
                <w:sz w:val="18"/>
                <w:szCs w:val="18"/>
              </w:rPr>
            </w:pPr>
            <w:r>
              <w:rPr>
                <w:b/>
                <w:noProof/>
                <w:sz w:val="18"/>
              </w:rPr>
              <w:t xml:space="preserve">Indicate objectives and outputs </w:t>
            </w:r>
          </w:p>
          <w:p w:rsidR="00D10CBC" w:rsidRDefault="00D10CBC">
            <w:pPr>
              <w:ind w:right="-29"/>
              <w:jc w:val="center"/>
              <w:rPr>
                <w:b/>
                <w:noProof/>
                <w:sz w:val="18"/>
                <w:szCs w:val="18"/>
              </w:rPr>
            </w:pPr>
          </w:p>
          <w:p w:rsidR="00D10CBC" w:rsidRDefault="00BC383A">
            <w:pPr>
              <w:ind w:right="-29"/>
              <w:jc w:val="center"/>
              <w:rPr>
                <w:noProof/>
                <w:sz w:val="18"/>
                <w:szCs w:val="18"/>
              </w:rPr>
            </w:pPr>
            <w:r>
              <w:rPr>
                <w:noProof/>
                <w:sz w:val="18"/>
              </w:rPr>
              <w:sym w:font="Wingdings" w:char="F0F2"/>
            </w:r>
          </w:p>
        </w:tc>
        <w:tc>
          <w:tcPr>
            <w:tcW w:w="720" w:type="dxa"/>
            <w:vAlign w:val="center"/>
          </w:tcPr>
          <w:p w:rsidR="00D10CBC" w:rsidRDefault="00D10CBC">
            <w:pPr>
              <w:ind w:right="-29"/>
              <w:jc w:val="center"/>
              <w:rPr>
                <w:noProof/>
                <w:sz w:val="18"/>
                <w:szCs w:val="18"/>
              </w:rPr>
            </w:pPr>
          </w:p>
        </w:tc>
        <w:tc>
          <w:tcPr>
            <w:tcW w:w="701" w:type="dxa"/>
            <w:vAlign w:val="center"/>
          </w:tcPr>
          <w:p w:rsidR="00D10CBC" w:rsidRDefault="00D10CBC">
            <w:pPr>
              <w:ind w:right="-29"/>
              <w:jc w:val="center"/>
              <w:rPr>
                <w:noProof/>
                <w:sz w:val="18"/>
                <w:szCs w:val="18"/>
              </w:rPr>
            </w:pPr>
          </w:p>
        </w:tc>
        <w:tc>
          <w:tcPr>
            <w:tcW w:w="1224" w:type="dxa"/>
            <w:gridSpan w:val="2"/>
            <w:tcBorders>
              <w:left w:val="nil"/>
            </w:tcBorders>
            <w:vAlign w:val="center"/>
          </w:tcPr>
          <w:p w:rsidR="00D10CBC" w:rsidRDefault="00BC383A">
            <w:pPr>
              <w:ind w:right="-29"/>
              <w:jc w:val="center"/>
              <w:rPr>
                <w:noProof/>
                <w:sz w:val="18"/>
                <w:szCs w:val="18"/>
              </w:rPr>
            </w:pPr>
            <w:r>
              <w:rPr>
                <w:b/>
                <w:noProof/>
                <w:sz w:val="20"/>
              </w:rPr>
              <w:t>2021</w:t>
            </w:r>
          </w:p>
        </w:tc>
        <w:tc>
          <w:tcPr>
            <w:tcW w:w="1260" w:type="dxa"/>
            <w:gridSpan w:val="2"/>
            <w:vAlign w:val="center"/>
          </w:tcPr>
          <w:p w:rsidR="00D10CBC" w:rsidRDefault="00BC383A">
            <w:pPr>
              <w:ind w:right="-29"/>
              <w:jc w:val="center"/>
              <w:rPr>
                <w:noProof/>
                <w:sz w:val="18"/>
                <w:szCs w:val="18"/>
              </w:rPr>
            </w:pPr>
            <w:r>
              <w:rPr>
                <w:b/>
                <w:noProof/>
                <w:sz w:val="20"/>
              </w:rPr>
              <w:t>2022</w:t>
            </w:r>
          </w:p>
        </w:tc>
        <w:tc>
          <w:tcPr>
            <w:tcW w:w="1440" w:type="dxa"/>
            <w:gridSpan w:val="2"/>
            <w:vAlign w:val="center"/>
          </w:tcPr>
          <w:p w:rsidR="00D10CBC" w:rsidRDefault="00BC383A">
            <w:pPr>
              <w:ind w:right="-29"/>
              <w:jc w:val="center"/>
              <w:rPr>
                <w:noProof/>
                <w:sz w:val="18"/>
                <w:szCs w:val="18"/>
              </w:rPr>
            </w:pPr>
            <w:r>
              <w:rPr>
                <w:b/>
                <w:noProof/>
                <w:sz w:val="20"/>
              </w:rPr>
              <w:t>2023</w:t>
            </w:r>
          </w:p>
        </w:tc>
        <w:tc>
          <w:tcPr>
            <w:tcW w:w="1620" w:type="dxa"/>
            <w:gridSpan w:val="3"/>
            <w:vAlign w:val="center"/>
          </w:tcPr>
          <w:p w:rsidR="00D10CBC" w:rsidRDefault="00BC383A">
            <w:pPr>
              <w:ind w:right="-29"/>
              <w:jc w:val="center"/>
              <w:rPr>
                <w:noProof/>
                <w:sz w:val="18"/>
                <w:szCs w:val="18"/>
              </w:rPr>
            </w:pPr>
            <w:r>
              <w:rPr>
                <w:b/>
                <w:noProof/>
                <w:sz w:val="20"/>
              </w:rPr>
              <w:t>2024</w:t>
            </w:r>
          </w:p>
        </w:tc>
        <w:tc>
          <w:tcPr>
            <w:tcW w:w="1200" w:type="dxa"/>
            <w:gridSpan w:val="3"/>
            <w:vAlign w:val="center"/>
          </w:tcPr>
          <w:p w:rsidR="00D10CBC" w:rsidRDefault="00BC383A">
            <w:pPr>
              <w:jc w:val="center"/>
              <w:rPr>
                <w:noProof/>
                <w:sz w:val="18"/>
                <w:szCs w:val="18"/>
              </w:rPr>
            </w:pPr>
            <w:r>
              <w:rPr>
                <w:b/>
                <w:noProof/>
                <w:sz w:val="18"/>
              </w:rPr>
              <w:t>2025</w:t>
            </w:r>
          </w:p>
        </w:tc>
        <w:tc>
          <w:tcPr>
            <w:tcW w:w="1200" w:type="dxa"/>
            <w:gridSpan w:val="3"/>
            <w:vAlign w:val="center"/>
          </w:tcPr>
          <w:p w:rsidR="00D10CBC" w:rsidRDefault="00BC383A">
            <w:pPr>
              <w:jc w:val="center"/>
              <w:rPr>
                <w:noProof/>
                <w:sz w:val="18"/>
                <w:szCs w:val="18"/>
              </w:rPr>
            </w:pPr>
            <w:r>
              <w:rPr>
                <w:b/>
                <w:noProof/>
                <w:sz w:val="18"/>
              </w:rPr>
              <w:t>2026</w:t>
            </w:r>
          </w:p>
        </w:tc>
        <w:tc>
          <w:tcPr>
            <w:tcW w:w="1200" w:type="dxa"/>
            <w:gridSpan w:val="2"/>
            <w:vAlign w:val="center"/>
          </w:tcPr>
          <w:p w:rsidR="00D10CBC" w:rsidRDefault="00BC383A">
            <w:pPr>
              <w:jc w:val="center"/>
              <w:rPr>
                <w:noProof/>
                <w:sz w:val="18"/>
                <w:szCs w:val="18"/>
              </w:rPr>
            </w:pPr>
            <w:r>
              <w:rPr>
                <w:b/>
                <w:noProof/>
                <w:sz w:val="18"/>
              </w:rPr>
              <w:t>2027</w:t>
            </w:r>
          </w:p>
        </w:tc>
        <w:tc>
          <w:tcPr>
            <w:tcW w:w="1620" w:type="dxa"/>
            <w:gridSpan w:val="2"/>
            <w:tcBorders>
              <w:left w:val="nil"/>
              <w:bottom w:val="nil"/>
            </w:tcBorders>
            <w:vAlign w:val="center"/>
          </w:tcPr>
          <w:p w:rsidR="00D10CBC" w:rsidRDefault="00BC383A">
            <w:pPr>
              <w:ind w:right="-29"/>
              <w:jc w:val="center"/>
              <w:rPr>
                <w:noProof/>
                <w:sz w:val="18"/>
                <w:szCs w:val="18"/>
              </w:rPr>
            </w:pPr>
            <w:r>
              <w:rPr>
                <w:b/>
                <w:noProof/>
                <w:sz w:val="18"/>
              </w:rPr>
              <w:t>TOTAL</w:t>
            </w:r>
          </w:p>
        </w:tc>
      </w:tr>
      <w:tr w:rsidR="00D10CBC">
        <w:trPr>
          <w:jc w:val="center"/>
        </w:trPr>
        <w:tc>
          <w:tcPr>
            <w:tcW w:w="1423" w:type="dxa"/>
            <w:vMerge/>
            <w:vAlign w:val="center"/>
          </w:tcPr>
          <w:p w:rsidR="00D10CBC" w:rsidRDefault="00D10CBC">
            <w:pPr>
              <w:ind w:right="-29"/>
              <w:jc w:val="center"/>
              <w:rPr>
                <w:noProof/>
                <w:sz w:val="18"/>
                <w:szCs w:val="18"/>
              </w:rPr>
            </w:pPr>
          </w:p>
        </w:tc>
        <w:tc>
          <w:tcPr>
            <w:tcW w:w="12185" w:type="dxa"/>
            <w:gridSpan w:val="21"/>
            <w:vAlign w:val="center"/>
          </w:tcPr>
          <w:p w:rsidR="00D10CBC" w:rsidRDefault="00BC383A">
            <w:pPr>
              <w:spacing w:before="60" w:after="60"/>
              <w:ind w:right="-29"/>
              <w:jc w:val="center"/>
              <w:rPr>
                <w:noProof/>
                <w:sz w:val="18"/>
                <w:szCs w:val="18"/>
              </w:rPr>
            </w:pPr>
            <w:r>
              <w:rPr>
                <w:b/>
                <w:noProof/>
                <w:sz w:val="18"/>
              </w:rPr>
              <w:t>OUTPUTS</w:t>
            </w:r>
          </w:p>
        </w:tc>
      </w:tr>
      <w:tr w:rsidR="00D10CBC">
        <w:trPr>
          <w:cantSplit/>
          <w:trHeight w:val="1134"/>
          <w:jc w:val="center"/>
        </w:trPr>
        <w:tc>
          <w:tcPr>
            <w:tcW w:w="1423" w:type="dxa"/>
            <w:vMerge/>
            <w:vAlign w:val="center"/>
          </w:tcPr>
          <w:p w:rsidR="00D10CBC" w:rsidRDefault="00D10CBC">
            <w:pPr>
              <w:rPr>
                <w:noProof/>
                <w:sz w:val="18"/>
                <w:szCs w:val="18"/>
              </w:rPr>
            </w:pPr>
          </w:p>
        </w:tc>
        <w:tc>
          <w:tcPr>
            <w:tcW w:w="720" w:type="dxa"/>
            <w:vAlign w:val="center"/>
          </w:tcPr>
          <w:p w:rsidR="00D10CBC" w:rsidRDefault="00BC383A">
            <w:pPr>
              <w:jc w:val="center"/>
              <w:rPr>
                <w:noProof/>
                <w:sz w:val="18"/>
                <w:szCs w:val="18"/>
              </w:rPr>
            </w:pPr>
            <w:r>
              <w:rPr>
                <w:noProof/>
                <w:sz w:val="18"/>
              </w:rPr>
              <w:t>Type</w:t>
            </w:r>
            <w:r>
              <w:rPr>
                <w:rStyle w:val="FootnoteReference"/>
                <w:noProof/>
                <w:sz w:val="18"/>
              </w:rPr>
              <w:footnoteReference w:id="41"/>
            </w:r>
          </w:p>
          <w:p w:rsidR="00D10CBC" w:rsidRDefault="00D10CBC">
            <w:pPr>
              <w:spacing w:before="0" w:after="0"/>
              <w:jc w:val="center"/>
              <w:rPr>
                <w:noProof/>
                <w:sz w:val="18"/>
                <w:szCs w:val="18"/>
              </w:rPr>
            </w:pPr>
          </w:p>
        </w:tc>
        <w:tc>
          <w:tcPr>
            <w:tcW w:w="701" w:type="dxa"/>
            <w:vAlign w:val="center"/>
          </w:tcPr>
          <w:p w:rsidR="00D10CBC" w:rsidRDefault="00BC383A">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432" w:type="dxa"/>
            <w:gridSpan w:val="2"/>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540" w:type="dxa"/>
            <w:gridSpan w:val="2"/>
            <w:tcBorders>
              <w:right w:val="dashSmallGap" w:sz="4" w:space="0" w:color="auto"/>
            </w:tcBorders>
            <w:shd w:val="pct10" w:color="auto" w:fill="auto"/>
            <w:textDirection w:val="btLr"/>
            <w:vAlign w:val="center"/>
          </w:tcPr>
          <w:p w:rsidR="00D10CBC" w:rsidRDefault="00BC383A">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D10CBC" w:rsidRDefault="00BC383A">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D10CBC" w:rsidRDefault="00BC383A">
            <w:pPr>
              <w:jc w:val="center"/>
              <w:rPr>
                <w:noProof/>
                <w:sz w:val="18"/>
                <w:szCs w:val="18"/>
              </w:rPr>
            </w:pPr>
            <w:r>
              <w:rPr>
                <w:noProof/>
                <w:sz w:val="18"/>
              </w:rPr>
              <w:t>Total cost</w:t>
            </w:r>
          </w:p>
        </w:tc>
      </w:tr>
      <w:tr w:rsidR="00D10CBC">
        <w:trPr>
          <w:jc w:val="center"/>
        </w:trPr>
        <w:tc>
          <w:tcPr>
            <w:tcW w:w="2844" w:type="dxa"/>
            <w:gridSpan w:val="3"/>
            <w:vAlign w:val="center"/>
          </w:tcPr>
          <w:p w:rsidR="00D10CBC" w:rsidRDefault="00BC383A">
            <w:pPr>
              <w:spacing w:before="60" w:after="60"/>
              <w:ind w:right="-29"/>
              <w:jc w:val="center"/>
              <w:rPr>
                <w:noProof/>
                <w:sz w:val="18"/>
                <w:szCs w:val="18"/>
              </w:rPr>
            </w:pPr>
            <w:r>
              <w:rPr>
                <w:noProof/>
                <w:sz w:val="18"/>
              </w:rPr>
              <w:t>SPECIFIC OBJECTIVE No 1</w:t>
            </w:r>
            <w:r>
              <w:rPr>
                <w:rStyle w:val="FootnoteReference"/>
                <w:noProof/>
                <w:sz w:val="18"/>
              </w:rPr>
              <w:footnoteReference w:id="42"/>
            </w:r>
            <w:r>
              <w:rPr>
                <w:noProof/>
                <w:sz w:val="18"/>
              </w:rPr>
              <w:t>…</w:t>
            </w:r>
          </w:p>
        </w:tc>
        <w:tc>
          <w:tcPr>
            <w:tcW w:w="504"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54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90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540" w:type="dxa"/>
            <w:tcBorders>
              <w:top w:val="nil"/>
              <w:left w:val="nil"/>
              <w:bottom w:val="nil"/>
              <w:right w:val="nil"/>
            </w:tcBorders>
          </w:tcPr>
          <w:p w:rsidR="00D10CBC" w:rsidRDefault="00D10CBC">
            <w:pPr>
              <w:spacing w:before="60" w:after="60"/>
              <w:ind w:right="-29"/>
              <w:jc w:val="center"/>
              <w:rPr>
                <w:noProof/>
                <w:sz w:val="18"/>
                <w:szCs w:val="18"/>
              </w:rPr>
            </w:pPr>
          </w:p>
        </w:tc>
        <w:tc>
          <w:tcPr>
            <w:tcW w:w="648" w:type="dxa"/>
            <w:tcBorders>
              <w:top w:val="nil"/>
              <w:left w:val="nil"/>
              <w:bottom w:val="nil"/>
              <w:right w:val="nil"/>
            </w:tcBorders>
          </w:tcPr>
          <w:p w:rsidR="00D10CBC" w:rsidRDefault="00D10CBC">
            <w:pPr>
              <w:spacing w:before="60" w:after="60"/>
              <w:ind w:right="-29"/>
              <w:jc w:val="center"/>
              <w:rPr>
                <w:noProof/>
                <w:sz w:val="18"/>
                <w:szCs w:val="18"/>
              </w:rPr>
            </w:pPr>
          </w:p>
        </w:tc>
        <w:tc>
          <w:tcPr>
            <w:tcW w:w="432"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540"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900" w:type="dxa"/>
            <w:tcBorders>
              <w:top w:val="nil"/>
              <w:left w:val="nil"/>
              <w:bottom w:val="nil"/>
              <w:right w:val="nil"/>
            </w:tcBorders>
          </w:tcPr>
          <w:p w:rsidR="00D10CBC" w:rsidRDefault="00D10CBC">
            <w:pPr>
              <w:spacing w:before="60" w:after="60"/>
              <w:ind w:right="-29"/>
              <w:jc w:val="center"/>
              <w:rPr>
                <w:noProof/>
                <w:sz w:val="18"/>
                <w:szCs w:val="18"/>
              </w:rPr>
            </w:pPr>
          </w:p>
        </w:tc>
      </w:tr>
      <w:tr w:rsidR="00D10CBC">
        <w:trPr>
          <w:trHeight w:hRule="exact" w:val="369"/>
          <w:jc w:val="center"/>
        </w:trPr>
        <w:tc>
          <w:tcPr>
            <w:tcW w:w="1423" w:type="dxa"/>
          </w:tcPr>
          <w:p w:rsidR="00D10CBC" w:rsidRDefault="00BC383A">
            <w:pPr>
              <w:ind w:right="-29"/>
              <w:jc w:val="center"/>
              <w:rPr>
                <w:noProof/>
                <w:sz w:val="18"/>
                <w:szCs w:val="18"/>
              </w:rPr>
            </w:pPr>
            <w:r>
              <w:rPr>
                <w:noProof/>
                <w:sz w:val="18"/>
              </w:rPr>
              <w:t>- Output</w:t>
            </w:r>
          </w:p>
        </w:tc>
        <w:tc>
          <w:tcPr>
            <w:tcW w:w="720" w:type="dxa"/>
          </w:tcPr>
          <w:p w:rsidR="00D10CBC" w:rsidRDefault="00D10CBC">
            <w:pPr>
              <w:ind w:right="-29"/>
              <w:jc w:val="center"/>
              <w:rPr>
                <w:noProof/>
                <w:sz w:val="18"/>
                <w:szCs w:val="18"/>
              </w:rPr>
            </w:pPr>
          </w:p>
        </w:tc>
        <w:tc>
          <w:tcPr>
            <w:tcW w:w="701" w:type="dxa"/>
          </w:tcPr>
          <w:p w:rsidR="00D10CBC" w:rsidRDefault="00D10CBC">
            <w:pPr>
              <w:ind w:right="-29"/>
              <w:jc w:val="center"/>
              <w:rPr>
                <w:noProof/>
                <w:sz w:val="18"/>
                <w:szCs w:val="18"/>
              </w:rPr>
            </w:pPr>
          </w:p>
        </w:tc>
        <w:tc>
          <w:tcPr>
            <w:tcW w:w="504"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540"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720"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900" w:type="dxa"/>
            <w:tcBorders>
              <w:right w:val="dashSmallGap" w:sz="4" w:space="0" w:color="auto"/>
            </w:tcBorders>
          </w:tcPr>
          <w:p w:rsidR="00D10CBC" w:rsidRDefault="00D10CBC">
            <w:pPr>
              <w:ind w:right="-29"/>
              <w:jc w:val="center"/>
              <w:rPr>
                <w:noProof/>
                <w:sz w:val="18"/>
                <w:szCs w:val="18"/>
              </w:rPr>
            </w:pPr>
          </w:p>
        </w:tc>
        <w:tc>
          <w:tcPr>
            <w:tcW w:w="720" w:type="dxa"/>
            <w:gridSpan w:val="2"/>
            <w:tcBorders>
              <w:left w:val="dashSmallGap" w:sz="4" w:space="0" w:color="auto"/>
            </w:tcBorders>
          </w:tcPr>
          <w:p w:rsidR="00D10CBC" w:rsidRDefault="00D10CBC">
            <w:pPr>
              <w:ind w:right="-29"/>
              <w:jc w:val="center"/>
              <w:rPr>
                <w:noProof/>
                <w:sz w:val="18"/>
                <w:szCs w:val="18"/>
              </w:rPr>
            </w:pPr>
          </w:p>
        </w:tc>
        <w:tc>
          <w:tcPr>
            <w:tcW w:w="540" w:type="dxa"/>
            <w:tcBorders>
              <w:right w:val="dashSmallGap" w:sz="4" w:space="0" w:color="auto"/>
            </w:tcBorders>
          </w:tcPr>
          <w:p w:rsidR="00D10CBC" w:rsidRDefault="00D10CBC">
            <w:pPr>
              <w:ind w:right="-29"/>
              <w:jc w:val="center"/>
              <w:rPr>
                <w:noProof/>
                <w:sz w:val="18"/>
                <w:szCs w:val="18"/>
              </w:rPr>
            </w:pPr>
          </w:p>
        </w:tc>
        <w:tc>
          <w:tcPr>
            <w:tcW w:w="648" w:type="dxa"/>
            <w:tcBorders>
              <w:left w:val="dashSmallGap" w:sz="4" w:space="0" w:color="auto"/>
            </w:tcBorders>
          </w:tcPr>
          <w:p w:rsidR="00D10CBC" w:rsidRDefault="00D10CBC">
            <w:pPr>
              <w:ind w:right="-29"/>
              <w:jc w:val="center"/>
              <w:rPr>
                <w:noProof/>
                <w:sz w:val="18"/>
                <w:szCs w:val="18"/>
              </w:rPr>
            </w:pPr>
          </w:p>
        </w:tc>
        <w:tc>
          <w:tcPr>
            <w:tcW w:w="432" w:type="dxa"/>
            <w:gridSpan w:val="2"/>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540" w:type="dxa"/>
            <w:gridSpan w:val="2"/>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r>
      <w:tr w:rsidR="00D10CBC">
        <w:trPr>
          <w:trHeight w:hRule="exact" w:val="369"/>
          <w:jc w:val="center"/>
        </w:trPr>
        <w:tc>
          <w:tcPr>
            <w:tcW w:w="1423" w:type="dxa"/>
          </w:tcPr>
          <w:p w:rsidR="00D10CBC" w:rsidRDefault="00BC383A">
            <w:pPr>
              <w:ind w:right="-29"/>
              <w:jc w:val="center"/>
              <w:rPr>
                <w:noProof/>
                <w:sz w:val="18"/>
                <w:szCs w:val="18"/>
              </w:rPr>
            </w:pPr>
            <w:r>
              <w:rPr>
                <w:noProof/>
                <w:sz w:val="18"/>
              </w:rPr>
              <w:t>- Output</w:t>
            </w:r>
          </w:p>
        </w:tc>
        <w:tc>
          <w:tcPr>
            <w:tcW w:w="720" w:type="dxa"/>
          </w:tcPr>
          <w:p w:rsidR="00D10CBC" w:rsidRDefault="00D10CBC">
            <w:pPr>
              <w:ind w:right="-29"/>
              <w:jc w:val="center"/>
              <w:rPr>
                <w:noProof/>
                <w:sz w:val="18"/>
                <w:szCs w:val="18"/>
              </w:rPr>
            </w:pPr>
          </w:p>
        </w:tc>
        <w:tc>
          <w:tcPr>
            <w:tcW w:w="701" w:type="dxa"/>
          </w:tcPr>
          <w:p w:rsidR="00D10CBC" w:rsidRDefault="00D10CBC">
            <w:pPr>
              <w:ind w:right="-29"/>
              <w:jc w:val="center"/>
              <w:rPr>
                <w:noProof/>
                <w:sz w:val="18"/>
                <w:szCs w:val="18"/>
              </w:rPr>
            </w:pPr>
          </w:p>
        </w:tc>
        <w:tc>
          <w:tcPr>
            <w:tcW w:w="504"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540"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720" w:type="dxa"/>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900" w:type="dxa"/>
            <w:tcBorders>
              <w:right w:val="dashSmallGap" w:sz="4" w:space="0" w:color="auto"/>
            </w:tcBorders>
          </w:tcPr>
          <w:p w:rsidR="00D10CBC" w:rsidRDefault="00D10CBC">
            <w:pPr>
              <w:ind w:right="-29"/>
              <w:jc w:val="center"/>
              <w:rPr>
                <w:noProof/>
                <w:sz w:val="18"/>
                <w:szCs w:val="18"/>
              </w:rPr>
            </w:pPr>
          </w:p>
        </w:tc>
        <w:tc>
          <w:tcPr>
            <w:tcW w:w="720" w:type="dxa"/>
            <w:gridSpan w:val="2"/>
            <w:tcBorders>
              <w:left w:val="dashSmallGap" w:sz="4" w:space="0" w:color="auto"/>
            </w:tcBorders>
          </w:tcPr>
          <w:p w:rsidR="00D10CBC" w:rsidRDefault="00D10CBC">
            <w:pPr>
              <w:ind w:right="-29"/>
              <w:jc w:val="center"/>
              <w:rPr>
                <w:noProof/>
                <w:sz w:val="18"/>
                <w:szCs w:val="18"/>
              </w:rPr>
            </w:pPr>
          </w:p>
        </w:tc>
        <w:tc>
          <w:tcPr>
            <w:tcW w:w="540" w:type="dxa"/>
            <w:tcBorders>
              <w:right w:val="dashSmallGap" w:sz="4" w:space="0" w:color="auto"/>
            </w:tcBorders>
          </w:tcPr>
          <w:p w:rsidR="00D10CBC" w:rsidRDefault="00D10CBC">
            <w:pPr>
              <w:ind w:right="-29"/>
              <w:jc w:val="center"/>
              <w:rPr>
                <w:noProof/>
                <w:sz w:val="18"/>
                <w:szCs w:val="18"/>
              </w:rPr>
            </w:pPr>
          </w:p>
        </w:tc>
        <w:tc>
          <w:tcPr>
            <w:tcW w:w="648" w:type="dxa"/>
            <w:tcBorders>
              <w:left w:val="dashSmallGap" w:sz="4" w:space="0" w:color="auto"/>
            </w:tcBorders>
          </w:tcPr>
          <w:p w:rsidR="00D10CBC" w:rsidRDefault="00D10CBC">
            <w:pPr>
              <w:ind w:right="-29"/>
              <w:jc w:val="center"/>
              <w:rPr>
                <w:noProof/>
                <w:sz w:val="18"/>
                <w:szCs w:val="18"/>
              </w:rPr>
            </w:pPr>
          </w:p>
        </w:tc>
        <w:tc>
          <w:tcPr>
            <w:tcW w:w="432" w:type="dxa"/>
            <w:gridSpan w:val="2"/>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540" w:type="dxa"/>
            <w:gridSpan w:val="2"/>
            <w:tcBorders>
              <w:right w:val="dashSmallGap" w:sz="4" w:space="0" w:color="auto"/>
            </w:tcBorders>
          </w:tcPr>
          <w:p w:rsidR="00D10CBC" w:rsidRDefault="00D10CBC">
            <w:pPr>
              <w:ind w:right="-29"/>
              <w:jc w:val="center"/>
              <w:rPr>
                <w:noProof/>
                <w:sz w:val="18"/>
                <w:szCs w:val="18"/>
              </w:rPr>
            </w:pPr>
          </w:p>
        </w:tc>
        <w:tc>
          <w:tcPr>
            <w:tcW w:w="720" w:type="dxa"/>
            <w:tcBorders>
              <w:left w:val="dashSmallGap" w:sz="4" w:space="0" w:color="auto"/>
            </w:tcBorders>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r>
      <w:tr w:rsidR="00D10CBC">
        <w:trPr>
          <w:trHeight w:hRule="exact" w:val="369"/>
          <w:jc w:val="center"/>
        </w:trPr>
        <w:tc>
          <w:tcPr>
            <w:tcW w:w="1423" w:type="dxa"/>
          </w:tcPr>
          <w:p w:rsidR="00D10CBC" w:rsidRDefault="00BC383A">
            <w:pPr>
              <w:ind w:right="-29"/>
              <w:jc w:val="center"/>
              <w:rPr>
                <w:noProof/>
                <w:sz w:val="18"/>
                <w:szCs w:val="18"/>
              </w:rPr>
            </w:pPr>
            <w:r>
              <w:rPr>
                <w:noProof/>
                <w:sz w:val="18"/>
              </w:rPr>
              <w:t>- Output</w:t>
            </w:r>
          </w:p>
        </w:tc>
        <w:tc>
          <w:tcPr>
            <w:tcW w:w="720" w:type="dxa"/>
          </w:tcPr>
          <w:p w:rsidR="00D10CBC" w:rsidRDefault="00D10CBC">
            <w:pPr>
              <w:ind w:right="-29"/>
              <w:jc w:val="center"/>
              <w:rPr>
                <w:noProof/>
                <w:sz w:val="18"/>
                <w:szCs w:val="18"/>
              </w:rPr>
            </w:pPr>
          </w:p>
        </w:tc>
        <w:tc>
          <w:tcPr>
            <w:tcW w:w="701" w:type="dxa"/>
          </w:tcPr>
          <w:p w:rsidR="00D10CBC" w:rsidRDefault="00D10CBC">
            <w:pPr>
              <w:ind w:right="-29"/>
              <w:jc w:val="center"/>
              <w:rPr>
                <w:noProof/>
                <w:sz w:val="18"/>
                <w:szCs w:val="18"/>
              </w:rPr>
            </w:pPr>
          </w:p>
        </w:tc>
        <w:tc>
          <w:tcPr>
            <w:tcW w:w="504"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54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c>
          <w:tcPr>
            <w:tcW w:w="720" w:type="dxa"/>
            <w:gridSpan w:val="2"/>
          </w:tcPr>
          <w:p w:rsidR="00D10CBC" w:rsidRDefault="00D10CBC">
            <w:pPr>
              <w:ind w:right="-29"/>
              <w:jc w:val="center"/>
              <w:rPr>
                <w:noProof/>
                <w:sz w:val="18"/>
                <w:szCs w:val="18"/>
              </w:rPr>
            </w:pPr>
          </w:p>
        </w:tc>
        <w:tc>
          <w:tcPr>
            <w:tcW w:w="540" w:type="dxa"/>
          </w:tcPr>
          <w:p w:rsidR="00D10CBC" w:rsidRDefault="00D10CBC">
            <w:pPr>
              <w:ind w:right="-29"/>
              <w:jc w:val="center"/>
              <w:rPr>
                <w:noProof/>
                <w:sz w:val="18"/>
                <w:szCs w:val="18"/>
              </w:rPr>
            </w:pPr>
          </w:p>
        </w:tc>
        <w:tc>
          <w:tcPr>
            <w:tcW w:w="648" w:type="dxa"/>
          </w:tcPr>
          <w:p w:rsidR="00D10CBC" w:rsidRDefault="00D10CBC">
            <w:pPr>
              <w:ind w:right="-29"/>
              <w:jc w:val="center"/>
              <w:rPr>
                <w:noProof/>
                <w:sz w:val="18"/>
                <w:szCs w:val="18"/>
              </w:rPr>
            </w:pPr>
          </w:p>
        </w:tc>
        <w:tc>
          <w:tcPr>
            <w:tcW w:w="432" w:type="dxa"/>
            <w:gridSpan w:val="2"/>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540" w:type="dxa"/>
            <w:gridSpan w:val="2"/>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r>
      <w:tr w:rsidR="00D10CBC">
        <w:trPr>
          <w:trHeight w:val="77"/>
          <w:jc w:val="center"/>
        </w:trPr>
        <w:tc>
          <w:tcPr>
            <w:tcW w:w="2844" w:type="dxa"/>
            <w:gridSpan w:val="3"/>
            <w:tcBorders>
              <w:bottom w:val="single" w:sz="12" w:space="0" w:color="auto"/>
            </w:tcBorders>
            <w:vAlign w:val="center"/>
          </w:tcPr>
          <w:p w:rsidR="00D10CBC" w:rsidRDefault="00BC383A">
            <w:pPr>
              <w:ind w:right="-29"/>
              <w:jc w:val="center"/>
              <w:rPr>
                <w:noProof/>
                <w:sz w:val="18"/>
                <w:szCs w:val="18"/>
              </w:rPr>
            </w:pPr>
            <w:r>
              <w:rPr>
                <w:noProof/>
                <w:sz w:val="18"/>
              </w:rPr>
              <w:t>Subtotal for specific objective No 1</w:t>
            </w:r>
          </w:p>
        </w:tc>
        <w:tc>
          <w:tcPr>
            <w:tcW w:w="504"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54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900" w:type="dxa"/>
            <w:tcBorders>
              <w:bottom w:val="single" w:sz="12" w:space="0" w:color="auto"/>
            </w:tcBorders>
          </w:tcPr>
          <w:p w:rsidR="00D10CBC" w:rsidRDefault="00D10CBC">
            <w:pPr>
              <w:ind w:right="-29"/>
              <w:jc w:val="center"/>
              <w:rPr>
                <w:noProof/>
                <w:sz w:val="18"/>
                <w:szCs w:val="18"/>
              </w:rPr>
            </w:pPr>
          </w:p>
        </w:tc>
        <w:tc>
          <w:tcPr>
            <w:tcW w:w="720" w:type="dxa"/>
            <w:gridSpan w:val="2"/>
            <w:tcBorders>
              <w:bottom w:val="single" w:sz="12" w:space="0" w:color="auto"/>
            </w:tcBorders>
          </w:tcPr>
          <w:p w:rsidR="00D10CBC" w:rsidRDefault="00D10CBC">
            <w:pPr>
              <w:ind w:right="-29"/>
              <w:jc w:val="center"/>
              <w:rPr>
                <w:noProof/>
                <w:sz w:val="18"/>
                <w:szCs w:val="18"/>
              </w:rPr>
            </w:pPr>
          </w:p>
        </w:tc>
        <w:tc>
          <w:tcPr>
            <w:tcW w:w="540" w:type="dxa"/>
            <w:tcBorders>
              <w:bottom w:val="single" w:sz="12" w:space="0" w:color="auto"/>
            </w:tcBorders>
          </w:tcPr>
          <w:p w:rsidR="00D10CBC" w:rsidRDefault="00D10CBC">
            <w:pPr>
              <w:ind w:right="-29"/>
              <w:jc w:val="center"/>
              <w:rPr>
                <w:noProof/>
                <w:sz w:val="18"/>
                <w:szCs w:val="18"/>
              </w:rPr>
            </w:pPr>
          </w:p>
        </w:tc>
        <w:tc>
          <w:tcPr>
            <w:tcW w:w="648" w:type="dxa"/>
            <w:tcBorders>
              <w:bottom w:val="single" w:sz="12" w:space="0" w:color="auto"/>
            </w:tcBorders>
          </w:tcPr>
          <w:p w:rsidR="00D10CBC" w:rsidRDefault="00D10CBC">
            <w:pPr>
              <w:ind w:right="-29"/>
              <w:jc w:val="center"/>
              <w:rPr>
                <w:noProof/>
                <w:sz w:val="18"/>
                <w:szCs w:val="18"/>
              </w:rPr>
            </w:pPr>
          </w:p>
        </w:tc>
        <w:tc>
          <w:tcPr>
            <w:tcW w:w="432" w:type="dxa"/>
            <w:gridSpan w:val="2"/>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540" w:type="dxa"/>
            <w:gridSpan w:val="2"/>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900" w:type="dxa"/>
            <w:tcBorders>
              <w:bottom w:val="single" w:sz="12" w:space="0" w:color="auto"/>
            </w:tcBorders>
          </w:tcPr>
          <w:p w:rsidR="00D10CBC" w:rsidRDefault="00D10CBC">
            <w:pPr>
              <w:ind w:right="-29"/>
              <w:jc w:val="center"/>
              <w:rPr>
                <w:noProof/>
                <w:sz w:val="18"/>
                <w:szCs w:val="18"/>
              </w:rPr>
            </w:pPr>
          </w:p>
        </w:tc>
      </w:tr>
      <w:tr w:rsidR="00D10CBC">
        <w:trPr>
          <w:jc w:val="center"/>
        </w:trPr>
        <w:tc>
          <w:tcPr>
            <w:tcW w:w="2844" w:type="dxa"/>
            <w:gridSpan w:val="3"/>
            <w:vAlign w:val="center"/>
          </w:tcPr>
          <w:p w:rsidR="00D10CBC" w:rsidRDefault="00BC383A">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54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90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540" w:type="dxa"/>
            <w:tcBorders>
              <w:top w:val="nil"/>
              <w:left w:val="nil"/>
              <w:bottom w:val="nil"/>
              <w:right w:val="nil"/>
            </w:tcBorders>
          </w:tcPr>
          <w:p w:rsidR="00D10CBC" w:rsidRDefault="00D10CBC">
            <w:pPr>
              <w:spacing w:before="60" w:after="60"/>
              <w:ind w:right="-29"/>
              <w:jc w:val="center"/>
              <w:rPr>
                <w:noProof/>
                <w:sz w:val="18"/>
                <w:szCs w:val="18"/>
              </w:rPr>
            </w:pPr>
          </w:p>
        </w:tc>
        <w:tc>
          <w:tcPr>
            <w:tcW w:w="648" w:type="dxa"/>
            <w:tcBorders>
              <w:top w:val="nil"/>
              <w:left w:val="nil"/>
              <w:bottom w:val="nil"/>
              <w:right w:val="nil"/>
            </w:tcBorders>
          </w:tcPr>
          <w:p w:rsidR="00D10CBC" w:rsidRDefault="00D10CBC">
            <w:pPr>
              <w:spacing w:before="60" w:after="60"/>
              <w:ind w:right="-29"/>
              <w:jc w:val="center"/>
              <w:rPr>
                <w:noProof/>
                <w:sz w:val="18"/>
                <w:szCs w:val="18"/>
              </w:rPr>
            </w:pPr>
          </w:p>
        </w:tc>
        <w:tc>
          <w:tcPr>
            <w:tcW w:w="432"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540" w:type="dxa"/>
            <w:gridSpan w:val="2"/>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720" w:type="dxa"/>
            <w:tcBorders>
              <w:top w:val="nil"/>
              <w:left w:val="nil"/>
              <w:bottom w:val="nil"/>
              <w:right w:val="nil"/>
            </w:tcBorders>
          </w:tcPr>
          <w:p w:rsidR="00D10CBC" w:rsidRDefault="00D10CBC">
            <w:pPr>
              <w:spacing w:before="60" w:after="60"/>
              <w:ind w:right="-29"/>
              <w:jc w:val="center"/>
              <w:rPr>
                <w:noProof/>
                <w:sz w:val="18"/>
                <w:szCs w:val="18"/>
              </w:rPr>
            </w:pPr>
          </w:p>
        </w:tc>
        <w:tc>
          <w:tcPr>
            <w:tcW w:w="900" w:type="dxa"/>
            <w:tcBorders>
              <w:top w:val="nil"/>
              <w:left w:val="nil"/>
              <w:bottom w:val="nil"/>
              <w:right w:val="nil"/>
            </w:tcBorders>
          </w:tcPr>
          <w:p w:rsidR="00D10CBC" w:rsidRDefault="00D10CBC">
            <w:pPr>
              <w:spacing w:before="60" w:after="60"/>
              <w:ind w:right="-29"/>
              <w:jc w:val="center"/>
              <w:rPr>
                <w:noProof/>
                <w:sz w:val="18"/>
                <w:szCs w:val="18"/>
              </w:rPr>
            </w:pPr>
          </w:p>
        </w:tc>
      </w:tr>
      <w:tr w:rsidR="00D10CBC">
        <w:trPr>
          <w:trHeight w:hRule="exact" w:val="369"/>
          <w:jc w:val="center"/>
        </w:trPr>
        <w:tc>
          <w:tcPr>
            <w:tcW w:w="1423" w:type="dxa"/>
          </w:tcPr>
          <w:p w:rsidR="00D10CBC" w:rsidRDefault="00BC383A">
            <w:pPr>
              <w:ind w:right="-29"/>
              <w:jc w:val="center"/>
              <w:rPr>
                <w:noProof/>
                <w:sz w:val="18"/>
                <w:szCs w:val="18"/>
              </w:rPr>
            </w:pPr>
            <w:r>
              <w:rPr>
                <w:noProof/>
                <w:sz w:val="18"/>
              </w:rPr>
              <w:t>- Output</w:t>
            </w:r>
          </w:p>
        </w:tc>
        <w:tc>
          <w:tcPr>
            <w:tcW w:w="720" w:type="dxa"/>
          </w:tcPr>
          <w:p w:rsidR="00D10CBC" w:rsidRDefault="00D10CBC">
            <w:pPr>
              <w:ind w:right="-29"/>
              <w:jc w:val="center"/>
              <w:rPr>
                <w:noProof/>
                <w:sz w:val="18"/>
                <w:szCs w:val="18"/>
              </w:rPr>
            </w:pPr>
          </w:p>
        </w:tc>
        <w:tc>
          <w:tcPr>
            <w:tcW w:w="701" w:type="dxa"/>
          </w:tcPr>
          <w:p w:rsidR="00D10CBC" w:rsidRDefault="00D10CBC">
            <w:pPr>
              <w:ind w:right="-29"/>
              <w:jc w:val="center"/>
              <w:rPr>
                <w:noProof/>
                <w:sz w:val="18"/>
                <w:szCs w:val="18"/>
              </w:rPr>
            </w:pPr>
          </w:p>
        </w:tc>
        <w:tc>
          <w:tcPr>
            <w:tcW w:w="504"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54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c>
          <w:tcPr>
            <w:tcW w:w="720" w:type="dxa"/>
            <w:gridSpan w:val="2"/>
          </w:tcPr>
          <w:p w:rsidR="00D10CBC" w:rsidRDefault="00D10CBC">
            <w:pPr>
              <w:ind w:right="-29"/>
              <w:jc w:val="center"/>
              <w:rPr>
                <w:noProof/>
                <w:sz w:val="18"/>
                <w:szCs w:val="18"/>
              </w:rPr>
            </w:pPr>
          </w:p>
        </w:tc>
        <w:tc>
          <w:tcPr>
            <w:tcW w:w="540" w:type="dxa"/>
          </w:tcPr>
          <w:p w:rsidR="00D10CBC" w:rsidRDefault="00D10CBC">
            <w:pPr>
              <w:ind w:right="-29"/>
              <w:jc w:val="center"/>
              <w:rPr>
                <w:noProof/>
                <w:sz w:val="18"/>
                <w:szCs w:val="18"/>
              </w:rPr>
            </w:pPr>
          </w:p>
        </w:tc>
        <w:tc>
          <w:tcPr>
            <w:tcW w:w="648" w:type="dxa"/>
          </w:tcPr>
          <w:p w:rsidR="00D10CBC" w:rsidRDefault="00D10CBC">
            <w:pPr>
              <w:ind w:right="-29"/>
              <w:jc w:val="center"/>
              <w:rPr>
                <w:noProof/>
                <w:sz w:val="18"/>
                <w:szCs w:val="18"/>
              </w:rPr>
            </w:pPr>
          </w:p>
        </w:tc>
        <w:tc>
          <w:tcPr>
            <w:tcW w:w="432" w:type="dxa"/>
            <w:gridSpan w:val="2"/>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540" w:type="dxa"/>
            <w:gridSpan w:val="2"/>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720" w:type="dxa"/>
          </w:tcPr>
          <w:p w:rsidR="00D10CBC" w:rsidRDefault="00D10CBC">
            <w:pPr>
              <w:ind w:right="-29"/>
              <w:jc w:val="center"/>
              <w:rPr>
                <w:noProof/>
                <w:sz w:val="18"/>
                <w:szCs w:val="18"/>
              </w:rPr>
            </w:pPr>
          </w:p>
        </w:tc>
        <w:tc>
          <w:tcPr>
            <w:tcW w:w="900" w:type="dxa"/>
          </w:tcPr>
          <w:p w:rsidR="00D10CBC" w:rsidRDefault="00D10CBC">
            <w:pPr>
              <w:ind w:right="-29"/>
              <w:jc w:val="center"/>
              <w:rPr>
                <w:noProof/>
                <w:sz w:val="18"/>
                <w:szCs w:val="18"/>
              </w:rPr>
            </w:pPr>
          </w:p>
        </w:tc>
      </w:tr>
      <w:tr w:rsidR="00D10CBC">
        <w:trPr>
          <w:jc w:val="center"/>
        </w:trPr>
        <w:tc>
          <w:tcPr>
            <w:tcW w:w="2844" w:type="dxa"/>
            <w:gridSpan w:val="3"/>
            <w:tcBorders>
              <w:bottom w:val="single" w:sz="12" w:space="0" w:color="auto"/>
            </w:tcBorders>
            <w:vAlign w:val="center"/>
          </w:tcPr>
          <w:p w:rsidR="00D10CBC" w:rsidRDefault="00BC383A">
            <w:pPr>
              <w:jc w:val="center"/>
              <w:rPr>
                <w:noProof/>
                <w:sz w:val="18"/>
                <w:szCs w:val="18"/>
              </w:rPr>
            </w:pPr>
            <w:r>
              <w:rPr>
                <w:noProof/>
                <w:sz w:val="18"/>
              </w:rPr>
              <w:t>Subtotal for specific objective No 2</w:t>
            </w:r>
          </w:p>
        </w:tc>
        <w:tc>
          <w:tcPr>
            <w:tcW w:w="504"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54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951" w:type="dxa"/>
            <w:gridSpan w:val="2"/>
            <w:tcBorders>
              <w:bottom w:val="single" w:sz="12" w:space="0" w:color="auto"/>
            </w:tcBorders>
          </w:tcPr>
          <w:p w:rsidR="00D10CBC" w:rsidRDefault="00D10CBC">
            <w:pPr>
              <w:ind w:right="-29"/>
              <w:jc w:val="center"/>
              <w:rPr>
                <w:noProof/>
                <w:sz w:val="18"/>
                <w:szCs w:val="18"/>
              </w:rPr>
            </w:pPr>
          </w:p>
        </w:tc>
        <w:tc>
          <w:tcPr>
            <w:tcW w:w="669" w:type="dxa"/>
            <w:tcBorders>
              <w:bottom w:val="single" w:sz="12" w:space="0" w:color="auto"/>
            </w:tcBorders>
          </w:tcPr>
          <w:p w:rsidR="00D10CBC" w:rsidRDefault="00D10CBC">
            <w:pPr>
              <w:ind w:right="-29"/>
              <w:jc w:val="center"/>
              <w:rPr>
                <w:noProof/>
                <w:sz w:val="18"/>
                <w:szCs w:val="18"/>
              </w:rPr>
            </w:pPr>
          </w:p>
        </w:tc>
        <w:tc>
          <w:tcPr>
            <w:tcW w:w="540" w:type="dxa"/>
            <w:tcBorders>
              <w:bottom w:val="single" w:sz="12" w:space="0" w:color="auto"/>
            </w:tcBorders>
          </w:tcPr>
          <w:p w:rsidR="00D10CBC" w:rsidRDefault="00D10CBC">
            <w:pPr>
              <w:ind w:right="-29"/>
              <w:jc w:val="center"/>
              <w:rPr>
                <w:noProof/>
                <w:sz w:val="18"/>
                <w:szCs w:val="18"/>
              </w:rPr>
            </w:pPr>
          </w:p>
        </w:tc>
        <w:tc>
          <w:tcPr>
            <w:tcW w:w="648" w:type="dxa"/>
            <w:tcBorders>
              <w:bottom w:val="single" w:sz="12" w:space="0" w:color="auto"/>
            </w:tcBorders>
          </w:tcPr>
          <w:p w:rsidR="00D10CBC" w:rsidRDefault="00D10CBC">
            <w:pPr>
              <w:ind w:right="-29"/>
              <w:jc w:val="center"/>
              <w:rPr>
                <w:noProof/>
                <w:sz w:val="18"/>
                <w:szCs w:val="18"/>
              </w:rPr>
            </w:pPr>
          </w:p>
        </w:tc>
        <w:tc>
          <w:tcPr>
            <w:tcW w:w="432" w:type="dxa"/>
            <w:gridSpan w:val="2"/>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540" w:type="dxa"/>
            <w:gridSpan w:val="2"/>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720" w:type="dxa"/>
            <w:tcBorders>
              <w:bottom w:val="single" w:sz="12" w:space="0" w:color="auto"/>
            </w:tcBorders>
          </w:tcPr>
          <w:p w:rsidR="00D10CBC" w:rsidRDefault="00D10CBC">
            <w:pPr>
              <w:ind w:right="-29"/>
              <w:jc w:val="center"/>
              <w:rPr>
                <w:noProof/>
                <w:sz w:val="18"/>
                <w:szCs w:val="18"/>
              </w:rPr>
            </w:pPr>
          </w:p>
        </w:tc>
        <w:tc>
          <w:tcPr>
            <w:tcW w:w="900" w:type="dxa"/>
            <w:tcBorders>
              <w:bottom w:val="single" w:sz="12" w:space="0" w:color="auto"/>
            </w:tcBorders>
          </w:tcPr>
          <w:p w:rsidR="00D10CBC" w:rsidRDefault="00D10CBC">
            <w:pPr>
              <w:ind w:right="-29"/>
              <w:jc w:val="center"/>
              <w:rPr>
                <w:noProof/>
                <w:sz w:val="18"/>
                <w:szCs w:val="18"/>
              </w:rPr>
            </w:pPr>
          </w:p>
        </w:tc>
      </w:tr>
      <w:tr w:rsidR="00D10CBC">
        <w:trPr>
          <w:jc w:val="center"/>
        </w:trPr>
        <w:tc>
          <w:tcPr>
            <w:tcW w:w="2844" w:type="dxa"/>
            <w:gridSpan w:val="3"/>
            <w:tcBorders>
              <w:top w:val="single" w:sz="12" w:space="0" w:color="auto"/>
              <w:left w:val="single" w:sz="12" w:space="0" w:color="auto"/>
              <w:bottom w:val="single" w:sz="12" w:space="0" w:color="auto"/>
            </w:tcBorders>
            <w:vAlign w:val="center"/>
          </w:tcPr>
          <w:p w:rsidR="00D10CBC" w:rsidRDefault="00BC383A">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54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90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54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648"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432" w:type="dxa"/>
            <w:gridSpan w:val="2"/>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540" w:type="dxa"/>
            <w:gridSpan w:val="2"/>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720" w:type="dxa"/>
            <w:tcBorders>
              <w:top w:val="single" w:sz="12" w:space="0" w:color="auto"/>
              <w:bottom w:val="single" w:sz="12" w:space="0" w:color="auto"/>
            </w:tcBorders>
          </w:tcPr>
          <w:p w:rsidR="00D10CBC" w:rsidRDefault="00D10CBC">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10CBC" w:rsidRDefault="00D10CBC">
            <w:pPr>
              <w:spacing w:before="180" w:after="180"/>
              <w:ind w:right="-29"/>
              <w:jc w:val="center"/>
              <w:rPr>
                <w:noProof/>
                <w:sz w:val="18"/>
                <w:szCs w:val="18"/>
              </w:rPr>
            </w:pPr>
          </w:p>
        </w:tc>
      </w:tr>
    </w:tbl>
    <w:p w:rsidR="00D10CBC" w:rsidRDefault="00D10CBC">
      <w:pPr>
        <w:rPr>
          <w:noProof/>
        </w:rPr>
        <w:sectPr w:rsidR="00D10CBC" w:rsidSect="00BC383A">
          <w:headerReference w:type="default" r:id="rId21"/>
          <w:footerReference w:type="default" r:id="rId22"/>
          <w:headerReference w:type="first" r:id="rId23"/>
          <w:footerReference w:type="first" r:id="rId24"/>
          <w:pgSz w:w="16840" w:h="11907" w:orient="landscape" w:code="9"/>
          <w:pgMar w:top="1134" w:right="1418" w:bottom="567" w:left="1418" w:header="709" w:footer="709" w:gutter="0"/>
          <w:cols w:space="708"/>
          <w:docGrid w:linePitch="360"/>
        </w:sectPr>
      </w:pPr>
    </w:p>
    <w:p w:rsidR="00D10CBC" w:rsidRDefault="00BC383A">
      <w:pPr>
        <w:pStyle w:val="ManualHeading3"/>
        <w:rPr>
          <w:bCs/>
          <w:noProof/>
          <w:szCs w:val="24"/>
        </w:rPr>
      </w:pPr>
      <w:bookmarkStart w:id="59" w:name="_Toc514938055"/>
      <w:bookmarkStart w:id="60" w:name="_Toc520485054"/>
      <w:r>
        <w:lastRenderedPageBreak/>
        <w:t>3.2.3.</w:t>
      </w:r>
      <w:r>
        <w:tab/>
      </w:r>
      <w:r>
        <w:rPr>
          <w:noProof/>
        </w:rPr>
        <w:t>Summary of estimated impact on administrative appropriations</w:t>
      </w:r>
      <w:bookmarkEnd w:id="59"/>
      <w:bookmarkEnd w:id="60"/>
      <w:r>
        <w:rPr>
          <w:noProof/>
        </w:rPr>
        <w:t xml:space="preserve"> </w:t>
      </w:r>
    </w:p>
    <w:p w:rsidR="00D10CBC" w:rsidRDefault="00BC383A">
      <w:pPr>
        <w:pStyle w:val="ListDash1"/>
        <w:numPr>
          <w:ilvl w:val="0"/>
          <w:numId w:val="22"/>
        </w:numPr>
        <w:spacing w:before="120" w:after="120"/>
        <w:rPr>
          <w:noProof/>
        </w:rPr>
      </w:pPr>
      <w:r>
        <w:rPr>
          <w:noProof/>
        </w:rPr>
        <w:sym w:font="Wingdings" w:char="F0A8"/>
      </w:r>
      <w:r>
        <w:rPr>
          <w:noProof/>
        </w:rPr>
        <w:tab/>
        <w:t xml:space="preserve">The proposal/initiative does not require the use of appropriations of an administrative nature </w:t>
      </w:r>
    </w:p>
    <w:p w:rsidR="00D10CBC" w:rsidRDefault="00BC383A">
      <w:pPr>
        <w:pStyle w:val="ListDash1"/>
        <w:numPr>
          <w:ilvl w:val="0"/>
          <w:numId w:val="22"/>
        </w:numPr>
        <w:spacing w:before="120" w:after="120"/>
        <w:rPr>
          <w:noProof/>
        </w:rPr>
      </w:pPr>
      <w:r>
        <w:rPr>
          <w:noProof/>
        </w:rPr>
        <w:t>X</w:t>
      </w:r>
      <w:r>
        <w:rPr>
          <w:noProof/>
        </w:rPr>
        <w:tab/>
        <w:t xml:space="preserve">The proposal/initiative </w:t>
      </w:r>
      <w:r>
        <w:rPr>
          <w:noProof/>
        </w:rPr>
        <w:t>requires the use of appropriations of an administrative nature, as explained below:</w:t>
      </w:r>
    </w:p>
    <w:p w:rsidR="00D10CBC" w:rsidRDefault="00BC383A">
      <w:pPr>
        <w:jc w:val="right"/>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10CBC">
        <w:trPr>
          <w:trHeight w:val="585"/>
        </w:trPr>
        <w:tc>
          <w:tcPr>
            <w:tcW w:w="1980" w:type="dxa"/>
          </w:tcPr>
          <w:p w:rsidR="00D10CBC" w:rsidRDefault="00D10CBC">
            <w:pPr>
              <w:spacing w:before="60" w:after="60" w:line="200" w:lineRule="exact"/>
              <w:rPr>
                <w:noProof/>
                <w:sz w:val="16"/>
                <w:szCs w:val="16"/>
              </w:rPr>
            </w:pPr>
          </w:p>
        </w:tc>
        <w:tc>
          <w:tcPr>
            <w:tcW w:w="1080" w:type="dxa"/>
            <w:vAlign w:val="center"/>
          </w:tcPr>
          <w:p w:rsidR="00D10CBC" w:rsidRDefault="00BC383A">
            <w:pPr>
              <w:spacing w:before="60" w:after="60" w:line="200" w:lineRule="exact"/>
              <w:jc w:val="center"/>
              <w:rPr>
                <w:noProof/>
                <w:sz w:val="16"/>
                <w:szCs w:val="16"/>
              </w:rPr>
            </w:pPr>
            <w:r>
              <w:rPr>
                <w:b/>
                <w:noProof/>
                <w:sz w:val="20"/>
              </w:rPr>
              <w:t>2021</w:t>
            </w:r>
          </w:p>
        </w:tc>
        <w:tc>
          <w:tcPr>
            <w:tcW w:w="1080" w:type="dxa"/>
            <w:vAlign w:val="center"/>
          </w:tcPr>
          <w:p w:rsidR="00D10CBC" w:rsidRDefault="00BC383A">
            <w:pPr>
              <w:spacing w:before="60" w:after="60" w:line="200" w:lineRule="exact"/>
              <w:jc w:val="center"/>
              <w:rPr>
                <w:noProof/>
                <w:sz w:val="16"/>
                <w:szCs w:val="16"/>
              </w:rPr>
            </w:pPr>
            <w:r>
              <w:rPr>
                <w:b/>
                <w:noProof/>
                <w:sz w:val="20"/>
              </w:rPr>
              <w:t>2022</w:t>
            </w:r>
          </w:p>
        </w:tc>
        <w:tc>
          <w:tcPr>
            <w:tcW w:w="1080" w:type="dxa"/>
            <w:vAlign w:val="center"/>
          </w:tcPr>
          <w:p w:rsidR="00D10CBC" w:rsidRDefault="00BC383A">
            <w:pPr>
              <w:spacing w:before="60" w:after="60" w:line="200" w:lineRule="exact"/>
              <w:jc w:val="center"/>
              <w:rPr>
                <w:noProof/>
                <w:sz w:val="16"/>
                <w:szCs w:val="16"/>
              </w:rPr>
            </w:pPr>
            <w:r>
              <w:rPr>
                <w:b/>
                <w:noProof/>
                <w:sz w:val="20"/>
              </w:rPr>
              <w:t>2023</w:t>
            </w:r>
          </w:p>
        </w:tc>
        <w:tc>
          <w:tcPr>
            <w:tcW w:w="1080" w:type="dxa"/>
            <w:vAlign w:val="center"/>
          </w:tcPr>
          <w:p w:rsidR="00D10CBC" w:rsidRDefault="00BC383A">
            <w:pPr>
              <w:spacing w:before="60" w:after="60" w:line="200" w:lineRule="exact"/>
              <w:jc w:val="center"/>
              <w:rPr>
                <w:noProof/>
                <w:sz w:val="16"/>
                <w:szCs w:val="16"/>
              </w:rPr>
            </w:pPr>
            <w:r>
              <w:rPr>
                <w:b/>
                <w:noProof/>
                <w:sz w:val="20"/>
              </w:rPr>
              <w:t>2024</w:t>
            </w:r>
          </w:p>
        </w:tc>
        <w:tc>
          <w:tcPr>
            <w:tcW w:w="1080" w:type="dxa"/>
            <w:vAlign w:val="center"/>
          </w:tcPr>
          <w:p w:rsidR="00D10CBC" w:rsidRDefault="00BC383A">
            <w:pPr>
              <w:spacing w:line="200" w:lineRule="exact"/>
              <w:jc w:val="center"/>
              <w:rPr>
                <w:b/>
                <w:noProof/>
                <w:sz w:val="16"/>
                <w:szCs w:val="16"/>
              </w:rPr>
            </w:pPr>
            <w:r>
              <w:rPr>
                <w:b/>
                <w:noProof/>
                <w:sz w:val="18"/>
              </w:rPr>
              <w:t>2025</w:t>
            </w:r>
          </w:p>
        </w:tc>
        <w:tc>
          <w:tcPr>
            <w:tcW w:w="1080" w:type="dxa"/>
            <w:vAlign w:val="center"/>
          </w:tcPr>
          <w:p w:rsidR="00D10CBC" w:rsidRDefault="00BC383A">
            <w:pPr>
              <w:spacing w:line="200" w:lineRule="exact"/>
              <w:jc w:val="center"/>
              <w:rPr>
                <w:b/>
                <w:noProof/>
                <w:sz w:val="16"/>
                <w:szCs w:val="16"/>
              </w:rPr>
            </w:pPr>
            <w:r>
              <w:rPr>
                <w:b/>
                <w:noProof/>
                <w:sz w:val="16"/>
                <w:szCs w:val="16"/>
              </w:rPr>
              <w:t>2026</w:t>
            </w:r>
          </w:p>
        </w:tc>
        <w:tc>
          <w:tcPr>
            <w:tcW w:w="1080" w:type="dxa"/>
            <w:vAlign w:val="center"/>
          </w:tcPr>
          <w:p w:rsidR="00D10CBC" w:rsidRDefault="00BC383A">
            <w:pPr>
              <w:spacing w:line="200" w:lineRule="exact"/>
              <w:jc w:val="center"/>
              <w:rPr>
                <w:b/>
                <w:noProof/>
                <w:sz w:val="16"/>
                <w:szCs w:val="16"/>
              </w:rPr>
            </w:pPr>
            <w:r>
              <w:rPr>
                <w:b/>
                <w:noProof/>
                <w:sz w:val="16"/>
                <w:szCs w:val="16"/>
              </w:rPr>
              <w:t>2027</w:t>
            </w:r>
          </w:p>
        </w:tc>
        <w:tc>
          <w:tcPr>
            <w:tcW w:w="1080" w:type="dxa"/>
            <w:vAlign w:val="center"/>
          </w:tcPr>
          <w:p w:rsidR="00D10CBC" w:rsidRDefault="00BC383A">
            <w:pPr>
              <w:spacing w:before="60" w:after="60" w:line="200" w:lineRule="exact"/>
              <w:jc w:val="center"/>
              <w:rPr>
                <w:b/>
                <w:noProof/>
                <w:sz w:val="16"/>
                <w:szCs w:val="16"/>
              </w:rPr>
            </w:pPr>
            <w:r>
              <w:rPr>
                <w:b/>
                <w:noProof/>
                <w:sz w:val="16"/>
              </w:rPr>
              <w:t>TOTAL</w:t>
            </w:r>
          </w:p>
        </w:tc>
      </w:tr>
    </w:tbl>
    <w:p w:rsidR="00D10CBC" w:rsidRDefault="00D10CBC">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10CBC">
        <w:trPr>
          <w:trHeight w:val="585"/>
        </w:trPr>
        <w:tc>
          <w:tcPr>
            <w:tcW w:w="1980" w:type="dxa"/>
            <w:shd w:val="clear" w:color="auto" w:fill="CCCCCC"/>
            <w:vAlign w:val="center"/>
          </w:tcPr>
          <w:p w:rsidR="00D10CBC" w:rsidRDefault="00BC383A">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b/>
                <w:noProof/>
                <w:sz w:val="16"/>
                <w:szCs w:val="16"/>
              </w:rPr>
            </w:pPr>
          </w:p>
        </w:tc>
        <w:tc>
          <w:tcPr>
            <w:tcW w:w="1080" w:type="dxa"/>
            <w:vAlign w:val="center"/>
          </w:tcPr>
          <w:p w:rsidR="00D10CBC" w:rsidRDefault="00D10CBC">
            <w:pPr>
              <w:spacing w:before="60" w:after="60" w:line="200" w:lineRule="exact"/>
              <w:jc w:val="right"/>
              <w:rPr>
                <w:b/>
                <w:noProof/>
                <w:sz w:val="16"/>
                <w:szCs w:val="16"/>
              </w:rPr>
            </w:pPr>
          </w:p>
        </w:tc>
      </w:tr>
      <w:tr w:rsidR="00D10CBC">
        <w:trPr>
          <w:trHeight w:val="585"/>
        </w:trPr>
        <w:tc>
          <w:tcPr>
            <w:tcW w:w="1980" w:type="dxa"/>
            <w:vAlign w:val="center"/>
          </w:tcPr>
          <w:p w:rsidR="00D10CBC" w:rsidRDefault="00BC383A">
            <w:pPr>
              <w:spacing w:before="60" w:after="60" w:line="200" w:lineRule="exact"/>
              <w:ind w:left="72"/>
              <w:jc w:val="left"/>
              <w:rPr>
                <w:noProof/>
                <w:sz w:val="16"/>
                <w:szCs w:val="16"/>
              </w:rPr>
            </w:pPr>
            <w:r>
              <w:rPr>
                <w:noProof/>
                <w:sz w:val="16"/>
              </w:rPr>
              <w:t xml:space="preserve">Human resources </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5.776</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11.148</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14.644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14.644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14.644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14.644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14.644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90.144</w:t>
            </w:r>
          </w:p>
        </w:tc>
      </w:tr>
      <w:tr w:rsidR="00D10CBC">
        <w:trPr>
          <w:trHeight w:val="585"/>
        </w:trPr>
        <w:tc>
          <w:tcPr>
            <w:tcW w:w="1980" w:type="dxa"/>
            <w:vAlign w:val="center"/>
          </w:tcPr>
          <w:p w:rsidR="00D10CBC" w:rsidRDefault="00BC383A">
            <w:pPr>
              <w:spacing w:before="60" w:after="60" w:line="200" w:lineRule="exact"/>
              <w:ind w:left="72"/>
              <w:jc w:val="left"/>
              <w:rPr>
                <w:noProof/>
                <w:sz w:val="16"/>
                <w:szCs w:val="16"/>
              </w:rPr>
            </w:pPr>
            <w:r>
              <w:rPr>
                <w:noProof/>
                <w:sz w:val="16"/>
              </w:rPr>
              <w:t xml:space="preserve">Other administrative expenditure </w:t>
            </w:r>
          </w:p>
        </w:tc>
        <w:tc>
          <w:tcPr>
            <w:tcW w:w="1080" w:type="dxa"/>
            <w:vAlign w:val="bottom"/>
          </w:tcPr>
          <w:p w:rsidR="00D10CBC" w:rsidRDefault="00D10CBC">
            <w:pPr>
              <w:spacing w:before="60" w:after="60" w:line="200" w:lineRule="exact"/>
              <w:jc w:val="right"/>
              <w:rPr>
                <w:noProof/>
                <w:sz w:val="16"/>
                <w:szCs w:val="16"/>
              </w:rPr>
            </w:pP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0.818</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0.864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0.864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0.864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0.864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0.864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5.138</w:t>
            </w:r>
          </w:p>
        </w:tc>
      </w:tr>
      <w:tr w:rsidR="00D10CBC">
        <w:trPr>
          <w:trHeight w:val="585"/>
        </w:trPr>
        <w:tc>
          <w:tcPr>
            <w:tcW w:w="1980" w:type="dxa"/>
            <w:shd w:val="clear" w:color="auto" w:fill="CCCCCC"/>
            <w:vAlign w:val="center"/>
          </w:tcPr>
          <w:p w:rsidR="00D10CBC" w:rsidRDefault="00BC383A">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5.776</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11.966</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15.508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15.508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15.508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15.508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15.508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95.282</w:t>
            </w:r>
          </w:p>
        </w:tc>
      </w:tr>
    </w:tbl>
    <w:p w:rsidR="00D10CBC" w:rsidRDefault="00D10CBC">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10CBC">
        <w:trPr>
          <w:trHeight w:val="585"/>
        </w:trPr>
        <w:tc>
          <w:tcPr>
            <w:tcW w:w="1980" w:type="dxa"/>
            <w:shd w:val="clear" w:color="auto" w:fill="CCCCCC"/>
            <w:vAlign w:val="center"/>
          </w:tcPr>
          <w:p w:rsidR="00D10CBC" w:rsidRDefault="00BC383A">
            <w:pPr>
              <w:spacing w:before="60" w:after="60" w:line="200" w:lineRule="exact"/>
              <w:jc w:val="center"/>
              <w:rPr>
                <w:noProof/>
                <w:sz w:val="16"/>
                <w:szCs w:val="16"/>
              </w:rPr>
            </w:pPr>
            <w:r>
              <w:rPr>
                <w:b/>
                <w:noProof/>
                <w:sz w:val="16"/>
              </w:rPr>
              <w:t>Outside HEADING 7</w:t>
            </w:r>
            <w:r>
              <w:rPr>
                <w:rStyle w:val="FootnoteReference"/>
                <w:b/>
                <w:noProof/>
                <w:sz w:val="16"/>
              </w:rPr>
              <w:footnoteReference w:id="43"/>
            </w:r>
            <w:r>
              <w:rPr>
                <w:noProof/>
                <w:sz w:val="22"/>
              </w:rPr>
              <w:br/>
            </w:r>
            <w:r>
              <w:rPr>
                <w:b/>
                <w:noProof/>
                <w:sz w:val="16"/>
              </w:rPr>
              <w:t xml:space="preserve">of the multiannual financial framework </w:t>
            </w:r>
          </w:p>
          <w:p w:rsidR="00D10CBC" w:rsidRDefault="00D10CBC">
            <w:pPr>
              <w:spacing w:before="0" w:after="0" w:line="200" w:lineRule="exact"/>
              <w:jc w:val="center"/>
              <w:rPr>
                <w:b/>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noProof/>
                <w:sz w:val="16"/>
                <w:szCs w:val="16"/>
              </w:rPr>
            </w:pPr>
          </w:p>
        </w:tc>
        <w:tc>
          <w:tcPr>
            <w:tcW w:w="1080" w:type="dxa"/>
            <w:vAlign w:val="center"/>
          </w:tcPr>
          <w:p w:rsidR="00D10CBC" w:rsidRDefault="00D10CBC">
            <w:pPr>
              <w:spacing w:before="60" w:after="60" w:line="200" w:lineRule="exact"/>
              <w:jc w:val="right"/>
              <w:rPr>
                <w:b/>
                <w:noProof/>
                <w:sz w:val="16"/>
                <w:szCs w:val="16"/>
              </w:rPr>
            </w:pPr>
          </w:p>
        </w:tc>
        <w:tc>
          <w:tcPr>
            <w:tcW w:w="1080" w:type="dxa"/>
            <w:vAlign w:val="center"/>
          </w:tcPr>
          <w:p w:rsidR="00D10CBC" w:rsidRDefault="00D10CBC">
            <w:pPr>
              <w:spacing w:before="60" w:after="60" w:line="200" w:lineRule="exact"/>
              <w:jc w:val="right"/>
              <w:rPr>
                <w:b/>
                <w:noProof/>
                <w:sz w:val="16"/>
                <w:szCs w:val="16"/>
              </w:rPr>
            </w:pPr>
          </w:p>
        </w:tc>
      </w:tr>
      <w:tr w:rsidR="00D10CBC">
        <w:trPr>
          <w:trHeight w:val="585"/>
        </w:trPr>
        <w:tc>
          <w:tcPr>
            <w:tcW w:w="1980" w:type="dxa"/>
            <w:vAlign w:val="center"/>
          </w:tcPr>
          <w:p w:rsidR="00D10CBC" w:rsidRDefault="00BC383A">
            <w:pPr>
              <w:spacing w:before="60" w:after="60" w:line="200" w:lineRule="exact"/>
              <w:ind w:left="72"/>
              <w:jc w:val="left"/>
              <w:rPr>
                <w:noProof/>
                <w:sz w:val="16"/>
                <w:szCs w:val="16"/>
              </w:rPr>
            </w:pPr>
            <w:r>
              <w:rPr>
                <w:noProof/>
                <w:sz w:val="16"/>
              </w:rPr>
              <w:t xml:space="preserve">Human resources </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1.240</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1.322</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1.474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1.474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1.474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1.474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1.474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Cs/>
                <w:noProof/>
                <w:color w:val="000000"/>
                <w:sz w:val="22"/>
              </w:rPr>
              <w:t>9.932</w:t>
            </w:r>
          </w:p>
        </w:tc>
      </w:tr>
      <w:tr w:rsidR="00D10CBC">
        <w:trPr>
          <w:trHeight w:val="585"/>
        </w:trPr>
        <w:tc>
          <w:tcPr>
            <w:tcW w:w="1980" w:type="dxa"/>
            <w:vAlign w:val="center"/>
          </w:tcPr>
          <w:p w:rsidR="00D10CBC" w:rsidRDefault="00BC383A">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bottom"/>
          </w:tcPr>
          <w:p w:rsidR="00D10CBC" w:rsidRDefault="00D10CBC">
            <w:pPr>
              <w:spacing w:before="60" w:after="60" w:line="200" w:lineRule="exact"/>
              <w:jc w:val="right"/>
              <w:rPr>
                <w:noProof/>
                <w:sz w:val="16"/>
                <w:szCs w:val="16"/>
              </w:rPr>
            </w:pP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noProof/>
                <w:color w:val="000000"/>
                <w:sz w:val="22"/>
              </w:rPr>
              <w:t>0.022</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noProof/>
                <w:color w:val="000000"/>
                <w:sz w:val="22"/>
              </w:rPr>
              <w:t>0.024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noProof/>
                <w:color w:val="000000"/>
                <w:sz w:val="22"/>
              </w:rPr>
              <w:t>0.024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noProof/>
                <w:color w:val="000000"/>
                <w:sz w:val="22"/>
              </w:rPr>
              <w:t>0.024</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noProof/>
                <w:color w:val="000000"/>
                <w:sz w:val="22"/>
              </w:rPr>
              <w:t>0.024</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noProof/>
                <w:color w:val="000000"/>
                <w:sz w:val="22"/>
              </w:rPr>
              <w:t>0.024</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noProof/>
                <w:color w:val="000000"/>
                <w:sz w:val="22"/>
              </w:rPr>
              <w:t>0.142</w:t>
            </w:r>
          </w:p>
        </w:tc>
      </w:tr>
      <w:tr w:rsidR="00D10CBC">
        <w:trPr>
          <w:trHeight w:val="585"/>
        </w:trPr>
        <w:tc>
          <w:tcPr>
            <w:tcW w:w="1980" w:type="dxa"/>
            <w:shd w:val="clear" w:color="auto" w:fill="CCCCCC"/>
            <w:vAlign w:val="center"/>
          </w:tcPr>
          <w:p w:rsidR="00D10CBC" w:rsidRDefault="00BC383A">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vAlign w:val="bottom"/>
          </w:tcPr>
          <w:p w:rsidR="00D10CBC" w:rsidRDefault="00BC383A">
            <w:pPr>
              <w:spacing w:before="60" w:after="60" w:line="200" w:lineRule="exact"/>
              <w:jc w:val="right"/>
              <w:rPr>
                <w:noProof/>
                <w:sz w:val="16"/>
                <w:szCs w:val="16"/>
              </w:rPr>
            </w:pPr>
            <w:r>
              <w:rPr>
                <w:rFonts w:ascii="Calibri" w:hAnsi="Calibri" w:cs="Calibri"/>
                <w:b/>
                <w:bCs/>
                <w:noProof/>
                <w:color w:val="000000"/>
                <w:sz w:val="22"/>
              </w:rPr>
              <w:t>1.240</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1.344</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1.498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1.498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1.498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1.498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1.498</w:t>
            </w:r>
          </w:p>
        </w:tc>
        <w:tc>
          <w:tcPr>
            <w:tcW w:w="1080" w:type="dxa"/>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10.074</w:t>
            </w:r>
          </w:p>
        </w:tc>
      </w:tr>
    </w:tbl>
    <w:p w:rsidR="00D10CBC" w:rsidRDefault="00D10CBC">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D10CBC">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D10CBC" w:rsidRDefault="00BC383A">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7.016</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13.310</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17.006</w:t>
            </w:r>
          </w:p>
        </w:tc>
        <w:tc>
          <w:tcPr>
            <w:tcW w:w="1080" w:type="dxa"/>
            <w:tcBorders>
              <w:top w:val="single" w:sz="12" w:space="0" w:color="auto"/>
              <w:left w:val="single" w:sz="2" w:space="0" w:color="auto"/>
              <w:bottom w:val="single" w:sz="12" w:space="0" w:color="auto"/>
              <w:right w:val="single" w:sz="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17.006</w:t>
            </w:r>
          </w:p>
        </w:tc>
        <w:tc>
          <w:tcPr>
            <w:tcW w:w="1080" w:type="dxa"/>
            <w:tcBorders>
              <w:top w:val="single" w:sz="12" w:space="0" w:color="auto"/>
              <w:left w:val="single" w:sz="2" w:space="0" w:color="auto"/>
              <w:bottom w:val="single" w:sz="12" w:space="0" w:color="auto"/>
              <w:right w:val="single" w:sz="12" w:space="0" w:color="auto"/>
            </w:tcBorders>
            <w:vAlign w:val="bottom"/>
          </w:tcPr>
          <w:p w:rsidR="00D10CBC" w:rsidRDefault="00BC383A">
            <w:pPr>
              <w:spacing w:before="60" w:after="60" w:line="200" w:lineRule="exact"/>
              <w:jc w:val="right"/>
              <w:rPr>
                <w:b/>
                <w:noProof/>
                <w:sz w:val="16"/>
                <w:szCs w:val="16"/>
              </w:rPr>
            </w:pPr>
            <w:r>
              <w:rPr>
                <w:rFonts w:ascii="Calibri" w:hAnsi="Calibri" w:cs="Calibri"/>
                <w:b/>
                <w:bCs/>
                <w:noProof/>
                <w:color w:val="000000"/>
                <w:sz w:val="22"/>
              </w:rPr>
              <w:t>105.356</w:t>
            </w:r>
          </w:p>
        </w:tc>
      </w:tr>
    </w:tbl>
    <w:p w:rsidR="00D10CBC" w:rsidRDefault="00BC383A">
      <w:pPr>
        <w:rPr>
          <w:noProof/>
          <w:sz w:val="18"/>
        </w:rPr>
      </w:pPr>
      <w:r>
        <w:rPr>
          <w:noProof/>
          <w:sz w:val="18"/>
        </w:rPr>
        <w:t>The appropriations required for human resources and other expenditure of an administrative nature will</w:t>
      </w:r>
      <w:r>
        <w:rPr>
          <w:noProof/>
          <w:sz w:val="18"/>
        </w:rPr>
        <w:t xml:space="preserve"> be met by appropriations from the Commission that are already assigned to management of the action and/or have been redeployed within the Commission, together if necessary with any additional allocation which may be granted to the managing DG under the an</w:t>
      </w:r>
      <w:r>
        <w:rPr>
          <w:noProof/>
          <w:sz w:val="18"/>
        </w:rPr>
        <w:t>nual allocation procedure and in the light of budgetary constraints.</w:t>
      </w:r>
    </w:p>
    <w:p w:rsidR="00D10CBC" w:rsidRDefault="00D10CBC">
      <w:pPr>
        <w:rPr>
          <w:noProof/>
          <w:sz w:val="18"/>
        </w:rPr>
      </w:pPr>
    </w:p>
    <w:p w:rsidR="00D10CBC" w:rsidRDefault="00D10CBC">
      <w:pPr>
        <w:rPr>
          <w:noProof/>
          <w:sz w:val="18"/>
        </w:rPr>
      </w:pPr>
    </w:p>
    <w:p w:rsidR="00D10CBC" w:rsidRDefault="00D10CBC">
      <w:pPr>
        <w:rPr>
          <w:noProof/>
          <w:sz w:val="18"/>
        </w:rPr>
      </w:pPr>
    </w:p>
    <w:p w:rsidR="00D10CBC" w:rsidRDefault="00BC383A">
      <w:pPr>
        <w:pStyle w:val="ManualHeading4"/>
        <w:rPr>
          <w:bCs/>
          <w:noProof/>
          <w:szCs w:val="24"/>
        </w:rPr>
      </w:pPr>
      <w:r>
        <w:lastRenderedPageBreak/>
        <w:t>3.2.3.1.</w:t>
      </w:r>
      <w:r>
        <w:tab/>
      </w:r>
      <w:r>
        <w:rPr>
          <w:noProof/>
        </w:rPr>
        <w:t xml:space="preserve">Estimated requirements of human resources </w:t>
      </w:r>
    </w:p>
    <w:p w:rsidR="00D10CBC" w:rsidRDefault="00BC383A">
      <w:pPr>
        <w:pStyle w:val="ListDash1"/>
        <w:numPr>
          <w:ilvl w:val="0"/>
          <w:numId w:val="22"/>
        </w:numPr>
        <w:spacing w:before="120" w:after="120"/>
        <w:rPr>
          <w:noProof/>
        </w:rPr>
      </w:pPr>
      <w:r>
        <w:rPr>
          <w:noProof/>
        </w:rPr>
        <w:sym w:font="Wingdings" w:char="F0A8"/>
      </w:r>
      <w:r>
        <w:rPr>
          <w:noProof/>
        </w:rPr>
        <w:tab/>
        <w:t xml:space="preserve">The proposal/initiative does not require the use of human resources. </w:t>
      </w:r>
    </w:p>
    <w:p w:rsidR="00D10CBC" w:rsidRDefault="00BC383A">
      <w:pPr>
        <w:pStyle w:val="ListDash1"/>
        <w:numPr>
          <w:ilvl w:val="0"/>
          <w:numId w:val="22"/>
        </w:numPr>
        <w:spacing w:before="120" w:after="120"/>
        <w:rPr>
          <w:noProof/>
        </w:rPr>
      </w:pPr>
      <w:r>
        <w:rPr>
          <w:noProof/>
        </w:rPr>
        <w:t>X</w:t>
      </w:r>
      <w:r>
        <w:rPr>
          <w:noProof/>
        </w:rPr>
        <w:tab/>
        <w:t xml:space="preserve">The proposal/initiative requires the use of human </w:t>
      </w:r>
      <w:r>
        <w:rPr>
          <w:noProof/>
        </w:rPr>
        <w:t>resources, as explained below:</w:t>
      </w:r>
    </w:p>
    <w:p w:rsidR="00D10CBC" w:rsidRDefault="00BC383A">
      <w:pPr>
        <w:spacing w:after="60"/>
        <w:jc w:val="right"/>
        <w:rPr>
          <w:i/>
          <w:noProof/>
          <w:sz w:val="20"/>
        </w:rPr>
      </w:pPr>
      <w:r>
        <w:rPr>
          <w:i/>
          <w:noProof/>
          <w:sz w:val="20"/>
        </w:rPr>
        <w:t>Estimate to be expressed in full time equivalent units</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rsidR="00D10CBC">
        <w:trPr>
          <w:gridBefore w:val="1"/>
          <w:wBefore w:w="15" w:type="dxa"/>
          <w:trHeight w:val="289"/>
          <w:jc w:val="center"/>
        </w:trPr>
        <w:tc>
          <w:tcPr>
            <w:tcW w:w="4754" w:type="dxa"/>
            <w:gridSpan w:val="2"/>
            <w:shd w:val="clear" w:color="auto" w:fill="auto"/>
          </w:tcPr>
          <w:p w:rsidR="00D10CBC" w:rsidRDefault="00D10CBC">
            <w:pPr>
              <w:pStyle w:val="Text1"/>
              <w:spacing w:before="40" w:after="40"/>
              <w:ind w:left="0"/>
              <w:jc w:val="center"/>
              <w:rPr>
                <w:i/>
                <w:noProof/>
                <w:sz w:val="16"/>
                <w:szCs w:val="16"/>
              </w:rPr>
            </w:pPr>
          </w:p>
        </w:tc>
        <w:tc>
          <w:tcPr>
            <w:tcW w:w="731" w:type="dxa"/>
            <w:shd w:val="clear" w:color="auto" w:fill="auto"/>
            <w:vAlign w:val="center"/>
          </w:tcPr>
          <w:p w:rsidR="00D10CBC" w:rsidRDefault="00BC383A">
            <w:pPr>
              <w:spacing w:before="20" w:after="20"/>
              <w:jc w:val="center"/>
              <w:rPr>
                <w:noProof/>
                <w:sz w:val="16"/>
                <w:szCs w:val="16"/>
              </w:rPr>
            </w:pPr>
            <w:r>
              <w:rPr>
                <w:b/>
                <w:noProof/>
                <w:sz w:val="20"/>
              </w:rPr>
              <w:t>2021</w:t>
            </w:r>
          </w:p>
        </w:tc>
        <w:tc>
          <w:tcPr>
            <w:tcW w:w="731" w:type="dxa"/>
            <w:shd w:val="clear" w:color="auto" w:fill="auto"/>
            <w:vAlign w:val="center"/>
          </w:tcPr>
          <w:p w:rsidR="00D10CBC" w:rsidRDefault="00BC383A">
            <w:pPr>
              <w:spacing w:before="20" w:after="20"/>
              <w:jc w:val="center"/>
              <w:rPr>
                <w:noProof/>
                <w:sz w:val="16"/>
                <w:szCs w:val="16"/>
              </w:rPr>
            </w:pPr>
            <w:r>
              <w:rPr>
                <w:b/>
                <w:noProof/>
                <w:sz w:val="20"/>
              </w:rPr>
              <w:t>2022</w:t>
            </w:r>
          </w:p>
        </w:tc>
        <w:tc>
          <w:tcPr>
            <w:tcW w:w="731" w:type="dxa"/>
            <w:shd w:val="clear" w:color="auto" w:fill="auto"/>
            <w:vAlign w:val="center"/>
          </w:tcPr>
          <w:p w:rsidR="00D10CBC" w:rsidRDefault="00BC383A">
            <w:pPr>
              <w:spacing w:before="20" w:after="20"/>
              <w:jc w:val="center"/>
              <w:rPr>
                <w:noProof/>
                <w:sz w:val="16"/>
                <w:szCs w:val="16"/>
              </w:rPr>
            </w:pPr>
            <w:r>
              <w:rPr>
                <w:b/>
                <w:noProof/>
                <w:sz w:val="20"/>
              </w:rPr>
              <w:t>2023</w:t>
            </w:r>
          </w:p>
        </w:tc>
        <w:tc>
          <w:tcPr>
            <w:tcW w:w="731" w:type="dxa"/>
            <w:shd w:val="clear" w:color="auto" w:fill="auto"/>
            <w:vAlign w:val="center"/>
          </w:tcPr>
          <w:p w:rsidR="00D10CBC" w:rsidRDefault="00BC383A">
            <w:pPr>
              <w:spacing w:before="20" w:after="20"/>
              <w:jc w:val="center"/>
              <w:rPr>
                <w:noProof/>
                <w:sz w:val="16"/>
                <w:szCs w:val="16"/>
              </w:rPr>
            </w:pPr>
            <w:r>
              <w:rPr>
                <w:b/>
                <w:noProof/>
                <w:sz w:val="20"/>
              </w:rPr>
              <w:t>2024</w:t>
            </w:r>
          </w:p>
        </w:tc>
        <w:tc>
          <w:tcPr>
            <w:tcW w:w="731" w:type="dxa"/>
            <w:shd w:val="clear" w:color="auto" w:fill="auto"/>
            <w:vAlign w:val="center"/>
          </w:tcPr>
          <w:p w:rsidR="00D10CBC" w:rsidRDefault="00BC383A">
            <w:pPr>
              <w:jc w:val="center"/>
              <w:rPr>
                <w:b/>
                <w:noProof/>
                <w:sz w:val="16"/>
                <w:szCs w:val="16"/>
              </w:rPr>
            </w:pPr>
            <w:r>
              <w:rPr>
                <w:b/>
                <w:noProof/>
                <w:sz w:val="18"/>
              </w:rPr>
              <w:t>2025</w:t>
            </w:r>
          </w:p>
        </w:tc>
        <w:tc>
          <w:tcPr>
            <w:tcW w:w="731" w:type="dxa"/>
            <w:shd w:val="clear" w:color="auto" w:fill="auto"/>
            <w:vAlign w:val="center"/>
          </w:tcPr>
          <w:p w:rsidR="00D10CBC" w:rsidRDefault="00BC383A">
            <w:pPr>
              <w:jc w:val="center"/>
              <w:rPr>
                <w:b/>
                <w:noProof/>
                <w:sz w:val="16"/>
                <w:szCs w:val="16"/>
              </w:rPr>
            </w:pPr>
            <w:r>
              <w:rPr>
                <w:b/>
                <w:noProof/>
                <w:sz w:val="16"/>
                <w:szCs w:val="16"/>
              </w:rPr>
              <w:t>2026</w:t>
            </w:r>
          </w:p>
        </w:tc>
        <w:tc>
          <w:tcPr>
            <w:tcW w:w="731" w:type="dxa"/>
            <w:shd w:val="clear" w:color="auto" w:fill="auto"/>
            <w:vAlign w:val="center"/>
          </w:tcPr>
          <w:p w:rsidR="00D10CBC" w:rsidRDefault="00BC383A">
            <w:pPr>
              <w:jc w:val="center"/>
              <w:rPr>
                <w:b/>
                <w:noProof/>
                <w:sz w:val="16"/>
                <w:szCs w:val="16"/>
              </w:rPr>
            </w:pPr>
            <w:r>
              <w:rPr>
                <w:b/>
                <w:noProof/>
                <w:sz w:val="16"/>
                <w:szCs w:val="16"/>
              </w:rPr>
              <w:t>2027</w:t>
            </w:r>
          </w:p>
        </w:tc>
      </w:tr>
      <w:tr w:rsidR="00D10CBC">
        <w:trPr>
          <w:gridBefore w:val="1"/>
          <w:wBefore w:w="15" w:type="dxa"/>
          <w:trHeight w:val="289"/>
          <w:jc w:val="center"/>
        </w:trPr>
        <w:tc>
          <w:tcPr>
            <w:tcW w:w="9871" w:type="dxa"/>
            <w:gridSpan w:val="9"/>
            <w:shd w:val="clear" w:color="auto" w:fill="auto"/>
          </w:tcPr>
          <w:p w:rsidR="00D10CBC" w:rsidRDefault="00BC383A">
            <w:pPr>
              <w:jc w:val="left"/>
              <w:rPr>
                <w:noProof/>
                <w:sz w:val="16"/>
                <w:szCs w:val="16"/>
              </w:rPr>
            </w:pPr>
            <w:r>
              <w:rPr>
                <w:b/>
                <w:noProof/>
                <w:sz w:val="16"/>
              </w:rPr>
              <w:sym w:font="Wingdings" w:char="F09F"/>
            </w:r>
            <w:r>
              <w:rPr>
                <w:b/>
                <w:noProof/>
                <w:sz w:val="16"/>
              </w:rPr>
              <w:t xml:space="preserve"> Establishment plan posts (officials and temporary staff)</w:t>
            </w: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4"/>
              <w:jc w:val="left"/>
              <w:rPr>
                <w:b/>
                <w:noProof/>
                <w:sz w:val="16"/>
                <w:szCs w:val="16"/>
              </w:rPr>
            </w:pPr>
            <w:r>
              <w:rPr>
                <w:noProof/>
                <w:sz w:val="16"/>
              </w:rPr>
              <w:t>20 01 02 01</w:t>
            </w:r>
            <w:r>
              <w:rPr>
                <w:rFonts w:ascii="Arial Narrow" w:hAnsi="Arial Narrow"/>
                <w:noProof/>
                <w:color w:val="000000"/>
                <w:sz w:val="20"/>
                <w:szCs w:val="20"/>
              </w:rPr>
              <w:t xml:space="preserve"> </w:t>
            </w:r>
            <w:r>
              <w:rPr>
                <w:noProof/>
                <w:sz w:val="16"/>
              </w:rPr>
              <w:t>(Headquarters and Commission’s Representation Offices)</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38</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59</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82</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82</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82</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82</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82</w:t>
            </w: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4"/>
              <w:jc w:val="left"/>
              <w:rPr>
                <w:noProof/>
                <w:sz w:val="16"/>
              </w:rPr>
            </w:pPr>
            <w:r>
              <w:rPr>
                <w:noProof/>
                <w:sz w:val="16"/>
              </w:rPr>
              <w:t>20 01 02 03 (Delegations)</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4"/>
              <w:jc w:val="left"/>
              <w:rPr>
                <w:noProof/>
                <w:sz w:val="16"/>
                <w:szCs w:val="16"/>
              </w:rPr>
            </w:pPr>
            <w:r>
              <w:rPr>
                <w:noProof/>
                <w:sz w:val="16"/>
              </w:rPr>
              <w:t>01 01 01 01</w:t>
            </w:r>
            <w:r>
              <w:rPr>
                <w:rFonts w:ascii="Arial Narrow" w:hAnsi="Arial Narrow"/>
                <w:noProof/>
                <w:color w:val="000000"/>
                <w:sz w:val="20"/>
                <w:szCs w:val="20"/>
              </w:rPr>
              <w:t xml:space="preserve"> </w:t>
            </w:r>
            <w:r>
              <w:rPr>
                <w:noProof/>
                <w:sz w:val="16"/>
              </w:rPr>
              <w:t xml:space="preserve"> (Indirect research)</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6</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7</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7</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7</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7</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7</w:t>
            </w: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4"/>
              <w:jc w:val="left"/>
              <w:rPr>
                <w:noProof/>
                <w:sz w:val="16"/>
                <w:szCs w:val="16"/>
              </w:rPr>
            </w:pPr>
            <w:r>
              <w:rPr>
                <w:noProof/>
                <w:sz w:val="16"/>
              </w:rPr>
              <w:t xml:space="preserve"> 01 01 01 11 (Direct research)</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4"/>
              <w:jc w:val="left"/>
              <w:rPr>
                <w:noProof/>
                <w:sz w:val="16"/>
              </w:rPr>
            </w:pPr>
            <w:r>
              <w:rPr>
                <w:noProof/>
                <w:sz w:val="16"/>
              </w:rPr>
              <w:t>Other budget lines (specify)</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trHeight w:val="248"/>
          <w:jc w:val="center"/>
        </w:trPr>
        <w:tc>
          <w:tcPr>
            <w:tcW w:w="9886" w:type="dxa"/>
            <w:gridSpan w:val="10"/>
            <w:shd w:val="clear" w:color="auto" w:fill="auto"/>
            <w:vAlign w:val="center"/>
          </w:tcPr>
          <w:p w:rsidR="00D10CBC" w:rsidRDefault="00BC383A">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44"/>
            </w:r>
          </w:p>
          <w:p w:rsidR="00D10CBC" w:rsidRDefault="00D10CBC">
            <w:pPr>
              <w:pStyle w:val="Text1"/>
              <w:spacing w:before="0" w:after="0"/>
              <w:ind w:left="0"/>
              <w:jc w:val="left"/>
              <w:rPr>
                <w:noProof/>
                <w:sz w:val="16"/>
                <w:szCs w:val="16"/>
              </w:rPr>
            </w:pP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6"/>
              <w:jc w:val="left"/>
              <w:rPr>
                <w:b/>
                <w:noProof/>
                <w:sz w:val="16"/>
                <w:szCs w:val="16"/>
              </w:rPr>
            </w:pPr>
            <w:r>
              <w:rPr>
                <w:noProof/>
                <w:sz w:val="16"/>
              </w:rPr>
              <w:t>20 02 01</w:t>
            </w:r>
            <w:r>
              <w:rPr>
                <w:rFonts w:ascii="Arial Narrow" w:hAnsi="Arial Narrow"/>
                <w:noProof/>
                <w:color w:val="000000"/>
                <w:sz w:val="20"/>
                <w:szCs w:val="20"/>
              </w:rPr>
              <w:t xml:space="preserve"> </w:t>
            </w:r>
            <w:r>
              <w:rPr>
                <w:noProof/>
                <w:sz w:val="16"/>
              </w:rPr>
              <w:t xml:space="preserve">(AC, END, INT </w:t>
            </w:r>
            <w:r>
              <w:rPr>
                <w:noProof/>
                <w:sz w:val="16"/>
              </w:rPr>
              <w:t>from the ‘global envelope’)</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26</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26</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26</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26</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26</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26</w:t>
            </w: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6"/>
              <w:jc w:val="left"/>
              <w:rPr>
                <w:noProof/>
                <w:sz w:val="16"/>
              </w:rPr>
            </w:pPr>
            <w:r>
              <w:rPr>
                <w:noProof/>
                <w:sz w:val="16"/>
              </w:rPr>
              <w:t>20 02 03 (AC, AL, END, INT and JPD in the delegations)</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2376" w:type="dxa"/>
            <w:vMerge w:val="restart"/>
            <w:shd w:val="clear" w:color="auto" w:fill="auto"/>
            <w:vAlign w:val="center"/>
          </w:tcPr>
          <w:p w:rsidR="00D10CBC" w:rsidRDefault="00BC383A">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xx </w:t>
            </w:r>
            <w:r>
              <w:rPr>
                <w:b/>
                <w:noProof/>
                <w:sz w:val="16"/>
                <w:szCs w:val="16"/>
              </w:rPr>
              <w:t xml:space="preserve">yy zz </w:t>
            </w:r>
            <w:r>
              <w:rPr>
                <w:b/>
                <w:i/>
                <w:noProof/>
                <w:sz w:val="16"/>
              </w:rPr>
              <w:t xml:space="preserve"> </w:t>
            </w:r>
            <w:r>
              <w:rPr>
                <w:rStyle w:val="FootnoteReference"/>
                <w:b/>
                <w:i/>
                <w:noProof/>
                <w:sz w:val="16"/>
              </w:rPr>
              <w:footnoteReference w:id="45"/>
            </w:r>
          </w:p>
          <w:p w:rsidR="00D10CBC" w:rsidRDefault="00D10CBC">
            <w:pPr>
              <w:pStyle w:val="Text1"/>
              <w:spacing w:beforeLines="20" w:before="48" w:afterLines="20" w:after="48"/>
              <w:ind w:left="136"/>
              <w:jc w:val="left"/>
              <w:rPr>
                <w:b/>
                <w:noProof/>
                <w:sz w:val="16"/>
                <w:szCs w:val="16"/>
              </w:rPr>
            </w:pPr>
          </w:p>
        </w:tc>
        <w:tc>
          <w:tcPr>
            <w:tcW w:w="2378" w:type="dxa"/>
            <w:shd w:val="clear" w:color="auto" w:fill="auto"/>
            <w:vAlign w:val="center"/>
          </w:tcPr>
          <w:p w:rsidR="00D10CBC" w:rsidRDefault="00BC383A">
            <w:pPr>
              <w:pStyle w:val="Text1"/>
              <w:spacing w:beforeLines="20" w:before="48" w:afterLines="20" w:after="48"/>
              <w:ind w:left="136"/>
              <w:jc w:val="left"/>
              <w:rPr>
                <w:b/>
                <w:noProof/>
                <w:sz w:val="16"/>
                <w:szCs w:val="16"/>
              </w:rPr>
            </w:pPr>
            <w:r>
              <w:rPr>
                <w:noProof/>
                <w:sz w:val="16"/>
              </w:rPr>
              <w:t>- at Headquarters</w:t>
            </w:r>
          </w:p>
          <w:p w:rsidR="00D10CBC" w:rsidRDefault="00D10CBC">
            <w:pPr>
              <w:pStyle w:val="Text1"/>
              <w:spacing w:beforeLines="20" w:before="48" w:afterLines="20" w:after="48"/>
              <w:ind w:left="136"/>
              <w:jc w:val="left"/>
              <w:rPr>
                <w:b/>
                <w:noProof/>
                <w:sz w:val="16"/>
                <w:szCs w:val="16"/>
              </w:rPr>
            </w:pPr>
          </w:p>
        </w:tc>
        <w:tc>
          <w:tcPr>
            <w:tcW w:w="731" w:type="dxa"/>
            <w:shd w:val="clear" w:color="auto" w:fill="auto"/>
            <w:vAlign w:val="center"/>
          </w:tcPr>
          <w:p w:rsidR="00D10CBC" w:rsidRDefault="00D10CBC">
            <w:pPr>
              <w:pStyle w:val="Text1"/>
              <w:spacing w:beforeLines="20" w:before="48" w:afterLines="20" w:after="48"/>
              <w:ind w:left="0"/>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2376" w:type="dxa"/>
            <w:vMerge/>
            <w:shd w:val="clear" w:color="auto" w:fill="auto"/>
            <w:vAlign w:val="center"/>
          </w:tcPr>
          <w:p w:rsidR="00D10CBC" w:rsidRDefault="00D10CBC">
            <w:pPr>
              <w:pStyle w:val="Text1"/>
              <w:spacing w:beforeLines="20" w:before="48" w:afterLines="20" w:after="48"/>
              <w:ind w:left="136"/>
              <w:jc w:val="left"/>
              <w:rPr>
                <w:b/>
                <w:noProof/>
                <w:sz w:val="16"/>
                <w:szCs w:val="16"/>
              </w:rPr>
            </w:pPr>
          </w:p>
        </w:tc>
        <w:tc>
          <w:tcPr>
            <w:tcW w:w="2378" w:type="dxa"/>
            <w:shd w:val="clear" w:color="auto" w:fill="auto"/>
            <w:vAlign w:val="center"/>
          </w:tcPr>
          <w:p w:rsidR="00D10CBC" w:rsidRDefault="00BC383A">
            <w:pPr>
              <w:pStyle w:val="Text1"/>
              <w:spacing w:beforeLines="20" w:before="48" w:afterLines="20" w:after="48"/>
              <w:ind w:left="136"/>
              <w:jc w:val="left"/>
              <w:rPr>
                <w:b/>
                <w:noProof/>
                <w:sz w:val="16"/>
                <w:szCs w:val="16"/>
              </w:rPr>
            </w:pPr>
            <w:r>
              <w:rPr>
                <w:noProof/>
                <w:sz w:val="16"/>
              </w:rPr>
              <w:t xml:space="preserve">- in Delegations </w:t>
            </w:r>
          </w:p>
        </w:tc>
        <w:tc>
          <w:tcPr>
            <w:tcW w:w="731" w:type="dxa"/>
            <w:shd w:val="clear" w:color="auto" w:fill="auto"/>
            <w:vAlign w:val="center"/>
          </w:tcPr>
          <w:p w:rsidR="00D10CBC" w:rsidRDefault="00D10CBC">
            <w:pPr>
              <w:pStyle w:val="Text1"/>
              <w:spacing w:beforeLines="20" w:before="48" w:afterLines="20" w:after="48"/>
              <w:ind w:left="0"/>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6"/>
              <w:jc w:val="left"/>
              <w:rPr>
                <w:noProof/>
                <w:sz w:val="16"/>
                <w:szCs w:val="16"/>
              </w:rPr>
            </w:pPr>
            <w:r>
              <w:rPr>
                <w:noProof/>
                <w:sz w:val="16"/>
              </w:rPr>
              <w:t>01 01 01 02</w:t>
            </w:r>
            <w:r>
              <w:rPr>
                <w:rFonts w:ascii="Arial Narrow" w:hAnsi="Arial Narrow"/>
                <w:noProof/>
                <w:color w:val="000000"/>
                <w:sz w:val="20"/>
                <w:szCs w:val="20"/>
              </w:rPr>
              <w:t xml:space="preserve"> </w:t>
            </w:r>
            <w:r>
              <w:rPr>
                <w:noProof/>
                <w:sz w:val="16"/>
                <w:szCs w:val="16"/>
              </w:rPr>
              <w:t>(AC, END, INT - Indirect research)</w:t>
            </w:r>
          </w:p>
        </w:tc>
        <w:tc>
          <w:tcPr>
            <w:tcW w:w="731" w:type="dxa"/>
            <w:shd w:val="clear" w:color="auto" w:fill="auto"/>
            <w:vAlign w:val="center"/>
          </w:tcPr>
          <w:p w:rsidR="00D10CBC" w:rsidRDefault="00BC383A">
            <w:pPr>
              <w:spacing w:beforeLines="20" w:before="48" w:afterLines="20" w:after="48"/>
              <w:jc w:val="center"/>
              <w:rPr>
                <w:noProof/>
                <w:sz w:val="16"/>
                <w:szCs w:val="16"/>
              </w:rPr>
            </w:pPr>
            <w:r>
              <w:rPr>
                <w:noProof/>
                <w:sz w:val="16"/>
                <w:szCs w:val="16"/>
              </w:rPr>
              <w:t>4</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c>
          <w:tcPr>
            <w:tcW w:w="731" w:type="dxa"/>
            <w:shd w:val="clear" w:color="auto" w:fill="auto"/>
          </w:tcPr>
          <w:p w:rsidR="00D10CBC" w:rsidRDefault="00BC383A">
            <w:pPr>
              <w:spacing w:beforeLines="20" w:before="48" w:afterLines="20" w:after="48"/>
              <w:jc w:val="center"/>
              <w:rPr>
                <w:noProof/>
                <w:sz w:val="16"/>
                <w:szCs w:val="16"/>
              </w:rPr>
            </w:pPr>
            <w:r>
              <w:rPr>
                <w:noProof/>
                <w:sz w:val="16"/>
                <w:szCs w:val="16"/>
              </w:rPr>
              <w:t>5</w:t>
            </w: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6"/>
              <w:jc w:val="left"/>
              <w:rPr>
                <w:noProof/>
                <w:color w:val="FF0000"/>
                <w:sz w:val="16"/>
                <w:szCs w:val="16"/>
              </w:rPr>
            </w:pPr>
            <w:r>
              <w:rPr>
                <w:noProof/>
                <w:sz w:val="16"/>
              </w:rPr>
              <w:t xml:space="preserve"> 01 01 01 12 (AC, END, INT - Direct research)</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4754" w:type="dxa"/>
            <w:gridSpan w:val="2"/>
            <w:shd w:val="clear" w:color="auto" w:fill="auto"/>
            <w:vAlign w:val="center"/>
          </w:tcPr>
          <w:p w:rsidR="00D10CBC" w:rsidRDefault="00BC383A">
            <w:pPr>
              <w:pStyle w:val="Text1"/>
              <w:spacing w:beforeLines="20" w:before="48" w:afterLines="20" w:after="48"/>
              <w:ind w:left="136"/>
              <w:jc w:val="left"/>
              <w:rPr>
                <w:noProof/>
                <w:sz w:val="16"/>
              </w:rPr>
            </w:pPr>
            <w:r>
              <w:rPr>
                <w:noProof/>
                <w:sz w:val="16"/>
              </w:rPr>
              <w:t>Other budget lines (specify)</w:t>
            </w: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c>
          <w:tcPr>
            <w:tcW w:w="731" w:type="dxa"/>
            <w:shd w:val="clear" w:color="auto" w:fill="auto"/>
            <w:vAlign w:val="center"/>
          </w:tcPr>
          <w:p w:rsidR="00D10CBC" w:rsidRDefault="00D10CBC">
            <w:pPr>
              <w:spacing w:beforeLines="20" w:before="48" w:afterLines="20" w:after="48"/>
              <w:jc w:val="center"/>
              <w:rPr>
                <w:noProof/>
                <w:sz w:val="16"/>
                <w:szCs w:val="16"/>
              </w:rPr>
            </w:pPr>
          </w:p>
        </w:tc>
      </w:tr>
      <w:tr w:rsidR="00D10CBC">
        <w:trPr>
          <w:gridBefore w:val="1"/>
          <w:wBefore w:w="15" w:type="dxa"/>
          <w:trHeight w:val="289"/>
          <w:jc w:val="center"/>
        </w:trPr>
        <w:tc>
          <w:tcPr>
            <w:tcW w:w="4754" w:type="dxa"/>
            <w:gridSpan w:val="2"/>
            <w:tcBorders>
              <w:top w:val="double" w:sz="4" w:space="0" w:color="auto"/>
            </w:tcBorders>
            <w:shd w:val="clear" w:color="auto" w:fill="auto"/>
            <w:vAlign w:val="center"/>
          </w:tcPr>
          <w:p w:rsidR="00D10CBC" w:rsidRDefault="00BC383A">
            <w:pPr>
              <w:pStyle w:val="Text1"/>
              <w:spacing w:beforeLines="20" w:before="48" w:afterLines="20" w:after="48"/>
              <w:ind w:left="136"/>
              <w:jc w:val="left"/>
              <w:rPr>
                <w:noProof/>
                <w:sz w:val="16"/>
                <w:szCs w:val="16"/>
              </w:rPr>
            </w:pPr>
            <w:r>
              <w:rPr>
                <w:b/>
                <w:noProof/>
                <w:sz w:val="16"/>
              </w:rPr>
              <w:t>TOTAL</w:t>
            </w:r>
          </w:p>
        </w:tc>
        <w:tc>
          <w:tcPr>
            <w:tcW w:w="731" w:type="dxa"/>
            <w:tcBorders>
              <w:top w:val="double" w:sz="4" w:space="0" w:color="auto"/>
            </w:tcBorders>
            <w:shd w:val="clear" w:color="auto" w:fill="auto"/>
            <w:vAlign w:val="center"/>
          </w:tcPr>
          <w:p w:rsidR="00D10CBC" w:rsidRDefault="00BC383A">
            <w:pPr>
              <w:spacing w:beforeLines="20" w:before="48" w:afterLines="20" w:after="48"/>
              <w:jc w:val="center"/>
              <w:rPr>
                <w:b/>
                <w:noProof/>
                <w:sz w:val="16"/>
                <w:szCs w:val="16"/>
              </w:rPr>
            </w:pPr>
            <w:r>
              <w:rPr>
                <w:b/>
                <w:noProof/>
                <w:sz w:val="16"/>
                <w:szCs w:val="16"/>
              </w:rPr>
              <w:t>48</w:t>
            </w:r>
          </w:p>
        </w:tc>
        <w:tc>
          <w:tcPr>
            <w:tcW w:w="731" w:type="dxa"/>
            <w:tcBorders>
              <w:top w:val="double" w:sz="4" w:space="0" w:color="auto"/>
            </w:tcBorders>
            <w:shd w:val="clear" w:color="auto" w:fill="auto"/>
            <w:vAlign w:val="center"/>
          </w:tcPr>
          <w:p w:rsidR="00D10CBC" w:rsidRDefault="00BC383A">
            <w:pPr>
              <w:spacing w:beforeLines="20" w:before="48" w:afterLines="20" w:after="48"/>
              <w:jc w:val="center"/>
              <w:rPr>
                <w:b/>
                <w:noProof/>
                <w:sz w:val="16"/>
                <w:szCs w:val="16"/>
              </w:rPr>
            </w:pPr>
            <w:r>
              <w:rPr>
                <w:b/>
                <w:noProof/>
                <w:sz w:val="16"/>
                <w:szCs w:val="16"/>
              </w:rPr>
              <w:t>96</w:t>
            </w:r>
          </w:p>
        </w:tc>
        <w:tc>
          <w:tcPr>
            <w:tcW w:w="731" w:type="dxa"/>
            <w:tcBorders>
              <w:top w:val="double" w:sz="4" w:space="0" w:color="auto"/>
            </w:tcBorders>
            <w:shd w:val="clear" w:color="auto" w:fill="auto"/>
          </w:tcPr>
          <w:p w:rsidR="00D10CBC" w:rsidRDefault="00BC383A">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rsidR="00D10CBC" w:rsidRDefault="00BC383A">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rsidR="00D10CBC" w:rsidRDefault="00BC383A">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rsidR="00D10CBC" w:rsidRDefault="00BC383A">
            <w:pPr>
              <w:spacing w:beforeLines="20" w:before="48" w:afterLines="20" w:after="48"/>
              <w:jc w:val="center"/>
              <w:rPr>
                <w:b/>
                <w:noProof/>
                <w:sz w:val="16"/>
                <w:szCs w:val="16"/>
              </w:rPr>
            </w:pPr>
            <w:r>
              <w:rPr>
                <w:b/>
                <w:noProof/>
                <w:sz w:val="16"/>
                <w:szCs w:val="16"/>
              </w:rPr>
              <w:t>120</w:t>
            </w:r>
          </w:p>
        </w:tc>
        <w:tc>
          <w:tcPr>
            <w:tcW w:w="731" w:type="dxa"/>
            <w:tcBorders>
              <w:top w:val="double" w:sz="4" w:space="0" w:color="auto"/>
            </w:tcBorders>
            <w:shd w:val="clear" w:color="auto" w:fill="auto"/>
          </w:tcPr>
          <w:p w:rsidR="00D10CBC" w:rsidRDefault="00BC383A">
            <w:pPr>
              <w:spacing w:beforeLines="20" w:before="48" w:afterLines="20" w:after="48"/>
              <w:jc w:val="center"/>
              <w:rPr>
                <w:b/>
                <w:noProof/>
                <w:sz w:val="16"/>
                <w:szCs w:val="16"/>
              </w:rPr>
            </w:pPr>
            <w:r>
              <w:rPr>
                <w:b/>
                <w:noProof/>
                <w:sz w:val="16"/>
                <w:szCs w:val="16"/>
              </w:rPr>
              <w:t>120</w:t>
            </w:r>
          </w:p>
        </w:tc>
      </w:tr>
    </w:tbl>
    <w:p w:rsidR="00D10CBC" w:rsidRDefault="00BC383A">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rsidR="00D10CBC" w:rsidRDefault="00BC383A">
      <w:pPr>
        <w:pStyle w:val="Text1"/>
        <w:rPr>
          <w:noProof/>
          <w:sz w:val="18"/>
        </w:rPr>
      </w:pPr>
      <w:r>
        <w:rPr>
          <w:noProof/>
          <w:sz w:val="18"/>
        </w:rPr>
        <w:t xml:space="preserve">The appropriations required for human resources and other expenditure of an </w:t>
      </w:r>
      <w:r>
        <w:rPr>
          <w:noProof/>
          <w:sz w:val="18"/>
        </w:rPr>
        <w:t>administrative nature will be met by appropriations from the Commission that are already assigned to management of the action and/or have been redeployed within the Commission, together if necessary with any additional allocation which may be granted to th</w:t>
      </w:r>
      <w:r>
        <w:rPr>
          <w:noProof/>
          <w:sz w:val="18"/>
        </w:rPr>
        <w:t>e managing DG under the annual allocation procedure and in the light of budgetary constraints.</w:t>
      </w:r>
    </w:p>
    <w:p w:rsidR="00D10CBC" w:rsidRDefault="00D10CBC">
      <w:pPr>
        <w:pStyle w:val="Text1"/>
        <w:rPr>
          <w:noProof/>
          <w:sz w:val="18"/>
        </w:rPr>
      </w:pPr>
    </w:p>
    <w:p w:rsidR="00D10CBC" w:rsidRDefault="00BC383A">
      <w:pPr>
        <w:jc w:val="left"/>
        <w:rPr>
          <w:noProof/>
          <w:sz w:val="18"/>
        </w:rPr>
        <w:sectPr w:rsidR="00D10CBC" w:rsidSect="00BC383A">
          <w:headerReference w:type="default" r:id="rId25"/>
          <w:footerReference w:type="default" r:id="rId26"/>
          <w:headerReference w:type="first" r:id="rId27"/>
          <w:footerReference w:type="first" r:id="rId28"/>
          <w:pgSz w:w="11907" w:h="16840"/>
          <w:pgMar w:top="1134" w:right="1418" w:bottom="1134" w:left="1418" w:header="709" w:footer="709" w:gutter="0"/>
          <w:cols w:space="708"/>
          <w:docGrid w:linePitch="360"/>
        </w:sectPr>
      </w:pPr>
      <w:r>
        <w:rPr>
          <w:noProof/>
          <w:sz w:val="18"/>
        </w:rPr>
        <w:tab/>
      </w:r>
      <w:r>
        <w:rPr>
          <w:noProof/>
          <w:sz w:val="18"/>
        </w:rPr>
        <w:t xml:space="preserve">Memorandum of Understanding will be signed between  HERA and SANTE  to ensure the adminsitrative support </w:t>
      </w:r>
      <w:r>
        <w:rPr>
          <w:noProof/>
          <w:sz w:val="18"/>
        </w:rPr>
        <w:tab/>
        <w:t xml:space="preserve">tasks of  HERA. In this respect, 10 posts will be kept within DG SANTE (in addition to the 120 posts in HERA) for </w:t>
      </w:r>
      <w:r>
        <w:rPr>
          <w:noProof/>
          <w:sz w:val="18"/>
        </w:rPr>
        <w:tab/>
        <w:t>tasks that will be defined later in</w:t>
      </w:r>
      <w:r>
        <w:rPr>
          <w:noProof/>
          <w:sz w:val="18"/>
        </w:rPr>
        <w:t xml:space="preserve"> the domains of budget and financial management, document management, IT </w:t>
      </w:r>
      <w:r>
        <w:rPr>
          <w:noProof/>
          <w:sz w:val="18"/>
        </w:rPr>
        <w:tab/>
        <w:t>services, data protection and/or others.</w:t>
      </w:r>
    </w:p>
    <w:p w:rsidR="00D10CBC" w:rsidRDefault="00D10CBC">
      <w:pPr>
        <w:pStyle w:val="Text1"/>
        <w:rPr>
          <w:noProof/>
          <w:sz w:val="18"/>
        </w:rPr>
      </w:pPr>
    </w:p>
    <w:p w:rsidR="00D10CBC" w:rsidRDefault="00D10CBC">
      <w:pPr>
        <w:pStyle w:val="Text1"/>
        <w:rPr>
          <w:noProof/>
          <w:sz w:val="18"/>
        </w:rPr>
      </w:pPr>
    </w:p>
    <w:p w:rsidR="00D10CBC" w:rsidRDefault="00D10CBC">
      <w:pPr>
        <w:pStyle w:val="Text1"/>
        <w:rPr>
          <w:noProof/>
          <w:sz w:val="18"/>
        </w:rPr>
      </w:pPr>
    </w:p>
    <w:p w:rsidR="00D10CBC" w:rsidRDefault="00D10CBC">
      <w:pPr>
        <w:pStyle w:val="Text1"/>
        <w:rPr>
          <w:noProof/>
          <w:sz w:val="18"/>
          <w:szCs w:val="18"/>
        </w:rPr>
      </w:pPr>
    </w:p>
    <w:p w:rsidR="00D10CBC" w:rsidRDefault="00BC383A">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D10CBC">
        <w:tc>
          <w:tcPr>
            <w:tcW w:w="3240" w:type="dxa"/>
          </w:tcPr>
          <w:p w:rsidR="00D10CBC" w:rsidRDefault="00BC383A">
            <w:pPr>
              <w:rPr>
                <w:noProof/>
                <w:sz w:val="20"/>
              </w:rPr>
            </w:pPr>
            <w:r>
              <w:rPr>
                <w:noProof/>
                <w:sz w:val="20"/>
              </w:rPr>
              <w:t>Officials and temporary staff</w:t>
            </w:r>
          </w:p>
        </w:tc>
        <w:tc>
          <w:tcPr>
            <w:tcW w:w="7200" w:type="dxa"/>
          </w:tcPr>
          <w:p w:rsidR="00D10CBC" w:rsidRDefault="00BC383A">
            <w:pPr>
              <w:pStyle w:val="NormalWeb"/>
              <w:jc w:val="both"/>
              <w:rPr>
                <w:noProof/>
                <w:sz w:val="20"/>
                <w:szCs w:val="20"/>
              </w:rPr>
            </w:pPr>
            <w:r>
              <w:rPr>
                <w:noProof/>
                <w:sz w:val="20"/>
                <w:szCs w:val="20"/>
              </w:rPr>
              <w:t>The HERA staffing need will be mainly consist of experts (AD level)</w:t>
            </w:r>
            <w:r>
              <w:rPr>
                <w:noProof/>
                <w:sz w:val="20"/>
                <w:szCs w:val="20"/>
              </w:rPr>
              <w:t xml:space="preserve"> in the following areas: clinical scientists, experts in infectious diseases, experts in virology, experts in epidemiology, data scientists, engineers, regulatory and quality specialists, experts in manufacturing, logistics and supply chain management, leg</w:t>
            </w:r>
            <w:r>
              <w:rPr>
                <w:noProof/>
                <w:sz w:val="20"/>
                <w:szCs w:val="20"/>
              </w:rPr>
              <w:t>al experts (e.g. procurement experts, EU legal pharmaceutical experts, etc.), project managers, experts in health emergencies, experts in public health, experts in global health policy, experts in healthcare systems, and communication experts.</w:t>
            </w:r>
          </w:p>
          <w:p w:rsidR="00D10CBC" w:rsidRDefault="00BC383A">
            <w:pPr>
              <w:pStyle w:val="NormalWeb"/>
              <w:jc w:val="both"/>
              <w:rPr>
                <w:noProof/>
                <w:sz w:val="20"/>
                <w:szCs w:val="20"/>
              </w:rPr>
            </w:pPr>
            <w:r>
              <w:rPr>
                <w:noProof/>
                <w:sz w:val="20"/>
                <w:szCs w:val="20"/>
              </w:rPr>
              <w:t>A specialise</w:t>
            </w:r>
            <w:r>
              <w:rPr>
                <w:noProof/>
                <w:sz w:val="20"/>
                <w:szCs w:val="20"/>
              </w:rPr>
              <w:t>d competition is ongoing for Health experts and will deliver laureates in 2022. In case an insufficient number of Officials can be found to fill the posts, a selection for temporary agents could be launched and/or temporary agents 2b will be hired on the p</w:t>
            </w:r>
            <w:r>
              <w:rPr>
                <w:noProof/>
                <w:sz w:val="20"/>
                <w:szCs w:val="20"/>
              </w:rPr>
              <w:t>ermanent posts.</w:t>
            </w:r>
          </w:p>
        </w:tc>
      </w:tr>
      <w:tr w:rsidR="00D10CBC">
        <w:tc>
          <w:tcPr>
            <w:tcW w:w="3240" w:type="dxa"/>
          </w:tcPr>
          <w:p w:rsidR="00D10CBC" w:rsidRDefault="00BC383A">
            <w:pPr>
              <w:spacing w:before="60" w:after="60"/>
              <w:rPr>
                <w:noProof/>
                <w:sz w:val="20"/>
              </w:rPr>
            </w:pPr>
            <w:r>
              <w:rPr>
                <w:noProof/>
                <w:sz w:val="20"/>
              </w:rPr>
              <w:t>External staff</w:t>
            </w:r>
          </w:p>
        </w:tc>
        <w:tc>
          <w:tcPr>
            <w:tcW w:w="7200" w:type="dxa"/>
          </w:tcPr>
          <w:p w:rsidR="00D10CBC" w:rsidRDefault="00BC383A">
            <w:pPr>
              <w:rPr>
                <w:rFonts w:ascii="Calibri" w:hAnsi="Calibri" w:cs="Calibri"/>
                <w:noProof/>
                <w:color w:val="1F497D"/>
                <w:sz w:val="22"/>
                <w:lang w:val="en-IE"/>
              </w:rPr>
            </w:pPr>
            <w:r>
              <w:rPr>
                <w:noProof/>
                <w:sz w:val="20"/>
                <w:szCs w:val="20"/>
                <w:lang w:val="en-IE"/>
              </w:rPr>
              <w:t>The HERA will need to collaborate closely with the Member States. The creation of 12 END positions will contribute to bringing to pass this collaboration and will also allow bringing in experts from national administrations.</w:t>
            </w:r>
            <w:r>
              <w:rPr>
                <w:noProof/>
                <w:sz w:val="20"/>
                <w:szCs w:val="20"/>
                <w:lang w:val="en-IE"/>
              </w:rPr>
              <w:t xml:space="preserve"> In addition, 20 Contract agents will ensure operational administrative and technical support tasks.</w:t>
            </w:r>
          </w:p>
        </w:tc>
      </w:tr>
    </w:tbl>
    <w:p w:rsidR="00D10CBC" w:rsidRDefault="00D10CBC">
      <w:pPr>
        <w:rPr>
          <w:noProof/>
        </w:rPr>
        <w:sectPr w:rsidR="00D10CBC" w:rsidSect="00BC383A">
          <w:pgSz w:w="11907" w:h="16840"/>
          <w:pgMar w:top="1134" w:right="1418" w:bottom="1134" w:left="1418" w:header="709" w:footer="709" w:gutter="0"/>
          <w:cols w:space="708"/>
          <w:docGrid w:linePitch="360"/>
        </w:sectPr>
      </w:pPr>
    </w:p>
    <w:p w:rsidR="00D10CBC" w:rsidRDefault="00BC383A">
      <w:pPr>
        <w:pStyle w:val="ManualHeading3"/>
        <w:rPr>
          <w:noProof/>
        </w:rPr>
      </w:pPr>
      <w:bookmarkStart w:id="61" w:name="_Toc514938056"/>
      <w:bookmarkStart w:id="62" w:name="_Toc520485055"/>
      <w:r>
        <w:lastRenderedPageBreak/>
        <w:t>3.2.4.</w:t>
      </w:r>
      <w:r>
        <w:tab/>
      </w:r>
      <w:r>
        <w:rPr>
          <w:noProof/>
        </w:rPr>
        <w:t>Compatibility with the current multiannual financial framework</w:t>
      </w:r>
      <w:bookmarkEnd w:id="61"/>
      <w:bookmarkEnd w:id="62"/>
      <w:r>
        <w:rPr>
          <w:noProof/>
        </w:rPr>
        <w:t xml:space="preserve"> </w:t>
      </w:r>
    </w:p>
    <w:p w:rsidR="00D10CBC" w:rsidRDefault="00BC383A">
      <w:pPr>
        <w:pStyle w:val="Text1"/>
        <w:rPr>
          <w:noProof/>
        </w:rPr>
      </w:pPr>
      <w:r>
        <w:rPr>
          <w:noProof/>
        </w:rPr>
        <w:t>The proposal/initiative:</w:t>
      </w:r>
    </w:p>
    <w:p w:rsidR="00D10CBC" w:rsidRDefault="00BC383A">
      <w:pPr>
        <w:pStyle w:val="ListDash1"/>
        <w:numPr>
          <w:ilvl w:val="0"/>
          <w:numId w:val="22"/>
        </w:numPr>
        <w:spacing w:before="120" w:after="120"/>
        <w:rPr>
          <w:noProof/>
        </w:rPr>
      </w:pPr>
      <w:r>
        <w:rPr>
          <w:noProof/>
        </w:rPr>
        <w:t>X</w:t>
      </w:r>
      <w:r>
        <w:rPr>
          <w:noProof/>
        </w:rPr>
        <w:tab/>
        <w:t xml:space="preserve">can be fully financed through </w:t>
      </w:r>
      <w:r>
        <w:rPr>
          <w:noProof/>
        </w:rPr>
        <w:t>redeployment within the relevant heading of the Multiannual Financial Framework (MFF).</w:t>
      </w:r>
    </w:p>
    <w:p w:rsidR="00D10CBC" w:rsidRDefault="00BC383A">
      <w:pPr>
        <w:pStyle w:val="Text1"/>
        <w:pBdr>
          <w:top w:val="single" w:sz="4" w:space="1" w:color="auto"/>
          <w:left w:val="single" w:sz="4" w:space="4" w:color="auto"/>
          <w:bottom w:val="single" w:sz="4" w:space="1" w:color="auto"/>
          <w:right w:val="single" w:sz="4" w:space="4" w:color="auto"/>
        </w:pBdr>
        <w:rPr>
          <w:noProof/>
          <w:sz w:val="20"/>
        </w:rPr>
      </w:pPr>
      <w:r>
        <w:rPr>
          <w:noProof/>
          <w:sz w:val="20"/>
        </w:rPr>
        <w:t>Redeployment of appropriations under the Horizon Health cluster, UCPM and EU4Health programmes; in addition, redeployments of a more limited magnitude in other programme</w:t>
      </w:r>
      <w:r>
        <w:rPr>
          <w:noProof/>
          <w:sz w:val="20"/>
        </w:rPr>
        <w:t>s (to be further defined but could include the Digital Europe Programme, the Single Market Programme…).</w:t>
      </w:r>
    </w:p>
    <w:p w:rsidR="00D10CBC" w:rsidRDefault="00BC383A">
      <w:pPr>
        <w:pStyle w:val="ListDash1"/>
        <w:numPr>
          <w:ilvl w:val="0"/>
          <w:numId w:val="22"/>
        </w:numPr>
        <w:spacing w:before="120" w:after="120"/>
        <w:rPr>
          <w:noProof/>
        </w:rPr>
      </w:pPr>
      <w:r>
        <w:rPr>
          <w:noProof/>
        </w:rPr>
        <w:t>hand/or use of the special instruments as defined in the MFF Regulation.</w:t>
      </w:r>
    </w:p>
    <w:p w:rsidR="00D10CBC" w:rsidRDefault="00BC383A">
      <w:pPr>
        <w:pStyle w:val="Text1"/>
        <w:pBdr>
          <w:top w:val="single" w:sz="4" w:space="1" w:color="auto"/>
          <w:left w:val="single" w:sz="4" w:space="4" w:color="auto"/>
          <w:bottom w:val="single" w:sz="4" w:space="1" w:color="auto"/>
          <w:right w:val="single" w:sz="4" w:space="4" w:color="auto"/>
        </w:pBdr>
        <w:rPr>
          <w:noProof/>
          <w:sz w:val="20"/>
        </w:rPr>
      </w:pPr>
      <w:r>
        <w:rPr>
          <w:noProof/>
          <w:sz w:val="20"/>
        </w:rPr>
        <w:t>In time of crisis, the Emergency Support Instrument could be mobilised and fina</w:t>
      </w:r>
      <w:r>
        <w:rPr>
          <w:noProof/>
          <w:sz w:val="20"/>
        </w:rPr>
        <w:t>nced, inter alia, by the margin available under the relevant heading or special instruments.</w:t>
      </w:r>
    </w:p>
    <w:p w:rsidR="00D10CBC" w:rsidRDefault="00BC383A">
      <w:pPr>
        <w:pStyle w:val="ListDash1"/>
        <w:numPr>
          <w:ilvl w:val="0"/>
          <w:numId w:val="22"/>
        </w:numPr>
        <w:spacing w:before="120" w:after="120"/>
        <w:rPr>
          <w:noProof/>
        </w:rPr>
      </w:pPr>
      <w:r>
        <w:rPr>
          <w:noProof/>
        </w:rPr>
        <w:sym w:font="Wingdings" w:char="F0A8"/>
      </w:r>
      <w:r>
        <w:rPr>
          <w:noProof/>
        </w:rPr>
        <w:tab/>
        <w:t>requires a revision of the MFF.</w:t>
      </w:r>
    </w:p>
    <w:p w:rsidR="00D10CBC" w:rsidRDefault="00BC383A">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is required, specifying the headings and budget lines concerned and the corresponding amounts.</w:t>
      </w:r>
    </w:p>
    <w:p w:rsidR="00D10CBC" w:rsidRDefault="00BC383A">
      <w:pPr>
        <w:pStyle w:val="ManualHeading3"/>
        <w:rPr>
          <w:bCs/>
          <w:noProof/>
          <w:szCs w:val="24"/>
        </w:rPr>
      </w:pPr>
      <w:bookmarkStart w:id="63" w:name="_Toc514938058"/>
      <w:bookmarkStart w:id="64" w:name="_Toc520485056"/>
      <w:r>
        <w:t>3.2.5.</w:t>
      </w:r>
      <w:r>
        <w:tab/>
      </w:r>
      <w:r>
        <w:rPr>
          <w:noProof/>
        </w:rPr>
        <w:t>Third-party co</w:t>
      </w:r>
      <w:r>
        <w:rPr>
          <w:noProof/>
        </w:rPr>
        <w:t>ntributions</w:t>
      </w:r>
      <w:bookmarkEnd w:id="63"/>
      <w:bookmarkEnd w:id="64"/>
      <w:r>
        <w:rPr>
          <w:noProof/>
        </w:rPr>
        <w:t xml:space="preserve"> </w:t>
      </w:r>
    </w:p>
    <w:p w:rsidR="00D10CBC" w:rsidRDefault="00BC383A">
      <w:pPr>
        <w:pStyle w:val="Text1"/>
        <w:rPr>
          <w:noProof/>
        </w:rPr>
      </w:pPr>
      <w:r>
        <w:rPr>
          <w:noProof/>
        </w:rPr>
        <w:t>The proposal/initiative:</w:t>
      </w:r>
    </w:p>
    <w:p w:rsidR="00D10CBC" w:rsidRDefault="00BC383A">
      <w:pPr>
        <w:pStyle w:val="ListDash1"/>
        <w:numPr>
          <w:ilvl w:val="0"/>
          <w:numId w:val="22"/>
        </w:numPr>
        <w:spacing w:before="120" w:after="120"/>
        <w:rPr>
          <w:noProof/>
        </w:rPr>
      </w:pPr>
      <w:r>
        <w:rPr>
          <w:noProof/>
        </w:rPr>
        <w:sym w:font="Wingdings" w:char="F0FE"/>
      </w:r>
      <w:r>
        <w:rPr>
          <w:noProof/>
        </w:rPr>
        <w:tab/>
        <w:t>does not provide for co-financing by third parties</w:t>
      </w:r>
    </w:p>
    <w:p w:rsidR="00D10CBC" w:rsidRDefault="00BC383A">
      <w:pPr>
        <w:pStyle w:val="ListDash1"/>
        <w:numPr>
          <w:ilvl w:val="0"/>
          <w:numId w:val="22"/>
        </w:numPr>
        <w:spacing w:before="120" w:after="120"/>
        <w:rPr>
          <w:noProof/>
        </w:rPr>
      </w:pPr>
      <w:r>
        <w:rPr>
          <w:noProof/>
        </w:rPr>
        <w:sym w:font="Wingdings" w:char="F0A8"/>
      </w:r>
      <w:r>
        <w:rPr>
          <w:noProof/>
        </w:rPr>
        <w:tab/>
        <w:t>provides for the co-financing by third parties estimated below:</w:t>
      </w:r>
    </w:p>
    <w:p w:rsidR="00D10CBC" w:rsidRDefault="00BC383A">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D10CBC">
        <w:trPr>
          <w:cantSplit/>
        </w:trPr>
        <w:tc>
          <w:tcPr>
            <w:tcW w:w="2340" w:type="dxa"/>
          </w:tcPr>
          <w:p w:rsidR="00D10CBC" w:rsidRDefault="00D10CBC">
            <w:pPr>
              <w:spacing w:before="60" w:after="60"/>
              <w:rPr>
                <w:noProof/>
                <w:sz w:val="20"/>
              </w:rPr>
            </w:pPr>
          </w:p>
        </w:tc>
        <w:tc>
          <w:tcPr>
            <w:tcW w:w="964" w:type="dxa"/>
            <w:vAlign w:val="center"/>
          </w:tcPr>
          <w:p w:rsidR="00D10CBC" w:rsidRDefault="00BC383A">
            <w:pPr>
              <w:jc w:val="center"/>
              <w:rPr>
                <w:noProof/>
                <w:sz w:val="20"/>
              </w:rPr>
            </w:pPr>
            <w:r>
              <w:rPr>
                <w:b/>
                <w:noProof/>
                <w:sz w:val="20"/>
              </w:rPr>
              <w:t>2021</w:t>
            </w:r>
          </w:p>
        </w:tc>
        <w:tc>
          <w:tcPr>
            <w:tcW w:w="964" w:type="dxa"/>
            <w:vAlign w:val="center"/>
          </w:tcPr>
          <w:p w:rsidR="00D10CBC" w:rsidRDefault="00BC383A">
            <w:pPr>
              <w:jc w:val="center"/>
              <w:rPr>
                <w:noProof/>
                <w:sz w:val="20"/>
              </w:rPr>
            </w:pPr>
            <w:r>
              <w:rPr>
                <w:b/>
                <w:noProof/>
                <w:sz w:val="20"/>
              </w:rPr>
              <w:t>2022</w:t>
            </w:r>
          </w:p>
        </w:tc>
        <w:tc>
          <w:tcPr>
            <w:tcW w:w="964" w:type="dxa"/>
            <w:vAlign w:val="center"/>
          </w:tcPr>
          <w:p w:rsidR="00D10CBC" w:rsidRDefault="00BC383A">
            <w:pPr>
              <w:jc w:val="center"/>
              <w:rPr>
                <w:noProof/>
                <w:sz w:val="20"/>
              </w:rPr>
            </w:pPr>
            <w:r>
              <w:rPr>
                <w:b/>
                <w:noProof/>
                <w:sz w:val="20"/>
              </w:rPr>
              <w:t>2023</w:t>
            </w:r>
          </w:p>
        </w:tc>
        <w:tc>
          <w:tcPr>
            <w:tcW w:w="964" w:type="dxa"/>
            <w:vAlign w:val="center"/>
          </w:tcPr>
          <w:p w:rsidR="00D10CBC" w:rsidRDefault="00BC383A">
            <w:pPr>
              <w:jc w:val="center"/>
              <w:rPr>
                <w:noProof/>
                <w:sz w:val="20"/>
              </w:rPr>
            </w:pPr>
            <w:r>
              <w:rPr>
                <w:b/>
                <w:noProof/>
                <w:sz w:val="20"/>
              </w:rPr>
              <w:t>2024</w:t>
            </w:r>
          </w:p>
        </w:tc>
        <w:tc>
          <w:tcPr>
            <w:tcW w:w="964" w:type="dxa"/>
            <w:vAlign w:val="center"/>
          </w:tcPr>
          <w:p w:rsidR="00D10CBC" w:rsidRDefault="00BC383A">
            <w:pPr>
              <w:jc w:val="center"/>
              <w:rPr>
                <w:b/>
                <w:noProof/>
                <w:sz w:val="20"/>
              </w:rPr>
            </w:pPr>
            <w:r>
              <w:rPr>
                <w:b/>
                <w:noProof/>
                <w:sz w:val="18"/>
              </w:rPr>
              <w:t>2025</w:t>
            </w:r>
          </w:p>
        </w:tc>
        <w:tc>
          <w:tcPr>
            <w:tcW w:w="964" w:type="dxa"/>
            <w:vAlign w:val="center"/>
          </w:tcPr>
          <w:p w:rsidR="00D10CBC" w:rsidRDefault="00BC383A">
            <w:pPr>
              <w:jc w:val="center"/>
              <w:rPr>
                <w:b/>
                <w:noProof/>
                <w:sz w:val="20"/>
              </w:rPr>
            </w:pPr>
            <w:r>
              <w:rPr>
                <w:b/>
                <w:noProof/>
                <w:sz w:val="20"/>
              </w:rPr>
              <w:t>2026</w:t>
            </w:r>
          </w:p>
        </w:tc>
        <w:tc>
          <w:tcPr>
            <w:tcW w:w="964" w:type="dxa"/>
            <w:vAlign w:val="center"/>
          </w:tcPr>
          <w:p w:rsidR="00D10CBC" w:rsidRDefault="00BC383A">
            <w:pPr>
              <w:jc w:val="center"/>
              <w:rPr>
                <w:b/>
                <w:noProof/>
                <w:sz w:val="20"/>
              </w:rPr>
            </w:pPr>
            <w:r>
              <w:rPr>
                <w:b/>
                <w:noProof/>
                <w:sz w:val="20"/>
              </w:rPr>
              <w:t>2027</w:t>
            </w:r>
          </w:p>
        </w:tc>
        <w:tc>
          <w:tcPr>
            <w:tcW w:w="1158" w:type="dxa"/>
            <w:vAlign w:val="center"/>
          </w:tcPr>
          <w:p w:rsidR="00D10CBC" w:rsidRDefault="00BC383A">
            <w:pPr>
              <w:spacing w:before="60" w:after="60"/>
              <w:jc w:val="center"/>
              <w:rPr>
                <w:noProof/>
                <w:sz w:val="20"/>
              </w:rPr>
            </w:pPr>
            <w:r>
              <w:rPr>
                <w:noProof/>
                <w:sz w:val="20"/>
              </w:rPr>
              <w:t>Total</w:t>
            </w:r>
          </w:p>
        </w:tc>
      </w:tr>
      <w:tr w:rsidR="00D10CBC">
        <w:trPr>
          <w:cantSplit/>
        </w:trPr>
        <w:tc>
          <w:tcPr>
            <w:tcW w:w="2340" w:type="dxa"/>
          </w:tcPr>
          <w:p w:rsidR="00D10CBC" w:rsidRDefault="00BC383A">
            <w:pPr>
              <w:rPr>
                <w:noProof/>
              </w:rPr>
            </w:pPr>
            <w:r>
              <w:rPr>
                <w:noProof/>
                <w:sz w:val="20"/>
              </w:rPr>
              <w:t>Specify the co-financing body</w:t>
            </w:r>
            <w:r>
              <w:rPr>
                <w:i/>
                <w:noProof/>
                <w:sz w:val="20"/>
              </w:rPr>
              <w:t xml:space="preserve"> </w:t>
            </w: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1158" w:type="dxa"/>
            <w:vAlign w:val="center"/>
          </w:tcPr>
          <w:p w:rsidR="00D10CBC" w:rsidRDefault="00D10CBC">
            <w:pPr>
              <w:spacing w:before="60" w:after="60"/>
              <w:jc w:val="center"/>
              <w:rPr>
                <w:noProof/>
                <w:sz w:val="20"/>
              </w:rPr>
            </w:pPr>
          </w:p>
        </w:tc>
      </w:tr>
      <w:tr w:rsidR="00D10CBC">
        <w:trPr>
          <w:cantSplit/>
        </w:trPr>
        <w:tc>
          <w:tcPr>
            <w:tcW w:w="2340" w:type="dxa"/>
          </w:tcPr>
          <w:p w:rsidR="00D10CBC" w:rsidRDefault="00BC383A">
            <w:pPr>
              <w:spacing w:before="60" w:after="60"/>
              <w:jc w:val="left"/>
              <w:rPr>
                <w:noProof/>
                <w:sz w:val="20"/>
              </w:rPr>
            </w:pPr>
            <w:r>
              <w:rPr>
                <w:noProof/>
                <w:sz w:val="20"/>
              </w:rPr>
              <w:t xml:space="preserve">TOTAL appropriations co-financed </w:t>
            </w: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964" w:type="dxa"/>
            <w:vAlign w:val="center"/>
          </w:tcPr>
          <w:p w:rsidR="00D10CBC" w:rsidRDefault="00D10CBC">
            <w:pPr>
              <w:spacing w:before="60" w:after="60"/>
              <w:jc w:val="center"/>
              <w:rPr>
                <w:noProof/>
                <w:sz w:val="20"/>
              </w:rPr>
            </w:pPr>
          </w:p>
        </w:tc>
        <w:tc>
          <w:tcPr>
            <w:tcW w:w="1158" w:type="dxa"/>
            <w:vAlign w:val="center"/>
          </w:tcPr>
          <w:p w:rsidR="00D10CBC" w:rsidRDefault="00D10CBC">
            <w:pPr>
              <w:spacing w:before="60" w:after="60"/>
              <w:jc w:val="center"/>
              <w:rPr>
                <w:noProof/>
                <w:sz w:val="20"/>
              </w:rPr>
            </w:pPr>
          </w:p>
        </w:tc>
      </w:tr>
    </w:tbl>
    <w:p w:rsidR="00D10CBC" w:rsidRDefault="00BC383A">
      <w:pPr>
        <w:rPr>
          <w:noProof/>
        </w:rPr>
      </w:pPr>
      <w:r>
        <w:rPr>
          <w:noProof/>
        </w:rPr>
        <w:br/>
      </w:r>
    </w:p>
    <w:p w:rsidR="00D10CBC" w:rsidRDefault="00BC383A">
      <w:pPr>
        <w:pStyle w:val="ManualHeading2"/>
        <w:rPr>
          <w:bCs/>
          <w:noProof/>
          <w:szCs w:val="24"/>
        </w:rPr>
      </w:pPr>
      <w:r>
        <w:rPr>
          <w:noProof/>
        </w:rPr>
        <w:br w:type="page"/>
      </w:r>
      <w:bookmarkStart w:id="65" w:name="_Toc514938059"/>
      <w:bookmarkStart w:id="66" w:name="_Toc520485057"/>
      <w:r>
        <w:lastRenderedPageBreak/>
        <w:t>3.3.</w:t>
      </w:r>
      <w:r>
        <w:tab/>
      </w:r>
      <w:r>
        <w:rPr>
          <w:noProof/>
        </w:rPr>
        <w:t>Estimated impact on revenue</w:t>
      </w:r>
      <w:bookmarkEnd w:id="65"/>
      <w:bookmarkEnd w:id="66"/>
      <w:r>
        <w:rPr>
          <w:noProof/>
        </w:rPr>
        <w:t xml:space="preserve"> </w:t>
      </w:r>
    </w:p>
    <w:p w:rsidR="00D10CBC" w:rsidRDefault="00BC383A">
      <w:pPr>
        <w:pStyle w:val="ListDash1"/>
        <w:numPr>
          <w:ilvl w:val="0"/>
          <w:numId w:val="22"/>
        </w:numPr>
        <w:spacing w:before="120" w:after="120"/>
        <w:rPr>
          <w:noProof/>
        </w:rPr>
      </w:pPr>
      <w:r>
        <w:rPr>
          <w:noProof/>
        </w:rPr>
        <w:t>X</w:t>
      </w:r>
      <w:r>
        <w:rPr>
          <w:noProof/>
        </w:rPr>
        <w:tab/>
        <w:t>The proposal/initiative has no financial impact on revenue.</w:t>
      </w:r>
    </w:p>
    <w:p w:rsidR="00D10CBC" w:rsidRDefault="00BC383A">
      <w:pPr>
        <w:pStyle w:val="ListDash1"/>
        <w:numPr>
          <w:ilvl w:val="0"/>
          <w:numId w:val="22"/>
        </w:numPr>
        <w:spacing w:before="120" w:after="120"/>
        <w:rPr>
          <w:noProof/>
        </w:rPr>
      </w:pPr>
      <w:r>
        <w:rPr>
          <w:noProof/>
        </w:rPr>
        <w:sym w:font="Wingdings" w:char="F0A8"/>
      </w:r>
      <w:r>
        <w:rPr>
          <w:noProof/>
        </w:rPr>
        <w:tab/>
        <w:t>The proposal/initiative has the following financial impact:</w:t>
      </w:r>
    </w:p>
    <w:p w:rsidR="00D10CBC" w:rsidRDefault="00BC383A">
      <w:pPr>
        <w:pStyle w:val="Tiret2"/>
        <w:numPr>
          <w:ilvl w:val="0"/>
          <w:numId w:val="24"/>
        </w:numPr>
        <w:rPr>
          <w:noProof/>
        </w:rPr>
      </w:pPr>
      <w:r>
        <w:rPr>
          <w:noProof/>
        </w:rPr>
        <w:sym w:font="Wingdings" w:char="F0A8"/>
      </w:r>
      <w:r>
        <w:rPr>
          <w:noProof/>
        </w:rPr>
        <w:tab/>
      </w:r>
      <w:r>
        <w:rPr>
          <w:noProof/>
        </w:rPr>
        <w:t xml:space="preserve">on own resources </w:t>
      </w:r>
    </w:p>
    <w:p w:rsidR="00D10CBC" w:rsidRDefault="00BC383A">
      <w:pPr>
        <w:pStyle w:val="Tiret2"/>
        <w:rPr>
          <w:noProof/>
        </w:rPr>
      </w:pPr>
      <w:r>
        <w:rPr>
          <w:noProof/>
        </w:rPr>
        <w:sym w:font="Wingdings" w:char="F0A8"/>
      </w:r>
      <w:r>
        <w:rPr>
          <w:noProof/>
        </w:rPr>
        <w:tab/>
        <w:t>on other revenue</w:t>
      </w:r>
    </w:p>
    <w:p w:rsidR="00D10CBC" w:rsidRDefault="00BC383A">
      <w:pPr>
        <w:pStyle w:val="Tiret2"/>
        <w:rPr>
          <w:noProof/>
        </w:rPr>
      </w:pPr>
      <w:r>
        <w:rPr>
          <w:noProof/>
        </w:rPr>
        <w:t xml:space="preserve">please indicate, if the revenue is assigned to expenditure lines </w:t>
      </w:r>
      <w:r>
        <w:rPr>
          <w:noProof/>
        </w:rPr>
        <w:sym w:font="Wingdings" w:char="F0A8"/>
      </w:r>
      <w:r>
        <w:rPr>
          <w:noProof/>
        </w:rPr>
        <w:tab/>
      </w:r>
    </w:p>
    <w:p w:rsidR="00D10CBC" w:rsidRDefault="00BC383A">
      <w:pPr>
        <w:ind w:left="4320"/>
        <w:rPr>
          <w:i/>
          <w:noProof/>
          <w:sz w:val="20"/>
        </w:rPr>
      </w:pPr>
      <w:r>
        <w:rPr>
          <w:noProof/>
        </w:rPr>
        <w:t xml:space="preserve">     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D10CBC">
        <w:trPr>
          <w:trHeight w:val="388"/>
        </w:trPr>
        <w:tc>
          <w:tcPr>
            <w:tcW w:w="2144" w:type="dxa"/>
            <w:vMerge w:val="restart"/>
            <w:vAlign w:val="center"/>
          </w:tcPr>
          <w:p w:rsidR="00D10CBC" w:rsidRDefault="00BC383A">
            <w:pPr>
              <w:spacing w:before="40" w:after="40"/>
              <w:rPr>
                <w:noProof/>
                <w:sz w:val="18"/>
              </w:rPr>
            </w:pPr>
            <w:r>
              <w:rPr>
                <w:noProof/>
                <w:sz w:val="18"/>
              </w:rPr>
              <w:t>Budget revenue line:</w:t>
            </w:r>
          </w:p>
        </w:tc>
        <w:tc>
          <w:tcPr>
            <w:tcW w:w="1325" w:type="dxa"/>
            <w:vMerge w:val="restart"/>
            <w:vAlign w:val="center"/>
          </w:tcPr>
          <w:p w:rsidR="00D10CBC" w:rsidRDefault="00BC383A">
            <w:pPr>
              <w:jc w:val="center"/>
              <w:rPr>
                <w:noProof/>
                <w:sz w:val="18"/>
              </w:rPr>
            </w:pPr>
            <w:r>
              <w:rPr>
                <w:noProof/>
                <w:sz w:val="18"/>
              </w:rPr>
              <w:t>Appropriations available for the current financial year</w:t>
            </w:r>
          </w:p>
        </w:tc>
        <w:tc>
          <w:tcPr>
            <w:tcW w:w="7151" w:type="dxa"/>
            <w:gridSpan w:val="7"/>
            <w:vAlign w:val="center"/>
          </w:tcPr>
          <w:p w:rsidR="00D10CBC" w:rsidRDefault="00BC383A">
            <w:pPr>
              <w:jc w:val="center"/>
              <w:rPr>
                <w:noProof/>
                <w:sz w:val="18"/>
              </w:rPr>
            </w:pPr>
            <w:r>
              <w:rPr>
                <w:noProof/>
                <w:sz w:val="18"/>
              </w:rPr>
              <w:t xml:space="preserve">Impact of the </w:t>
            </w:r>
            <w:r>
              <w:rPr>
                <w:noProof/>
                <w:sz w:val="18"/>
              </w:rPr>
              <w:t>proposal/initiative</w:t>
            </w:r>
            <w:r>
              <w:rPr>
                <w:rStyle w:val="FootnoteReference"/>
                <w:noProof/>
                <w:sz w:val="18"/>
              </w:rPr>
              <w:footnoteReference w:id="46"/>
            </w:r>
          </w:p>
        </w:tc>
      </w:tr>
      <w:tr w:rsidR="00D10CBC">
        <w:trPr>
          <w:trHeight w:val="388"/>
        </w:trPr>
        <w:tc>
          <w:tcPr>
            <w:tcW w:w="2144" w:type="dxa"/>
            <w:vMerge/>
          </w:tcPr>
          <w:p w:rsidR="00D10CBC" w:rsidRDefault="00D10CBC">
            <w:pPr>
              <w:spacing w:before="40" w:after="40"/>
              <w:rPr>
                <w:noProof/>
                <w:sz w:val="18"/>
              </w:rPr>
            </w:pPr>
          </w:p>
        </w:tc>
        <w:tc>
          <w:tcPr>
            <w:tcW w:w="1325" w:type="dxa"/>
            <w:vMerge/>
          </w:tcPr>
          <w:p w:rsidR="00D10CBC" w:rsidRDefault="00D10CBC">
            <w:pPr>
              <w:spacing w:beforeLines="40" w:before="96" w:afterLines="40" w:after="96"/>
              <w:rPr>
                <w:i/>
                <w:noProof/>
                <w:sz w:val="18"/>
              </w:rPr>
            </w:pPr>
          </w:p>
        </w:tc>
        <w:tc>
          <w:tcPr>
            <w:tcW w:w="1031" w:type="dxa"/>
            <w:vAlign w:val="center"/>
          </w:tcPr>
          <w:p w:rsidR="00D10CBC" w:rsidRDefault="00BC383A">
            <w:pPr>
              <w:jc w:val="center"/>
              <w:rPr>
                <w:noProof/>
                <w:sz w:val="18"/>
              </w:rPr>
            </w:pPr>
            <w:r>
              <w:rPr>
                <w:b/>
                <w:noProof/>
                <w:sz w:val="20"/>
              </w:rPr>
              <w:t>2021</w:t>
            </w:r>
          </w:p>
        </w:tc>
        <w:tc>
          <w:tcPr>
            <w:tcW w:w="900" w:type="dxa"/>
            <w:vAlign w:val="center"/>
          </w:tcPr>
          <w:p w:rsidR="00D10CBC" w:rsidRDefault="00BC383A">
            <w:pPr>
              <w:jc w:val="center"/>
              <w:rPr>
                <w:noProof/>
                <w:sz w:val="18"/>
              </w:rPr>
            </w:pPr>
            <w:r>
              <w:rPr>
                <w:b/>
                <w:noProof/>
                <w:sz w:val="20"/>
              </w:rPr>
              <w:t>2022</w:t>
            </w:r>
          </w:p>
        </w:tc>
        <w:tc>
          <w:tcPr>
            <w:tcW w:w="900" w:type="dxa"/>
            <w:vAlign w:val="center"/>
          </w:tcPr>
          <w:p w:rsidR="00D10CBC" w:rsidRDefault="00BC383A">
            <w:pPr>
              <w:jc w:val="center"/>
              <w:rPr>
                <w:noProof/>
                <w:sz w:val="18"/>
              </w:rPr>
            </w:pPr>
            <w:r>
              <w:rPr>
                <w:b/>
                <w:noProof/>
                <w:sz w:val="20"/>
              </w:rPr>
              <w:t>2023</w:t>
            </w:r>
          </w:p>
        </w:tc>
        <w:tc>
          <w:tcPr>
            <w:tcW w:w="1080" w:type="dxa"/>
            <w:vAlign w:val="center"/>
          </w:tcPr>
          <w:p w:rsidR="00D10CBC" w:rsidRDefault="00BC383A">
            <w:pPr>
              <w:jc w:val="center"/>
              <w:rPr>
                <w:noProof/>
                <w:sz w:val="18"/>
              </w:rPr>
            </w:pPr>
            <w:r>
              <w:rPr>
                <w:b/>
                <w:noProof/>
                <w:sz w:val="20"/>
              </w:rPr>
              <w:t>2024</w:t>
            </w:r>
          </w:p>
        </w:tc>
        <w:tc>
          <w:tcPr>
            <w:tcW w:w="1080" w:type="dxa"/>
            <w:vAlign w:val="center"/>
          </w:tcPr>
          <w:p w:rsidR="00D10CBC" w:rsidRDefault="00BC383A">
            <w:pPr>
              <w:jc w:val="center"/>
              <w:rPr>
                <w:b/>
                <w:noProof/>
                <w:sz w:val="18"/>
              </w:rPr>
            </w:pPr>
            <w:r>
              <w:rPr>
                <w:b/>
                <w:noProof/>
                <w:sz w:val="18"/>
              </w:rPr>
              <w:t>2025</w:t>
            </w:r>
          </w:p>
        </w:tc>
        <w:tc>
          <w:tcPr>
            <w:tcW w:w="1080" w:type="dxa"/>
            <w:vAlign w:val="center"/>
          </w:tcPr>
          <w:p w:rsidR="00D10CBC" w:rsidRDefault="00BC383A">
            <w:pPr>
              <w:jc w:val="center"/>
              <w:rPr>
                <w:b/>
                <w:noProof/>
                <w:sz w:val="18"/>
              </w:rPr>
            </w:pPr>
            <w:r>
              <w:rPr>
                <w:b/>
                <w:noProof/>
                <w:sz w:val="18"/>
              </w:rPr>
              <w:t>2026</w:t>
            </w:r>
          </w:p>
        </w:tc>
        <w:tc>
          <w:tcPr>
            <w:tcW w:w="1080" w:type="dxa"/>
            <w:vAlign w:val="center"/>
          </w:tcPr>
          <w:p w:rsidR="00D10CBC" w:rsidRDefault="00BC383A">
            <w:pPr>
              <w:jc w:val="center"/>
              <w:rPr>
                <w:b/>
                <w:noProof/>
                <w:sz w:val="18"/>
              </w:rPr>
            </w:pPr>
            <w:r>
              <w:rPr>
                <w:b/>
                <w:noProof/>
                <w:sz w:val="18"/>
              </w:rPr>
              <w:t>2027</w:t>
            </w:r>
          </w:p>
        </w:tc>
      </w:tr>
      <w:tr w:rsidR="00D10CBC">
        <w:trPr>
          <w:trHeight w:val="388"/>
        </w:trPr>
        <w:tc>
          <w:tcPr>
            <w:tcW w:w="2144" w:type="dxa"/>
            <w:vAlign w:val="center"/>
          </w:tcPr>
          <w:p w:rsidR="00D10CBC" w:rsidRDefault="00BC383A">
            <w:pPr>
              <w:spacing w:before="40" w:after="40"/>
              <w:rPr>
                <w:noProof/>
                <w:sz w:val="18"/>
              </w:rPr>
            </w:pPr>
            <w:r>
              <w:rPr>
                <w:noProof/>
                <w:sz w:val="18"/>
              </w:rPr>
              <w:t>Article ………….</w:t>
            </w:r>
          </w:p>
        </w:tc>
        <w:tc>
          <w:tcPr>
            <w:tcW w:w="1325" w:type="dxa"/>
          </w:tcPr>
          <w:p w:rsidR="00D10CBC" w:rsidRDefault="00D10CBC">
            <w:pPr>
              <w:spacing w:beforeLines="40" w:before="96" w:afterLines="40" w:after="96"/>
              <w:jc w:val="center"/>
              <w:rPr>
                <w:i/>
                <w:noProof/>
                <w:sz w:val="18"/>
              </w:rPr>
            </w:pPr>
          </w:p>
        </w:tc>
        <w:tc>
          <w:tcPr>
            <w:tcW w:w="1031" w:type="dxa"/>
          </w:tcPr>
          <w:p w:rsidR="00D10CBC" w:rsidRDefault="00D10CBC">
            <w:pPr>
              <w:spacing w:beforeLines="40" w:before="96" w:afterLines="40" w:after="96"/>
              <w:jc w:val="center"/>
              <w:rPr>
                <w:noProof/>
                <w:sz w:val="18"/>
              </w:rPr>
            </w:pPr>
          </w:p>
        </w:tc>
        <w:tc>
          <w:tcPr>
            <w:tcW w:w="900" w:type="dxa"/>
          </w:tcPr>
          <w:p w:rsidR="00D10CBC" w:rsidRDefault="00D10CBC">
            <w:pPr>
              <w:spacing w:beforeLines="40" w:before="96" w:afterLines="40" w:after="96"/>
              <w:jc w:val="center"/>
              <w:rPr>
                <w:noProof/>
                <w:sz w:val="18"/>
              </w:rPr>
            </w:pPr>
          </w:p>
        </w:tc>
        <w:tc>
          <w:tcPr>
            <w:tcW w:w="900" w:type="dxa"/>
          </w:tcPr>
          <w:p w:rsidR="00D10CBC" w:rsidRDefault="00D10CBC">
            <w:pPr>
              <w:spacing w:beforeLines="40" w:before="96" w:afterLines="40" w:after="96"/>
              <w:jc w:val="center"/>
              <w:rPr>
                <w:noProof/>
                <w:sz w:val="18"/>
              </w:rPr>
            </w:pPr>
          </w:p>
        </w:tc>
        <w:tc>
          <w:tcPr>
            <w:tcW w:w="1080" w:type="dxa"/>
          </w:tcPr>
          <w:p w:rsidR="00D10CBC" w:rsidRDefault="00D10CBC">
            <w:pPr>
              <w:spacing w:beforeLines="40" w:before="96" w:afterLines="40" w:after="96"/>
              <w:jc w:val="center"/>
              <w:rPr>
                <w:noProof/>
                <w:sz w:val="18"/>
              </w:rPr>
            </w:pPr>
          </w:p>
        </w:tc>
        <w:tc>
          <w:tcPr>
            <w:tcW w:w="1080" w:type="dxa"/>
          </w:tcPr>
          <w:p w:rsidR="00D10CBC" w:rsidRDefault="00D10CBC">
            <w:pPr>
              <w:spacing w:beforeLines="40" w:before="96" w:afterLines="40" w:after="96"/>
              <w:jc w:val="center"/>
              <w:rPr>
                <w:noProof/>
                <w:sz w:val="18"/>
              </w:rPr>
            </w:pPr>
          </w:p>
        </w:tc>
        <w:tc>
          <w:tcPr>
            <w:tcW w:w="1080" w:type="dxa"/>
          </w:tcPr>
          <w:p w:rsidR="00D10CBC" w:rsidRDefault="00D10CBC">
            <w:pPr>
              <w:spacing w:beforeLines="40" w:before="96" w:afterLines="40" w:after="96"/>
              <w:jc w:val="center"/>
              <w:rPr>
                <w:noProof/>
                <w:sz w:val="18"/>
              </w:rPr>
            </w:pPr>
          </w:p>
        </w:tc>
        <w:tc>
          <w:tcPr>
            <w:tcW w:w="1080" w:type="dxa"/>
          </w:tcPr>
          <w:p w:rsidR="00D10CBC" w:rsidRDefault="00D10CBC">
            <w:pPr>
              <w:spacing w:beforeLines="40" w:before="96" w:afterLines="40" w:after="96"/>
              <w:jc w:val="center"/>
              <w:rPr>
                <w:noProof/>
                <w:sz w:val="18"/>
              </w:rPr>
            </w:pPr>
          </w:p>
        </w:tc>
      </w:tr>
    </w:tbl>
    <w:p w:rsidR="00D10CBC" w:rsidRDefault="00BC383A">
      <w:pPr>
        <w:pStyle w:val="Text1"/>
        <w:rPr>
          <w:noProof/>
          <w:sz w:val="20"/>
        </w:rPr>
      </w:pPr>
      <w:r>
        <w:rPr>
          <w:noProof/>
          <w:sz w:val="20"/>
        </w:rPr>
        <w:t>For assigned revenue, specify the budget expenditure line(s) affected.</w:t>
      </w:r>
    </w:p>
    <w:p w:rsidR="00D10CBC" w:rsidRDefault="00D10CBC">
      <w:pPr>
        <w:pStyle w:val="Text1"/>
        <w:pBdr>
          <w:top w:val="single" w:sz="4" w:space="1" w:color="auto"/>
          <w:left w:val="single" w:sz="4" w:space="4" w:color="auto"/>
          <w:bottom w:val="single" w:sz="4" w:space="1" w:color="auto"/>
          <w:right w:val="single" w:sz="4" w:space="4" w:color="auto"/>
        </w:pBdr>
        <w:rPr>
          <w:noProof/>
        </w:rPr>
      </w:pPr>
    </w:p>
    <w:p w:rsidR="00D10CBC" w:rsidRDefault="00BC383A">
      <w:pPr>
        <w:pStyle w:val="Text1"/>
        <w:rPr>
          <w:noProof/>
          <w:sz w:val="20"/>
        </w:rPr>
      </w:pPr>
      <w:r>
        <w:rPr>
          <w:noProof/>
          <w:sz w:val="20"/>
        </w:rPr>
        <w:t xml:space="preserve">Other remarks (e.g. method/formula used for calculating the impact on revenue or any other </w:t>
      </w:r>
      <w:r>
        <w:rPr>
          <w:noProof/>
          <w:sz w:val="20"/>
        </w:rPr>
        <w:t>information).</w:t>
      </w:r>
    </w:p>
    <w:p w:rsidR="00D10CBC" w:rsidRDefault="00D10CBC">
      <w:pPr>
        <w:pStyle w:val="Text1"/>
        <w:pBdr>
          <w:top w:val="single" w:sz="4" w:space="1" w:color="auto"/>
          <w:left w:val="single" w:sz="4" w:space="4" w:color="auto"/>
          <w:bottom w:val="single" w:sz="4" w:space="1" w:color="auto"/>
          <w:right w:val="single" w:sz="4" w:space="4" w:color="auto"/>
        </w:pBdr>
        <w:rPr>
          <w:noProof/>
        </w:rPr>
      </w:pPr>
    </w:p>
    <w:sectPr w:rsidR="00D10CBC" w:rsidSect="00BC383A">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CBC" w:rsidRDefault="00BC383A">
      <w:pPr>
        <w:spacing w:before="0" w:after="0"/>
      </w:pPr>
      <w:r>
        <w:separator/>
      </w:r>
    </w:p>
  </w:endnote>
  <w:endnote w:type="continuationSeparator" w:id="0">
    <w:p w:rsidR="00D10CBC" w:rsidRDefault="00BC383A">
      <w:pPr>
        <w:spacing w:before="0" w:after="0"/>
      </w:pPr>
      <w:r>
        <w:continuationSeparator/>
      </w:r>
    </w:p>
  </w:endnote>
  <w:endnote w:type="continuationNotice" w:id="1">
    <w:p w:rsidR="00D10CBC" w:rsidRDefault="00D10C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BC" w:rsidRPr="00BC383A" w:rsidRDefault="00BC383A" w:rsidP="00BC383A">
    <w:pPr>
      <w:pStyle w:val="Footer"/>
      <w:rPr>
        <w:rFonts w:ascii="Arial" w:hAnsi="Arial" w:cs="Arial"/>
        <w:b/>
        <w:sz w:val="48"/>
      </w:rPr>
    </w:pPr>
    <w:r w:rsidRPr="00BC383A">
      <w:rPr>
        <w:rFonts w:ascii="Arial" w:hAnsi="Arial" w:cs="Arial"/>
        <w:b/>
        <w:sz w:val="48"/>
      </w:rPr>
      <w:t>EN</w:t>
    </w:r>
    <w:r w:rsidRPr="00BC383A">
      <w:rPr>
        <w:rFonts w:ascii="Arial" w:hAnsi="Arial" w:cs="Arial"/>
        <w:b/>
        <w:sz w:val="48"/>
      </w:rPr>
      <w:tab/>
    </w:r>
    <w:r w:rsidRPr="00BC383A">
      <w:rPr>
        <w:rFonts w:ascii="Arial" w:hAnsi="Arial" w:cs="Arial"/>
        <w:b/>
        <w:sz w:val="48"/>
      </w:rPr>
      <w:tab/>
    </w:r>
    <w:r w:rsidRPr="00BC383A">
      <w:tab/>
    </w:r>
    <w:r w:rsidRPr="00BC383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
      <w:rPr>
        <w:rFonts w:ascii="Arial" w:hAnsi="Arial" w:cs="Arial"/>
        <w:b/>
        <w:sz w:val="48"/>
      </w:rPr>
    </w:pPr>
    <w:r w:rsidRPr="00BC383A">
      <w:rPr>
        <w:rFonts w:ascii="Arial" w:hAnsi="Arial" w:cs="Arial"/>
        <w:b/>
        <w:sz w:val="48"/>
      </w:rPr>
      <w:t>EN</w:t>
    </w:r>
    <w:r w:rsidRPr="00BC383A">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rsidRPr="00BC383A">
      <w:tab/>
    </w:r>
    <w:r w:rsidRPr="00BC383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Landscape"/>
      <w:rPr>
        <w:rFonts w:ascii="Arial" w:hAnsi="Arial" w:cs="Arial"/>
        <w:b/>
        <w:sz w:val="48"/>
      </w:rPr>
    </w:pPr>
    <w:r w:rsidRPr="00BC383A">
      <w:rPr>
        <w:rFonts w:ascii="Arial" w:hAnsi="Arial" w:cs="Arial"/>
        <w:b/>
        <w:sz w:val="48"/>
      </w:rPr>
      <w:t>EN</w:t>
    </w:r>
    <w:r w:rsidRPr="00BC383A">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rsidRPr="00BC383A">
      <w:tab/>
    </w:r>
    <w:r w:rsidRPr="00BC383A">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Landscap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BC" w:rsidRPr="00BC383A" w:rsidRDefault="00BC383A" w:rsidP="00BC383A">
    <w:pPr>
      <w:pStyle w:val="Footer"/>
      <w:rPr>
        <w:rFonts w:ascii="Arial" w:hAnsi="Arial" w:cs="Arial"/>
        <w:b/>
        <w:sz w:val="48"/>
      </w:rPr>
    </w:pPr>
    <w:r w:rsidRPr="00BC383A">
      <w:rPr>
        <w:rFonts w:ascii="Arial" w:hAnsi="Arial" w:cs="Arial"/>
        <w:b/>
        <w:sz w:val="48"/>
      </w:rPr>
      <w:t>EN</w:t>
    </w:r>
    <w:r w:rsidRPr="00BC383A">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rsidRPr="00BC383A">
      <w:tab/>
    </w:r>
    <w:r w:rsidRPr="00BC383A">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CBC" w:rsidRDefault="00BC383A">
      <w:pPr>
        <w:spacing w:before="0" w:after="0"/>
      </w:pPr>
      <w:r>
        <w:separator/>
      </w:r>
    </w:p>
  </w:footnote>
  <w:footnote w:type="continuationSeparator" w:id="0">
    <w:p w:rsidR="00D10CBC" w:rsidRDefault="00BC383A">
      <w:pPr>
        <w:spacing w:before="0" w:after="0"/>
      </w:pPr>
      <w:r>
        <w:continuationSeparator/>
      </w:r>
    </w:p>
  </w:footnote>
  <w:footnote w:type="continuationNotice" w:id="1">
    <w:p w:rsidR="00D10CBC" w:rsidRDefault="00D10CBC">
      <w:pPr>
        <w:spacing w:before="0" w:after="0"/>
      </w:pPr>
    </w:p>
  </w:footnote>
  <w:footnote w:id="2">
    <w:p w:rsidR="00D10CBC" w:rsidRDefault="00BC383A">
      <w:pPr>
        <w:pStyle w:val="FootnoteText"/>
      </w:pPr>
      <w:r>
        <w:rPr>
          <w:rStyle w:val="FootnoteReference"/>
        </w:rPr>
        <w:footnoteRef/>
      </w:r>
      <w:r>
        <w:tab/>
        <w:t xml:space="preserve">COM(2021)380 </w:t>
      </w:r>
    </w:p>
  </w:footnote>
  <w:footnote w:id="3">
    <w:p w:rsidR="00D10CBC" w:rsidRDefault="00BC383A">
      <w:pPr>
        <w:pStyle w:val="FootnoteText"/>
      </w:pPr>
      <w:r>
        <w:rPr>
          <w:rStyle w:val="FootnoteReference"/>
        </w:rPr>
        <w:footnoteRef/>
      </w:r>
      <w:r>
        <w:tab/>
        <w:t xml:space="preserve">These are </w:t>
      </w:r>
      <w:r>
        <w:rPr>
          <w:szCs w:val="24"/>
        </w:rPr>
        <w:t xml:space="preserve">medicinal products for human use as defined in Directive 2001/83/EC and medical devices as defined in Regulation (EU) 2017/745 or other goods or services for the purpose of preparedness and response to a </w:t>
      </w:r>
      <w:r>
        <w:rPr>
          <w:szCs w:val="24"/>
        </w:rPr>
        <w:t>serious cross-border threat to health.</w:t>
      </w:r>
    </w:p>
  </w:footnote>
  <w:footnote w:id="4">
    <w:p w:rsidR="00D10CBC" w:rsidRDefault="00BC383A">
      <w:pPr>
        <w:pStyle w:val="FootnoteText"/>
        <w:rPr>
          <w:lang w:val="en-IE"/>
        </w:rPr>
      </w:pPr>
      <w:r>
        <w:rPr>
          <w:rStyle w:val="FootnoteReference"/>
        </w:rPr>
        <w:footnoteRef/>
      </w:r>
      <w:r>
        <w:tab/>
        <w:t>Proposal for a Regulation of the European Parliament and of the Council on serious cross-border threats to health and repealing Decision No 1082/2013/EU (COM(2020) 727 final).</w:t>
      </w:r>
    </w:p>
  </w:footnote>
  <w:footnote w:id="5">
    <w:p w:rsidR="00D10CBC" w:rsidRDefault="00BC383A">
      <w:pPr>
        <w:pStyle w:val="FootnoteText"/>
      </w:pPr>
      <w:r>
        <w:rPr>
          <w:rStyle w:val="FootnoteReference"/>
        </w:rPr>
        <w:footnoteRef/>
      </w:r>
      <w:r>
        <w:tab/>
        <w:t>Proposal for a Regulation of the Euro</w:t>
      </w:r>
      <w:r>
        <w:t>pean Parliament and of the Council amending Regulation (EC) No 851/2004 establishing a European Centre for disease prevention and control (COM/2020/726 final).</w:t>
      </w:r>
    </w:p>
  </w:footnote>
  <w:footnote w:id="6">
    <w:p w:rsidR="00D10CBC" w:rsidRDefault="00BC383A">
      <w:pPr>
        <w:pStyle w:val="FootnoteText"/>
        <w:rPr>
          <w:lang w:val="en-IE"/>
        </w:rPr>
      </w:pPr>
      <w:r>
        <w:rPr>
          <w:rStyle w:val="FootnoteReference"/>
        </w:rPr>
        <w:footnoteRef/>
      </w:r>
      <w:r>
        <w:tab/>
        <w:t>Proposal for a Regulation of the European Parliament and of the Council on a reinforced role f</w:t>
      </w:r>
      <w:r>
        <w:t>or the European Medicines Agency in crisis preparedness and management for medicinal products and medical devices (COM/2020/725 final).</w:t>
      </w:r>
    </w:p>
  </w:footnote>
  <w:footnote w:id="7">
    <w:p w:rsidR="00D10CBC" w:rsidRDefault="00BC383A">
      <w:pPr>
        <w:pStyle w:val="FootnoteText"/>
        <w:rPr>
          <w:lang w:val="en-IE"/>
        </w:rPr>
      </w:pPr>
      <w:r>
        <w:rPr>
          <w:rStyle w:val="FootnoteReference"/>
        </w:rPr>
        <w:footnoteRef/>
      </w:r>
      <w:r>
        <w:tab/>
      </w:r>
      <w:r>
        <w:rPr>
          <w:lang w:val="en-IE"/>
        </w:rPr>
        <w:t>COM/2020/725 final.</w:t>
      </w:r>
    </w:p>
  </w:footnote>
  <w:footnote w:id="8">
    <w:p w:rsidR="00D10CBC" w:rsidRDefault="00BC383A">
      <w:pPr>
        <w:pStyle w:val="FootnoteText"/>
      </w:pPr>
      <w:r>
        <w:rPr>
          <w:rStyle w:val="FootnoteReference"/>
        </w:rPr>
        <w:footnoteRef/>
      </w:r>
      <w:r>
        <w:tab/>
        <w:t>OJ L 107, 26.3.2021, p. 1.</w:t>
      </w:r>
    </w:p>
  </w:footnote>
  <w:footnote w:id="9">
    <w:p w:rsidR="00D10CBC" w:rsidRDefault="00BC383A">
      <w:pPr>
        <w:pStyle w:val="FootnoteText"/>
        <w:rPr>
          <w:lang w:val="nl-NL"/>
        </w:rPr>
      </w:pPr>
      <w:r>
        <w:rPr>
          <w:rStyle w:val="FootnoteReference"/>
        </w:rPr>
        <w:footnoteRef/>
      </w:r>
      <w:r>
        <w:rPr>
          <w:lang w:val="nl-NL"/>
        </w:rPr>
        <w:tab/>
        <w:t>OJ L 347, 20.12.2013, p. 924.</w:t>
      </w:r>
    </w:p>
  </w:footnote>
  <w:footnote w:id="10">
    <w:p w:rsidR="00D10CBC" w:rsidRDefault="00BC383A">
      <w:pPr>
        <w:pStyle w:val="FootnoteText"/>
        <w:rPr>
          <w:lang w:val="nl-NL"/>
        </w:rPr>
      </w:pPr>
      <w:r>
        <w:rPr>
          <w:rStyle w:val="FootnoteReference"/>
        </w:rPr>
        <w:footnoteRef/>
      </w:r>
      <w:r>
        <w:rPr>
          <w:lang w:val="nl-NL"/>
        </w:rPr>
        <w:tab/>
        <w:t>OJ L 70, 16.3.2016, p. 1.</w:t>
      </w:r>
    </w:p>
  </w:footnote>
  <w:footnote w:id="11">
    <w:p w:rsidR="00D10CBC" w:rsidRDefault="00BC383A">
      <w:pPr>
        <w:pStyle w:val="FootnoteText"/>
        <w:rPr>
          <w:lang w:val="nl-NL"/>
        </w:rPr>
      </w:pPr>
      <w:r>
        <w:rPr>
          <w:rStyle w:val="FootnoteReference"/>
        </w:rPr>
        <w:footnoteRef/>
      </w:r>
      <w:r>
        <w:rPr>
          <w:lang w:val="nl-NL"/>
        </w:rPr>
        <w:tab/>
        <w:t>COM(202</w:t>
      </w:r>
      <w:r>
        <w:rPr>
          <w:lang w:val="nl-NL"/>
        </w:rPr>
        <w:t>0) 761</w:t>
      </w:r>
    </w:p>
  </w:footnote>
  <w:footnote w:id="12">
    <w:p w:rsidR="00D10CBC" w:rsidRDefault="00BC383A">
      <w:pPr>
        <w:pStyle w:val="FootnoteText"/>
        <w:rPr>
          <w:lang w:val="en-IE"/>
        </w:rPr>
      </w:pPr>
      <w:r>
        <w:rPr>
          <w:rStyle w:val="FootnoteReference"/>
        </w:rPr>
        <w:footnoteRef/>
      </w:r>
      <w:r>
        <w:tab/>
        <w:t>COM(2019) 640 final.</w:t>
      </w:r>
    </w:p>
  </w:footnote>
  <w:footnote w:id="13">
    <w:p w:rsidR="00D10CBC" w:rsidRDefault="00BC383A">
      <w:pPr>
        <w:pStyle w:val="FootnoteText"/>
      </w:pPr>
      <w:r>
        <w:rPr>
          <w:rStyle w:val="FootnoteReference"/>
        </w:rPr>
        <w:footnoteRef/>
      </w:r>
      <w:r>
        <w:tab/>
        <w:t xml:space="preserve">COM(2021) 323 final, EU strategic framework on health and safety at work 2021-2027.  </w:t>
      </w:r>
    </w:p>
    <w:p w:rsidR="00D10CBC" w:rsidRDefault="00BC383A">
      <w:pPr>
        <w:pStyle w:val="FootnoteText"/>
        <w:ind w:firstLine="0"/>
        <w:rPr>
          <w:lang w:val="en-IE"/>
        </w:rPr>
      </w:pPr>
      <w:r>
        <w:t>Occupational safety and health in a changing world of work.</w:t>
      </w:r>
    </w:p>
  </w:footnote>
  <w:footnote w:id="14">
    <w:p w:rsidR="00D10CBC" w:rsidRDefault="00BC383A">
      <w:pPr>
        <w:pStyle w:val="FootnoteText"/>
        <w:rPr>
          <w:lang w:val="en-IE"/>
        </w:rPr>
      </w:pPr>
      <w:r>
        <w:rPr>
          <w:rStyle w:val="FootnoteReference"/>
        </w:rPr>
        <w:footnoteRef/>
      </w:r>
      <w:r>
        <w:tab/>
      </w:r>
      <w:hyperlink r:id="rId1" w:history="1">
        <w:r>
          <w:rPr>
            <w:rStyle w:val="Hyperlink"/>
          </w:rPr>
          <w:t>https://ec.europa.eu/health/sites/health/files/antimicrobial_resistance/docs/amr_2017_action-plan.pdf</w:t>
        </w:r>
      </w:hyperlink>
      <w:r>
        <w:t xml:space="preserve">. </w:t>
      </w:r>
    </w:p>
  </w:footnote>
  <w:footnote w:id="15">
    <w:p w:rsidR="00D10CBC" w:rsidRDefault="00BC383A">
      <w:pPr>
        <w:pStyle w:val="FootnoteText"/>
        <w:rPr>
          <w:lang w:val="en-IE"/>
        </w:rPr>
      </w:pPr>
      <w:r>
        <w:rPr>
          <w:rStyle w:val="FootnoteReference"/>
        </w:rPr>
        <w:footnoteRef/>
      </w:r>
      <w:r>
        <w:tab/>
      </w:r>
      <w:r>
        <w:rPr>
          <w:lang w:val="en-IE"/>
        </w:rPr>
        <w:t>COM(2017) 610 final.</w:t>
      </w:r>
    </w:p>
  </w:footnote>
  <w:footnote w:id="16">
    <w:p w:rsidR="00D10CBC" w:rsidRDefault="00BC383A">
      <w:pPr>
        <w:pStyle w:val="FootnoteText"/>
        <w:rPr>
          <w:lang w:val="en-IE"/>
        </w:rPr>
      </w:pPr>
      <w:r>
        <w:rPr>
          <w:rStyle w:val="FootnoteReference"/>
        </w:rPr>
        <w:footnoteRef/>
      </w:r>
      <w:r>
        <w:tab/>
        <w:t>Factual summary report on the public consultation on the European Health Emergency Pr</w:t>
      </w:r>
      <w:r>
        <w:t xml:space="preserve">eparedness and Response Authority (HERA): </w:t>
      </w:r>
      <w:hyperlink r:id="rId2" w:history="1">
        <w:r>
          <w:rPr>
            <w:rStyle w:val="Hyperlink"/>
          </w:rPr>
          <w:t>https://ec.europa.eu/info/l</w:t>
        </w:r>
        <w:r>
          <w:rPr>
            <w:rStyle w:val="Hyperlink"/>
          </w:rPr>
          <w:t>aw/better-regulation/have-your-say/initiatives/12870-European-Health-Emergency-Preparedness-and-Response-Authority-HERA-/public-consultation_en</w:t>
        </w:r>
      </w:hyperlink>
      <w:r>
        <w:t xml:space="preserve">. </w:t>
      </w:r>
    </w:p>
  </w:footnote>
  <w:footnote w:id="17">
    <w:p w:rsidR="00D10CBC" w:rsidRDefault="00BC383A">
      <w:pPr>
        <w:pStyle w:val="FootnoteText"/>
        <w:rPr>
          <w:lang w:val="en-IE"/>
        </w:rPr>
      </w:pPr>
      <w:r>
        <w:rPr>
          <w:rStyle w:val="FootnoteReference"/>
        </w:rPr>
        <w:footnoteRef/>
      </w:r>
      <w:r>
        <w:tab/>
      </w:r>
      <w:r>
        <w:rPr>
          <w:shd w:val="clear" w:color="auto" w:fill="FFFFFF"/>
        </w:rPr>
        <w:t>Regulation (EU) 2017/745 of the European Parliament and of the Council of 5 April 2017 on medical devices, a</w:t>
      </w:r>
      <w:r>
        <w:rPr>
          <w:shd w:val="clear" w:color="auto" w:fill="FFFFFF"/>
        </w:rPr>
        <w:t xml:space="preserve">mending Directive 2001/83/EC, Regulation (EC) No 178/2002 and Regulation (EC) No 1223/2009 and repealing Council Directives 90/385/EEC and 93/42/EEC </w:t>
      </w:r>
      <w:r>
        <w:t>(OJ L 295, 21.11.2018, p. 39).</w:t>
      </w:r>
    </w:p>
  </w:footnote>
  <w:footnote w:id="18">
    <w:p w:rsidR="00D10CBC" w:rsidRDefault="00BC383A">
      <w:pPr>
        <w:pStyle w:val="FootnoteText"/>
        <w:rPr>
          <w:lang w:val="en-IE"/>
        </w:rPr>
      </w:pPr>
      <w:r>
        <w:rPr>
          <w:rStyle w:val="FootnoteReference"/>
        </w:rPr>
        <w:footnoteRef/>
      </w:r>
      <w:r>
        <w:tab/>
      </w:r>
      <w:r>
        <w:rPr>
          <w:sz w:val="21"/>
          <w:szCs w:val="21"/>
          <w:shd w:val="clear" w:color="auto" w:fill="FFFFFF"/>
        </w:rPr>
        <w:t xml:space="preserve">Regulation (EU) 2017/746 of the European Parliament and of the Council of </w:t>
      </w:r>
      <w:r>
        <w:rPr>
          <w:sz w:val="21"/>
          <w:szCs w:val="21"/>
          <w:shd w:val="clear" w:color="auto" w:fill="FFFFFF"/>
        </w:rPr>
        <w:t xml:space="preserve">5 April 2017 on </w:t>
      </w:r>
      <w:r>
        <w:rPr>
          <w:i/>
          <w:sz w:val="21"/>
          <w:szCs w:val="21"/>
          <w:shd w:val="clear" w:color="auto" w:fill="FFFFFF"/>
        </w:rPr>
        <w:t>in vitro</w:t>
      </w:r>
      <w:r>
        <w:rPr>
          <w:sz w:val="21"/>
          <w:szCs w:val="21"/>
          <w:shd w:val="clear" w:color="auto" w:fill="FFFFFF"/>
        </w:rPr>
        <w:t xml:space="preserve"> diagnostic medical devices and repealing Directive 98/79/EC and Commission Decision 2010/227/EU </w:t>
      </w:r>
      <w:r>
        <w:rPr>
          <w:lang w:val="en-IE"/>
        </w:rPr>
        <w:t>(OJ L 119, 4.5.2016, p. 1).</w:t>
      </w:r>
    </w:p>
  </w:footnote>
  <w:footnote w:id="19">
    <w:p w:rsidR="00D10CBC" w:rsidRDefault="00BC383A">
      <w:pPr>
        <w:pStyle w:val="FootnoteText"/>
        <w:rPr>
          <w:lang w:val="en-IE"/>
        </w:rPr>
      </w:pPr>
      <w:r>
        <w:rPr>
          <w:rStyle w:val="FootnoteReference"/>
        </w:rPr>
        <w:footnoteRef/>
      </w:r>
      <w:r>
        <w:rPr>
          <w:lang w:val="en-IE"/>
        </w:rPr>
        <w:tab/>
        <w:t>https://op.europa.eu/en/publication-detail/-/publication/a1016d77-2562-11eb-9d7e-01aa75ed71a1</w:t>
      </w:r>
    </w:p>
  </w:footnote>
  <w:footnote w:id="20">
    <w:p w:rsidR="00D10CBC" w:rsidRDefault="00BC383A">
      <w:pPr>
        <w:pStyle w:val="FootnoteText"/>
      </w:pPr>
      <w:r>
        <w:rPr>
          <w:rStyle w:val="FootnoteReference"/>
        </w:rPr>
        <w:footnoteRef/>
      </w:r>
      <w:r>
        <w:tab/>
      </w:r>
      <w:r>
        <w:rPr>
          <w:shd w:val="clear" w:color="auto" w:fill="FFFFFF"/>
        </w:rPr>
        <w:t xml:space="preserve">Regulation (EU) 2018/1725 of the European Parliament and of the Council of 23 October 2018 on the protection of natural persons with regard to the processing of personal data by the Union institutions, bodies, offices and agencies and on the free movement </w:t>
      </w:r>
      <w:r>
        <w:rPr>
          <w:shd w:val="clear" w:color="auto" w:fill="FFFFFF"/>
        </w:rPr>
        <w:t>of such data, and repealing Regulation (EC) No 45/2001 and Decision No 1247/2002/EC (OJ L 295, 21.11.2018, p. 39).</w:t>
      </w:r>
    </w:p>
  </w:footnote>
  <w:footnote w:id="21">
    <w:p w:rsidR="00D10CBC" w:rsidRDefault="00BC383A">
      <w:pPr>
        <w:pStyle w:val="FootnoteText"/>
      </w:pPr>
      <w:r>
        <w:rPr>
          <w:rStyle w:val="FootnoteReference"/>
        </w:rPr>
        <w:footnoteRef/>
      </w:r>
      <w:r>
        <w:tab/>
        <w:t xml:space="preserve">Regulation (EU) 2016/769 of the European Parliament and of the Council of 27 April 2016 on the protection </w:t>
      </w:r>
      <w:r>
        <w:rPr>
          <w:shd w:val="clear" w:color="auto" w:fill="FFFFFF"/>
        </w:rPr>
        <w:t>of natural persons with regard to</w:t>
      </w:r>
      <w:r>
        <w:rPr>
          <w:shd w:val="clear" w:color="auto" w:fill="FFFFFF"/>
        </w:rPr>
        <w:t xml:space="preserve"> the processing of personal data and on the free movement of such data, and repealing Directive 95/46/EC (OJ L 119, 4.5.2016, p. 1).</w:t>
      </w:r>
    </w:p>
  </w:footnote>
  <w:footnote w:id="22">
    <w:p w:rsidR="00D10CBC" w:rsidRDefault="00BC383A">
      <w:pPr>
        <w:pStyle w:val="FootnoteText"/>
      </w:pPr>
      <w:r>
        <w:rPr>
          <w:rStyle w:val="FootnoteReference"/>
        </w:rPr>
        <w:footnoteRef/>
      </w:r>
      <w:r>
        <w:tab/>
        <w:t>Council Regulation (EU) 2016/369 of 15 March 2016 on the provision of emergency support within the Union (OJ L 70, 16.3.2</w:t>
      </w:r>
      <w:r>
        <w:t>016, p. 1).</w:t>
      </w:r>
    </w:p>
  </w:footnote>
  <w:footnote w:id="23">
    <w:p w:rsidR="00D10CBC" w:rsidRDefault="00BC383A">
      <w:pPr>
        <w:pStyle w:val="FootnoteText"/>
      </w:pPr>
      <w:r>
        <w:rPr>
          <w:rStyle w:val="FootnoteReference"/>
        </w:rPr>
        <w:footnoteRef/>
      </w:r>
      <w:r>
        <w:tab/>
        <w:t>Regulation (EU, Euratom) 2018/1046 of the European Parliament and of the Council of 18 July 2018 on the financial rules applicable to the general budget of the Union, amending Regulations (EU) No 1296/2013, (EU) No 1301/2013, (EU) No 1303/201</w:t>
      </w:r>
      <w:r>
        <w:t>3, (EU) No 1304/2013, (EU) No 1309/2013, (EU) No 1316/2013, (EU) No 223/2014, (EU) No 283/2014, and Decision No 541/2014/EU and repealing Regulation (EU, Euratom) No 966/2012 PE/13/2018/REV/1 (OJ L 193, 30.7.2018, p. 1.</w:t>
      </w:r>
    </w:p>
  </w:footnote>
  <w:footnote w:id="24">
    <w:p w:rsidR="00D10CBC" w:rsidRDefault="00BC383A">
      <w:pPr>
        <w:pStyle w:val="FootnoteText"/>
        <w:rPr>
          <w:lang w:val="en-IE"/>
        </w:rPr>
      </w:pPr>
      <w:r>
        <w:rPr>
          <w:rStyle w:val="FootnoteReference"/>
        </w:rPr>
        <w:footnoteRef/>
      </w:r>
      <w:r>
        <w:tab/>
      </w:r>
      <w:r>
        <w:rPr>
          <w:color w:val="1F497D"/>
        </w:rPr>
        <w:t>Regulation (EU) No …/… of the Euro</w:t>
      </w:r>
      <w:r>
        <w:rPr>
          <w:color w:val="1F497D"/>
        </w:rPr>
        <w:t>pean Parliament and of the Council of … on a reinforced role for the European Medicines Agency in crisis preparedness and management for medicinal products and medical devices [OJ: please insert number, date and publication reference].</w:t>
      </w:r>
    </w:p>
  </w:footnote>
  <w:footnote w:id="25">
    <w:p w:rsidR="00D10CBC" w:rsidRDefault="00BC383A">
      <w:pPr>
        <w:pStyle w:val="FootnoteText"/>
        <w:rPr>
          <w:lang w:val="en-IE"/>
        </w:rPr>
      </w:pPr>
      <w:r>
        <w:rPr>
          <w:rStyle w:val="FootnoteReference"/>
        </w:rPr>
        <w:footnoteRef/>
      </w:r>
      <w:r>
        <w:tab/>
      </w:r>
      <w:r>
        <w:rPr>
          <w:color w:val="1F497D"/>
        </w:rPr>
        <w:t>Regulation (EU) No</w:t>
      </w:r>
      <w:r>
        <w:rPr>
          <w:color w:val="1F497D"/>
        </w:rPr>
        <w:t xml:space="preserve"> …/… of the European Parliament and of the Council of … on serious cross-border threats to health and repealing Decision No 1082/2013/EU [OJ: please insert number, date and publication reference].</w:t>
      </w:r>
    </w:p>
  </w:footnote>
  <w:footnote w:id="26">
    <w:p w:rsidR="00D10CBC" w:rsidRDefault="00BC383A">
      <w:pPr>
        <w:pStyle w:val="FootnoteText"/>
        <w:rPr>
          <w:lang w:val="en-IE"/>
        </w:rPr>
      </w:pPr>
      <w:r>
        <w:rPr>
          <w:rStyle w:val="FootnoteReference"/>
        </w:rPr>
        <w:footnoteRef/>
      </w:r>
      <w:r>
        <w:tab/>
      </w:r>
      <w:r>
        <w:rPr>
          <w:color w:val="1F497D"/>
        </w:rPr>
        <w:t xml:space="preserve">Regulation (EU) No …/… of the European Parliament and of </w:t>
      </w:r>
      <w:r>
        <w:rPr>
          <w:color w:val="1F497D"/>
        </w:rPr>
        <w:t xml:space="preserve">the Council of … </w:t>
      </w:r>
      <w:r>
        <w:rPr>
          <w:color w:val="444444"/>
          <w:sz w:val="21"/>
          <w:szCs w:val="21"/>
          <w:lang w:val="en-IE"/>
        </w:rPr>
        <w:t>amending Regulation (EC) No 851/2004 establishing a European Centre for disease prevention and control</w:t>
      </w:r>
      <w:r>
        <w:rPr>
          <w:color w:val="1F497D"/>
        </w:rPr>
        <w:t xml:space="preserve"> [OJ: please insert number, date and publication reference].</w:t>
      </w:r>
    </w:p>
  </w:footnote>
  <w:footnote w:id="27">
    <w:p w:rsidR="00D10CBC" w:rsidRDefault="00BC383A">
      <w:pPr>
        <w:pStyle w:val="FootnoteText"/>
        <w:rPr>
          <w:color w:val="444444"/>
        </w:rPr>
      </w:pPr>
      <w:r>
        <w:rPr>
          <w:rStyle w:val="FootnoteReference"/>
        </w:rPr>
        <w:footnoteRef/>
      </w:r>
      <w:r>
        <w:tab/>
      </w:r>
      <w:r>
        <w:rPr>
          <w:color w:val="444444"/>
        </w:rPr>
        <w:t>Regulation (EU, Euratom) 2018/1046 of the European Parliament and of the C</w:t>
      </w:r>
      <w:r>
        <w:rPr>
          <w:color w:val="444444"/>
        </w:rPr>
        <w:t>ouncil of 18 July 2018 on the financial rules applicable to the general budget of the Union, amending Regulations (EU) No 1296/2013, (EU) No 1301/2013, (EU) No 1303/2013, (EU) No 1304/2013, (EU) No 1309/2013, (EU) No 1316/2013, (EU) No 223/2014, (EU) No 28</w:t>
      </w:r>
      <w:r>
        <w:rPr>
          <w:color w:val="444444"/>
        </w:rPr>
        <w:t xml:space="preserve">3/2014, and Decision No 541/2014/EU and repealing Regulation (EU, Euratom) No 966/2012 PE/13/2018/REV/1 </w:t>
      </w:r>
      <w:r>
        <w:rPr>
          <w:rStyle w:val="Emphasis"/>
          <w:i w:val="0"/>
          <w:color w:val="444444"/>
        </w:rPr>
        <w:t>(OJ L 193, 30.7.2018, p. 1</w:t>
      </w:r>
      <w:r>
        <w:rPr>
          <w:rStyle w:val="Emphasis"/>
          <w:color w:val="444444"/>
        </w:rPr>
        <w:t>)</w:t>
      </w:r>
      <w:r>
        <w:rPr>
          <w:rStyle w:val="Emphasis"/>
          <w:i w:val="0"/>
          <w:color w:val="444444"/>
        </w:rPr>
        <w:t>.</w:t>
      </w:r>
    </w:p>
  </w:footnote>
  <w:footnote w:id="28">
    <w:p w:rsidR="00D10CBC" w:rsidRDefault="00BC383A">
      <w:pPr>
        <w:pStyle w:val="FootnoteText"/>
        <w:rPr>
          <w:lang w:val="en-IE"/>
        </w:rPr>
      </w:pPr>
      <w:r>
        <w:rPr>
          <w:rStyle w:val="FootnoteReference"/>
        </w:rPr>
        <w:footnoteRef/>
      </w:r>
      <w:r>
        <w:tab/>
        <w:t>Council Regulation (EU) 2016/369 of 15 March 2016 on the provision of emergency support within the Union (OJ L 70, 16.3.2</w:t>
      </w:r>
      <w:r>
        <w:t>016, p. 1).</w:t>
      </w:r>
    </w:p>
  </w:footnote>
  <w:footnote w:id="29">
    <w:p w:rsidR="00D10CBC" w:rsidRDefault="00BC383A">
      <w:pPr>
        <w:pStyle w:val="NormalWeb"/>
        <w:shd w:val="clear" w:color="auto" w:fill="FFFFFF"/>
        <w:spacing w:before="0" w:beforeAutospacing="0" w:after="0" w:afterAutospacing="0"/>
        <w:rPr>
          <w:color w:val="444444"/>
          <w:sz w:val="20"/>
          <w:szCs w:val="20"/>
        </w:rPr>
      </w:pPr>
      <w:r>
        <w:rPr>
          <w:rStyle w:val="FootnoteReference"/>
        </w:rPr>
        <w:footnoteRef/>
      </w:r>
      <w:r>
        <w:rPr>
          <w:sz w:val="20"/>
          <w:szCs w:val="20"/>
        </w:rPr>
        <w:tab/>
      </w:r>
      <w:r>
        <w:rPr>
          <w:color w:val="444444"/>
          <w:sz w:val="20"/>
          <w:szCs w:val="20"/>
        </w:rPr>
        <w:t>COM/2021/78 final.</w:t>
      </w:r>
    </w:p>
  </w:footnote>
  <w:footnote w:id="30">
    <w:p w:rsidR="00D10CBC" w:rsidRDefault="00BC383A">
      <w:pPr>
        <w:pStyle w:val="FootnoteText"/>
        <w:rPr>
          <w:lang w:val="en-IE"/>
        </w:rPr>
      </w:pPr>
      <w:r>
        <w:rPr>
          <w:rStyle w:val="FootnoteReference"/>
        </w:rPr>
        <w:footnoteRef/>
      </w:r>
      <w:r>
        <w:tab/>
        <w:t>Council Regulation (EU) 2016/369 of 15 March 2016 on the provision of emergency support within the Union (OJ L 70, 16.3.2016, p. 1).</w:t>
      </w:r>
    </w:p>
  </w:footnote>
  <w:footnote w:id="31">
    <w:p w:rsidR="00D10CBC" w:rsidRDefault="00BC383A">
      <w:pPr>
        <w:pStyle w:val="FootnoteText"/>
      </w:pPr>
      <w:r>
        <w:rPr>
          <w:rStyle w:val="FootnoteReference"/>
        </w:rPr>
        <w:footnoteRef/>
      </w:r>
      <w:r>
        <w:tab/>
      </w:r>
      <w:r>
        <w:t xml:space="preserve">Decision No 1313/2013/EU of the European Parliament and of the Council of 17 December 2013 on a Union Civil Protection Mechanism </w:t>
      </w:r>
      <w:r>
        <w:rPr>
          <w:rStyle w:val="Emphasis"/>
          <w:i w:val="0"/>
        </w:rPr>
        <w:t>(OJ L 347, 20.12.2013, p. 924.</w:t>
      </w:r>
    </w:p>
    <w:p w:rsidR="00D10CBC" w:rsidRDefault="00D10CBC">
      <w:pPr>
        <w:pStyle w:val="FootnoteText"/>
        <w:rPr>
          <w:lang w:val="en-IE"/>
        </w:rPr>
      </w:pPr>
    </w:p>
  </w:footnote>
  <w:footnote w:id="32">
    <w:p w:rsidR="00D10CBC" w:rsidRDefault="00BC383A">
      <w:pPr>
        <w:pStyle w:val="FootnoteText"/>
      </w:pPr>
      <w:r>
        <w:rPr>
          <w:rStyle w:val="FootnoteReference"/>
        </w:rPr>
        <w:footnoteRef/>
      </w:r>
      <w:r>
        <w:tab/>
      </w:r>
      <w:r>
        <w:rPr>
          <w:szCs w:val="24"/>
        </w:rPr>
        <w:t>Council Implementing Decision (EU) 2018/1993 of 11 December 2018 on the EU integrated Politic</w:t>
      </w:r>
      <w:r>
        <w:rPr>
          <w:szCs w:val="24"/>
        </w:rPr>
        <w:t>al Crisis Response Arrangements</w:t>
      </w:r>
      <w:r>
        <w:rPr>
          <w:i/>
          <w:szCs w:val="24"/>
        </w:rPr>
        <w:t xml:space="preserve"> </w:t>
      </w:r>
      <w:r>
        <w:rPr>
          <w:szCs w:val="24"/>
        </w:rPr>
        <w:t>(</w:t>
      </w:r>
      <w:r>
        <w:rPr>
          <w:rStyle w:val="Emphasis"/>
          <w:i w:val="0"/>
        </w:rPr>
        <w:t>OJ L 320, 17.12.2018, p. 28)</w:t>
      </w:r>
      <w:r>
        <w:rPr>
          <w:rStyle w:val="Emphasis"/>
        </w:rPr>
        <w:t>.</w:t>
      </w:r>
    </w:p>
  </w:footnote>
  <w:footnote w:id="33">
    <w:p w:rsidR="00D10CBC" w:rsidRDefault="00BC383A">
      <w:pPr>
        <w:pStyle w:val="FootnoteText"/>
        <w:rPr>
          <w:lang w:val="en-IE"/>
        </w:rPr>
      </w:pPr>
      <w:r>
        <w:rPr>
          <w:rStyle w:val="FootnoteReference"/>
        </w:rPr>
        <w:footnoteRef/>
      </w:r>
      <w:r>
        <w:tab/>
      </w:r>
      <w:r>
        <w:rPr>
          <w:lang w:val="en-IE"/>
        </w:rPr>
        <w:t xml:space="preserve">Regulation (EU, Euratom) 2018/1046 of the European Parliament and of the Council of 18 July 2018 on the financial rules applicable to the general budget of the Union, amending Regulations </w:t>
      </w:r>
      <w:r>
        <w:rPr>
          <w:lang w:val="en-IE"/>
        </w:rPr>
        <w:t>(EU) No 1296/2013, (EU) No 1301/2013, (EU) No 1303/2013, (EU) No 1304/2013, (EU) No 1309/2013, (EU) No 1316/2013, (EU) No 223/2014, (EU) No 283/2014, and Decision No 541/2014/EU and repealing Regulation (EU, Euratom) No 966/2012 (OJ L 193, 30.7.2018, p. 1)</w:t>
      </w:r>
      <w:r>
        <w:rPr>
          <w:lang w:val="en-IE"/>
        </w:rPr>
        <w:t>.</w:t>
      </w:r>
    </w:p>
  </w:footnote>
  <w:footnote w:id="34">
    <w:p w:rsidR="00D10CBC" w:rsidRDefault="00BC383A">
      <w:pPr>
        <w:pStyle w:val="FootnoteText"/>
        <w:rPr>
          <w:szCs w:val="24"/>
        </w:rPr>
      </w:pPr>
      <w:r>
        <w:rPr>
          <w:rStyle w:val="FootnoteReference"/>
        </w:rPr>
        <w:footnoteRef/>
      </w:r>
      <w:r>
        <w:tab/>
        <w:t>As referred to in Article 58(2)(a) or (b) of the Financial Regulation.</w:t>
      </w:r>
    </w:p>
  </w:footnote>
  <w:footnote w:id="35">
    <w:p w:rsidR="00D10CBC" w:rsidRDefault="00BC383A">
      <w:pPr>
        <w:pStyle w:val="FootnoteText"/>
        <w:jc w:val="left"/>
        <w:rPr>
          <w:szCs w:val="24"/>
        </w:rPr>
      </w:pPr>
      <w:r>
        <w:rPr>
          <w:rStyle w:val="FootnoteReference"/>
        </w:rPr>
        <w:footnoteRef/>
      </w:r>
      <w:r>
        <w:tab/>
        <w:t xml:space="preserve">Details of management modes and references to the Financial Regulation may be found on the BudgWeb site: </w:t>
      </w:r>
      <w:hyperlink r:id="rId3" w:history="1">
        <w:r>
          <w:rPr>
            <w:rStyle w:val="Hyperlink"/>
            <w:szCs w:val="24"/>
          </w:rPr>
          <w:t>https://myintracomm.ec.europa.eu/budgweb/EN/man/budgmanag/Pages/budgmanag.aspx</w:t>
        </w:r>
      </w:hyperlink>
      <w:r>
        <w:rPr>
          <w:szCs w:val="24"/>
        </w:rPr>
        <w:t xml:space="preserve"> </w:t>
      </w:r>
    </w:p>
  </w:footnote>
  <w:footnote w:id="36">
    <w:p w:rsidR="00D10CBC" w:rsidRDefault="00BC383A">
      <w:pPr>
        <w:pStyle w:val="FootnoteText"/>
      </w:pPr>
      <w:r>
        <w:rPr>
          <w:rStyle w:val="FootnoteReference"/>
        </w:rPr>
        <w:footnoteRef/>
      </w:r>
      <w:r>
        <w:tab/>
        <w:t>Other budget lines under Horizon Europe programme may also be contributing</w:t>
      </w:r>
    </w:p>
  </w:footnote>
  <w:footnote w:id="37">
    <w:p w:rsidR="00D10CBC" w:rsidRDefault="00BC383A">
      <w:pPr>
        <w:pStyle w:val="FootnoteText"/>
        <w:rPr>
          <w:szCs w:val="24"/>
        </w:rPr>
      </w:pPr>
      <w:r>
        <w:rPr>
          <w:rStyle w:val="FootnoteReference"/>
        </w:rPr>
        <w:footnoteRef/>
      </w:r>
      <w:r>
        <w:tab/>
        <w:t>This amount includes the potential contribution to an executive agency as we</w:t>
      </w:r>
      <w:r>
        <w:t xml:space="preserve">ll as technical and/or administrative assistance and expenditure in support of the implementation of EU programmes and/or actions (former ‘BA’ lines), indirect research, direct research which will be charged on support expenditure lines (in p.m). </w:t>
      </w:r>
    </w:p>
  </w:footnote>
  <w:footnote w:id="38">
    <w:p w:rsidR="00D10CBC" w:rsidRDefault="00BC383A">
      <w:pPr>
        <w:pStyle w:val="FootnoteText"/>
        <w:rPr>
          <w:szCs w:val="24"/>
        </w:rPr>
      </w:pPr>
      <w:r>
        <w:rPr>
          <w:rStyle w:val="FootnoteReference"/>
        </w:rPr>
        <w:footnoteRef/>
      </w:r>
      <w:r>
        <w:tab/>
        <w:t>This a</w:t>
      </w:r>
      <w:r>
        <w:t xml:space="preserve">mount includes the potential contribution to an executive agency as well as technical and/or administrative assistance and expenditure in support of the implementation of EU programmes and/or actions (former ‘BA’ lines), indirect research, direct research </w:t>
      </w:r>
      <w:r>
        <w:t>which will be charged on support expenditure line (in p.m).</w:t>
      </w:r>
    </w:p>
  </w:footnote>
  <w:footnote w:id="39">
    <w:p w:rsidR="00D10CBC" w:rsidRDefault="00BC383A">
      <w:pPr>
        <w:pStyle w:val="FootnoteText"/>
      </w:pPr>
      <w:r>
        <w:rPr>
          <w:rStyle w:val="FootnoteReference"/>
        </w:rPr>
        <w:footnoteRef/>
      </w:r>
      <w:r>
        <w:tab/>
      </w:r>
    </w:p>
    <w:p w:rsidR="00D10CBC" w:rsidRDefault="00BC383A">
      <w:pPr>
        <w:pStyle w:val="FootnoteText"/>
        <w:ind w:left="0" w:firstLine="0"/>
        <w:rPr>
          <w:szCs w:val="24"/>
        </w:rPr>
      </w:pPr>
      <w:r>
        <w:t>This amount includes the cost of technical and/or administrative assistance and expenditure in support of the implementation of EU programmes and/or actions (former ‘BA’ lines), indirect resear</w:t>
      </w:r>
      <w:r>
        <w:t>ch, direct research which will be charged on the support expenditure line (in p.m).</w:t>
      </w:r>
    </w:p>
    <w:p w:rsidR="00D10CBC" w:rsidRDefault="00D10CBC">
      <w:pPr>
        <w:pStyle w:val="FootnoteText"/>
        <w:rPr>
          <w:szCs w:val="24"/>
        </w:rPr>
      </w:pPr>
    </w:p>
  </w:footnote>
  <w:footnote w:id="40">
    <w:p w:rsidR="00D10CBC" w:rsidRDefault="00BC383A">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w:t>
      </w:r>
      <w:r>
        <w:t xml:space="preserve">t research. This amount includes the potential contribution to an executive agency. </w:t>
      </w:r>
    </w:p>
  </w:footnote>
  <w:footnote w:id="41">
    <w:p w:rsidR="00D10CBC" w:rsidRDefault="00BC383A">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42">
    <w:p w:rsidR="00D10CBC" w:rsidRDefault="00BC383A">
      <w:pPr>
        <w:pStyle w:val="FootnoteText"/>
        <w:rPr>
          <w:szCs w:val="24"/>
        </w:rPr>
      </w:pPr>
      <w:r>
        <w:rPr>
          <w:rStyle w:val="FootnoteReference"/>
        </w:rPr>
        <w:footnoteRef/>
      </w:r>
      <w:r>
        <w:tab/>
        <w:t>As described in point 1.4.2. ‘Specifi</w:t>
      </w:r>
      <w:r>
        <w:t xml:space="preserve">c objective(s)…’ </w:t>
      </w:r>
    </w:p>
  </w:footnote>
  <w:footnote w:id="43">
    <w:p w:rsidR="00D10CBC" w:rsidRDefault="00BC383A">
      <w:pPr>
        <w:pStyle w:val="FootnoteText"/>
        <w:rPr>
          <w:szCs w:val="24"/>
        </w:rPr>
      </w:pPr>
      <w:r>
        <w:rPr>
          <w:rStyle w:val="FootnoteReference"/>
        </w:rPr>
        <w:footnoteRef/>
      </w:r>
      <w:r>
        <w:rPr>
          <w:sz w:val="18"/>
          <w:szCs w:val="18"/>
        </w:rPr>
        <w:tab/>
        <w:t>Technical and/or administrative assistance and expenditure in support of the implementation of EU programmes and/or actions (former ‘BA’ lines), indirect research, direct research.</w:t>
      </w:r>
    </w:p>
  </w:footnote>
  <w:footnote w:id="44">
    <w:p w:rsidR="00D10CBC" w:rsidRDefault="00BC383A">
      <w:pPr>
        <w:pStyle w:val="FootnoteText"/>
        <w:rPr>
          <w:szCs w:val="24"/>
        </w:rPr>
      </w:pPr>
      <w:r>
        <w:rPr>
          <w:rStyle w:val="FootnoteReference"/>
        </w:rPr>
        <w:footnoteRef/>
      </w:r>
      <w:r>
        <w:tab/>
        <w:t>AC= Contract Staff; AL = Local Staff; END= Seconded N</w:t>
      </w:r>
      <w:r>
        <w:t xml:space="preserve">ational Expert; INT = agency staff; JPD= Junior Professionals in Delegations. </w:t>
      </w:r>
    </w:p>
  </w:footnote>
  <w:footnote w:id="45">
    <w:p w:rsidR="00D10CBC" w:rsidRDefault="00BC383A">
      <w:pPr>
        <w:pStyle w:val="FootnoteText"/>
        <w:rPr>
          <w:szCs w:val="24"/>
        </w:rPr>
      </w:pPr>
      <w:r>
        <w:rPr>
          <w:rStyle w:val="FootnoteReference"/>
        </w:rPr>
        <w:footnoteRef/>
      </w:r>
      <w:r>
        <w:tab/>
        <w:t>Sub-ceiling for external staff covered by operational appropriations (former ‘BA’ lines).</w:t>
      </w:r>
    </w:p>
  </w:footnote>
  <w:footnote w:id="46">
    <w:p w:rsidR="00D10CBC" w:rsidRDefault="00BC383A">
      <w:pPr>
        <w:pStyle w:val="FootnoteText"/>
        <w:rPr>
          <w:szCs w:val="24"/>
        </w:rPr>
      </w:pPr>
      <w:r>
        <w:rPr>
          <w:rStyle w:val="FootnoteReference"/>
        </w:rPr>
        <w:footnoteRef/>
      </w:r>
      <w:r>
        <w:tab/>
        <w:t>As regards traditional own resources (customs duties, sugar levies), the amounts in</w:t>
      </w:r>
      <w:r>
        <w:t>dicated must be net amounts, i.e. gross amounts after deduction of 20 %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Landscap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BC" w:rsidRDefault="00D10CBC" w:rsidP="00BC38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83A" w:rsidRPr="00BC383A" w:rsidRDefault="00BC383A" w:rsidP="00BC3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36869D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F8A566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2C2DD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E728F9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66E25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7CEC2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2EF7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27A1F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D0C058A"/>
    <w:multiLevelType w:val="singleLevel"/>
    <w:tmpl w:val="BAE8D90E"/>
    <w:name w:val="List Dash 1"/>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7"/>
  </w:num>
  <w:num w:numId="6">
    <w:abstractNumId w:val="17"/>
    <w:lvlOverride w:ilvl="0">
      <w:startOverride w:val="1"/>
    </w:lvlOverride>
  </w:num>
  <w:num w:numId="7">
    <w:abstractNumId w:val="30"/>
    <w:lvlOverride w:ilvl="0">
      <w:startOverride w:val="1"/>
    </w:lvlOverride>
  </w:num>
  <w:num w:numId="8">
    <w:abstractNumId w:val="6"/>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5"/>
  </w:num>
  <w:num w:numId="18">
    <w:abstractNumId w:val="21"/>
  </w:num>
  <w:num w:numId="19">
    <w:abstractNumId w:val="9"/>
  </w:num>
  <w:num w:numId="20">
    <w:abstractNumId w:val="16"/>
  </w:num>
  <w:num w:numId="21">
    <w:abstractNumId w:val="10"/>
  </w:num>
  <w:num w:numId="22">
    <w:abstractNumId w:val="22"/>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num>
  <w:num w:numId="25">
    <w:abstractNumId w:val="26"/>
  </w:num>
  <w:num w:numId="26">
    <w:abstractNumId w:val="17"/>
  </w:num>
  <w:num w:numId="27">
    <w:abstractNumId w:val="29"/>
  </w:num>
  <w:num w:numId="28">
    <w:abstractNumId w:val="14"/>
  </w:num>
  <w:num w:numId="29">
    <w:abstractNumId w:val="18"/>
  </w:num>
  <w:num w:numId="30">
    <w:abstractNumId w:val="19"/>
  </w:num>
  <w:num w:numId="31">
    <w:abstractNumId w:val="12"/>
  </w:num>
  <w:num w:numId="32">
    <w:abstractNumId w:val="28"/>
  </w:num>
  <w:num w:numId="33">
    <w:abstractNumId w:val="11"/>
  </w:num>
  <w:num w:numId="34">
    <w:abstractNumId w:val="20"/>
  </w:num>
  <w:num w:numId="35">
    <w:abstractNumId w:val="24"/>
  </w:num>
  <w:num w:numId="36">
    <w:abstractNumId w:val="25"/>
  </w:num>
  <w:num w:numId="37">
    <w:abstractNumId w:val="13"/>
  </w:num>
  <w:num w:numId="38">
    <w:abstractNumId w:val="23"/>
  </w:num>
  <w:num w:numId="39">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hideSpellingErrors/>
  <w:hideGrammaticalErrors/>
  <w:activeWritingStyle w:appName="MSWord" w:lang="nl-NL"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fr-BE" w:vendorID="64" w:dllVersion="131078" w:nlCheck="1" w:checkStyle="0"/>
  <w:activeWritingStyle w:appName="MSWord" w:lang="de-DE" w:vendorID="64" w:dllVersion="131078" w:nlCheck="1" w:checkStyle="0"/>
  <w:attachedTemplate r:id="rId1"/>
  <w:defaultTabStop w:val="720"/>
  <w:hyphenationZone w:val="425"/>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9-14 13:48:09"/>
    <w:docVar w:name="DQCResult_Distribution" w:val="0;2"/>
    <w:docVar w:name="DQCResult_DocumentContent" w:val="0;0"/>
    <w:docVar w:name="DQCResult_DocumentSize" w:val="0;0"/>
    <w:docVar w:name="DQCResult_DocumentVersions" w:val="0;0"/>
    <w:docVar w:name="DQCResult_InvalidFootnotes" w:val="0;0"/>
    <w:docVar w:name="DQCResult_LinkedStyles" w:val="0;0"/>
    <w:docVar w:name="DQCResult_ModifiedMargins" w:val="0;38"/>
    <w:docVar w:name="DQCResult_ModifiedMarkers" w:val="0;0"/>
    <w:docVar w:name="DQCResult_ModifiedNumbering" w:val="0;0"/>
    <w:docVar w:name="DQCResult_Objects" w:val="0;0"/>
    <w:docVar w:name="DQCResult_Sections" w:val="0;1"/>
    <w:docVar w:name="DQCResult_StructureCheck" w:val="0;0"/>
    <w:docVar w:name="DQCResult_SuperfluousWhitespace" w:val="0;48"/>
    <w:docVar w:name="DQCResult_UnknownFonts" w:val="0;0"/>
    <w:docVar w:name="DQCResult_UnknownStyles" w:val="0;1"/>
    <w:docVar w:name="DQCStatus" w:val="Yellow"/>
    <w:docVar w:name="DQCVersion" w:val="3"/>
    <w:docVar w:name="DQCWithWarnings" w:val="0"/>
    <w:docVar w:name="LW_CORRIGENDUM" w:val="&lt;UNUSED&gt;"/>
    <w:docVar w:name="LW_COVERPAGE_EXISTS" w:val="True"/>
    <w:docVar w:name="LW_COVERPAGE_GUID" w:val="BFE306EB-031F-4045-A0A1-F3616CFDB811"/>
    <w:docVar w:name="LW_COVERPAGE_TYPE" w:val="1"/>
    <w:docVar w:name="LW_CROSSREFERENCE" w:val="&lt;UNUSED&gt;"/>
    <w:docVar w:name="LW_DocType" w:val="COM"/>
    <w:docVar w:name="LW_EMISSION" w:val="16.9.2021"/>
    <w:docVar w:name="LW_EMISSION_ISODATE" w:val="2021-09-16"/>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94"/>
    <w:docVar w:name="LW_REF.II.NEW.CP_YEAR" w:val="2021"/>
    <w:docVar w:name="LW_REF.INST.NEW" w:val="COM"/>
    <w:docVar w:name="LW_REF.INST.NEW_ADOPTED" w:val="final"/>
    <w:docVar w:name="LW_REF.INST.NEW_TEXT" w:val="(2021)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framework of measures for ensuring the supply of crisis-relevant medical countermeasures in the event of a public health emergency at Union level"/>
    <w:docVar w:name="LW_TYPE.DOC.CP" w:val="COUNCIL REGULATION"/>
    <w:docVar w:name="LwApiVersions" w:val="LW4CoDe 1.23.0.0; LW 8.0, Build 20210114"/>
  </w:docVars>
  <w:rsids>
    <w:rsidRoot w:val="00D10CBC"/>
    <w:rsid w:val="00BC383A"/>
    <w:rsid w:val="00D10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GB"/>
    </w:rPr>
  </w:style>
  <w:style w:type="character" w:customStyle="1" w:styleId="Aucun">
    <w:name w:val="Aucun"/>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Pr>
      <w:rFonts w:ascii="Times New Roman" w:hAnsi="Times New Roman" w:cs="Times New Roman"/>
      <w:sz w:val="24"/>
      <w:lang w:val="en-GB"/>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customStyle="1" w:styleId="ListDash1">
    <w:name w:val="List Dash 1"/>
    <w:basedOn w:val="Text1"/>
    <w:pPr>
      <w:numPr>
        <w:numId w:val="5"/>
      </w:numPr>
      <w:spacing w:before="0" w:after="240"/>
    </w:pPr>
    <w:rPr>
      <w:rFonts w:eastAsia="Times New Roman"/>
      <w:szCs w:val="20"/>
      <w:lang w:val="de-DE"/>
    </w:rPr>
  </w:style>
  <w:style w:type="paragraph" w:customStyle="1" w:styleId="ecl-u-type-paragraph-m">
    <w:name w:val="ecl-u-type-paragraph-m"/>
    <w:basedOn w:val="Normal"/>
    <w:pPr>
      <w:spacing w:before="100" w:beforeAutospacing="1" w:after="100" w:afterAutospacing="1"/>
      <w:jc w:val="left"/>
    </w:pPr>
    <w:rPr>
      <w:rFonts w:eastAsia="Times New Roman"/>
      <w:szCs w:val="24"/>
      <w:lang w:eastAsia="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ighlight">
    <w:name w:val="highligh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paragraph" w:styleId="Caption">
    <w:name w:val="caption"/>
    <w:basedOn w:val="Normal"/>
    <w:next w:val="Normal"/>
    <w:unhideWhenUsed/>
    <w:qFormat/>
    <w:pPr>
      <w:spacing w:before="0" w:after="200"/>
    </w:pPr>
    <w:rPr>
      <w:i/>
      <w:iCs/>
      <w:color w:val="1F497D" w:themeColor="text2"/>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8"/>
      </w:numPr>
      <w:contextualSpacing/>
    </w:pPr>
  </w:style>
  <w:style w:type="paragraph" w:styleId="ListNumber2">
    <w:name w:val="List Number 2"/>
    <w:basedOn w:val="Normal"/>
    <w:unhideWhenUsed/>
    <w:pPr>
      <w:numPr>
        <w:numId w:val="9"/>
      </w:numPr>
      <w:contextualSpacing/>
    </w:pPr>
  </w:style>
  <w:style w:type="paragraph" w:styleId="ListNumber3">
    <w:name w:val="List Number 3"/>
    <w:basedOn w:val="Normal"/>
    <w:unhideWhenUsed/>
    <w:pPr>
      <w:numPr>
        <w:numId w:val="10"/>
      </w:numPr>
      <w:contextualSpacing/>
    </w:pPr>
  </w:style>
  <w:style w:type="paragraph" w:styleId="ListNumber4">
    <w:name w:val="List Number 4"/>
    <w:basedOn w:val="Normal"/>
    <w:unhideWhenUsed/>
    <w:pPr>
      <w:numPr>
        <w:numId w:val="11"/>
      </w:numPr>
      <w:contextualSpacing/>
    </w:pPr>
  </w:style>
  <w:style w:type="paragraph" w:customStyle="1" w:styleId="ListBullet1">
    <w:name w:val="List Bullet 1"/>
    <w:basedOn w:val="Normal"/>
    <w:pPr>
      <w:numPr>
        <w:numId w:val="16"/>
      </w:numPr>
    </w:pPr>
    <w:rPr>
      <w:rFonts w:eastAsia="Times New Roman"/>
      <w:lang w:eastAsia="de-DE"/>
    </w:rPr>
  </w:style>
  <w:style w:type="paragraph" w:customStyle="1" w:styleId="ListDash">
    <w:name w:val="List Dash"/>
    <w:basedOn w:val="Normal"/>
    <w:pPr>
      <w:numPr>
        <w:numId w:val="17"/>
      </w:numPr>
    </w:pPr>
    <w:rPr>
      <w:rFonts w:eastAsia="Times New Roman"/>
      <w:lang w:eastAsia="de-DE"/>
    </w:rPr>
  </w:style>
  <w:style w:type="paragraph" w:customStyle="1" w:styleId="ListDash2">
    <w:name w:val="List Dash 2"/>
    <w:basedOn w:val="Normal"/>
    <w:pPr>
      <w:numPr>
        <w:numId w:val="18"/>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pPr>
      <w:numPr>
        <w:numId w:val="19"/>
      </w:numPr>
    </w:pPr>
    <w:rPr>
      <w:rFonts w:eastAsia="Times New Roman"/>
      <w:lang w:val="fr-FR" w:eastAsia="en-GB"/>
    </w:rPr>
  </w:style>
  <w:style w:type="paragraph" w:customStyle="1" w:styleId="ListDash4">
    <w:name w:val="List Dash 4"/>
    <w:basedOn w:val="Normal"/>
    <w:pPr>
      <w:numPr>
        <w:numId w:val="20"/>
      </w:numPr>
    </w:pPr>
    <w:rPr>
      <w:rFonts w:eastAsia="Times New Roman"/>
      <w:lang w:val="fr-FR" w:eastAsia="en-GB"/>
    </w:rPr>
  </w:style>
  <w:style w:type="paragraph" w:customStyle="1" w:styleId="ListNumber1">
    <w:name w:val="List Number 1"/>
    <w:basedOn w:val="Text1"/>
    <w:pPr>
      <w:numPr>
        <w:numId w:val="21"/>
      </w:numPr>
    </w:pPr>
    <w:rPr>
      <w:rFonts w:eastAsia="Times New Roman"/>
      <w:lang w:val="fr-FR" w:eastAsia="en-GB"/>
    </w:rPr>
  </w:style>
  <w:style w:type="paragraph" w:customStyle="1" w:styleId="ListNumber1Level2">
    <w:name w:val="List Number 1 (Level 2)"/>
    <w:basedOn w:val="Text1"/>
    <w:pPr>
      <w:numPr>
        <w:ilvl w:val="1"/>
        <w:numId w:val="21"/>
      </w:numPr>
    </w:pPr>
    <w:rPr>
      <w:rFonts w:eastAsia="Times New Roman"/>
      <w:lang w:val="fr-FR" w:eastAsia="en-GB"/>
    </w:rPr>
  </w:style>
  <w:style w:type="paragraph" w:customStyle="1" w:styleId="ListNumber2Level2">
    <w:name w:val="List Number 2 (Level 2)"/>
    <w:basedOn w:val="Text2"/>
    <w:pPr>
      <w:tabs>
        <w:tab w:val="num" w:pos="2268"/>
      </w:tabs>
      <w:ind w:left="2268" w:hanging="708"/>
    </w:pPr>
    <w:rPr>
      <w:rFonts w:eastAsia="Times New Roman"/>
      <w:lang w:val="fr-FR" w:eastAsia="en-GB"/>
    </w:rPr>
  </w:style>
  <w:style w:type="paragraph" w:customStyle="1" w:styleId="ListNumber3Level2">
    <w:name w:val="List Number 3 (Level 2)"/>
    <w:basedOn w:val="Text3"/>
    <w:pPr>
      <w:tabs>
        <w:tab w:val="num" w:pos="2268"/>
      </w:tabs>
      <w:ind w:left="2268" w:hanging="708"/>
    </w:pPr>
    <w:rPr>
      <w:rFonts w:eastAsia="Times New Roman"/>
      <w:lang w:val="fr-FR" w:eastAsia="en-GB"/>
    </w:rPr>
  </w:style>
  <w:style w:type="paragraph" w:customStyle="1" w:styleId="ListNumber4Level2">
    <w:name w:val="List Number 4 (Level 2)"/>
    <w:basedOn w:val="Text4"/>
    <w:pPr>
      <w:tabs>
        <w:tab w:val="num" w:pos="2268"/>
      </w:tabs>
      <w:ind w:left="2268" w:hanging="708"/>
    </w:pPr>
    <w:rPr>
      <w:rFonts w:eastAsia="Times New Roman"/>
      <w:lang w:val="fr-FR" w:eastAsia="en-GB"/>
    </w:rPr>
  </w:style>
  <w:style w:type="paragraph" w:customStyle="1" w:styleId="ListNumber1Level3">
    <w:name w:val="List Number 1 (Level 3)"/>
    <w:basedOn w:val="Text1"/>
    <w:pPr>
      <w:numPr>
        <w:ilvl w:val="2"/>
        <w:numId w:val="21"/>
      </w:numPr>
    </w:pPr>
    <w:rPr>
      <w:rFonts w:eastAsia="Times New Roman"/>
      <w:lang w:val="fr-FR" w:eastAsia="en-GB"/>
    </w:rPr>
  </w:style>
  <w:style w:type="paragraph" w:customStyle="1" w:styleId="ListNumber2Level3">
    <w:name w:val="List Number 2 (Level 3)"/>
    <w:basedOn w:val="Text2"/>
    <w:pPr>
      <w:tabs>
        <w:tab w:val="num" w:pos="2977"/>
      </w:tabs>
      <w:ind w:left="2977" w:hanging="709"/>
    </w:pPr>
    <w:rPr>
      <w:rFonts w:eastAsia="Times New Roman"/>
      <w:lang w:val="fr-FR" w:eastAsia="en-GB"/>
    </w:rPr>
  </w:style>
  <w:style w:type="paragraph" w:customStyle="1" w:styleId="ListNumber3Level3">
    <w:name w:val="List Number 3 (Level 3)"/>
    <w:basedOn w:val="Text3"/>
    <w:pPr>
      <w:tabs>
        <w:tab w:val="num" w:pos="2977"/>
      </w:tabs>
      <w:ind w:left="2977" w:hanging="709"/>
    </w:pPr>
    <w:rPr>
      <w:rFonts w:eastAsia="Times New Roman"/>
      <w:lang w:val="fr-FR" w:eastAsia="en-GB"/>
    </w:rPr>
  </w:style>
  <w:style w:type="paragraph" w:customStyle="1" w:styleId="ListNumber4Level3">
    <w:name w:val="List Number 4 (Level 3)"/>
    <w:basedOn w:val="Text4"/>
    <w:pPr>
      <w:tabs>
        <w:tab w:val="num" w:pos="2977"/>
      </w:tabs>
      <w:ind w:left="2977" w:hanging="709"/>
    </w:pPr>
    <w:rPr>
      <w:rFonts w:eastAsia="Times New Roman"/>
      <w:lang w:val="fr-FR" w:eastAsia="en-GB"/>
    </w:rPr>
  </w:style>
  <w:style w:type="paragraph" w:customStyle="1" w:styleId="ListNumber1Level4">
    <w:name w:val="List Number 1 (Level 4)"/>
    <w:basedOn w:val="Text1"/>
    <w:pPr>
      <w:numPr>
        <w:ilvl w:val="3"/>
        <w:numId w:val="21"/>
      </w:numPr>
    </w:pPr>
    <w:rPr>
      <w:rFonts w:eastAsia="Times New Roman"/>
      <w:lang w:val="fr-FR" w:eastAsia="en-GB"/>
    </w:rPr>
  </w:style>
  <w:style w:type="paragraph" w:customStyle="1" w:styleId="ListNumber2Level4">
    <w:name w:val="List Number 2 (Level 4)"/>
    <w:basedOn w:val="Text2"/>
    <w:pPr>
      <w:tabs>
        <w:tab w:val="num" w:pos="3686"/>
      </w:tabs>
      <w:ind w:left="3686" w:hanging="709"/>
    </w:pPr>
    <w:rPr>
      <w:rFonts w:eastAsia="Times New Roman"/>
      <w:lang w:val="fr-FR" w:eastAsia="en-GB"/>
    </w:rPr>
  </w:style>
  <w:style w:type="paragraph" w:customStyle="1" w:styleId="ListNumber3Level4">
    <w:name w:val="List Number 3 (Level 4)"/>
    <w:basedOn w:val="Text3"/>
    <w:pPr>
      <w:tabs>
        <w:tab w:val="num" w:pos="3686"/>
      </w:tabs>
      <w:ind w:left="3686" w:hanging="709"/>
    </w:pPr>
    <w:rPr>
      <w:rFonts w:eastAsia="Times New Roman"/>
      <w:lang w:val="fr-FR" w:eastAsia="en-GB"/>
    </w:rPr>
  </w:style>
  <w:style w:type="paragraph" w:customStyle="1" w:styleId="ListNumber4Level4">
    <w:name w:val="List Number 4 (Level 4)"/>
    <w:basedOn w:val="Text4"/>
    <w:pPr>
      <w:tabs>
        <w:tab w:val="num" w:pos="3686"/>
      </w:tabs>
      <w:ind w:left="3686" w:hanging="709"/>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558">
      <w:bodyDiv w:val="1"/>
      <w:marLeft w:val="0"/>
      <w:marRight w:val="0"/>
      <w:marTop w:val="0"/>
      <w:marBottom w:val="0"/>
      <w:divBdr>
        <w:top w:val="none" w:sz="0" w:space="0" w:color="auto"/>
        <w:left w:val="none" w:sz="0" w:space="0" w:color="auto"/>
        <w:bottom w:val="none" w:sz="0" w:space="0" w:color="auto"/>
        <w:right w:val="none" w:sz="0" w:space="0" w:color="auto"/>
      </w:divBdr>
    </w:div>
    <w:div w:id="81071234">
      <w:bodyDiv w:val="1"/>
      <w:marLeft w:val="0"/>
      <w:marRight w:val="0"/>
      <w:marTop w:val="0"/>
      <w:marBottom w:val="0"/>
      <w:divBdr>
        <w:top w:val="none" w:sz="0" w:space="0" w:color="auto"/>
        <w:left w:val="none" w:sz="0" w:space="0" w:color="auto"/>
        <w:bottom w:val="none" w:sz="0" w:space="0" w:color="auto"/>
        <w:right w:val="none" w:sz="0" w:space="0" w:color="auto"/>
      </w:divBdr>
    </w:div>
    <w:div w:id="100804367">
      <w:bodyDiv w:val="1"/>
      <w:marLeft w:val="0"/>
      <w:marRight w:val="0"/>
      <w:marTop w:val="0"/>
      <w:marBottom w:val="0"/>
      <w:divBdr>
        <w:top w:val="none" w:sz="0" w:space="0" w:color="auto"/>
        <w:left w:val="none" w:sz="0" w:space="0" w:color="auto"/>
        <w:bottom w:val="none" w:sz="0" w:space="0" w:color="auto"/>
        <w:right w:val="none" w:sz="0" w:space="0" w:color="auto"/>
      </w:divBdr>
    </w:div>
    <w:div w:id="248268764">
      <w:bodyDiv w:val="1"/>
      <w:marLeft w:val="0"/>
      <w:marRight w:val="0"/>
      <w:marTop w:val="0"/>
      <w:marBottom w:val="0"/>
      <w:divBdr>
        <w:top w:val="none" w:sz="0" w:space="0" w:color="auto"/>
        <w:left w:val="none" w:sz="0" w:space="0" w:color="auto"/>
        <w:bottom w:val="none" w:sz="0" w:space="0" w:color="auto"/>
        <w:right w:val="none" w:sz="0" w:space="0" w:color="auto"/>
      </w:divBdr>
    </w:div>
    <w:div w:id="383722061">
      <w:bodyDiv w:val="1"/>
      <w:marLeft w:val="0"/>
      <w:marRight w:val="0"/>
      <w:marTop w:val="0"/>
      <w:marBottom w:val="0"/>
      <w:divBdr>
        <w:top w:val="none" w:sz="0" w:space="0" w:color="auto"/>
        <w:left w:val="none" w:sz="0" w:space="0" w:color="auto"/>
        <w:bottom w:val="none" w:sz="0" w:space="0" w:color="auto"/>
        <w:right w:val="none" w:sz="0" w:space="0" w:color="auto"/>
      </w:divBdr>
    </w:div>
    <w:div w:id="455102367">
      <w:bodyDiv w:val="1"/>
      <w:marLeft w:val="0"/>
      <w:marRight w:val="0"/>
      <w:marTop w:val="0"/>
      <w:marBottom w:val="0"/>
      <w:divBdr>
        <w:top w:val="none" w:sz="0" w:space="0" w:color="auto"/>
        <w:left w:val="none" w:sz="0" w:space="0" w:color="auto"/>
        <w:bottom w:val="none" w:sz="0" w:space="0" w:color="auto"/>
        <w:right w:val="none" w:sz="0" w:space="0" w:color="auto"/>
      </w:divBdr>
    </w:div>
    <w:div w:id="485898896">
      <w:bodyDiv w:val="1"/>
      <w:marLeft w:val="0"/>
      <w:marRight w:val="0"/>
      <w:marTop w:val="0"/>
      <w:marBottom w:val="0"/>
      <w:divBdr>
        <w:top w:val="none" w:sz="0" w:space="0" w:color="auto"/>
        <w:left w:val="none" w:sz="0" w:space="0" w:color="auto"/>
        <w:bottom w:val="none" w:sz="0" w:space="0" w:color="auto"/>
        <w:right w:val="none" w:sz="0" w:space="0" w:color="auto"/>
      </w:divBdr>
    </w:div>
    <w:div w:id="489055276">
      <w:bodyDiv w:val="1"/>
      <w:marLeft w:val="0"/>
      <w:marRight w:val="0"/>
      <w:marTop w:val="0"/>
      <w:marBottom w:val="0"/>
      <w:divBdr>
        <w:top w:val="none" w:sz="0" w:space="0" w:color="auto"/>
        <w:left w:val="none" w:sz="0" w:space="0" w:color="auto"/>
        <w:bottom w:val="none" w:sz="0" w:space="0" w:color="auto"/>
        <w:right w:val="none" w:sz="0" w:space="0" w:color="auto"/>
      </w:divBdr>
    </w:div>
    <w:div w:id="489061051">
      <w:bodyDiv w:val="1"/>
      <w:marLeft w:val="0"/>
      <w:marRight w:val="0"/>
      <w:marTop w:val="0"/>
      <w:marBottom w:val="0"/>
      <w:divBdr>
        <w:top w:val="none" w:sz="0" w:space="0" w:color="auto"/>
        <w:left w:val="none" w:sz="0" w:space="0" w:color="auto"/>
        <w:bottom w:val="none" w:sz="0" w:space="0" w:color="auto"/>
        <w:right w:val="none" w:sz="0" w:space="0" w:color="auto"/>
      </w:divBdr>
    </w:div>
    <w:div w:id="513690020">
      <w:bodyDiv w:val="1"/>
      <w:marLeft w:val="0"/>
      <w:marRight w:val="0"/>
      <w:marTop w:val="0"/>
      <w:marBottom w:val="0"/>
      <w:divBdr>
        <w:top w:val="none" w:sz="0" w:space="0" w:color="auto"/>
        <w:left w:val="none" w:sz="0" w:space="0" w:color="auto"/>
        <w:bottom w:val="none" w:sz="0" w:space="0" w:color="auto"/>
        <w:right w:val="none" w:sz="0" w:space="0" w:color="auto"/>
      </w:divBdr>
    </w:div>
    <w:div w:id="571039153">
      <w:bodyDiv w:val="1"/>
      <w:marLeft w:val="0"/>
      <w:marRight w:val="0"/>
      <w:marTop w:val="0"/>
      <w:marBottom w:val="0"/>
      <w:divBdr>
        <w:top w:val="none" w:sz="0" w:space="0" w:color="auto"/>
        <w:left w:val="none" w:sz="0" w:space="0" w:color="auto"/>
        <w:bottom w:val="none" w:sz="0" w:space="0" w:color="auto"/>
        <w:right w:val="none" w:sz="0" w:space="0" w:color="auto"/>
      </w:divBdr>
    </w:div>
    <w:div w:id="615332754">
      <w:bodyDiv w:val="1"/>
      <w:marLeft w:val="0"/>
      <w:marRight w:val="0"/>
      <w:marTop w:val="0"/>
      <w:marBottom w:val="0"/>
      <w:divBdr>
        <w:top w:val="none" w:sz="0" w:space="0" w:color="auto"/>
        <w:left w:val="none" w:sz="0" w:space="0" w:color="auto"/>
        <w:bottom w:val="none" w:sz="0" w:space="0" w:color="auto"/>
        <w:right w:val="none" w:sz="0" w:space="0" w:color="auto"/>
      </w:divBdr>
    </w:div>
    <w:div w:id="643894495">
      <w:bodyDiv w:val="1"/>
      <w:marLeft w:val="0"/>
      <w:marRight w:val="0"/>
      <w:marTop w:val="0"/>
      <w:marBottom w:val="0"/>
      <w:divBdr>
        <w:top w:val="none" w:sz="0" w:space="0" w:color="auto"/>
        <w:left w:val="none" w:sz="0" w:space="0" w:color="auto"/>
        <w:bottom w:val="none" w:sz="0" w:space="0" w:color="auto"/>
        <w:right w:val="none" w:sz="0" w:space="0" w:color="auto"/>
      </w:divBdr>
    </w:div>
    <w:div w:id="829105182">
      <w:bodyDiv w:val="1"/>
      <w:marLeft w:val="0"/>
      <w:marRight w:val="0"/>
      <w:marTop w:val="0"/>
      <w:marBottom w:val="0"/>
      <w:divBdr>
        <w:top w:val="none" w:sz="0" w:space="0" w:color="auto"/>
        <w:left w:val="none" w:sz="0" w:space="0" w:color="auto"/>
        <w:bottom w:val="none" w:sz="0" w:space="0" w:color="auto"/>
        <w:right w:val="none" w:sz="0" w:space="0" w:color="auto"/>
      </w:divBdr>
    </w:div>
    <w:div w:id="839737754">
      <w:bodyDiv w:val="1"/>
      <w:marLeft w:val="0"/>
      <w:marRight w:val="0"/>
      <w:marTop w:val="0"/>
      <w:marBottom w:val="0"/>
      <w:divBdr>
        <w:top w:val="none" w:sz="0" w:space="0" w:color="auto"/>
        <w:left w:val="none" w:sz="0" w:space="0" w:color="auto"/>
        <w:bottom w:val="none" w:sz="0" w:space="0" w:color="auto"/>
        <w:right w:val="none" w:sz="0" w:space="0" w:color="auto"/>
      </w:divBdr>
    </w:div>
    <w:div w:id="855657550">
      <w:bodyDiv w:val="1"/>
      <w:marLeft w:val="0"/>
      <w:marRight w:val="0"/>
      <w:marTop w:val="0"/>
      <w:marBottom w:val="0"/>
      <w:divBdr>
        <w:top w:val="none" w:sz="0" w:space="0" w:color="auto"/>
        <w:left w:val="none" w:sz="0" w:space="0" w:color="auto"/>
        <w:bottom w:val="none" w:sz="0" w:space="0" w:color="auto"/>
        <w:right w:val="none" w:sz="0" w:space="0" w:color="auto"/>
      </w:divBdr>
    </w:div>
    <w:div w:id="920023127">
      <w:bodyDiv w:val="1"/>
      <w:marLeft w:val="0"/>
      <w:marRight w:val="0"/>
      <w:marTop w:val="0"/>
      <w:marBottom w:val="0"/>
      <w:divBdr>
        <w:top w:val="none" w:sz="0" w:space="0" w:color="auto"/>
        <w:left w:val="none" w:sz="0" w:space="0" w:color="auto"/>
        <w:bottom w:val="none" w:sz="0" w:space="0" w:color="auto"/>
        <w:right w:val="none" w:sz="0" w:space="0" w:color="auto"/>
      </w:divBdr>
    </w:div>
    <w:div w:id="1038430631">
      <w:bodyDiv w:val="1"/>
      <w:marLeft w:val="0"/>
      <w:marRight w:val="0"/>
      <w:marTop w:val="0"/>
      <w:marBottom w:val="0"/>
      <w:divBdr>
        <w:top w:val="none" w:sz="0" w:space="0" w:color="auto"/>
        <w:left w:val="none" w:sz="0" w:space="0" w:color="auto"/>
        <w:bottom w:val="none" w:sz="0" w:space="0" w:color="auto"/>
        <w:right w:val="none" w:sz="0" w:space="0" w:color="auto"/>
      </w:divBdr>
    </w:div>
    <w:div w:id="1108543201">
      <w:bodyDiv w:val="1"/>
      <w:marLeft w:val="0"/>
      <w:marRight w:val="0"/>
      <w:marTop w:val="0"/>
      <w:marBottom w:val="0"/>
      <w:divBdr>
        <w:top w:val="none" w:sz="0" w:space="0" w:color="auto"/>
        <w:left w:val="none" w:sz="0" w:space="0" w:color="auto"/>
        <w:bottom w:val="none" w:sz="0" w:space="0" w:color="auto"/>
        <w:right w:val="none" w:sz="0" w:space="0" w:color="auto"/>
      </w:divBdr>
    </w:div>
    <w:div w:id="1170366949">
      <w:bodyDiv w:val="1"/>
      <w:marLeft w:val="0"/>
      <w:marRight w:val="0"/>
      <w:marTop w:val="0"/>
      <w:marBottom w:val="0"/>
      <w:divBdr>
        <w:top w:val="none" w:sz="0" w:space="0" w:color="auto"/>
        <w:left w:val="none" w:sz="0" w:space="0" w:color="auto"/>
        <w:bottom w:val="none" w:sz="0" w:space="0" w:color="auto"/>
        <w:right w:val="none" w:sz="0" w:space="0" w:color="auto"/>
      </w:divBdr>
    </w:div>
    <w:div w:id="1204438703">
      <w:bodyDiv w:val="1"/>
      <w:marLeft w:val="0"/>
      <w:marRight w:val="0"/>
      <w:marTop w:val="0"/>
      <w:marBottom w:val="0"/>
      <w:divBdr>
        <w:top w:val="none" w:sz="0" w:space="0" w:color="auto"/>
        <w:left w:val="none" w:sz="0" w:space="0" w:color="auto"/>
        <w:bottom w:val="none" w:sz="0" w:space="0" w:color="auto"/>
        <w:right w:val="none" w:sz="0" w:space="0" w:color="auto"/>
      </w:divBdr>
    </w:div>
    <w:div w:id="1236547573">
      <w:bodyDiv w:val="1"/>
      <w:marLeft w:val="0"/>
      <w:marRight w:val="0"/>
      <w:marTop w:val="0"/>
      <w:marBottom w:val="0"/>
      <w:divBdr>
        <w:top w:val="none" w:sz="0" w:space="0" w:color="auto"/>
        <w:left w:val="none" w:sz="0" w:space="0" w:color="auto"/>
        <w:bottom w:val="none" w:sz="0" w:space="0" w:color="auto"/>
        <w:right w:val="none" w:sz="0" w:space="0" w:color="auto"/>
      </w:divBdr>
    </w:div>
    <w:div w:id="1284382093">
      <w:bodyDiv w:val="1"/>
      <w:marLeft w:val="0"/>
      <w:marRight w:val="0"/>
      <w:marTop w:val="0"/>
      <w:marBottom w:val="0"/>
      <w:divBdr>
        <w:top w:val="none" w:sz="0" w:space="0" w:color="auto"/>
        <w:left w:val="none" w:sz="0" w:space="0" w:color="auto"/>
        <w:bottom w:val="none" w:sz="0" w:space="0" w:color="auto"/>
        <w:right w:val="none" w:sz="0" w:space="0" w:color="auto"/>
      </w:divBdr>
    </w:div>
    <w:div w:id="1366099494">
      <w:bodyDiv w:val="1"/>
      <w:marLeft w:val="0"/>
      <w:marRight w:val="0"/>
      <w:marTop w:val="0"/>
      <w:marBottom w:val="0"/>
      <w:divBdr>
        <w:top w:val="none" w:sz="0" w:space="0" w:color="auto"/>
        <w:left w:val="none" w:sz="0" w:space="0" w:color="auto"/>
        <w:bottom w:val="none" w:sz="0" w:space="0" w:color="auto"/>
        <w:right w:val="none" w:sz="0" w:space="0" w:color="auto"/>
      </w:divBdr>
    </w:div>
    <w:div w:id="1484272984">
      <w:bodyDiv w:val="1"/>
      <w:marLeft w:val="0"/>
      <w:marRight w:val="0"/>
      <w:marTop w:val="0"/>
      <w:marBottom w:val="0"/>
      <w:divBdr>
        <w:top w:val="none" w:sz="0" w:space="0" w:color="auto"/>
        <w:left w:val="none" w:sz="0" w:space="0" w:color="auto"/>
        <w:bottom w:val="none" w:sz="0" w:space="0" w:color="auto"/>
        <w:right w:val="none" w:sz="0" w:space="0" w:color="auto"/>
      </w:divBdr>
    </w:div>
    <w:div w:id="1530339055">
      <w:bodyDiv w:val="1"/>
      <w:marLeft w:val="0"/>
      <w:marRight w:val="0"/>
      <w:marTop w:val="0"/>
      <w:marBottom w:val="0"/>
      <w:divBdr>
        <w:top w:val="none" w:sz="0" w:space="0" w:color="auto"/>
        <w:left w:val="none" w:sz="0" w:space="0" w:color="auto"/>
        <w:bottom w:val="none" w:sz="0" w:space="0" w:color="auto"/>
        <w:right w:val="none" w:sz="0" w:space="0" w:color="auto"/>
      </w:divBdr>
    </w:div>
    <w:div w:id="1568417664">
      <w:bodyDiv w:val="1"/>
      <w:marLeft w:val="0"/>
      <w:marRight w:val="0"/>
      <w:marTop w:val="0"/>
      <w:marBottom w:val="0"/>
      <w:divBdr>
        <w:top w:val="none" w:sz="0" w:space="0" w:color="auto"/>
        <w:left w:val="none" w:sz="0" w:space="0" w:color="auto"/>
        <w:bottom w:val="none" w:sz="0" w:space="0" w:color="auto"/>
        <w:right w:val="none" w:sz="0" w:space="0" w:color="auto"/>
      </w:divBdr>
    </w:div>
    <w:div w:id="1683583134">
      <w:bodyDiv w:val="1"/>
      <w:marLeft w:val="0"/>
      <w:marRight w:val="0"/>
      <w:marTop w:val="0"/>
      <w:marBottom w:val="0"/>
      <w:divBdr>
        <w:top w:val="none" w:sz="0" w:space="0" w:color="auto"/>
        <w:left w:val="none" w:sz="0" w:space="0" w:color="auto"/>
        <w:bottom w:val="none" w:sz="0" w:space="0" w:color="auto"/>
        <w:right w:val="none" w:sz="0" w:space="0" w:color="auto"/>
      </w:divBdr>
    </w:div>
    <w:div w:id="1928996816">
      <w:bodyDiv w:val="1"/>
      <w:marLeft w:val="0"/>
      <w:marRight w:val="0"/>
      <w:marTop w:val="0"/>
      <w:marBottom w:val="0"/>
      <w:divBdr>
        <w:top w:val="none" w:sz="0" w:space="0" w:color="auto"/>
        <w:left w:val="none" w:sz="0" w:space="0" w:color="auto"/>
        <w:bottom w:val="none" w:sz="0" w:space="0" w:color="auto"/>
        <w:right w:val="none" w:sz="0" w:space="0" w:color="auto"/>
      </w:divBdr>
    </w:div>
    <w:div w:id="1929541511">
      <w:bodyDiv w:val="1"/>
      <w:marLeft w:val="0"/>
      <w:marRight w:val="0"/>
      <w:marTop w:val="0"/>
      <w:marBottom w:val="0"/>
      <w:divBdr>
        <w:top w:val="none" w:sz="0" w:space="0" w:color="auto"/>
        <w:left w:val="none" w:sz="0" w:space="0" w:color="auto"/>
        <w:bottom w:val="none" w:sz="0" w:space="0" w:color="auto"/>
        <w:right w:val="none" w:sz="0" w:space="0" w:color="auto"/>
      </w:divBdr>
    </w:div>
    <w:div w:id="1943874035">
      <w:bodyDiv w:val="1"/>
      <w:marLeft w:val="0"/>
      <w:marRight w:val="0"/>
      <w:marTop w:val="0"/>
      <w:marBottom w:val="0"/>
      <w:divBdr>
        <w:top w:val="none" w:sz="0" w:space="0" w:color="auto"/>
        <w:left w:val="none" w:sz="0" w:space="0" w:color="auto"/>
        <w:bottom w:val="none" w:sz="0" w:space="0" w:color="auto"/>
        <w:right w:val="none" w:sz="0" w:space="0" w:color="auto"/>
      </w:divBdr>
    </w:div>
    <w:div w:id="2014142543">
      <w:bodyDiv w:val="1"/>
      <w:marLeft w:val="0"/>
      <w:marRight w:val="0"/>
      <w:marTop w:val="0"/>
      <w:marBottom w:val="0"/>
      <w:divBdr>
        <w:top w:val="none" w:sz="0" w:space="0" w:color="auto"/>
        <w:left w:val="none" w:sz="0" w:space="0" w:color="auto"/>
        <w:bottom w:val="none" w:sz="0" w:space="0" w:color="auto"/>
        <w:right w:val="none" w:sz="0" w:space="0" w:color="auto"/>
      </w:divBdr>
    </w:div>
    <w:div w:id="206780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myintracomm.ec.europa.eu/budgweb/EN/leg/internal/Documents/2016-5-legislative-financial-statement-ann-en.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EN/man/budgmanag/Pages/budgmanag.aspx" TargetMode="External"/><Relationship Id="rId2" Type="http://schemas.openxmlformats.org/officeDocument/2006/relationships/hyperlink" Target="https://ec.europa.eu/info/law/better-regulation/have-your-say/initiatives/12870-European-Health-Emergency-Preparedness-and-Response-Authority-HERA-/public-consultation_en" TargetMode="External"/><Relationship Id="rId1" Type="http://schemas.openxmlformats.org/officeDocument/2006/relationships/hyperlink" Target="https://ec.europa.eu/health/sites/health/files/antimicrobial_resistance/docs/amr_2017_action-pla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C979FCFF9A1646A489B55A91E07731" ma:contentTypeVersion="0" ma:contentTypeDescription="Create a new document." ma:contentTypeScope="" ma:versionID="17c4ca5f170444313d4aa05738ea4e53">
  <xsd:schema xmlns:xsd="http://www.w3.org/2001/XMLSchema" xmlns:xs="http://www.w3.org/2001/XMLSchema" xmlns:p="http://schemas.microsoft.com/office/2006/metadata/properties" targetNamespace="http://schemas.microsoft.com/office/2006/metadata/properties" ma:root="true" ma:fieldsID="e48191fb7b3fb89ae80cd9d64393ad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9DDC4CF-0AAA-4C4A-A4D6-D14FC7015E97}">
  <ds:schemaRefs>
    <ds:schemaRef ds:uri="http://schemas.microsoft.com/sharepoint/v3/contenttype/forms"/>
  </ds:schemaRefs>
</ds:datastoreItem>
</file>

<file path=customXml/itemProps2.xml><?xml version="1.0" encoding="utf-8"?>
<ds:datastoreItem xmlns:ds="http://schemas.openxmlformats.org/officeDocument/2006/customXml" ds:itemID="{90EB522A-CEB5-4C9D-90E9-38668D3A6998}">
  <ds:schemaRef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95FD80FF-B057-4EC4-834E-59DCD612A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D3088FD-2D5A-4A73-AFC3-61DA45867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42</Pages>
  <Words>12796</Words>
  <Characters>74603</Characters>
  <Application>Microsoft Office Word</Application>
  <DocSecurity>0</DocSecurity>
  <Lines>2572</Lines>
  <Paragraphs>1324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2021-09-14T11:46:00Z</dcterms:created>
  <dcterms:modified xsi:type="dcterms:W3CDTF">2021-09-15T13:11:00Z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7.0.1, Build 20200226</vt:lpwstr>
  </property>
  <property fmtid="{D5CDD505-2E9C-101B-9397-08002B2CF9AE}" pid="5" name="ContentTypeId">
    <vt:lpwstr>0x0101008FC979FCFF9A1646A489B55A91E07731</vt:lpwstr>
  </property>
  <property fmtid="{D5CDD505-2E9C-101B-9397-08002B2CF9AE}" pid="6" name="IsMyDocuments">
    <vt:bool>true</vt:bool>
  </property>
  <property fmtid="{D5CDD505-2E9C-101B-9397-08002B2CF9AE}" pid="7" name="Part">
    <vt:lpwstr>1</vt:lpwstr>
  </property>
  <property fmtid="{D5CDD505-2E9C-101B-9397-08002B2CF9AE}" pid="8" name="Total parts">
    <vt:lpwstr>1</vt:lpwstr>
  </property>
  <property fmtid="{D5CDD505-2E9C-101B-9397-08002B2CF9AE}" pid="9" name="LWTemplateID">
    <vt:lpwstr>SJ-016</vt:lpwstr>
  </property>
  <property fmtid="{D5CDD505-2E9C-101B-9397-08002B2CF9AE}" pid="10" name="DQCStatus">
    <vt:lpwstr>Yellow (DQC version 03)</vt:lpwstr>
  </property>
</Properties>
</file>