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A99B94C-F9EF-4EE4-AAFC-33136737B08C" style="width:455.05pt;height:355.4pt">
            <v:imagedata r:id="rId12" o:title=""/>
          </v:shape>
        </w:pict>
      </w:r>
    </w:p>
    <w:p>
      <w:pPr>
        <w:rPr>
          <w:noProof/>
        </w:rPr>
        <w:sectPr>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bookmarkStart w:id="1" w:name="_Toc83310781"/>
      <w:r>
        <w:rPr>
          <w:noProof/>
        </w:rPr>
        <w:t>1.</w:t>
      </w:r>
      <w:r>
        <w:rPr>
          <w:noProof/>
        </w:rPr>
        <w:tab/>
        <w:t>CONTEXTE DE LA PROPOSITION</w:t>
      </w:r>
      <w:bookmarkEnd w:id="1"/>
    </w:p>
    <w:p>
      <w:pPr>
        <w:pStyle w:val="ManualHeading2"/>
        <w:rPr>
          <w:rFonts w:eastAsia="Arial Unicode MS"/>
          <w:noProof/>
        </w:rPr>
      </w:pPr>
      <w:bookmarkStart w:id="2" w:name="_Toc83310782"/>
      <w:r>
        <w:rPr>
          <w:noProof/>
          <w:color w:val="000000"/>
          <w:u w:color="000000"/>
          <w:bdr w:val="nil"/>
        </w:rPr>
        <w:t>•</w:t>
      </w:r>
      <w:r>
        <w:rPr>
          <w:noProof/>
        </w:rPr>
        <w:tab/>
        <w:t>Justification et objectifs de la proposition</w:t>
      </w:r>
      <w:bookmarkEnd w:id="2"/>
    </w:p>
    <w:p>
      <w:pPr>
        <w:pStyle w:val="Text1"/>
        <w:rPr>
          <w:noProof/>
        </w:rPr>
      </w:pPr>
      <w:r>
        <w:rPr>
          <w:noProof/>
        </w:rPr>
        <w:t xml:space="preserve">La présente proposition de règlement vise à mettre en place un </w:t>
      </w:r>
      <w:r>
        <w:rPr>
          <w:b/>
          <w:noProof/>
        </w:rPr>
        <w:t>cadre de mesures à activer dans les situations d’urgence de santé publique</w:t>
      </w:r>
      <w:r>
        <w:rPr>
          <w:noProof/>
        </w:rPr>
        <w:t xml:space="preserve"> en permettant à l’Union de prendre les mesures nécessaires pour assurer la disponibilité et la fourniture, en quantité suffisante et en temps utile, de contre-mesures médicales en cas de crise. </w:t>
      </w:r>
    </w:p>
    <w:p>
      <w:pPr>
        <w:pStyle w:val="Text1"/>
        <w:rPr>
          <w:noProof/>
        </w:rPr>
      </w:pPr>
      <w:r>
        <w:rPr>
          <w:noProof/>
        </w:rPr>
        <w:t>Le 15 juin 2021, la Commission a présenté une communication sur les premiers enseignements tirés de la pandémie de COVID-19</w:t>
      </w:r>
      <w:r>
        <w:rPr>
          <w:rStyle w:val="FootnoteReference"/>
          <w:rFonts w:eastAsia="Times New Roman"/>
          <w:noProof/>
          <w:szCs w:val="24"/>
        </w:rPr>
        <w:footnoteReference w:id="2"/>
      </w:r>
      <w:r>
        <w:rPr>
          <w:noProof/>
        </w:rPr>
        <w:t xml:space="preserve">, dans laquelle elle souligne la nécessité pour l’Union de mettre en place des mesures spéciales pour mieux réagir en temps de crise sanitaire. En novembre 2020, elle a présenté des propositions visant à renforcer l’union européenne de la santé et elle met maintenant en place une nouvelle </w:t>
      </w:r>
      <w:r>
        <w:rPr>
          <w:b/>
          <w:noProof/>
        </w:rPr>
        <w:t>Autorité européenne de préparation et de réaction en cas d’urgence sanitaire</w:t>
      </w:r>
      <w:r>
        <w:rPr>
          <w:noProof/>
        </w:rPr>
        <w:t xml:space="preserve"> (HERA) au sein de ses services. Cette autorité constituera une structure de sécurité sanitaire souple, solide et durable qui permettra d’améliorer la disponibilité de contre-mesures médicales et fonctionnera aussi bien en amont des crises que lorsqu’elles surviennent. </w:t>
      </w:r>
    </w:p>
    <w:p>
      <w:pPr>
        <w:pStyle w:val="Text1"/>
        <w:rPr>
          <w:noProof/>
        </w:rPr>
      </w:pPr>
      <w:r>
        <w:rPr>
          <w:noProof/>
        </w:rPr>
        <w:t xml:space="preserve">La pandémie de COVID-19 a révélé d’importantes vulnérabilités dans la capacité de l’Union à se préparer et à réagir aux urgences de santé publique. Les mesures figurant dans le présent règlement concernent le mode de fonctionnement en réaction à une crise. Elles compléteront la mise en place de l’HERA en tant que nouveau moteur de l’action de l’Union pour réagir aux menaces transfrontières. </w:t>
      </w:r>
    </w:p>
    <w:p>
      <w:pPr>
        <w:pStyle w:val="Text1"/>
        <w:rPr>
          <w:noProof/>
          <w:szCs w:val="24"/>
        </w:rPr>
      </w:pPr>
      <w:r>
        <w:rPr>
          <w:noProof/>
        </w:rPr>
        <w:t>Les structures de l’UE, les États membres et le secteur industriel concernés par les contre-mesures médicales n’étaient pas suffisamment préparés pour assurer avec efficacité le développement, la fabrication, la passation de marchés et la répartition équitable des principales contre-mesures médicales</w:t>
      </w:r>
      <w:r>
        <w:rPr>
          <w:rStyle w:val="FootnoteReference"/>
          <w:noProof/>
        </w:rPr>
        <w:footnoteReference w:id="3"/>
      </w:r>
      <w:r>
        <w:rPr>
          <w:noProof/>
        </w:rPr>
        <w:t xml:space="preserve"> permettant de faire face à la pandémie. La pandémie a également révélé l’approche fragmentée d’un trop grand nombre d’activités de recherche dans l’Union, dont la portée est souvent assez limitée, l’insuffisance des capacités de production pour les contre-mesures médicales, ainsi que la vulnérabilité dans les chaînes d’approvisionnement mondiales connexes. Ces limitations ont en définitive entraîné des retards et un manque d’efficacité des réponses, qui ont coûté des vies et nui à l’économie.</w:t>
      </w:r>
    </w:p>
    <w:p>
      <w:pPr>
        <w:pStyle w:val="Text1"/>
        <w:rPr>
          <w:noProof/>
          <w:szCs w:val="24"/>
        </w:rPr>
      </w:pPr>
      <w:r>
        <w:rPr>
          <w:noProof/>
        </w:rPr>
        <w:t>La pandémie a, en particulier, fait apparaître les problèmes suivants liés aux contre-mesures médicales en cas de crise.</w:t>
      </w:r>
    </w:p>
    <w:p>
      <w:pPr>
        <w:pStyle w:val="Point1"/>
        <w:rPr>
          <w:noProof/>
        </w:rPr>
      </w:pPr>
      <w:r>
        <w:rPr>
          <w:noProof/>
        </w:rPr>
        <w:t>●</w:t>
      </w:r>
      <w:r>
        <w:rPr>
          <w:noProof/>
        </w:rPr>
        <w:tab/>
      </w:r>
      <w:r>
        <w:rPr>
          <w:b/>
          <w:noProof/>
        </w:rPr>
        <w:t>La collecte de renseignements et l’analyse n’ont pas suffi et étaient trop éparpillées</w:t>
      </w:r>
      <w:r>
        <w:rPr>
          <w:noProof/>
        </w:rPr>
        <w:t>, alors qu’elles sont essentielles pour étayer les plans de préparation et d’intervention en cas de crise et garantir comme il se doit la disponibilité et l’accessibilité des contre-mesures médicales en cas d’urgence.</w:t>
      </w:r>
    </w:p>
    <w:p>
      <w:pPr>
        <w:pStyle w:val="Point1"/>
        <w:rPr>
          <w:noProof/>
        </w:rPr>
      </w:pPr>
      <w:r>
        <w:rPr>
          <w:noProof/>
        </w:rPr>
        <w:t>●</w:t>
      </w:r>
      <w:r>
        <w:rPr>
          <w:noProof/>
        </w:rPr>
        <w:tab/>
      </w:r>
      <w:r>
        <w:rPr>
          <w:b/>
          <w:noProof/>
        </w:rPr>
        <w:t>Les outils d’intervention n’ont pas été satisfaisants et des écosystèmes public-privé pleinement opérationnels ont fait défaut</w:t>
      </w:r>
      <w:r>
        <w:rPr>
          <w:noProof/>
        </w:rPr>
        <w:t>, ce qui a empêché l’Union d’adopter une approche proactive débouchant sur des interventions stratégiques et bien informées, nécessaires pour mobiliser des ressources et réduire les délais entre la recherche et le produit final.</w:t>
      </w:r>
    </w:p>
    <w:p>
      <w:pPr>
        <w:pStyle w:val="Point1"/>
        <w:rPr>
          <w:noProof/>
        </w:rPr>
      </w:pPr>
      <w:r>
        <w:rPr>
          <w:noProof/>
        </w:rPr>
        <w:t>●</w:t>
      </w:r>
      <w:r>
        <w:rPr>
          <w:noProof/>
        </w:rPr>
        <w:tab/>
      </w:r>
      <w:r>
        <w:rPr>
          <w:b/>
          <w:noProof/>
        </w:rPr>
        <w:t>La production rapide de contre-mesures médicales utiles en cas de crise a buté sur des obstacles</w:t>
      </w:r>
      <w:r>
        <w:rPr>
          <w:noProof/>
        </w:rPr>
        <w:t xml:space="preserve">, que l’on peut relier à des vulnérabilités et à des difficultés dans les chaînes de fabrication et d’approvisionnement, le financement d’urgence et les cadres réglementaires, ou encore dans la recherche et le partage de données, ainsi qu’à </w:t>
      </w:r>
      <w:r>
        <w:rPr>
          <w:b/>
          <w:noProof/>
        </w:rPr>
        <w:t>des capacités de production insuffisantes, en particulier au début de la pandémie de COVID-19</w:t>
      </w:r>
      <w:r>
        <w:rPr>
          <w:noProof/>
        </w:rPr>
        <w:t>.</w:t>
      </w:r>
    </w:p>
    <w:p>
      <w:pPr>
        <w:pStyle w:val="Point1"/>
        <w:rPr>
          <w:noProof/>
        </w:rPr>
      </w:pPr>
      <w:r>
        <w:rPr>
          <w:noProof/>
        </w:rPr>
        <w:t>●</w:t>
      </w:r>
      <w:r>
        <w:rPr>
          <w:noProof/>
        </w:rPr>
        <w:tab/>
      </w:r>
      <w:r>
        <w:rPr>
          <w:b/>
          <w:noProof/>
        </w:rPr>
        <w:t>La fragmentation et la dispersion des efforts au niveau de l’Union et des différents pays</w:t>
      </w:r>
      <w:r>
        <w:rPr>
          <w:noProof/>
        </w:rPr>
        <w:t>, aggravées par une coordination défaillante et un partage d’informations inadéquat, ont abouti à une incapacité à garantir la disponibilité de contre-mesures médicales en rapport avec la crise et à en permettre l’accès en temps utile.</w:t>
      </w:r>
    </w:p>
    <w:p>
      <w:pPr>
        <w:pStyle w:val="Text1"/>
        <w:rPr>
          <w:noProof/>
          <w:szCs w:val="24"/>
        </w:rPr>
      </w:pPr>
      <w:r>
        <w:rPr>
          <w:noProof/>
        </w:rPr>
        <w:t>Grâce à une meilleure préparation, il serait possible de développer des mesures permettant de remédier à ces lacunes. Mais certaines autres mesures requièrent des compétences, des instruments et des actions uniquement applicables à des situations d’urgence transfrontières. L’Union ne disposait pas d’un mandat spécifique d’urgence qui lui aurait permis de coordonner des activités visant à garantir la disponibilité et l’accessibilité rapides de contre-mesures médicales en cas de crise pour tous les États membres. Les États membres possédaient chacun des capacités différentes pour se préparer, réagir à la crise et gérer les contre-mesures médicales appropriées. La capacité de réaction requise n’était en place ni au niveau national ni à celui de l’UE: la réponse a dû être construite sur des bases imparfaites. Cette situation est susceptible de se reproduire et il est probable qu’aucun pays n’est en mesure de relever de manière adéquate tous les défis liés aux urgences de santé publique risquant d’affecter un ou plusieurs États membres, comme la COVID-19. L’évolution rapide des technologies et de la situation en matière de concurrence complique encore plus leurs différentes réactions. Des efforts non coordonnés peuvent également conduire à la fragmentation d’un marché déjà complexe et à la duplication des financements publics.</w:t>
      </w:r>
    </w:p>
    <w:p>
      <w:pPr>
        <w:pStyle w:val="Text1"/>
        <w:rPr>
          <w:noProof/>
        </w:rPr>
      </w:pPr>
      <w:r>
        <w:rPr>
          <w:noProof/>
        </w:rPr>
        <w:t>En outre, en raison de la mondialisation, du changement climatique, des catastrophes naturelles et d’origine humaine, de l’appauvrissement de la biodiversité, de l’empiètement des habitats ainsi que des conflits armés et du terrorisme, il est hautement probable que d’autres situations d’urgences de santé publique se produiront, faisant peser des menaces à l’échelle mondiale et nécessitant la mise en place et l’accessibilité rapides de contre-mesures médicales adaptées aux situations d’urgence.</w:t>
      </w:r>
    </w:p>
    <w:p>
      <w:pPr>
        <w:pStyle w:val="ManualHeading2"/>
        <w:rPr>
          <w:rFonts w:eastAsia="Arial Unicode MS"/>
          <w:noProof/>
          <w:color w:val="000000"/>
          <w:u w:color="000000"/>
          <w:bdr w:val="nil"/>
        </w:rPr>
      </w:pPr>
      <w:bookmarkStart w:id="3" w:name="_Toc83310783"/>
      <w:r>
        <w:rPr>
          <w:noProof/>
          <w:color w:val="000000"/>
          <w:u w:color="000000"/>
          <w:bdr w:val="nil"/>
        </w:rPr>
        <w:t>•</w:t>
      </w:r>
      <w:r>
        <w:rPr>
          <w:noProof/>
        </w:rPr>
        <w:tab/>
        <w:t>Cohérence avec les dispositions existantes dans le domaine d’action</w:t>
      </w:r>
      <w:bookmarkEnd w:id="3"/>
    </w:p>
    <w:p>
      <w:pPr>
        <w:pStyle w:val="Text1"/>
        <w:rPr>
          <w:rFonts w:eastAsia="Arial Unicode MS"/>
          <w:noProof/>
        </w:rPr>
      </w:pPr>
      <w:r>
        <w:rPr>
          <w:noProof/>
        </w:rPr>
        <w:t>La présente proposition de règlement constitue un des principaux piliers de l’union européenne de la santé et vise à renforcer la capacité de l’Union à apporter un soutien pour garantir la disponibilité et l’accessibilité en temps utile des contre-mesures médicales nécessaires en cas d’urgence de santé publique. Elle est soumise en liaison avec les propositions présentées par la Commission en novembre 2020: les propositions de règlements concernant les menaces transfrontières graves pour la santé</w:t>
      </w:r>
      <w:r>
        <w:rPr>
          <w:rStyle w:val="FootnoteReference"/>
          <w:rFonts w:eastAsia="Arial Unicode MS"/>
          <w:noProof/>
        </w:rPr>
        <w:footnoteReference w:id="4"/>
      </w:r>
      <w:r>
        <w:rPr>
          <w:noProof/>
        </w:rPr>
        <w:t>, le renforcement du mandat du Centre européen de prévention et de contrôle des maladies (ECDC)</w:t>
      </w:r>
      <w:r>
        <w:rPr>
          <w:rStyle w:val="FootnoteReference"/>
          <w:rFonts w:eastAsia="Arial Unicode MS"/>
          <w:noProof/>
        </w:rPr>
        <w:footnoteReference w:id="5"/>
      </w:r>
      <w:r>
        <w:rPr>
          <w:noProof/>
        </w:rPr>
        <w:t xml:space="preserve"> et l’extension du mandat de l’Agence européenne des médicaments (EMA)</w:t>
      </w:r>
      <w:r>
        <w:rPr>
          <w:rStyle w:val="FootnoteReference"/>
          <w:rFonts w:eastAsia="Arial Unicode MS"/>
          <w:noProof/>
        </w:rPr>
        <w:footnoteReference w:id="6"/>
      </w:r>
      <w:r>
        <w:rPr>
          <w:noProof/>
        </w:rPr>
        <w:t xml:space="preserve">. D’une manière générale, elle renforce le cadre de l’Union pour la gestion des crises. En ce qui concerne la proposition d’extension du mandat de l’EMA, un lien étroit sera instauré entre la Commission et l’EMA afin de garantir la cohérence et d’éclairer le processus décisionnel de la Commission portant sur les contre-mesures médicales nécessaires en cas de crise. Ce lien étroit concerne spécifiquement les informations et les recommandations du groupe de pilotage sur les médicaments, le rôle joué par la Commission pour atténuer les effets des pénuries réelles ou potentielles de médicaments figurant sur les listes des médicaments critiques et la nécessité d’adopter des contre-mesures médicales conformément à l’article 12 et à l’article 26 de la proposition de règlement du Parlement européen et du Conseil relatif à un rôle renforcé de </w:t>
      </w:r>
      <w:r>
        <w:rPr>
          <w:noProof/>
          <w:color w:val="444444"/>
          <w:szCs w:val="24"/>
          <w:shd w:val="clear" w:color="auto" w:fill="FFFFFF"/>
        </w:rPr>
        <w:t>l’Agence européenne des médicaments dans la préparation aux crises et la gestion de celles-ci en ce qui concerne les médicaments et les dispositifs médicaux</w:t>
      </w:r>
      <w:r>
        <w:rPr>
          <w:rStyle w:val="FootnoteReference"/>
          <w:noProof/>
          <w:szCs w:val="24"/>
        </w:rPr>
        <w:footnoteReference w:id="7"/>
      </w:r>
      <w:r>
        <w:rPr>
          <w:noProof/>
        </w:rPr>
        <w:t>.</w:t>
      </w:r>
    </w:p>
    <w:p>
      <w:pPr>
        <w:pStyle w:val="Text1"/>
        <w:rPr>
          <w:noProof/>
          <w:szCs w:val="24"/>
        </w:rPr>
      </w:pPr>
      <w:r>
        <w:rPr>
          <w:noProof/>
        </w:rPr>
        <w:t>Les mesures proposées complètent les mesures actuelles suivantes de l’Union dans les domaines de la réaction aux crises et de la santé:</w:t>
      </w:r>
    </w:p>
    <w:p>
      <w:pPr>
        <w:pStyle w:val="Tiret1"/>
        <w:numPr>
          <w:ilvl w:val="0"/>
          <w:numId w:val="6"/>
        </w:numPr>
        <w:rPr>
          <w:noProof/>
        </w:rPr>
      </w:pPr>
      <w:r>
        <w:rPr>
          <w:noProof/>
        </w:rPr>
        <w:t>le règlement (UE) 2021/522 du Parlement européen et du Conseil du 24 mars 2021 établissant un programme d’action de l’Union dans le domaine de la santé (programme «L’UE pour la santé») pour la période 2021-2027, et abrogeant le règlement (UE) nº 282/2014</w:t>
      </w:r>
      <w:r>
        <w:rPr>
          <w:rStyle w:val="FootnoteReference"/>
          <w:noProof/>
        </w:rPr>
        <w:footnoteReference w:id="8"/>
      </w:r>
      <w:r>
        <w:rPr>
          <w:noProof/>
        </w:rPr>
        <w:t xml:space="preserve">; </w:t>
      </w:r>
    </w:p>
    <w:p>
      <w:pPr>
        <w:pStyle w:val="Tiret1"/>
        <w:rPr>
          <w:noProof/>
        </w:rPr>
      </w:pPr>
      <w:r>
        <w:rPr>
          <w:noProof/>
        </w:rPr>
        <w:t>l’intervention médicale envisagée dans le cadre de la décision nº 1313/2013/UE du Parlement européen et du Conseil relative au mécanisme de protection civile de l’Union</w:t>
      </w:r>
      <w:r>
        <w:rPr>
          <w:rStyle w:val="FootnoteReference"/>
          <w:noProof/>
        </w:rPr>
        <w:footnoteReference w:id="9"/>
      </w:r>
      <w:r>
        <w:rPr>
          <w:noProof/>
        </w:rPr>
        <w:t>;</w:t>
      </w:r>
    </w:p>
    <w:p>
      <w:pPr>
        <w:pStyle w:val="Tiret1"/>
        <w:rPr>
          <w:noProof/>
        </w:rPr>
      </w:pPr>
      <w:r>
        <w:rPr>
          <w:noProof/>
        </w:rPr>
        <w:t>l’instrument d’aide d’urgence de l’Union européenne [règlement (UE) 2016/369 du Conseil relatif à la fourniture d’une aide d’urgence au sein de l’Union</w:t>
      </w:r>
      <w:r>
        <w:rPr>
          <w:rStyle w:val="FootnoteReference"/>
          <w:noProof/>
        </w:rPr>
        <w:footnoteReference w:id="10"/>
      </w:r>
      <w:r>
        <w:rPr>
          <w:noProof/>
        </w:rPr>
        <w:t>]; et</w:t>
      </w:r>
    </w:p>
    <w:p>
      <w:pPr>
        <w:pStyle w:val="Tiret1"/>
        <w:rPr>
          <w:noProof/>
        </w:rPr>
      </w:pPr>
      <w:r>
        <w:rPr>
          <w:noProof/>
        </w:rPr>
        <w:t>la proposition de stratégie pharmaceutique pour l’Europe</w:t>
      </w:r>
      <w:r>
        <w:rPr>
          <w:rStyle w:val="FootnoteReference"/>
          <w:rFonts w:eastAsia="Arial Unicode MS"/>
          <w:noProof/>
        </w:rPr>
        <w:footnoteReference w:id="11"/>
      </w:r>
      <w:r>
        <w:rPr>
          <w:noProof/>
        </w:rPr>
        <w:t xml:space="preserve">. </w:t>
      </w:r>
    </w:p>
    <w:p>
      <w:pPr>
        <w:pStyle w:val="Text1"/>
        <w:rPr>
          <w:rFonts w:eastAsia="Arial Unicode MS"/>
          <w:noProof/>
        </w:rPr>
      </w:pPr>
      <w:r>
        <w:rPr>
          <w:noProof/>
        </w:rPr>
        <w:t>Les mesures proposées complètent également d’autres politiques et actions dans le domaine du climat et de l’environnement qui relèvent du pacte vert pour l’Europe</w:t>
      </w:r>
      <w:r>
        <w:rPr>
          <w:rStyle w:val="FootnoteReference"/>
          <w:rFonts w:eastAsia="Arial Unicode MS"/>
          <w:noProof/>
        </w:rPr>
        <w:footnoteReference w:id="12"/>
      </w:r>
      <w:r>
        <w:rPr>
          <w:noProof/>
        </w:rPr>
        <w:t xml:space="preserve"> et qui contribueront à améliorer la santé environnementale, à prévenir les maladies et à renforcer la résilience.</w:t>
      </w:r>
    </w:p>
    <w:p>
      <w:pPr>
        <w:pStyle w:val="Text1"/>
        <w:rPr>
          <w:rFonts w:eastAsia="Arial Unicode MS"/>
          <w:noProof/>
        </w:rPr>
      </w:pPr>
      <w:r>
        <w:rPr>
          <w:noProof/>
        </w:rPr>
        <w:t xml:space="preserve">Ces mesures aideront les États membres à coopérer en vue de garantir la disponibilité et le déploiement de contre-mesures médicales et de matières premières en rapport avec la crise. La Commission, le Parlement européen et le Conseil ont affirmé avec force l’engagement de l’Union à intensifier la préparation aux urgences sanitaires mondiales. </w:t>
      </w:r>
    </w:p>
    <w:p>
      <w:pPr>
        <w:pStyle w:val="ManualHeading2"/>
        <w:rPr>
          <w:rFonts w:eastAsia="Arial Unicode MS"/>
          <w:noProof/>
        </w:rPr>
      </w:pPr>
      <w:bookmarkStart w:id="4" w:name="_Toc83310784"/>
      <w:r>
        <w:rPr>
          <w:noProof/>
          <w:color w:val="000000"/>
          <w:u w:color="000000"/>
          <w:bdr w:val="nil"/>
        </w:rPr>
        <w:t>•</w:t>
      </w:r>
      <w:r>
        <w:rPr>
          <w:noProof/>
        </w:rPr>
        <w:tab/>
        <w:t>Cohérence avec les autres politiques de l’Union</w:t>
      </w:r>
      <w:bookmarkEnd w:id="4"/>
    </w:p>
    <w:p>
      <w:pPr>
        <w:pStyle w:val="Text1"/>
        <w:rPr>
          <w:noProof/>
        </w:rPr>
      </w:pPr>
      <w:r>
        <w:rPr>
          <w:noProof/>
        </w:rPr>
        <w:t>Les mesures proposées sont conformes aux objectifs généraux de l’Union. Il s’agit notamment de renforcer l’union européenne de la santé, de veiller au bon fonctionnement du marché intérieur, de favoriser des systèmes de santé durables, y compris grâce au soutien de la politique de cohésion en faveur des investissements des autorités régionales dans la santé publique et la coopération transfrontière, notamment dans les régions voisines, d’assurer la préparation en matière de sécurité sanitaire mondiale</w:t>
      </w:r>
      <w:r>
        <w:t>,</w:t>
      </w:r>
      <w:r>
        <w:rPr>
          <w:noProof/>
        </w:rPr>
        <w:t xml:space="preserve"> d’améliorer la préparation pour la protection des travailleurs</w:t>
      </w:r>
      <w:r>
        <w:rPr>
          <w:rStyle w:val="FootnoteReference"/>
          <w:noProof/>
        </w:rPr>
        <w:footnoteReference w:id="13"/>
      </w:r>
      <w:r>
        <w:rPr>
          <w:noProof/>
        </w:rPr>
        <w:t>, et de définir un programme ambitieux en matière de recherche et d’innovation. La proposition créera également des synergies avec le programme pour un marché unique numérique dans l’Union et, dans le contexte du futur espace européen des données de santé, elle encouragera l’innovation et la recherche, facilitera le partage d’informations et de données (y compris des données probantes en situation réelle) et soutiendra la création d’une infrastructure informatique au niveau de l’Union pour la veille en matière de contre-mesures médicales.</w:t>
      </w:r>
    </w:p>
    <w:p>
      <w:pPr>
        <w:pStyle w:val="Text1"/>
        <w:rPr>
          <w:noProof/>
        </w:rPr>
      </w:pPr>
      <w:r>
        <w:rPr>
          <w:noProof/>
        </w:rPr>
        <w:t>Les mesures renforceront également le cadre de la préparation et de la réaction aux menaces biologiques, chimiques ou d’origine inconnue au niveau de l’Union, ainsi que la protection de la santé humaine, animale et environnementale, dans le contexte d’une approche coordonnée «Une seule santé». Ce cadre comprend également le plan d’action de l’Union fondé sur le principe «Une seule santé» pour combattre la résistance aux antimicrobiens</w:t>
      </w:r>
      <w:r>
        <w:rPr>
          <w:rStyle w:val="FootnoteReference"/>
          <w:rFonts w:eastAsia="Arial Unicode MS"/>
          <w:noProof/>
        </w:rPr>
        <w:footnoteReference w:id="14"/>
      </w:r>
      <w:r>
        <w:rPr>
          <w:noProof/>
        </w:rPr>
        <w:t xml:space="preserve"> et le plan d’action de l’Union visant à améliorer la préparation aux risques en matière de sécurité chimique, biologique, radiologique et nucléaire</w:t>
      </w:r>
      <w:r>
        <w:rPr>
          <w:rStyle w:val="FootnoteReference"/>
          <w:noProof/>
        </w:rPr>
        <w:footnoteReference w:id="15"/>
      </w:r>
      <w:r>
        <w:rPr>
          <w:noProof/>
        </w:rPr>
        <w:t xml:space="preserve">. </w:t>
      </w:r>
    </w:p>
    <w:p>
      <w:pPr>
        <w:pStyle w:val="Text1"/>
        <w:rPr>
          <w:noProof/>
        </w:rPr>
      </w:pPr>
      <w:r>
        <w:rPr>
          <w:noProof/>
        </w:rPr>
        <w:t>Dans de nombreux domaines d’action, l’Union tire actuellement les leçons de la crise et reconnaît la nécessité de disposer de mesures spécifiques pouvant être mises en œuvre en cas d’urgence.</w:t>
      </w:r>
    </w:p>
    <w:p>
      <w:pPr>
        <w:pStyle w:val="ManualHeading1"/>
        <w:rPr>
          <w:noProof/>
        </w:rPr>
      </w:pPr>
      <w:bookmarkStart w:id="5" w:name="_Toc83310785"/>
      <w:r>
        <w:rPr>
          <w:noProof/>
        </w:rPr>
        <w:t>2.</w:t>
      </w:r>
      <w:r>
        <w:rPr>
          <w:noProof/>
        </w:rPr>
        <w:tab/>
        <w:t>BASE JURIDIQUE, SUBSIDIARITÉ ET PROPORTIONNALITÉ</w:t>
      </w:r>
      <w:bookmarkEnd w:id="5"/>
    </w:p>
    <w:p>
      <w:pPr>
        <w:pStyle w:val="ManualHeading2"/>
        <w:rPr>
          <w:rFonts w:eastAsia="Arial Unicode MS"/>
          <w:noProof/>
          <w:u w:color="000000"/>
          <w:bdr w:val="nil"/>
        </w:rPr>
      </w:pPr>
      <w:bookmarkStart w:id="6" w:name="_Toc83310786"/>
      <w:r>
        <w:rPr>
          <w:noProof/>
          <w:u w:color="000000"/>
          <w:bdr w:val="nil"/>
        </w:rPr>
        <w:t>•</w:t>
      </w:r>
      <w:r>
        <w:rPr>
          <w:noProof/>
        </w:rPr>
        <w:tab/>
      </w:r>
      <w:r>
        <w:rPr>
          <w:noProof/>
          <w:u w:color="000000"/>
          <w:bdr w:val="nil"/>
        </w:rPr>
        <w:t>Base juridique</w:t>
      </w:r>
      <w:bookmarkEnd w:id="6"/>
    </w:p>
    <w:p>
      <w:pPr>
        <w:pStyle w:val="Text1"/>
        <w:rPr>
          <w:noProof/>
        </w:rPr>
      </w:pPr>
      <w:r>
        <w:rPr>
          <w:noProof/>
        </w:rPr>
        <w:t>Étant donné que la proposition de règlement à l’examen vise à garantir la fourniture, la disponibilité et l’accessibilité, en temps utile, de contre-mesures médicales en cas de crise pour faire face aux conséquences économiques des urgences de santé publique, elle est fondée sur l’article 122, paragraphe 1, du traité sur le fonctionnement de l’Union européenne (TFUE). Le Conseil peut, en vertu de l’article 122, paragraphe 1, du TFUE, décider des mesures appropriées à la situation économique, en particulier si de graves difficultés surviennent dans l’approvisionnement en certains produits.</w:t>
      </w:r>
    </w:p>
    <w:p>
      <w:pPr>
        <w:pStyle w:val="ManualHeading2"/>
        <w:rPr>
          <w:rFonts w:eastAsia="Arial Unicode MS"/>
          <w:noProof/>
          <w:u w:color="000000"/>
          <w:bdr w:val="nil"/>
        </w:rPr>
      </w:pPr>
      <w:bookmarkStart w:id="7" w:name="_Toc83310787"/>
      <w:r>
        <w:rPr>
          <w:noProof/>
          <w:u w:color="000000"/>
          <w:bdr w:val="nil"/>
        </w:rPr>
        <w:t>•</w:t>
      </w:r>
      <w:r>
        <w:rPr>
          <w:noProof/>
        </w:rPr>
        <w:tab/>
      </w:r>
      <w:r>
        <w:rPr>
          <w:noProof/>
          <w:u w:color="000000"/>
          <w:bdr w:val="nil"/>
        </w:rPr>
        <w:t>Subsidiarité (en cas de compétence non exclusive)</w:t>
      </w:r>
      <w:bookmarkEnd w:id="7"/>
      <w:r>
        <w:rPr>
          <w:noProof/>
          <w:u w:color="000000"/>
          <w:bdr w:val="nil"/>
        </w:rPr>
        <w:t xml:space="preserve"> </w:t>
      </w:r>
    </w:p>
    <w:p>
      <w:pPr>
        <w:pStyle w:val="Text1"/>
        <w:rPr>
          <w:noProof/>
          <w:szCs w:val="24"/>
        </w:rPr>
      </w:pPr>
      <w:r>
        <w:rPr>
          <w:noProof/>
        </w:rPr>
        <w:t>Les urgences de santé publique de l’ampleur de la pandémie de COVID-19 ont des répercussions sur tous les États membres. Les mesures prises par les États membres au niveau national ne permettent ni de relever tous les défis découlant d’une telle situation d’urgence ni d’apporter une réponse suffisante à elles seules. Une action unilatérale par le biais d’initiatives des États membres visant à garantir la disponibilité et la fourniture, en quantité suffisante et en temps utile, de contre-mesures médicales en cas de crise risque d’accroître la concurrence interne et de conduire à une réaction insatisfaisante au niveau de l’Union. Ce genre d’action unilatérale peut, en fin de compte, avoir des conséquences importantes pour l’économie ou la santé des citoyens de l’Union.</w:t>
      </w:r>
    </w:p>
    <w:p>
      <w:pPr>
        <w:pStyle w:val="Text1"/>
        <w:rPr>
          <w:noProof/>
        </w:rPr>
      </w:pPr>
      <w:r>
        <w:rPr>
          <w:noProof/>
        </w:rPr>
        <w:t xml:space="preserve">Dans un monde interconnecté et interdépendant, les personnes et les marchandises traversent les frontières, de sorte que les agents pathogènes et les produits contaminés peuvent se répandre rapidement sur la planète entière. Il importe donc que les mesures de santé publique prises à l’échelon national soient coordonnées au-delà des frontières, y compris au niveau des contre-mesures médicales qui s’imposent, afin de maîtriser la propagation et de réduire le plus possible les conséquences de ces menaces. </w:t>
      </w:r>
      <w:r>
        <w:rPr>
          <w:noProof/>
          <w:color w:val="000000" w:themeColor="text1"/>
          <w:szCs w:val="24"/>
        </w:rPr>
        <w:t>Lorsqu’elle est appropriée à la situation économique</w:t>
      </w:r>
      <w:r>
        <w:rPr>
          <w:noProof/>
        </w:rPr>
        <w:t xml:space="preserve">, une réaction coordonnée au niveau de l’Union visant à garantir la disponibilité et l’accessibilité de contre-mesures médicales en cas de crise peut contribuer à éviter des investissements non coordonnés dans les États membres. </w:t>
      </w:r>
    </w:p>
    <w:p>
      <w:pPr>
        <w:pStyle w:val="ManualHeading2"/>
        <w:rPr>
          <w:rFonts w:eastAsia="Arial Unicode MS"/>
          <w:noProof/>
          <w:u w:color="000000"/>
          <w:bdr w:val="nil"/>
        </w:rPr>
      </w:pPr>
      <w:bookmarkStart w:id="8" w:name="_Toc83310788"/>
      <w:r>
        <w:rPr>
          <w:noProof/>
          <w:u w:color="000000"/>
          <w:bdr w:val="nil"/>
        </w:rPr>
        <w:t>•</w:t>
      </w:r>
      <w:r>
        <w:rPr>
          <w:noProof/>
        </w:rPr>
        <w:tab/>
      </w:r>
      <w:r>
        <w:rPr>
          <w:noProof/>
          <w:u w:color="000000"/>
          <w:bdr w:val="nil"/>
        </w:rPr>
        <w:t>Proportionnalité</w:t>
      </w:r>
      <w:bookmarkEnd w:id="8"/>
    </w:p>
    <w:p>
      <w:pPr>
        <w:pStyle w:val="Text1"/>
        <w:rPr>
          <w:noProof/>
        </w:rPr>
      </w:pPr>
      <w:r>
        <w:rPr>
          <w:noProof/>
        </w:rPr>
        <w:t xml:space="preserve">La proposition constitue une réponse proportionnée aux problèmes décrits au point 1, notamment en mettant en place un cadre qui permettra à l’Union de prendre les mesures nécessaires pour garantir la disponibilité et la fourniture, en quantité suffisante et en temps utile, de contre-mesures médicales en cas d’urgence de santé publique au niveau de l’Union, lorsqu’elles sont appropriées à la situation économique. </w:t>
      </w:r>
    </w:p>
    <w:p>
      <w:pPr>
        <w:pStyle w:val="Text1"/>
        <w:rPr>
          <w:rFonts w:eastAsia="Arial Unicode MS"/>
          <w:noProof/>
        </w:rPr>
      </w:pPr>
      <w:r>
        <w:rPr>
          <w:noProof/>
        </w:rPr>
        <w:t>Conformément au principe de proportionnalité tel qu’énoncé à l’article 5 du traité sur l’Union européenne, la proposition et les mesures ci-jointes n’excèdent pas ce qui est nécessaire et proportionné pour atteindre ces objectifs.</w:t>
      </w:r>
    </w:p>
    <w:p>
      <w:pPr>
        <w:pStyle w:val="ManualHeading2"/>
        <w:rPr>
          <w:rFonts w:eastAsia="Arial Unicode MS"/>
          <w:noProof/>
          <w:u w:color="000000"/>
          <w:bdr w:val="nil"/>
        </w:rPr>
      </w:pPr>
      <w:bookmarkStart w:id="9" w:name="_Toc83310789"/>
      <w:r>
        <w:rPr>
          <w:noProof/>
          <w:u w:color="000000"/>
          <w:bdr w:val="nil"/>
        </w:rPr>
        <w:t>•</w:t>
      </w:r>
      <w:r>
        <w:rPr>
          <w:noProof/>
        </w:rPr>
        <w:tab/>
      </w:r>
      <w:r>
        <w:rPr>
          <w:noProof/>
          <w:u w:color="000000"/>
          <w:bdr w:val="nil"/>
        </w:rPr>
        <w:t>Choix de l’instrument</w:t>
      </w:r>
      <w:bookmarkEnd w:id="9"/>
    </w:p>
    <w:p>
      <w:pPr>
        <w:pStyle w:val="Text1"/>
        <w:rPr>
          <w:noProof/>
        </w:rPr>
      </w:pPr>
      <w:r>
        <w:rPr>
          <w:noProof/>
        </w:rPr>
        <w:t>La proposition prend la forme d’un règlement du Conseil. Celui-ci est considéré comme l’instrument le plus approprié, car un aspect essentiel de la proposition consiste à mettre en place des procédures et des structures de coopération destinées à des travaux communs au niveau de l’Union axés sur la réaction aux menaces transfrontières pour la santé. Les mesures ne nécessitent pas la mise en œuvre de mesures nationales et peuvent être directement applicables.</w:t>
      </w:r>
    </w:p>
    <w:p>
      <w:pPr>
        <w:pStyle w:val="ManualHeading1"/>
        <w:rPr>
          <w:noProof/>
        </w:rPr>
      </w:pPr>
      <w:bookmarkStart w:id="10" w:name="_Toc83310790"/>
      <w:r>
        <w:rPr>
          <w:noProof/>
        </w:rPr>
        <w:t>3.</w:t>
      </w:r>
      <w:r>
        <w:rPr>
          <w:noProof/>
        </w:rPr>
        <w:tab/>
        <w:t>RÉSULTATS DES ÉVALUATIONS EX POST, DES CONSULTATIONS DES PARTIES INTÉRESSÉES ET DES ANALYSES D’IMPACT</w:t>
      </w:r>
      <w:bookmarkEnd w:id="10"/>
    </w:p>
    <w:p>
      <w:pPr>
        <w:pStyle w:val="ManualHeading2"/>
        <w:rPr>
          <w:rFonts w:eastAsia="Arial Unicode MS"/>
          <w:noProof/>
          <w:u w:color="000000"/>
          <w:bdr w:val="nil"/>
        </w:rPr>
      </w:pPr>
      <w:bookmarkStart w:id="11" w:name="_Toc83310791"/>
      <w:r>
        <w:rPr>
          <w:noProof/>
          <w:u w:color="000000"/>
          <w:bdr w:val="nil"/>
        </w:rPr>
        <w:t>•</w:t>
      </w:r>
      <w:r>
        <w:rPr>
          <w:noProof/>
        </w:rPr>
        <w:tab/>
      </w:r>
      <w:r>
        <w:rPr>
          <w:noProof/>
          <w:u w:color="000000"/>
          <w:bdr w:val="nil"/>
        </w:rPr>
        <w:t>Consultations des parties intéressées</w:t>
      </w:r>
      <w:bookmarkEnd w:id="11"/>
    </w:p>
    <w:p>
      <w:pPr>
        <w:pStyle w:val="Text1"/>
        <w:rPr>
          <w:noProof/>
        </w:rPr>
      </w:pPr>
      <w:r>
        <w:rPr>
          <w:noProof/>
        </w:rPr>
        <w:t>Le cadre de mesures à activer pour renforcer la réaction en cas d’urgence de santé publique n’a pas, en tant que tel, fait l’objet d’une consultation, mais une consultation approfondie a eu lieu avec les groupes de parties prenantes concernés à propos de la création de l’HERA afin de garantir que leurs points de vue soient présentés et examinés tout au long du processus d’élaboration des politiques. Ce retour d’information a permis de comprendre quelles mesures d’urgence étaient jugées nécessaires pour réagir efficacement et a constitué la base de la présente proposition de règlement.</w:t>
      </w:r>
    </w:p>
    <w:p>
      <w:pPr>
        <w:pStyle w:val="Text1"/>
        <w:rPr>
          <w:noProof/>
          <w:szCs w:val="24"/>
        </w:rPr>
      </w:pPr>
      <w:r>
        <w:rPr>
          <w:noProof/>
        </w:rPr>
        <w:t xml:space="preserve">Plus précisément, les activités de consultation suivantes ont été effectuées: </w:t>
      </w:r>
    </w:p>
    <w:p>
      <w:pPr>
        <w:pStyle w:val="Point1"/>
        <w:rPr>
          <w:rFonts w:eastAsia="Arial Unicode MS"/>
          <w:noProof/>
        </w:rPr>
      </w:pPr>
      <w:r>
        <w:rPr>
          <w:noProof/>
        </w:rPr>
        <w:t>●</w:t>
      </w:r>
      <w:r>
        <w:rPr>
          <w:noProof/>
        </w:rPr>
        <w:tab/>
        <w:t>une période de contribution de quatre semaines concernant l’analyse d’impact initiale (du 27 janvier au 24 février 2021);</w:t>
      </w:r>
    </w:p>
    <w:p>
      <w:pPr>
        <w:pStyle w:val="Point1"/>
        <w:rPr>
          <w:rFonts w:eastAsia="Arial Unicode MS"/>
          <w:noProof/>
        </w:rPr>
      </w:pPr>
      <w:r>
        <w:rPr>
          <w:noProof/>
        </w:rPr>
        <w:t>●</w:t>
      </w:r>
      <w:r>
        <w:rPr>
          <w:noProof/>
        </w:rPr>
        <w:tab/>
        <w:t>une consultation publique en ligne de six semaines (du 31 mars au 12 mai 2021), à laquelle ont contribué 135 parties prenantes</w:t>
      </w:r>
      <w:r>
        <w:rPr>
          <w:rStyle w:val="FootnoteReference"/>
          <w:noProof/>
        </w:rPr>
        <w:footnoteReference w:id="16"/>
      </w:r>
      <w:r>
        <w:rPr>
          <w:noProof/>
        </w:rPr>
        <w:t>; et</w:t>
      </w:r>
    </w:p>
    <w:p>
      <w:pPr>
        <w:pStyle w:val="Point1"/>
        <w:rPr>
          <w:noProof/>
        </w:rPr>
      </w:pPr>
      <w:r>
        <w:rPr>
          <w:noProof/>
        </w:rPr>
        <w:t>●</w:t>
      </w:r>
      <w:r>
        <w:rPr>
          <w:noProof/>
        </w:rPr>
        <w:tab/>
        <w:t>des consultations ciblées avec les parties prenantes, par la création d’un groupe de haut niveau avec les États membres, d’un groupe de sherpas avec l’industrie, ainsi que de réunions bilatérales avec les États membres, les acteurs internationaux et le Parlement européen.</w:t>
      </w:r>
    </w:p>
    <w:p>
      <w:pPr>
        <w:pStyle w:val="Text1"/>
        <w:rPr>
          <w:noProof/>
        </w:rPr>
      </w:pPr>
      <w:r>
        <w:rPr>
          <w:noProof/>
        </w:rPr>
        <w:t>Dans l’ensemble, la proposition de la Commission concernant la création de l’HERA a été bien accueillie et les parties prenantes ont souligné la valeur ajoutée manifeste de cette initiative tout comme le fait que l’Union doit intensifier ses activités liées aux contre-mesures médicales de préparation et de gestion des crises. Étant donné le point de vue largement partagé selon lequel une réaction rapide et efficace est indispensable au niveau de l’Union, la Commission propose une série de mesures d’urgence qui peuvent être activées en cas d’urgence sanitaire afin de garantir une telle réaction rapide et efficace.</w:t>
      </w:r>
    </w:p>
    <w:p>
      <w:pPr>
        <w:pBdr>
          <w:top w:val="nil"/>
          <w:left w:val="nil"/>
          <w:bottom w:val="nil"/>
          <w:right w:val="nil"/>
          <w:between w:val="nil"/>
          <w:bar w:val="nil"/>
        </w:pBdr>
        <w:spacing w:before="0" w:after="240"/>
        <w:rPr>
          <w:rFonts w:eastAsia="Arial Unicode MS"/>
          <w:b/>
          <w:noProof/>
          <w:u w:color="000000"/>
          <w:bdr w:val="nil"/>
        </w:rPr>
      </w:pPr>
      <w:r>
        <w:rPr>
          <w:b/>
          <w:noProof/>
          <w:u w:color="000000"/>
          <w:bdr w:val="nil"/>
        </w:rPr>
        <w:t>•</w:t>
      </w:r>
      <w:r>
        <w:rPr>
          <w:noProof/>
        </w:rPr>
        <w:tab/>
      </w:r>
      <w:r>
        <w:rPr>
          <w:b/>
          <w:noProof/>
          <w:u w:color="000000"/>
          <w:bdr w:val="nil"/>
        </w:rPr>
        <w:t>Obtention et utilisation d’expertise</w:t>
      </w:r>
    </w:p>
    <w:p>
      <w:pPr>
        <w:pStyle w:val="Text1"/>
        <w:rPr>
          <w:rFonts w:eastAsia="Arial Unicode MS"/>
          <w:noProof/>
        </w:rPr>
      </w:pPr>
      <w:r>
        <w:rPr>
          <w:noProof/>
        </w:rPr>
        <w:t>Sans objet</w:t>
      </w:r>
    </w:p>
    <w:p>
      <w:pPr>
        <w:pStyle w:val="ManualHeading2"/>
        <w:rPr>
          <w:rFonts w:eastAsia="Arial Unicode MS"/>
          <w:noProof/>
          <w:u w:color="000000"/>
          <w:bdr w:val="nil"/>
        </w:rPr>
      </w:pPr>
      <w:bookmarkStart w:id="12" w:name="_Toc83310792"/>
      <w:r>
        <w:rPr>
          <w:noProof/>
          <w:u w:color="000000"/>
          <w:bdr w:val="nil"/>
        </w:rPr>
        <w:t>•</w:t>
      </w:r>
      <w:r>
        <w:rPr>
          <w:noProof/>
        </w:rPr>
        <w:tab/>
      </w:r>
      <w:r>
        <w:rPr>
          <w:noProof/>
          <w:u w:color="000000"/>
          <w:bdr w:val="nil"/>
        </w:rPr>
        <w:t>Analyse d’impact</w:t>
      </w:r>
      <w:bookmarkEnd w:id="12"/>
    </w:p>
    <w:p>
      <w:pPr>
        <w:pStyle w:val="Text1"/>
        <w:rPr>
          <w:rFonts w:eastAsia="Arial Unicode MS"/>
          <w:noProof/>
        </w:rPr>
      </w:pPr>
      <w:r>
        <w:rPr>
          <w:noProof/>
        </w:rPr>
        <w:t>En raison de la nécessité immédiate de renforcer le cadre relatif à la préparation d’une future urgence de santé publique, aucune analyse d’impact formelle n’accompagne la présente proposition, car elle n’aurait pas pu être effectuée dans les délais impartis avant l’adoption de la présente proposition. En ce qui concerne les dispositifs médicaux et les dispositifs médicaux de diagnostic in vitro, la proposition tient toutefois compte de l’analyse d’impact réalisée en vue de l’adoption du règlement (UE) 2017/745 du Parlement européen et du Conseil</w:t>
      </w:r>
      <w:r>
        <w:rPr>
          <w:rStyle w:val="FootnoteReference"/>
          <w:noProof/>
        </w:rPr>
        <w:footnoteReference w:id="17"/>
      </w:r>
      <w:r>
        <w:rPr>
          <w:noProof/>
        </w:rPr>
        <w:t xml:space="preserve"> et du règlement (UE) 2017/746 du Parlement européen et du Conseil</w:t>
      </w:r>
      <w:r>
        <w:rPr>
          <w:rStyle w:val="FootnoteReference"/>
          <w:noProof/>
        </w:rPr>
        <w:footnoteReference w:id="18"/>
      </w:r>
      <w:r>
        <w:rPr>
          <w:noProof/>
        </w:rPr>
        <w:t>. La proposition s’inspire également des recommandations figurant dans l’avis commun «Améliorer la préparation aux pandémies et leur gestion» du groupe de conseillers scientifiques à haut niveau de la Commission européenne (GCSA)</w:t>
      </w:r>
      <w:r>
        <w:rPr>
          <w:rStyle w:val="FootnoteReference"/>
          <w:noProof/>
        </w:rPr>
        <w:footnoteReference w:id="19"/>
      </w:r>
      <w:r>
        <w:rPr>
          <w:noProof/>
        </w:rPr>
        <w:t>, du groupe européen d’éthique des sciences et des nouvelles technologies (GEE) et du conseiller spécial auprès de la présidente de la Commission européenne sur la riposte à la COVID-19.</w:t>
      </w:r>
    </w:p>
    <w:p>
      <w:pPr>
        <w:pStyle w:val="ManualHeading2"/>
        <w:rPr>
          <w:rFonts w:eastAsia="Arial Unicode MS"/>
          <w:noProof/>
          <w:u w:color="000000"/>
          <w:bdr w:val="nil"/>
        </w:rPr>
      </w:pPr>
      <w:bookmarkStart w:id="13" w:name="_Toc83310793"/>
      <w:r>
        <w:rPr>
          <w:noProof/>
          <w:u w:color="000000"/>
          <w:bdr w:val="nil"/>
        </w:rPr>
        <w:t>•</w:t>
      </w:r>
      <w:r>
        <w:rPr>
          <w:noProof/>
        </w:rPr>
        <w:tab/>
      </w:r>
      <w:r>
        <w:rPr>
          <w:noProof/>
          <w:u w:color="000000"/>
          <w:bdr w:val="nil"/>
        </w:rPr>
        <w:t>Droits fondamentaux</w:t>
      </w:r>
      <w:bookmarkEnd w:id="13"/>
    </w:p>
    <w:p>
      <w:pPr>
        <w:pStyle w:val="Text1"/>
        <w:rPr>
          <w:noProof/>
        </w:rPr>
      </w:pPr>
      <w:r>
        <w:rPr>
          <w:noProof/>
        </w:rPr>
        <w:t>La proposition contribue à atteindre un haut degré de protection de la santé humaine, ainsi qu’à faire respecter les normes les plus élevées en matière de protection des droits de l’homme et des libertés fondamentales, tels qu’ils sont consacrés dans la Charte des droits fondamentaux de l’Union européenne (ci-après la «Charte»). Les mesures prévues par le présent règlement peuvent limiter la liberté d’entreprise et la liberté contractuelle, protégées par l’article 16 de la Charte et le droit de propriété, inscrit à l’article 17 de la Charte. Conformément à l’article 52, paragraphe 1, de la Charte, toute limitation de l’exercice de ces droits doit être prévue par la loi, respecter le contenu essentiel desdits droits et obéir au principe de proportionnalité.</w:t>
      </w:r>
    </w:p>
    <w:p>
      <w:pPr>
        <w:pStyle w:val="Text1"/>
        <w:rPr>
          <w:rFonts w:eastAsia="Arial Unicode MS"/>
          <w:noProof/>
        </w:rPr>
      </w:pPr>
      <w:r>
        <w:rPr>
          <w:noProof/>
        </w:rPr>
        <w:t>Lorsque les activités à entreprendre au titre du présent règlement impliquent le traitement de données à caractère personnel, la licéité de ce traitement sera fondée sur les actes confiant leurs tâches aux différents acteurs concernés, et ne fait pas l’objet du présent règlement. Tout traitement de ce type doit être conforme à la législation de l’Union applicable en matière de protection des données à caractère personnel, à savoir le règlement (UE) 2018/1725 du Parlement européen et du Conseil</w:t>
      </w:r>
      <w:r>
        <w:rPr>
          <w:rStyle w:val="FootnoteReference"/>
          <w:noProof/>
        </w:rPr>
        <w:footnoteReference w:id="20"/>
      </w:r>
      <w:r>
        <w:rPr>
          <w:noProof/>
        </w:rPr>
        <w:t xml:space="preserve"> et le règlement (UE) 2016/679 du Parlement européen et du Conseil</w:t>
      </w:r>
      <w:r>
        <w:rPr>
          <w:rStyle w:val="FootnoteReference"/>
          <w:noProof/>
        </w:rPr>
        <w:footnoteReference w:id="21"/>
      </w:r>
      <w:r>
        <w:rPr>
          <w:noProof/>
        </w:rPr>
        <w:t>.</w:t>
      </w:r>
    </w:p>
    <w:p>
      <w:pPr>
        <w:pStyle w:val="ManualHeading1"/>
        <w:rPr>
          <w:noProof/>
        </w:rPr>
      </w:pPr>
      <w:bookmarkStart w:id="14" w:name="_Toc83310794"/>
      <w:r>
        <w:rPr>
          <w:noProof/>
        </w:rPr>
        <w:t>4.</w:t>
      </w:r>
      <w:r>
        <w:rPr>
          <w:noProof/>
        </w:rPr>
        <w:tab/>
        <w:t>INCIDENCE BUDGÉTAIRE</w:t>
      </w:r>
      <w:bookmarkEnd w:id="14"/>
    </w:p>
    <w:p>
      <w:pPr>
        <w:pStyle w:val="Text1"/>
        <w:rPr>
          <w:noProof/>
        </w:rPr>
      </w:pPr>
      <w:r>
        <w:rPr>
          <w:noProof/>
        </w:rPr>
        <w:t>Dans une situation d’urgence de santé publique au niveau de l’Union, afin de garantir la souplesse et la rapidité nécessaires dans la mise en œuvre, le Conseil pourrait également déclencher un financement par l’intermédiaire de l’instrument d’aide d’urgence</w:t>
      </w:r>
      <w:r>
        <w:rPr>
          <w:rStyle w:val="FootnoteReference"/>
          <w:noProof/>
          <w:szCs w:val="24"/>
        </w:rPr>
        <w:footnoteReference w:id="22"/>
      </w:r>
      <w:r>
        <w:rPr>
          <w:noProof/>
        </w:rPr>
        <w:t>. Étant donné qu’aucun budget annuel spécifique n’est alloué à l’instrument d’aide d’urgence, lorsque ce dernier sera activé, la Commission analysera la nécessité de transférer des fonds provenant de programmes existants ou de recourir à des instruments spéciaux. Comme le prévoit l’article 4 du règlement (UE) 2016/369 du Conseil, des contributions pourraient également être versées par les États membres (ou par d’autres donateurs publics ou privés en tant que recettes affectées externes), conformément à l’article 21, paragraphe 5, du règlement (UE, Euratom) 2018/1046 du Parlement européen et du Conseil</w:t>
      </w:r>
      <w:r>
        <w:rPr>
          <w:rStyle w:val="FootnoteReference"/>
          <w:noProof/>
        </w:rPr>
        <w:footnoteReference w:id="23"/>
      </w:r>
      <w:r>
        <w:rPr>
          <w:noProof/>
        </w:rPr>
        <w:t>.</w:t>
      </w:r>
    </w:p>
    <w:p>
      <w:pPr>
        <w:pStyle w:val="ManualHeading1"/>
        <w:rPr>
          <w:noProof/>
        </w:rPr>
      </w:pPr>
      <w:bookmarkStart w:id="15" w:name="_Toc83310795"/>
      <w:r>
        <w:rPr>
          <w:noProof/>
        </w:rPr>
        <w:t>5.</w:t>
      </w:r>
      <w:r>
        <w:rPr>
          <w:noProof/>
        </w:rPr>
        <w:tab/>
        <w:t>AUTRES ÉLÉMENTS</w:t>
      </w:r>
      <w:bookmarkEnd w:id="15"/>
    </w:p>
    <w:p>
      <w:pPr>
        <w:pStyle w:val="ManualHeading2"/>
        <w:rPr>
          <w:rFonts w:eastAsia="Arial Unicode MS"/>
          <w:noProof/>
          <w:u w:color="000000"/>
          <w:bdr w:val="nil"/>
        </w:rPr>
      </w:pPr>
      <w:bookmarkStart w:id="16" w:name="_Toc83310796"/>
      <w:r>
        <w:rPr>
          <w:noProof/>
          <w:u w:color="000000"/>
          <w:bdr w:val="nil"/>
        </w:rPr>
        <w:t>•</w:t>
      </w:r>
      <w:r>
        <w:rPr>
          <w:noProof/>
        </w:rPr>
        <w:tab/>
      </w:r>
      <w:r>
        <w:rPr>
          <w:noProof/>
          <w:u w:color="000000"/>
          <w:bdr w:val="nil"/>
        </w:rPr>
        <w:t>Plans de mise en œuvre et modalités de suivi, d’évaluation et d’information</w:t>
      </w:r>
      <w:bookmarkEnd w:id="16"/>
    </w:p>
    <w:p>
      <w:pPr>
        <w:pStyle w:val="Text1"/>
        <w:rPr>
          <w:noProof/>
        </w:rPr>
      </w:pPr>
      <w:r>
        <w:rPr>
          <w:noProof/>
        </w:rPr>
        <w:t>La Commission prévoit de procéder en 2025, ou au plus tard après la première activation des mesures d’urgence, à une révision du cadre des mesures relatives à des contre-mesures médicales nécessaires en cas d’urgence de santé publique. Les principales conclusions de l’évaluation seront présentées dans un rapport au Parlement européen et au Conseil.</w:t>
      </w:r>
    </w:p>
    <w:p>
      <w:pPr>
        <w:pStyle w:val="ManualHeading2"/>
        <w:rPr>
          <w:rFonts w:eastAsia="Arial Unicode MS"/>
          <w:noProof/>
          <w:u w:color="000000"/>
          <w:bdr w:val="nil"/>
        </w:rPr>
      </w:pPr>
      <w:bookmarkStart w:id="17" w:name="_Toc83310797"/>
      <w:r>
        <w:rPr>
          <w:noProof/>
          <w:u w:color="000000"/>
          <w:bdr w:val="nil"/>
        </w:rPr>
        <w:t>•</w:t>
      </w:r>
      <w:r>
        <w:rPr>
          <w:noProof/>
        </w:rPr>
        <w:tab/>
      </w:r>
      <w:r>
        <w:rPr>
          <w:noProof/>
          <w:u w:color="000000"/>
          <w:bdr w:val="nil"/>
        </w:rPr>
        <w:t>Explication détaillée de certaines dispositions de la proposition</w:t>
      </w:r>
      <w:bookmarkEnd w:id="17"/>
    </w:p>
    <w:p>
      <w:pPr>
        <w:pStyle w:val="Text1"/>
        <w:rPr>
          <w:noProof/>
        </w:rPr>
      </w:pPr>
      <w:r>
        <w:rPr>
          <w:noProof/>
        </w:rPr>
        <w:t>La proposition de cadre visant à garantir la fourniture de contre-mesures médicales en cas d’urgence de santé publique contient les mesures clés suivantes:</w:t>
      </w:r>
    </w:p>
    <w:p>
      <w:pPr>
        <w:pStyle w:val="Point1"/>
        <w:rPr>
          <w:rFonts w:eastAsia="Times New Roman"/>
          <w:noProof/>
          <w:szCs w:val="24"/>
        </w:rPr>
      </w:pPr>
      <w:r>
        <w:rPr>
          <w:noProof/>
        </w:rPr>
        <w:t>●</w:t>
      </w:r>
      <w:r>
        <w:rPr>
          <w:noProof/>
        </w:rPr>
        <w:tab/>
        <w:t>la mise en place d’un conseil de gestion des crises sanitaires chargé d’assurer la coordination et l’intégration des approches concernant des contre-mesures médicales en cas de crise au niveau de l’Union dans des situations d’urgence de santé publique;</w:t>
      </w:r>
    </w:p>
    <w:p>
      <w:pPr>
        <w:pStyle w:val="Point1"/>
        <w:rPr>
          <w:noProof/>
          <w:szCs w:val="24"/>
        </w:rPr>
      </w:pPr>
      <w:r>
        <w:rPr>
          <w:noProof/>
        </w:rPr>
        <w:t>●</w:t>
      </w:r>
      <w:r>
        <w:rPr>
          <w:noProof/>
        </w:rPr>
        <w:tab/>
        <w:t>la mise en place de mécanismes pour la veille, l’activation d’un financement d’urgence, les marchés publics et l’achat des contre-mesures médicales ainsi que des matières premières nécessaires en cas de crise, notamment une évaluation rapide et rigoureuse des chaînes d’approvisionnement et de la capacité de production des fabricants, éventuellement également au moyen de visites sur place avant la conclusion d’un contrat d’achat anticipé ou d’un partenariat d’innovation;</w:t>
      </w:r>
    </w:p>
    <w:p>
      <w:pPr>
        <w:pStyle w:val="Point1"/>
        <w:rPr>
          <w:rFonts w:eastAsia="Times New Roman"/>
          <w:noProof/>
          <w:szCs w:val="24"/>
        </w:rPr>
      </w:pPr>
      <w:r>
        <w:rPr>
          <w:noProof/>
        </w:rPr>
        <w:t>●</w:t>
      </w:r>
      <w:r>
        <w:rPr>
          <w:noProof/>
        </w:rPr>
        <w:tab/>
        <w:t>l’activation des installations Fab UE afin de mobiliser des capacités de réserve pour l’intensification de la production dans les cas d’urgence en vue de garantir la fourniture des contre-mesures médicales et des matières premières nécessaires;</w:t>
      </w:r>
    </w:p>
    <w:p>
      <w:pPr>
        <w:pStyle w:val="Point1"/>
        <w:rPr>
          <w:rFonts w:eastAsia="Times New Roman"/>
          <w:noProof/>
          <w:szCs w:val="24"/>
        </w:rPr>
      </w:pPr>
      <w:r>
        <w:rPr>
          <w:noProof/>
        </w:rPr>
        <w:t>●</w:t>
      </w:r>
      <w:r>
        <w:rPr>
          <w:noProof/>
        </w:rPr>
        <w:tab/>
        <w:t>l’activation de plans de recherche et d’innovation en cas d’urgence, en concertation avec les États membres, et l’utilisation de réseaux d’essais cliniques à l’échelle de l’Union, ainsi que des mesures et des plateformes concernant le partage rapide des données; et</w:t>
      </w:r>
    </w:p>
    <w:p>
      <w:pPr>
        <w:pStyle w:val="Point1"/>
        <w:rPr>
          <w:rFonts w:eastAsia="Times New Roman"/>
          <w:noProof/>
          <w:szCs w:val="24"/>
        </w:rPr>
      </w:pPr>
      <w:r>
        <w:rPr>
          <w:noProof/>
        </w:rPr>
        <w:t>●</w:t>
      </w:r>
      <w:r>
        <w:rPr>
          <w:noProof/>
        </w:rPr>
        <w:tab/>
        <w:t>des mesures concernant la production de contre-mesures médicales en rapport avec la crise, notamment l’établissement d’un inventaire des contre-mesures médicales nécessaires en cas de crise, des installations de production de ces contre-mesures médicales, des matières premières, des consommables, des dispositifs, des équipements et des infrastructures, ainsi que des mesures visant à accroître leur production dans l’UE.</w:t>
      </w:r>
    </w:p>
    <w:p>
      <w:pPr>
        <w:pStyle w:val="Point1"/>
        <w:rPr>
          <w:noProof/>
        </w:rPr>
      </w:pPr>
      <w:r>
        <w:rPr>
          <w:rFonts w:eastAsia="Times New Roman"/>
          <w:noProof/>
          <w:szCs w:val="24"/>
          <w:lang w:eastAsia="en-IE"/>
        </w:rPr>
        <w:br w:type="page"/>
      </w:r>
    </w:p>
    <w:p>
      <w:pPr>
        <w:pStyle w:val="Rfrenceinterinstitutionnelle"/>
        <w:rPr>
          <w:noProof/>
        </w:rPr>
      </w:pPr>
      <w:r>
        <w:rPr>
          <w:noProof/>
        </w:rPr>
        <w:t>2021/0294 (NLE)</w:t>
      </w:r>
    </w:p>
    <w:p>
      <w:pPr>
        <w:pStyle w:val="Statut"/>
        <w:rPr>
          <w:noProof/>
        </w:rPr>
      </w:pPr>
      <w:r>
        <w:rPr>
          <w:noProof/>
        </w:rPr>
        <w:t>Proposition de</w:t>
      </w:r>
    </w:p>
    <w:p>
      <w:pPr>
        <w:pStyle w:val="Typedudocument"/>
        <w:rPr>
          <w:noProof/>
        </w:rPr>
      </w:pPr>
      <w:r>
        <w:rPr>
          <w:noProof/>
        </w:rPr>
        <w:t>RÈGLEMENT DU CONSEIL</w:t>
      </w:r>
    </w:p>
    <w:p>
      <w:pPr>
        <w:pStyle w:val="Titreobjet"/>
        <w:rPr>
          <w:noProof/>
        </w:rPr>
      </w:pPr>
      <w:r>
        <w:rPr>
          <w:noProof/>
        </w:rPr>
        <w:t>établissant un cadre de mesures visant à garantir la fourniture des contre-mesures médicales nécessaires en cas d’urgence de santé publique au niveau de l’Union</w:t>
      </w:r>
    </w:p>
    <w:p>
      <w:pPr>
        <w:pStyle w:val="Institutionquiagit"/>
        <w:rPr>
          <w:noProof/>
        </w:rPr>
      </w:pPr>
      <w:r>
        <w:rPr>
          <w:noProof/>
        </w:rPr>
        <w:t>LE CONSEIL DE L’UNION EUROPÉENNE,</w:t>
      </w:r>
    </w:p>
    <w:p>
      <w:pPr>
        <w:rPr>
          <w:noProof/>
        </w:rPr>
      </w:pPr>
      <w:r>
        <w:rPr>
          <w:noProof/>
        </w:rPr>
        <w:t>vu le traité sur le fonctionnement de l’Union européenne, et notamment son article 122, paragraphe 1,</w:t>
      </w:r>
    </w:p>
    <w:p>
      <w:pPr>
        <w:rPr>
          <w:noProof/>
        </w:rPr>
      </w:pPr>
      <w:r>
        <w:rPr>
          <w:noProof/>
        </w:rPr>
        <w:t>vu la proposition de la Commission européenne,</w:t>
      </w:r>
    </w:p>
    <w:p>
      <w:pPr>
        <w:rPr>
          <w:noProof/>
        </w:rPr>
      </w:pPr>
      <w:r>
        <w:rPr>
          <w:noProof/>
        </w:rPr>
        <w:t xml:space="preserve">considérant ce qui suit: </w:t>
      </w:r>
    </w:p>
    <w:p>
      <w:pPr>
        <w:pStyle w:val="ManualConsidrant"/>
        <w:rPr>
          <w:noProof/>
        </w:rPr>
      </w:pPr>
      <w:r>
        <w:t>(1)</w:t>
      </w:r>
      <w:r>
        <w:tab/>
      </w:r>
      <w:r>
        <w:rPr>
          <w:noProof/>
        </w:rPr>
        <w:t xml:space="preserve">Les mesures ad hoc prises par la Commission afin de limiter la propagation de la pandémie de COVID-19 constituaient des mesures réactives et l’Union n’était pas suffisamment préparée pour garantir l’élaboration, la fabrication, la fourniture et la distribution efficaces des contre-mesures médicales nécessaires en cas d’urgence, notamment au début de la pandémie de COVID-19. La pandémie a également mis en lumière l’absence d’une vue d’ensemble suffisante des activités de recherche et des capacités de fabrication, ainsi que les vulnérabilités liées aux chaînes d’approvisionnement mondiales. </w:t>
      </w:r>
    </w:p>
    <w:p>
      <w:pPr>
        <w:pStyle w:val="ManualConsidrant"/>
        <w:rPr>
          <w:rStyle w:val="Aucun"/>
          <w:noProof/>
        </w:rPr>
      </w:pPr>
      <w:r>
        <w:rPr>
          <w:rStyle w:val="Aucun"/>
        </w:rPr>
        <w:t>(2)</w:t>
      </w:r>
      <w:r>
        <w:rPr>
          <w:rStyle w:val="Aucun"/>
        </w:rPr>
        <w:tab/>
      </w:r>
      <w:r>
        <w:rPr>
          <w:noProof/>
        </w:rPr>
        <w:t>Néanmoins, l’expérience a montré la nécessité d’</w:t>
      </w:r>
      <w:r>
        <w:rPr>
          <w:rStyle w:val="Aucun"/>
          <w:noProof/>
        </w:rPr>
        <w:t>un</w:t>
      </w:r>
      <w:r>
        <w:rPr>
          <w:noProof/>
        </w:rPr>
        <w:t xml:space="preserve"> cadre visant à garantir la fourniture des contre-mesures médicales nécessaires en cas d’urgence de santé publique, </w:t>
      </w:r>
      <w:r>
        <w:rPr>
          <w:rStyle w:val="Aucun"/>
          <w:noProof/>
        </w:rPr>
        <w:t>afin de permettre à l’Union d’adopter</w:t>
      </w:r>
      <w:r>
        <w:rPr>
          <w:noProof/>
        </w:rPr>
        <w:t>, lorsqu’elles sont appropriées à la situation économique, les mesures nécessaires en vue de garantir la disponibilité et la fourniture adéquates et en temps utile des contre-mesures médicales essentielles en cas d’urgence de santé publique.</w:t>
      </w:r>
    </w:p>
    <w:p>
      <w:pPr>
        <w:pStyle w:val="ManualConsidrant"/>
        <w:rPr>
          <w:noProof/>
        </w:rPr>
      </w:pPr>
      <w:r>
        <w:t>(3)</w:t>
      </w:r>
      <w:r>
        <w:tab/>
      </w:r>
      <w:r>
        <w:rPr>
          <w:noProof/>
        </w:rPr>
        <w:t xml:space="preserve">Lorsqu’une urgence de santé publique est reconnue à l’échelle de l’Union, le Conseil peut décider, sur proposition de la Commission, d’activer le cadre de mesures, pourvu que lesdites mesures soient appropriées à la situation économique. L’utilisation des mesures de ce cadre devrait être limitée dans le temps à six mois, délai pouvant être prolongé en fonction de la situation. </w:t>
      </w:r>
    </w:p>
    <w:p>
      <w:pPr>
        <w:pStyle w:val="ManualConsidrant"/>
        <w:rPr>
          <w:noProof/>
        </w:rPr>
      </w:pPr>
      <w:r>
        <w:t>(4)</w:t>
      </w:r>
      <w:r>
        <w:tab/>
      </w:r>
      <w:r>
        <w:rPr>
          <w:noProof/>
        </w:rPr>
        <w:t xml:space="preserve">Le cadre de mesures devrait prévoir la mise en place d’un conseil de gestion des crises sanitaires dont les travaux porteraient sur les contre-mesures médicales nécessaires en cas de crise afin de garantir la coordination et l’intégration des approches au niveau de l’Union. Ces éléments sont particulièrement importants étant donné que les responsabilités sont partagées entre le niveau national et celui de l’Union. Pour soutenir le conseil de gestion des crises sanitaires, la Commission devrait être habilitée à créer des sous-groupes, y compris sur les aspects industriels, si nécessaire. </w:t>
      </w:r>
    </w:p>
    <w:p>
      <w:pPr>
        <w:pStyle w:val="ManualConsidrant"/>
        <w:rPr>
          <w:noProof/>
        </w:rPr>
      </w:pPr>
      <w:r>
        <w:t>(5)</w:t>
      </w:r>
      <w:r>
        <w:tab/>
      </w:r>
      <w:r>
        <w:rPr>
          <w:rStyle w:val="Aucun"/>
          <w:noProof/>
        </w:rPr>
        <w:t>La Commission devrait veiller à ce qu’une liste des contre-mesures médicales et des matières premières nécessaires en cas de crise soit établie et à ce qu’il y ait un suivi de</w:t>
      </w:r>
      <w:r>
        <w:rPr>
          <w:noProof/>
        </w:rPr>
        <w:t xml:space="preserve"> l’offre et de la demande de ces produits. Il devrait en résulter une vue d’ensemble globale des contre-mesures médicales nécessaires pour faire face aux situations d’urgence et de la capacité de l’Union à répondre à ces besoins et à guider le processus décisionnel en la matière durant les périodes d’urgences de santé publique. </w:t>
      </w:r>
    </w:p>
    <w:p>
      <w:pPr>
        <w:pStyle w:val="ManualConsidrant"/>
        <w:rPr>
          <w:noProof/>
        </w:rPr>
      </w:pPr>
      <w:r>
        <w:t>(6)</w:t>
      </w:r>
      <w:r>
        <w:tab/>
      </w:r>
      <w:r>
        <w:rPr>
          <w:noProof/>
        </w:rPr>
        <w:t>Compte tenu du mandat de l’Agence européenne des médicaments (EMA) et de son rôle en matière de surveillance et d’atténuation des effets des pénuries réelles ou potentielles de médicaments, de dispositifs médicaux et de dispositifs médicaux de diagnostic in vitro, notamment en ce qui concerne l’élaboration des listes de médicaments et de dispositifs médicaux critiques visées par le règlement (UE) .../... du Parlement européen et du Conseil [règlement EMA (COM/2020/725)]</w:t>
      </w:r>
      <w:r>
        <w:rPr>
          <w:rStyle w:val="FootnoteReference"/>
          <w:noProof/>
        </w:rPr>
        <w:footnoteReference w:id="24"/>
      </w:r>
      <w:r>
        <w:rPr>
          <w:noProof/>
        </w:rPr>
        <w:t xml:space="preserve">, il convient d’assurer une coopération et une coordination étroites entre la Commission et l’EMA pour mettre en œuvre les mesures prévues par le présent règlement. S’il est fait usage de la possibilité de créer un conseil de gestion des crises sanitaires lors d’une urgence de santé publique, un représentant du groupe de pilotage exécutif sur les pénuries de dispositifs médicaux, un représentant de la task-force pour les situations d’urgence et un représentant du groupe de pilotage exécutif sur les pénuries et l’innocuité des médicaments devraient être invités en qualité d’observateurs au conseil de gestion des crises sanitaires, tel qu’établi par le règlement </w:t>
      </w:r>
      <w:r>
        <w:rPr>
          <w:noProof/>
          <w:color w:val="1F497D"/>
        </w:rPr>
        <w:t>(UE) .../... [règlement EMA]</w:t>
      </w:r>
      <w:r>
        <w:rPr>
          <w:noProof/>
        </w:rPr>
        <w:t>. Cela devrait contribuer à un transfert sans accroc de données et d’informations lors d’urgences de santé publique à l’échelle de l’Union, y compris au moyen de systèmes informatiques intégrés.</w:t>
      </w:r>
    </w:p>
    <w:p>
      <w:pPr>
        <w:pStyle w:val="ManualConsidrant"/>
        <w:rPr>
          <w:noProof/>
        </w:rPr>
      </w:pPr>
      <w:r>
        <w:t>(7)</w:t>
      </w:r>
      <w:r>
        <w:tab/>
      </w:r>
      <w:r>
        <w:rPr>
          <w:noProof/>
        </w:rPr>
        <w:t>Les mesures devraient également tenir compte des structures et mécanismes mis en place par les actes de l’Union concernant les menaces transfrontières graves pour la santé, à savoir le règlement (UE) .../... du Parlement européen et du Conseil [règlement SCBTH (COM/2020/727)]</w:t>
      </w:r>
      <w:r>
        <w:rPr>
          <w:rStyle w:val="FootnoteReference"/>
          <w:noProof/>
        </w:rPr>
        <w:footnoteReference w:id="25"/>
      </w:r>
      <w:r>
        <w:rPr>
          <w:noProof/>
        </w:rPr>
        <w:t>, et concernant le mandat élargi du Centre européen de prévention et de contrôle des maladies (ECDC), établi par le règlement (UE) .../... du Parlement européen et du Conseil [règlement ECDC (COM/2020/726)]</w:t>
      </w:r>
      <w:r>
        <w:rPr>
          <w:rStyle w:val="FootnoteReference"/>
          <w:noProof/>
        </w:rPr>
        <w:footnoteReference w:id="26"/>
      </w:r>
      <w:r>
        <w:rPr>
          <w:noProof/>
        </w:rPr>
        <w:t xml:space="preserve">, afin de garantir la coordination de la réaction au sein du comité de sécurité sanitaire et du comité consultatif pour les urgences de santé publique, en fonction des contributions de l’ECDC en matière de surveillance et de suivi épidémiologiques. La directrice du Centre européen de prévention et de contrôle des maladies ainsi qu’un représentant du comité consultatif pour les urgences de santé publique institué par le règlement </w:t>
      </w:r>
      <w:r>
        <w:rPr>
          <w:noProof/>
          <w:color w:val="1F497D"/>
        </w:rPr>
        <w:t>(UE) .../... [règlement SCBTH]</w:t>
      </w:r>
      <w:r>
        <w:rPr>
          <w:noProof/>
        </w:rPr>
        <w:t xml:space="preserve"> devraient être invités à assister aux réunions du conseil de gestion des crises sanitaires. Un membre du comité de sécurité sanitaire devrait être invité en qualité d’observateur au conseil de gestion des crises sanitaires. </w:t>
      </w:r>
    </w:p>
    <w:p>
      <w:pPr>
        <w:pStyle w:val="ManualConsidrant"/>
        <w:rPr>
          <w:noProof/>
        </w:rPr>
      </w:pPr>
      <w:r>
        <w:t>(8)</w:t>
      </w:r>
      <w:r>
        <w:tab/>
      </w:r>
      <w:r>
        <w:rPr>
          <w:noProof/>
        </w:rPr>
        <w:t xml:space="preserve">L’activation de plans de recherche et d’innovation d’urgence, ainsi que le repositionnement de médicaments, l’activation de réseaux d’essais cliniques et la conduite d’essais cliniques, devraient être garanties afin de réduire les retards dans la phase de développement des contre-mesures médicales nécessaires en cas de crise. Les activités de recherche et d’innovation peuvent s’appuyer sur l’infrastructure numérique de l’espace européen des données de santé et les plateformes fonctionnant dans le cadre du nuage européen pour la science ouverte ainsi que sur d’autres plateformes numériques européennes accessibles, afin d’avoir accès à des données (réelles) en vue d’une analyse rapide. Une coordination étroite entre la Commission et l’ECDC et l’EMA, en tant qu’agence chargée des avis scientifiques et de l’évaluation scientifique des nouveaux médicaments et des médicaments repositionnés, devrait être mise en place sur ces questions, ainsi que sur les questions liées aux aspects réglementaires de l’autorisation des médicaments, y compris la mise en place de nouveaux sites de fabrication de médicaments autorisés, de manière à garantir l’acceptabilité des essais cliniques et des résultats qu’ils produisent en vue de l’autorisation de médicaments nouveaux ou repositionnés. Cela devrait permettre aux acteurs clés et aux infrastructures utiles d’être immédiatement prêts à fonctionner en période d’urgences de santé publique, réduisant de la sorte d’éventuels retards. </w:t>
      </w:r>
    </w:p>
    <w:p>
      <w:pPr>
        <w:pStyle w:val="ManualConsidrant"/>
        <w:rPr>
          <w:noProof/>
        </w:rPr>
      </w:pPr>
      <w:r>
        <w:t>(9)</w:t>
      </w:r>
      <w:r>
        <w:tab/>
      </w:r>
      <w:r>
        <w:rPr>
          <w:noProof/>
        </w:rPr>
        <w:t>Il convient de veiller à l’élaboration de procédures de passation de marchés efficaces pour les contre-mesures médicales et les matières premières nécessaires en cas de crise, et de doter la Commission d’un mandat de négociation lui permettant d’agir en tant que centrale d’achat pour les États membres, en s’appuyant sur les règles et procédures fixées par le règlement (UE, Euratom) 2018/1046 du Parlement européen et du Conseil</w:t>
      </w:r>
      <w:r>
        <w:rPr>
          <w:rStyle w:val="FootnoteReference"/>
          <w:noProof/>
        </w:rPr>
        <w:footnoteReference w:id="27"/>
      </w:r>
      <w:r>
        <w:rPr>
          <w:noProof/>
        </w:rPr>
        <w:t xml:space="preserve"> ainsi que le règlement (UE) 2016/369 du Conseil</w:t>
      </w:r>
      <w:r>
        <w:rPr>
          <w:rStyle w:val="FootnoteReference"/>
          <w:noProof/>
        </w:rPr>
        <w:footnoteReference w:id="28"/>
      </w:r>
      <w:r>
        <w:rPr>
          <w:noProof/>
        </w:rPr>
        <w:t xml:space="preserve">. </w:t>
      </w:r>
    </w:p>
    <w:p>
      <w:pPr>
        <w:pStyle w:val="ManualConsidrant"/>
        <w:rPr>
          <w:noProof/>
        </w:rPr>
      </w:pPr>
      <w:r>
        <w:t>(10)</w:t>
      </w:r>
      <w:r>
        <w:tab/>
      </w:r>
      <w:r>
        <w:rPr>
          <w:noProof/>
        </w:rPr>
        <w:t xml:space="preserve">Ces règles et procédures peuvent être soutenues par toute étape préparatoire nécessaire, y compris des visites sur place dans les installations de production de contre-mesures médicales nécessaires en cas de crise. Cela devrait permettre la passation de marchés et l’achat rapides des contre-mesures médicales nécessaires en cas de crise dans l’ensemble de l’Union et promouvoir leur accessibilité dans tous les États membres, l’objectif premier étant de fournir le plus rapidement possible des contre-mesures en quantité requise et avec toutes les garanties nécessaires.  </w:t>
      </w:r>
    </w:p>
    <w:p>
      <w:pPr>
        <w:pStyle w:val="ManualConsidrant"/>
        <w:rPr>
          <w:noProof/>
        </w:rPr>
      </w:pPr>
      <w:r>
        <w:t>(11)</w:t>
      </w:r>
      <w:r>
        <w:tab/>
      </w:r>
      <w:r>
        <w:rPr>
          <w:noProof/>
        </w:rPr>
        <w:t xml:space="preserve">Lors d’une urgence de santé publique à l’échelle de l’Union, la demande de contre-mesures médicales adaptées à la crise peut être supérieure à l’offre. Dans une telle situation, il est essentiel d’intensifier la production et la fabrication des contre-mesures médicales nécessaires et de permettre à la Commission d’activer l’augmentation des capacités de production de l’Union relatives à ces contre-mesures médicales, notamment en promouvant des chaînes d’approvisionnement résilientes pour les matières premières et les fournitures auxiliaires dans le cadre du projet Fab UE. Comme le souligne la communication intitulée </w:t>
      </w:r>
      <w:r>
        <w:rPr>
          <w:noProof/>
          <w:color w:val="444444"/>
          <w:szCs w:val="24"/>
        </w:rPr>
        <w:t>«L’incubateur HERA: anticiper ensemble la menace des variants du virus de la COVID-19»</w:t>
      </w:r>
      <w:r>
        <w:rPr>
          <w:rStyle w:val="FootnoteReference"/>
          <w:noProof/>
        </w:rPr>
        <w:footnoteReference w:id="29"/>
      </w:r>
      <w:r>
        <w:rPr>
          <w:noProof/>
        </w:rPr>
        <w:t>, un projet Fab UE est un réseau de capacités de production «toujours prêtes», à utilisateur unique ou multi-utilisateurs, à technologie unique ou multitechnologies, destinées à la fabrication de vaccins et de médicaments à l’échelle européenne.</w:t>
      </w:r>
    </w:p>
    <w:p>
      <w:pPr>
        <w:pStyle w:val="ManualConsidrant"/>
        <w:rPr>
          <w:noProof/>
        </w:rPr>
      </w:pPr>
      <w:r>
        <w:t>(12)</w:t>
      </w:r>
      <w:r>
        <w:tab/>
      </w:r>
      <w:r>
        <w:rPr>
          <w:noProof/>
        </w:rPr>
        <w:t>Des outils de propriété intellectuelle appropriés sont nécessaires pour atténuer les risques d’abandon des efforts de développement ou de problèmes liés à l’offre de contre-mesures médicales nécessaires en cas d’urgence de santé publique, notamment lorsque les pouvoirs publics ont apporté un soutien financier au développement et à la production de ces contre-mesures. La Commission devrait donc être autorisée à demander l’octroi, dans des conditions équitables et raisonnables et dans des cas exceptionnels justifiés, de licences pour la propriété intellectuelle et le savoir-faire relatifs aux contre-mesures médicales nécessaires en cas de crise dont elle a financé la conception et la production, licences qui feraient office de filet de sécurité et d’élément incitatif.</w:t>
      </w:r>
    </w:p>
    <w:p>
      <w:pPr>
        <w:pStyle w:val="ManualConsidrant"/>
        <w:rPr>
          <w:noProof/>
        </w:rPr>
      </w:pPr>
      <w:r>
        <w:t>(13)</w:t>
      </w:r>
      <w:r>
        <w:tab/>
      </w:r>
      <w:r>
        <w:rPr>
          <w:noProof/>
        </w:rPr>
        <w:t>Le règlement (UE) 2016/369 du Conseil</w:t>
      </w:r>
      <w:r>
        <w:rPr>
          <w:rStyle w:val="FootnoteReference"/>
          <w:noProof/>
        </w:rPr>
        <w:footnoteReference w:id="30"/>
      </w:r>
      <w:r>
        <w:rPr>
          <w:noProof/>
        </w:rPr>
        <w:t xml:space="preserve"> prévoit un cadre souple pour la fourniture d’une aide financière d’urgence. Il permet de fournir une aide ne pouvant être mise en œuvre au moyen des programmes de dépenses existants. Un tel outil devrait être rendu disponible quand l’existence d’une urgence de santé publique est reconnue à l’échelle de l’Union, lorsque les mesures prévues sont appropriées à la situation économique. </w:t>
      </w:r>
    </w:p>
    <w:p>
      <w:pPr>
        <w:pStyle w:val="ManualConsidrant"/>
        <w:rPr>
          <w:noProof/>
        </w:rPr>
      </w:pPr>
      <w:r>
        <w:t>(14)</w:t>
      </w:r>
      <w:r>
        <w:tab/>
      </w:r>
      <w:r>
        <w:rPr>
          <w:noProof/>
        </w:rPr>
        <w:t xml:space="preserve">Lors d’une période d’urgence de santé publique, la gestion de l’offre et de la demande passe par l’élaboration de comptes rendus détaillés sur les capacités de production de l’Union actuelles et à court terme pour les contre-mesures médicales nécessaires. Aussi un inventaire des installations de production des contre-mesures médicales nécessaires en cas de crise devrait-il être créé et régulièrement mis à jour sur la base de la transmission obligatoire d’informations par les opérateurs économiques concernés. </w:t>
      </w:r>
    </w:p>
    <w:p>
      <w:pPr>
        <w:pStyle w:val="ManualConsidrant"/>
        <w:rPr>
          <w:noProof/>
        </w:rPr>
      </w:pPr>
      <w:r>
        <w:t>(15)</w:t>
      </w:r>
      <w:r>
        <w:tab/>
      </w:r>
      <w:r>
        <w:rPr>
          <w:noProof/>
        </w:rPr>
        <w:t>Les pénuries d’approvisionnement en matières premières et consommables, dispositifs, équipements ou infrastructures pourraient avoir une incidence sur la production des contre-mesures médicales utiles en cas de crise. Lorsqu’une pénurie ou un risque de pénurie est constaté, il convient de l’indiquer également dans l’inventaire. Il s’agira de la sorte de compléter le compte rendu détaillé des capacités de production actuelles et à court terme de l’Union, afin de permettre l’intégration d’éléments relatifs à l’offre susceptibles d’avoir une incidence sur les capacités de production et d’améliorer la gestion de l’offre et de la demande en matière de contre-mesures médicales en cas de crise à l’échelle de l’Union.</w:t>
      </w:r>
    </w:p>
    <w:p>
      <w:pPr>
        <w:pStyle w:val="ManualConsidrant"/>
        <w:rPr>
          <w:noProof/>
        </w:rPr>
      </w:pPr>
      <w:r>
        <w:t>(16)</w:t>
      </w:r>
      <w:r>
        <w:tab/>
      </w:r>
      <w:r>
        <w:rPr>
          <w:noProof/>
        </w:rPr>
        <w:t xml:space="preserve">D’autres mesures visant à renforcer les chaînes d’approvisionnement et les capacités de production, prises à la lumière des comptes rendus détaillés sur les capacités de production, les matières premières et consommables, les équipements et les infrastructures, pourraient s’avérer nécessaires. Si le marché ne garantit pas, ou ne peut garantir, un approvisionnement adéquat en contre-mesures médicales nécessaires en cas de crise, la Commission devrait pouvoir adopter des mesures dans ces domaines afin d’accroître la disponibilité et l’accessibilité des contre-mesures médicales et des matières premières en rapport avec la crise, </w:t>
      </w:r>
    </w:p>
    <w:p>
      <w:pPr>
        <w:pStyle w:val="Formuledadoption"/>
        <w:rPr>
          <w:noProof/>
        </w:rPr>
      </w:pPr>
      <w:r>
        <w:rPr>
          <w:noProof/>
        </w:rPr>
        <w:t>A ADOPTÉ LE PRÉSENT RÈGLEMENT:</w:t>
      </w:r>
    </w:p>
    <w:p>
      <w:pPr>
        <w:pStyle w:val="Titrearticle"/>
        <w:spacing w:after="0"/>
        <w:rPr>
          <w:noProof/>
        </w:rPr>
      </w:pPr>
      <w:r>
        <w:rPr>
          <w:noProof/>
        </w:rPr>
        <w:t>Article premier</w:t>
      </w:r>
    </w:p>
    <w:p>
      <w:pPr>
        <w:jc w:val="center"/>
        <w:rPr>
          <w:b/>
          <w:i/>
          <w:noProof/>
        </w:rPr>
      </w:pPr>
      <w:r>
        <w:rPr>
          <w:b/>
          <w:noProof/>
        </w:rPr>
        <w:t>Objet et champ d’application</w:t>
      </w:r>
    </w:p>
    <w:p>
      <w:pPr>
        <w:pStyle w:val="Point0"/>
        <w:rPr>
          <w:noProof/>
        </w:rPr>
      </w:pPr>
      <w:r>
        <w:rPr>
          <w:noProof/>
        </w:rPr>
        <w:t>1.</w:t>
      </w:r>
      <w:r>
        <w:rPr>
          <w:noProof/>
        </w:rPr>
        <w:tab/>
        <w:t xml:space="preserve">Le présent règlement </w:t>
      </w:r>
      <w:r>
        <w:rPr>
          <w:rStyle w:val="Aucun"/>
          <w:noProof/>
        </w:rPr>
        <w:t>établit un cadre de mesures visant à garantir la fourniture</w:t>
      </w:r>
      <w:r>
        <w:rPr>
          <w:noProof/>
        </w:rPr>
        <w:t xml:space="preserve"> des contre-mesures médicales nécessaires en cas d’urgence de santé publique (ci-après le «cadre d’urgence»).</w:t>
      </w:r>
      <w:r>
        <w:rPr>
          <w:i/>
          <w:noProof/>
        </w:rPr>
        <w:t xml:space="preserve"> </w:t>
      </w:r>
    </w:p>
    <w:p>
      <w:pPr>
        <w:pStyle w:val="Point0"/>
        <w:rPr>
          <w:rFonts w:eastAsia="Times New Roman"/>
          <w:noProof/>
          <w:szCs w:val="24"/>
        </w:rPr>
      </w:pPr>
      <w:r>
        <w:rPr>
          <w:noProof/>
        </w:rPr>
        <w:t>2.</w:t>
      </w:r>
      <w:r>
        <w:rPr>
          <w:noProof/>
        </w:rPr>
        <w:tab/>
        <w:t>Les mesures visées au paragraphe 1 comprennent:</w:t>
      </w:r>
    </w:p>
    <w:p>
      <w:pPr>
        <w:pStyle w:val="Point1"/>
        <w:rPr>
          <w:noProof/>
        </w:rPr>
      </w:pPr>
      <w:r>
        <w:rPr>
          <w:noProof/>
        </w:rPr>
        <w:t>a)</w:t>
      </w:r>
      <w:r>
        <w:rPr>
          <w:noProof/>
        </w:rPr>
        <w:tab/>
        <w:t>la mise en place d’un conseil de gestion des crises sanitaires;</w:t>
      </w:r>
    </w:p>
    <w:p>
      <w:pPr>
        <w:pStyle w:val="Point1"/>
        <w:rPr>
          <w:rFonts w:eastAsia="Times New Roman"/>
          <w:noProof/>
          <w:szCs w:val="24"/>
        </w:rPr>
      </w:pPr>
      <w:r>
        <w:rPr>
          <w:noProof/>
        </w:rPr>
        <w:t>b)</w:t>
      </w:r>
      <w:r>
        <w:rPr>
          <w:noProof/>
        </w:rPr>
        <w:tab/>
        <w:t>le suivi, la passation de marchés et l’achat des contre-mesures médicales et des matières premières nécessaires en cas de crise;</w:t>
      </w:r>
    </w:p>
    <w:p>
      <w:pPr>
        <w:pStyle w:val="Point1"/>
        <w:rPr>
          <w:rFonts w:eastAsia="Times New Roman"/>
          <w:noProof/>
          <w:szCs w:val="24"/>
        </w:rPr>
      </w:pPr>
      <w:r>
        <w:rPr>
          <w:noProof/>
        </w:rPr>
        <w:t>c)</w:t>
      </w:r>
      <w:r>
        <w:rPr>
          <w:noProof/>
        </w:rPr>
        <w:tab/>
        <w:t>l’activation de plans de recherche et d’innovation d’urgence, faisant également appel aux réseaux d’essais cliniques et aux plateformes de partage de données à l’échelle de l’UE;</w:t>
      </w:r>
    </w:p>
    <w:p>
      <w:pPr>
        <w:pStyle w:val="Point1"/>
        <w:rPr>
          <w:rFonts w:eastAsia="Times New Roman"/>
          <w:noProof/>
          <w:szCs w:val="24"/>
        </w:rPr>
      </w:pPr>
      <w:r>
        <w:rPr>
          <w:noProof/>
        </w:rPr>
        <w:t>d)</w:t>
      </w:r>
      <w:r>
        <w:rPr>
          <w:noProof/>
        </w:rPr>
        <w:tab/>
        <w:t>l’allocation de ressources et le financement d’urgence;</w:t>
      </w:r>
    </w:p>
    <w:p>
      <w:pPr>
        <w:pStyle w:val="Point1"/>
        <w:rPr>
          <w:rFonts w:eastAsia="Times New Roman"/>
          <w:noProof/>
          <w:szCs w:val="24"/>
        </w:rPr>
      </w:pPr>
      <w:r>
        <w:rPr>
          <w:noProof/>
        </w:rPr>
        <w:t>e)</w:t>
      </w:r>
      <w:r>
        <w:rPr>
          <w:noProof/>
        </w:rPr>
        <w:tab/>
        <w:t xml:space="preserve">des mesures relatives à la production, à la disponibilité et à la fourniture des contre-mesures médicales nécessaires en cas de crise, notamment la mise en place d’un inventaire de la production, des installations de production, des matières premières et consommables, des équipements et des infrastructures utiles en cas de crise, ainsi que des mesures visant à en accroître la production au sein de l’Union.  </w:t>
      </w:r>
    </w:p>
    <w:p>
      <w:pPr>
        <w:pStyle w:val="Point0"/>
        <w:rPr>
          <w:noProof/>
        </w:rPr>
      </w:pPr>
      <w:r>
        <w:rPr>
          <w:noProof/>
        </w:rPr>
        <w:t>3.</w:t>
      </w:r>
      <w:r>
        <w:rPr>
          <w:noProof/>
        </w:rPr>
        <w:tab/>
        <w:t>Les mesures visées au paragraphe 1 ne peuvent être activées que lorsqu’elles sont appropriées à la situation économique.</w:t>
      </w:r>
    </w:p>
    <w:p>
      <w:pPr>
        <w:pStyle w:val="Titrearticle"/>
        <w:spacing w:after="0"/>
        <w:rPr>
          <w:rFonts w:eastAsia="Calibri"/>
          <w:noProof/>
        </w:rPr>
      </w:pPr>
      <w:r>
        <w:rPr>
          <w:rStyle w:val="Aucun"/>
          <w:noProof/>
        </w:rPr>
        <w:t>Article</w:t>
      </w:r>
      <w:r>
        <w:rPr>
          <w:noProof/>
        </w:rPr>
        <w:t> 2</w:t>
      </w:r>
    </w:p>
    <w:p>
      <w:pPr>
        <w:jc w:val="center"/>
        <w:rPr>
          <w:b/>
          <w:i/>
          <w:noProof/>
        </w:rPr>
      </w:pPr>
      <w:r>
        <w:rPr>
          <w:b/>
          <w:noProof/>
        </w:rPr>
        <w:t>Définitions</w:t>
      </w:r>
    </w:p>
    <w:p>
      <w:pPr>
        <w:rPr>
          <w:noProof/>
        </w:rPr>
      </w:pPr>
      <w:r>
        <w:rPr>
          <w:noProof/>
        </w:rPr>
        <w:t>Aux fins du présent règlement, on entend par:</w:t>
      </w:r>
    </w:p>
    <w:p>
      <w:pPr>
        <w:pStyle w:val="Point0"/>
        <w:rPr>
          <w:noProof/>
        </w:rPr>
      </w:pPr>
      <w:r>
        <w:rPr>
          <w:noProof/>
        </w:rPr>
        <w:t>1)</w:t>
      </w:r>
      <w:r>
        <w:rPr>
          <w:noProof/>
        </w:rPr>
        <w:tab/>
        <w:t xml:space="preserve">«surveillance»: la veille au sens de l’article 3, point 5), du règlement </w:t>
      </w:r>
      <w:r>
        <w:rPr>
          <w:noProof/>
          <w:color w:val="1F497D"/>
        </w:rPr>
        <w:t>(UE) .../... [règlement SCBTH]</w:t>
      </w:r>
      <w:r>
        <w:rPr>
          <w:noProof/>
        </w:rPr>
        <w:t>;</w:t>
      </w:r>
    </w:p>
    <w:p>
      <w:pPr>
        <w:pStyle w:val="Point0"/>
        <w:rPr>
          <w:noProof/>
        </w:rPr>
      </w:pPr>
      <w:r>
        <w:rPr>
          <w:noProof/>
        </w:rPr>
        <w:t>2)</w:t>
      </w:r>
      <w:r>
        <w:rPr>
          <w:noProof/>
        </w:rPr>
        <w:tab/>
        <w:t>«urgence de santé publique»: une urgence de santé publique au niveau de l’Union reconnue par la Commission conformément à l’article 23 du règlement </w:t>
      </w:r>
      <w:r>
        <w:rPr>
          <w:noProof/>
          <w:color w:val="1F497D"/>
        </w:rPr>
        <w:t>(UE) .../... [règlement SCBTH]</w:t>
      </w:r>
      <w:r>
        <w:rPr>
          <w:noProof/>
        </w:rPr>
        <w:t>;</w:t>
      </w:r>
    </w:p>
    <w:p>
      <w:pPr>
        <w:pStyle w:val="Point0"/>
        <w:rPr>
          <w:noProof/>
        </w:rPr>
      </w:pPr>
      <w:r>
        <w:rPr>
          <w:noProof/>
        </w:rPr>
        <w:t>3)</w:t>
      </w:r>
      <w:r>
        <w:rPr>
          <w:noProof/>
        </w:rPr>
        <w:tab/>
        <w:t>«contre-mesures médicales»: des contre-mesures médicales au sens de l’article 3, point 8), du règlement (UE) .../... [règlement SCBTH], ainsi que les équipements de protection individuelle et les substances d’origine humaine;</w:t>
      </w:r>
    </w:p>
    <w:p>
      <w:pPr>
        <w:pStyle w:val="Point0"/>
        <w:rPr>
          <w:noProof/>
        </w:rPr>
      </w:pPr>
      <w:r>
        <w:rPr>
          <w:noProof/>
        </w:rPr>
        <w:t>4)</w:t>
      </w:r>
      <w:r>
        <w:rPr>
          <w:noProof/>
        </w:rPr>
        <w:tab/>
        <w:t xml:space="preserve">«matières premières»: les matières nécessaires pour produire les quantités requises de contre-mesures médicales utiles en cas de crise; </w:t>
      </w:r>
    </w:p>
    <w:p>
      <w:pPr>
        <w:pStyle w:val="Point0"/>
        <w:rPr>
          <w:noProof/>
        </w:rPr>
      </w:pPr>
      <w:r>
        <w:rPr>
          <w:noProof/>
        </w:rPr>
        <w:t>5)</w:t>
      </w:r>
      <w:r>
        <w:rPr>
          <w:noProof/>
        </w:rPr>
        <w:tab/>
        <w:t xml:space="preserve">«données réelles»: des données relatives à l’état de santé du patient ou à la fourniture de soins de santé, provenant d’autres sources que des essais cliniques. </w:t>
      </w:r>
    </w:p>
    <w:p>
      <w:pPr>
        <w:pStyle w:val="Titrearticle"/>
        <w:spacing w:after="0"/>
        <w:rPr>
          <w:noProof/>
        </w:rPr>
      </w:pPr>
      <w:r>
        <w:rPr>
          <w:noProof/>
        </w:rPr>
        <w:t>Article 3</w:t>
      </w:r>
    </w:p>
    <w:p>
      <w:pPr>
        <w:jc w:val="center"/>
        <w:rPr>
          <w:b/>
          <w:noProof/>
        </w:rPr>
      </w:pPr>
      <w:r>
        <w:rPr>
          <w:b/>
          <w:noProof/>
        </w:rPr>
        <w:t xml:space="preserve">Activation du cadre d’urgence </w:t>
      </w:r>
    </w:p>
    <w:p>
      <w:pPr>
        <w:pStyle w:val="ManualNumPar1"/>
        <w:rPr>
          <w:noProof/>
        </w:rPr>
      </w:pPr>
      <w:r>
        <w:t>1.</w:t>
      </w:r>
      <w:r>
        <w:tab/>
      </w:r>
      <w:r>
        <w:rPr>
          <w:noProof/>
        </w:rPr>
        <w:t xml:space="preserve">En cas de reconnaissance d’une urgence de santé publique, le Conseil peut, sur proposition de la Commission, adopter un règlement portant activation du cadre d’urgence, si les mesures sont appropriées à la situation économique. </w:t>
      </w:r>
    </w:p>
    <w:p>
      <w:pPr>
        <w:pStyle w:val="ManualNumPar1"/>
        <w:rPr>
          <w:noProof/>
        </w:rPr>
      </w:pPr>
      <w:r>
        <w:t>2.</w:t>
      </w:r>
      <w:r>
        <w:tab/>
      </w:r>
      <w:r>
        <w:rPr>
          <w:noProof/>
        </w:rPr>
        <w:t>Dans le règlement portant activation du cadre d’urgence, le Conseil définit, parmi les mesures prévues aux articles 5 à 11 et à l’article 13 du présent règlement, lesquelles sont appropriées à la situation économique et doivent donc être activées.</w:t>
      </w:r>
    </w:p>
    <w:p>
      <w:pPr>
        <w:pStyle w:val="ManualNumPar1"/>
        <w:rPr>
          <w:noProof/>
        </w:rPr>
      </w:pPr>
      <w:r>
        <w:t>3.</w:t>
      </w:r>
      <w:r>
        <w:tab/>
      </w:r>
      <w:r>
        <w:rPr>
          <w:noProof/>
        </w:rPr>
        <w:t xml:space="preserve">La durée de l’activation est de six mois, renouvelable conformément à la procédure établie à l’article 4. </w:t>
      </w:r>
    </w:p>
    <w:p>
      <w:pPr>
        <w:pStyle w:val="ManualNumPar1"/>
        <w:rPr>
          <w:noProof/>
        </w:rPr>
      </w:pPr>
      <w:r>
        <w:t>4.</w:t>
      </w:r>
      <w:r>
        <w:tab/>
      </w:r>
      <w:r>
        <w:rPr>
          <w:noProof/>
        </w:rPr>
        <w:t>Le règlement portant activation du cadre d’urgence s’applique sans préjudice de la décision nº 1313/2013/UE du Parlement européen et du Conseil</w:t>
      </w:r>
      <w:r>
        <w:rPr>
          <w:rStyle w:val="FootnoteReference"/>
          <w:noProof/>
        </w:rPr>
        <w:footnoteReference w:id="31"/>
      </w:r>
      <w:r>
        <w:rPr>
          <w:noProof/>
        </w:rPr>
        <w:t>, ni du rôle de coordination globale du centre de coordination de la réaction d’urgence dans le cadre du mécanisme de protection civile de l’Union.</w:t>
      </w:r>
    </w:p>
    <w:p>
      <w:pPr>
        <w:pStyle w:val="Titrearticle"/>
        <w:spacing w:after="0"/>
        <w:rPr>
          <w:noProof/>
        </w:rPr>
      </w:pPr>
      <w:r>
        <w:rPr>
          <w:noProof/>
        </w:rPr>
        <w:t>Article 4</w:t>
      </w:r>
    </w:p>
    <w:p>
      <w:pPr>
        <w:jc w:val="center"/>
        <w:rPr>
          <w:b/>
          <w:i/>
          <w:noProof/>
        </w:rPr>
      </w:pPr>
      <w:r>
        <w:rPr>
          <w:b/>
          <w:noProof/>
        </w:rPr>
        <w:t xml:space="preserve">Prolongation et expiration de l’activation du cadre d’urgence </w:t>
      </w:r>
    </w:p>
    <w:p>
      <w:pPr>
        <w:pStyle w:val="ManualNumPar1"/>
        <w:rPr>
          <w:noProof/>
        </w:rPr>
      </w:pPr>
      <w:r>
        <w:t>1.</w:t>
      </w:r>
      <w:r>
        <w:tab/>
      </w:r>
      <w:r>
        <w:rPr>
          <w:noProof/>
        </w:rPr>
        <w:t xml:space="preserve">Au plus tard une semaine avant l’expiration de la période d’activation du cadre d’urgence, la Commission présente au Conseil un rapport évaluant l’éventuelle nécessité de prolonger l’activation du cadre d’urgence. Ce rapport analyse en particulier la situation en matière de santé publique et les conséquences économiques de la crise de santé publique dans l’ensemble de l’Union et dans les différents États membres. </w:t>
      </w:r>
    </w:p>
    <w:p>
      <w:pPr>
        <w:pStyle w:val="ManualNumPar1"/>
        <w:rPr>
          <w:noProof/>
        </w:rPr>
      </w:pPr>
      <w:r>
        <w:t>2.</w:t>
      </w:r>
      <w:r>
        <w:tab/>
      </w:r>
      <w:r>
        <w:rPr>
          <w:noProof/>
        </w:rPr>
        <w:t xml:space="preserve">Lorsque l’évaluation conclut qu’il convient de prolonger l’activation du cadre d’urgence, la Commission peut proposer cette prolongation au Conseil. La prolongation ne peut dépasser six mois. Le Conseil peut décider à plusieurs reprises de prolonger l’activation du cadre d’urgence, lorsque cette mesure est appropriée à la situation économique. </w:t>
      </w:r>
    </w:p>
    <w:p>
      <w:pPr>
        <w:pStyle w:val="ManualNumPar1"/>
        <w:rPr>
          <w:noProof/>
        </w:rPr>
      </w:pPr>
      <w:r>
        <w:t>3.</w:t>
      </w:r>
      <w:r>
        <w:tab/>
      </w:r>
      <w:r>
        <w:rPr>
          <w:noProof/>
        </w:rPr>
        <w:t xml:space="preserve">La Commission peut proposer au Conseil d’adopter un règlement portant activation d’autres mesures, visées aux articles 5 à 11 et à l’article 13, en plus des mesures déjà activées, lorsqu’elles sont appropriées à la situation économique. </w:t>
      </w:r>
    </w:p>
    <w:p>
      <w:pPr>
        <w:pStyle w:val="ManualNumPar1"/>
        <w:rPr>
          <w:noProof/>
        </w:rPr>
      </w:pPr>
      <w:r>
        <w:t>4.</w:t>
      </w:r>
      <w:r>
        <w:tab/>
      </w:r>
      <w:r>
        <w:rPr>
          <w:noProof/>
        </w:rPr>
        <w:t>Au terme de la période d’activation du cadre d’urgence, les mesures prises au titre des articles 5 à 11 et de l’article 13 activées par le Conseil cessent de s’appliquer.</w:t>
      </w:r>
    </w:p>
    <w:p>
      <w:pPr>
        <w:pStyle w:val="Titrearticle"/>
        <w:spacing w:after="0"/>
        <w:rPr>
          <w:i w:val="0"/>
          <w:noProof/>
        </w:rPr>
      </w:pPr>
      <w:r>
        <w:rPr>
          <w:noProof/>
        </w:rPr>
        <w:t xml:space="preserve">Article 5 </w:t>
      </w:r>
    </w:p>
    <w:p>
      <w:pPr>
        <w:jc w:val="center"/>
        <w:rPr>
          <w:b/>
          <w:i/>
          <w:noProof/>
        </w:rPr>
      </w:pPr>
      <w:r>
        <w:rPr>
          <w:b/>
          <w:noProof/>
        </w:rPr>
        <w:t xml:space="preserve">Mise en place du conseil de gestion des crises sanitaires </w:t>
      </w:r>
    </w:p>
    <w:p>
      <w:pPr>
        <w:pStyle w:val="ManualNumPar1"/>
        <w:rPr>
          <w:noProof/>
        </w:rPr>
      </w:pPr>
      <w:r>
        <w:t>1.</w:t>
      </w:r>
      <w:r>
        <w:tab/>
      </w:r>
      <w:r>
        <w:rPr>
          <w:noProof/>
        </w:rPr>
        <w:t>L’activation de cette mesure a pour effet d’établir le conseil de gestion des crises sanitaires. Il coordonne l’action du Conseil, de la Commission, des agences et organes compétents de l’Union, et des États membres afin de garantir la fourniture de contre-mesures médicales et l’accès à celles-ci.</w:t>
      </w:r>
    </w:p>
    <w:p>
      <w:pPr>
        <w:pStyle w:val="Text1"/>
        <w:rPr>
          <w:noProof/>
        </w:rPr>
      </w:pPr>
      <w:r>
        <w:rPr>
          <w:noProof/>
        </w:rPr>
        <w:t xml:space="preserve">La coordination a notamment pour objet d’aider la Commission à préparer les mesures à prendre en vertu des articles 6 à 11 et de l’article 13. </w:t>
      </w:r>
    </w:p>
    <w:p>
      <w:pPr>
        <w:pStyle w:val="ManualNumPar1"/>
        <w:rPr>
          <w:noProof/>
        </w:rPr>
      </w:pPr>
      <w:r>
        <w:t>2.</w:t>
      </w:r>
      <w:r>
        <w:tab/>
      </w:r>
      <w:r>
        <w:rPr>
          <w:noProof/>
        </w:rPr>
        <w:t xml:space="preserve">Le conseil de gestion des crises sanitaires se compose de la Commission et d’un représentant de chaque État membre. La Commission est représentée par sa présidente, par le membre de la Commission chargé de la santé et par d’autres membres de la Commission, s’il y a lieu. </w:t>
      </w:r>
    </w:p>
    <w:p>
      <w:pPr>
        <w:pStyle w:val="Text1"/>
        <w:rPr>
          <w:i/>
          <w:noProof/>
        </w:rPr>
      </w:pPr>
      <w:r>
        <w:rPr>
          <w:noProof/>
        </w:rPr>
        <w:t>La Commission veille à ce que toutes les institutions et tous les organes compétents de l’Union, y compris l’Agence européenne des médicaments, le Centre européen de prévention et de contrôle des maladies et le comité consultatif pour les urgences de santé publique, institué par le règlement (UE) .../... [règlement SCBTH], participent en qualité d’observateurs au conseil de gestion des crises sanitaires.</w:t>
      </w:r>
      <w:r>
        <w:rPr>
          <w:i/>
          <w:noProof/>
        </w:rPr>
        <w:t xml:space="preserve"> </w:t>
      </w:r>
      <w:r>
        <w:rPr>
          <w:noProof/>
        </w:rPr>
        <w:t>La Commission invite un représentant du Parlement européen et un membre du comité de sécurité sanitaire à siéger en tant qu’observateurs au conseil de gestion des crises sanitaires.</w:t>
      </w:r>
      <w:r>
        <w:rPr>
          <w:i/>
          <w:noProof/>
        </w:rPr>
        <w:t xml:space="preserve"> </w:t>
      </w:r>
    </w:p>
    <w:p>
      <w:pPr>
        <w:pStyle w:val="Text1"/>
        <w:rPr>
          <w:noProof/>
        </w:rPr>
      </w:pPr>
      <w:r>
        <w:rPr>
          <w:noProof/>
        </w:rPr>
        <w:t xml:space="preserve">Chaque État membre désigne un haut représentant et un représentant suppléant au conseil de gestion des crises sanitaires. </w:t>
      </w:r>
    </w:p>
    <w:p>
      <w:pPr>
        <w:pStyle w:val="ManualNumPar1"/>
        <w:rPr>
          <w:noProof/>
        </w:rPr>
      </w:pPr>
      <w:r>
        <w:t>3.</w:t>
      </w:r>
      <w:r>
        <w:tab/>
      </w:r>
      <w:r>
        <w:rPr>
          <w:noProof/>
        </w:rPr>
        <w:t>Le conseil de gestion des crises sanitaires veille à la coordination et à l’échange d’informations avec les structures établies au titre des actes suivants:</w:t>
      </w:r>
    </w:p>
    <w:p>
      <w:pPr>
        <w:pStyle w:val="Point1"/>
        <w:rPr>
          <w:noProof/>
        </w:rPr>
      </w:pPr>
      <w:r>
        <w:rPr>
          <w:noProof/>
        </w:rPr>
        <w:t>a)</w:t>
      </w:r>
      <w:r>
        <w:rPr>
          <w:noProof/>
        </w:rPr>
        <w:tab/>
        <w:t xml:space="preserve">le règlement (UE) .../... [règlement EMA], en période d’urgence de santé publique, en ce qui concerne les médicaments et les dispositifs médicaux; </w:t>
      </w:r>
    </w:p>
    <w:p>
      <w:pPr>
        <w:pStyle w:val="Point1"/>
        <w:rPr>
          <w:noProof/>
        </w:rPr>
      </w:pPr>
      <w:r>
        <w:rPr>
          <w:noProof/>
        </w:rPr>
        <w:t>b)</w:t>
      </w:r>
      <w:r>
        <w:rPr>
          <w:noProof/>
        </w:rPr>
        <w:tab/>
        <w:t>le règlement (UE) .../... [règlement SCBTH];</w:t>
      </w:r>
      <w:r>
        <w:rPr>
          <w:i/>
          <w:noProof/>
        </w:rPr>
        <w:t xml:space="preserve"> </w:t>
      </w:r>
    </w:p>
    <w:p>
      <w:pPr>
        <w:pStyle w:val="Point1"/>
        <w:rPr>
          <w:noProof/>
        </w:rPr>
      </w:pPr>
      <w:r>
        <w:rPr>
          <w:noProof/>
        </w:rPr>
        <w:t>c)</w:t>
      </w:r>
      <w:r>
        <w:rPr>
          <w:noProof/>
        </w:rPr>
        <w:tab/>
        <w:t>la décision nº 1313/2013/UE, notamment le centre de coordination de la réaction d’urgence, afin de combler les lacunes opérationnelles en matière d’accès aux contre-mesures médicales et aux matières premières et d’effectuer, si nécessaire, les tâches correspondantes en matière de surveillance et de coordination sur place.</w:t>
      </w:r>
    </w:p>
    <w:p>
      <w:pPr>
        <w:pStyle w:val="ManualNumPar1"/>
        <w:rPr>
          <w:noProof/>
        </w:rPr>
      </w:pPr>
      <w:r>
        <w:t>4.</w:t>
      </w:r>
      <w:r>
        <w:tab/>
      </w:r>
      <w:r>
        <w:rPr>
          <w:noProof/>
        </w:rPr>
        <w:t xml:space="preserve">La Commission peut inviter des experts disposant d’une expertise spécifique par rapport à un sujet inscrit à l’ordre du jour, notamment des représentants des agences et organes de l’Union, des autorités nationales, dont les centrales d’achat et les organisations ou associations de soins de santé, des organisations internationales, des experts du secteur privé ainsi que d’autres parties prenantes, à participer, sur une base ad hoc, aux travaux du conseil de gestion des crises sanitaires ou de ses sous-groupes. </w:t>
      </w:r>
    </w:p>
    <w:p>
      <w:pPr>
        <w:pStyle w:val="ManualNumPar1"/>
        <w:rPr>
          <w:noProof/>
        </w:rPr>
      </w:pPr>
      <w:r>
        <w:t>5.</w:t>
      </w:r>
      <w:r>
        <w:tab/>
      </w:r>
      <w:r>
        <w:rPr>
          <w:noProof/>
        </w:rPr>
        <w:t>Le comité de gestion des crises sanitaires se réunit chaque fois que la situation l’exige, à la demande de la Commission ou d’un État membre.</w:t>
      </w:r>
    </w:p>
    <w:p>
      <w:pPr>
        <w:pStyle w:val="ManualNumPar1"/>
        <w:rPr>
          <w:noProof/>
        </w:rPr>
      </w:pPr>
      <w:r>
        <w:t>6.</w:t>
      </w:r>
      <w:r>
        <w:tab/>
      </w:r>
      <w:r>
        <w:rPr>
          <w:noProof/>
        </w:rPr>
        <w:t xml:space="preserve">Le comité de gestion des crises sanitaires est présidé par la Commission. </w:t>
      </w:r>
    </w:p>
    <w:p>
      <w:pPr>
        <w:pStyle w:val="ManualNumPar1"/>
        <w:rPr>
          <w:noProof/>
        </w:rPr>
      </w:pPr>
      <w:r>
        <w:t>7.</w:t>
      </w:r>
      <w:r>
        <w:tab/>
      </w:r>
      <w:r>
        <w:rPr>
          <w:noProof/>
        </w:rPr>
        <w:t>Le secrétariat du comité de gestion des crises sanitaires est assuré par la Commission.</w:t>
      </w:r>
    </w:p>
    <w:p>
      <w:pPr>
        <w:pStyle w:val="ManualNumPar1"/>
        <w:rPr>
          <w:noProof/>
        </w:rPr>
      </w:pPr>
      <w:r>
        <w:t>8.</w:t>
      </w:r>
      <w:r>
        <w:tab/>
      </w:r>
      <w:r>
        <w:rPr>
          <w:noProof/>
        </w:rPr>
        <w:t>La Commission peut mettre en place des groupes de travail pour soutenir les travaux du conseil de gestion des crises sanitaires dans le but d’étudier des questions spécifiques, sur la base des tâches définies au paragraphe 1.</w:t>
      </w:r>
    </w:p>
    <w:p>
      <w:pPr>
        <w:pStyle w:val="Titrearticle"/>
        <w:spacing w:after="0"/>
        <w:rPr>
          <w:i w:val="0"/>
          <w:noProof/>
        </w:rPr>
      </w:pPr>
      <w:r>
        <w:rPr>
          <w:noProof/>
        </w:rPr>
        <w:t>Article 6</w:t>
      </w:r>
    </w:p>
    <w:p>
      <w:pPr>
        <w:jc w:val="center"/>
        <w:rPr>
          <w:b/>
          <w:noProof/>
          <w:szCs w:val="24"/>
        </w:rPr>
      </w:pPr>
      <w:r>
        <w:rPr>
          <w:b/>
          <w:noProof/>
          <w:szCs w:val="24"/>
        </w:rPr>
        <w:t>Mécanisme pour le suivi des contre-mesures médicales nécessaires en cas de crise</w:t>
      </w:r>
    </w:p>
    <w:p>
      <w:pPr>
        <w:pStyle w:val="Point0"/>
        <w:rPr>
          <w:noProof/>
        </w:rPr>
      </w:pPr>
      <w:r>
        <w:rPr>
          <w:noProof/>
        </w:rPr>
        <w:t>1.</w:t>
      </w:r>
      <w:r>
        <w:rPr>
          <w:noProof/>
        </w:rPr>
        <w:tab/>
        <w:t xml:space="preserve">Lorsque cette mesure est activée, la Commission, après avoir sollicité l’avis du conseil de gestion des crises sanitaires, élabore et met régulièrement à jour une liste des contre-mesures médicales et des matières premières nécessaires en cas de crise, ainsi qu’un modèle de formulaire pour le suivi de l’offre et de la demande en la matière, ainsi que des capacités de production, des niveaux de stocks, des éventuels éléments critiques ou risques de perturbation des chaînes d’approvisionnement et des contrats d’achat. </w:t>
      </w:r>
    </w:p>
    <w:p>
      <w:pPr>
        <w:pStyle w:val="Point0"/>
        <w:rPr>
          <w:noProof/>
        </w:rPr>
      </w:pPr>
      <w:r>
        <w:rPr>
          <w:noProof/>
        </w:rPr>
        <w:t>2.</w:t>
      </w:r>
      <w:r>
        <w:rPr>
          <w:noProof/>
        </w:rPr>
        <w:tab/>
        <w:t xml:space="preserve">La liste mentionnée au paragraphe 1 inclut une liste restreinte des contre-mesures médicales et des matières premières utiles en cas de crise, spécifiques et nécessaires à la préparation des mesures à prendre au titre du présent article ainsi que des articles 7 à 11 et de l’article 13, en tenant compte des informations obtenues en application des règlements suivants: </w:t>
      </w:r>
    </w:p>
    <w:p>
      <w:pPr>
        <w:pStyle w:val="Point1"/>
        <w:rPr>
          <w:rFonts w:eastAsia="Times New Roman"/>
          <w:noProof/>
          <w:szCs w:val="24"/>
        </w:rPr>
      </w:pPr>
      <w:r>
        <w:rPr>
          <w:noProof/>
        </w:rPr>
        <w:t>a)</w:t>
      </w:r>
      <w:r>
        <w:rPr>
          <w:noProof/>
        </w:rPr>
        <w:tab/>
        <w:t xml:space="preserve">le règlement (UE) .../... [règlement EMA], et notamment ses articles XX </w:t>
      </w:r>
      <w:r>
        <w:rPr>
          <w:i/>
          <w:noProof/>
        </w:rPr>
        <w:t>[numéros d’article à confirmer après adoption]</w:t>
      </w:r>
      <w:r>
        <w:rPr>
          <w:noProof/>
        </w:rPr>
        <w:t xml:space="preserve">, pour ce qui concerne la surveillance et l’atténuation des effets des pénuries de médicaments, de dispositifs médicaux et de dispositifs médicaux de diagnostic in vitro critiques; </w:t>
      </w:r>
    </w:p>
    <w:p>
      <w:pPr>
        <w:pStyle w:val="Point1"/>
        <w:rPr>
          <w:noProof/>
        </w:rPr>
      </w:pPr>
      <w:r>
        <w:rPr>
          <w:noProof/>
        </w:rPr>
        <w:t>b)</w:t>
      </w:r>
      <w:r>
        <w:rPr>
          <w:noProof/>
        </w:rPr>
        <w:tab/>
        <w:t>le règlement (UE) .../... [règlement ECDC], et notamment son article 3, point e), pour ce qui concerne l’existence d’indicateurs de la capacité des systèmes de santé des États membres quant aux services nécessaires, en cas de menaces liées aux maladies transmissibles, à la gestion et à la réaction face à ces menaces;</w:t>
      </w:r>
    </w:p>
    <w:p>
      <w:pPr>
        <w:pStyle w:val="Point0"/>
        <w:rPr>
          <w:noProof/>
          <w:szCs w:val="24"/>
        </w:rPr>
      </w:pPr>
      <w:r>
        <w:rPr>
          <w:noProof/>
        </w:rPr>
        <w:t>3.</w:t>
      </w:r>
      <w:r>
        <w:rPr>
          <w:noProof/>
        </w:rPr>
        <w:tab/>
        <w:t xml:space="preserve">Les États membres fournissent à la Commission des informations sur la base du modèle de formulaire de suivi visé au paragraphe 1. </w:t>
      </w:r>
    </w:p>
    <w:p>
      <w:pPr>
        <w:pStyle w:val="Point0"/>
        <w:rPr>
          <w:noProof/>
        </w:rPr>
      </w:pPr>
      <w:r>
        <w:rPr>
          <w:noProof/>
        </w:rPr>
        <w:t>4.</w:t>
      </w:r>
      <w:r>
        <w:rPr>
          <w:noProof/>
        </w:rPr>
        <w:tab/>
        <w:t>Lorsqu’un État membre a l’intention d’adopter des mesures pour la passation de marchés, l’achat ou la fabrication des contre-mesures médicales ou des matières premières nécessaires en cas de crise, il en informe le conseil de gestion des crises sanitaires et le consulte.</w:t>
      </w:r>
    </w:p>
    <w:p>
      <w:pPr>
        <w:pStyle w:val="Point0"/>
        <w:rPr>
          <w:i/>
          <w:noProof/>
        </w:rPr>
      </w:pPr>
      <w:r>
        <w:rPr>
          <w:noProof/>
        </w:rPr>
        <w:t>5.</w:t>
      </w:r>
      <w:r>
        <w:rPr>
          <w:noProof/>
        </w:rPr>
        <w:tab/>
        <w:t xml:space="preserve">À la demande de la Commission, l’EMA lui fournit des informations sur le suivi des médicaments, des dispositifs médicaux et des dispositifs médicaux de diagnostic in vitro, y compris l’offre et la demande en la matière, conformément aux articles XX </w:t>
      </w:r>
      <w:r>
        <w:rPr>
          <w:i/>
          <w:noProof/>
        </w:rPr>
        <w:t>[numéros d’article à confirmer après adoption]</w:t>
      </w:r>
      <w:r>
        <w:rPr>
          <w:noProof/>
        </w:rPr>
        <w:t xml:space="preserve"> du règlement (UE) .../... [règlement EMA].</w:t>
      </w:r>
    </w:p>
    <w:p>
      <w:pPr>
        <w:pStyle w:val="Point0"/>
        <w:rPr>
          <w:i/>
          <w:noProof/>
        </w:rPr>
      </w:pPr>
      <w:r>
        <w:rPr>
          <w:noProof/>
        </w:rPr>
        <w:t>6.</w:t>
      </w:r>
      <w:r>
        <w:rPr>
          <w:noProof/>
        </w:rPr>
        <w:tab/>
        <w:t xml:space="preserve">La Commission recueille des renseignements au moyen d’un système informatique sécurisé et surveille toutes les informations pertinentes sur l’offre et la demande des contre-mesures médicales et des matières premières nécessaires en cas de crise, au sein de l’Union et dans les pays tiers. Si nécessaire, la Commission veille à l’interopérabilité du système informatique avec les systèmes électroniques de surveillance et de notification développés par l’EMA en application de l’article 9, point c), </w:t>
      </w:r>
      <w:r>
        <w:rPr>
          <w:i/>
          <w:noProof/>
        </w:rPr>
        <w:t>[numéros d’article à confirmer après adoption]</w:t>
      </w:r>
      <w:r>
        <w:rPr>
          <w:noProof/>
        </w:rPr>
        <w:t xml:space="preserve"> du règlement (UE) .../... [règlement EMA].</w:t>
      </w:r>
      <w:r>
        <w:rPr>
          <w:i/>
          <w:noProof/>
        </w:rPr>
        <w:t xml:space="preserve"> </w:t>
      </w:r>
    </w:p>
    <w:p>
      <w:pPr>
        <w:pStyle w:val="Point0"/>
        <w:rPr>
          <w:noProof/>
          <w:szCs w:val="24"/>
        </w:rPr>
      </w:pPr>
      <w:r>
        <w:rPr>
          <w:noProof/>
        </w:rPr>
        <w:t>7.</w:t>
      </w:r>
      <w:r>
        <w:rPr>
          <w:noProof/>
        </w:rPr>
        <w:tab/>
        <w:t>La Commission fournit au Parlement européen et au Conseil des informations sur les résultats de la surveillance des contre-mesures médicales et des matières premières nécessaires en cas de crise par l’intermédiaire du dispositif intégré pour une réaction au niveau politique dans les situations de crise prévu dans la décision d’exécution (UE) 2018/1993 du Conseil</w:t>
      </w:r>
      <w:r>
        <w:rPr>
          <w:rStyle w:val="FootnoteReference"/>
          <w:noProof/>
          <w:szCs w:val="24"/>
        </w:rPr>
        <w:footnoteReference w:id="32"/>
      </w:r>
      <w:r>
        <w:rPr>
          <w:noProof/>
        </w:rPr>
        <w:t>.</w:t>
      </w:r>
    </w:p>
    <w:p>
      <w:pPr>
        <w:pStyle w:val="Text1"/>
        <w:rPr>
          <w:noProof/>
        </w:rPr>
      </w:pPr>
      <w:r>
        <w:rPr>
          <w:noProof/>
        </w:rPr>
        <w:t xml:space="preserve">La Commission met à la disposition du Parlement européen et du Conseil, par l’intermédiaire du dispositif intégré pour une réaction au niveau politique dans les situations de crise, des modèles et des prévisions concernant les besoins en contre-mesures médicales et en matières premières nécessaires en cas de crise, avec le soutien des agences compétentes de l’Union, le cas échéant. </w:t>
      </w:r>
    </w:p>
    <w:p>
      <w:pPr>
        <w:pStyle w:val="Titrearticle"/>
        <w:spacing w:after="0"/>
        <w:rPr>
          <w:noProof/>
        </w:rPr>
      </w:pPr>
      <w:r>
        <w:rPr>
          <w:noProof/>
        </w:rPr>
        <w:t>Article 7</w:t>
      </w:r>
    </w:p>
    <w:p>
      <w:pPr>
        <w:jc w:val="center"/>
        <w:rPr>
          <w:b/>
          <w:i/>
          <w:noProof/>
        </w:rPr>
      </w:pPr>
      <w:r>
        <w:rPr>
          <w:b/>
          <w:noProof/>
        </w:rPr>
        <w:t xml:space="preserve">Marchés publics, achat et fabrication des contre-mesures médicales et des matières premières nécessaires en cas de crise </w:t>
      </w:r>
    </w:p>
    <w:p>
      <w:pPr>
        <w:pStyle w:val="Point0"/>
        <w:rPr>
          <w:noProof/>
          <w:szCs w:val="24"/>
        </w:rPr>
      </w:pPr>
      <w:r>
        <w:rPr>
          <w:noProof/>
        </w:rPr>
        <w:t>1.</w:t>
      </w:r>
      <w:r>
        <w:rPr>
          <w:noProof/>
        </w:rPr>
        <w:tab/>
        <w:t>Lorsque cette mesure est activée, un mandat de négociation est établi par la Commission au nom des États membres qui souhaitent être représentés par elle (ci-après les «États membres participants»), lui permettant d’agir en tant que centrale d’achat pour les contre-mesures médicales nécessaires en cas de crise, en activant les contrats existants ou en négociant de nouveaux contrats en faisant appel à tous les instruments disponibles, tels que l’article 4 du règlement (UE) 2016/369, la procédure de passation conjointe de marché visée à l’article 12 du règlement (UE) .../... [règlement SCBTH] ou les partenariats européens d’innovation.</w:t>
      </w:r>
    </w:p>
    <w:p>
      <w:pPr>
        <w:pStyle w:val="Point0"/>
        <w:rPr>
          <w:noProof/>
        </w:rPr>
      </w:pPr>
      <w:r>
        <w:rPr>
          <w:noProof/>
        </w:rPr>
        <w:t>2.</w:t>
      </w:r>
      <w:r>
        <w:rPr>
          <w:noProof/>
        </w:rPr>
        <w:tab/>
        <w:t>Sans préjudice du paragraphe 1 ci-dessus, lors de la passation de marché au titre du présent règlement, la Commission applique les règles énoncées dans le règlement (UE, Euratom) 2018/1046 du Parlement européen et du Conseil</w:t>
      </w:r>
      <w:r>
        <w:rPr>
          <w:rStyle w:val="FootnoteReference"/>
          <w:noProof/>
        </w:rPr>
        <w:footnoteReference w:id="33"/>
      </w:r>
      <w:r>
        <w:rPr>
          <w:noProof/>
        </w:rPr>
        <w:t xml:space="preserve"> pour ses propres marchés. Les procédures de passation de marchés peuvent être simplifiées comme suit:</w:t>
      </w:r>
    </w:p>
    <w:p>
      <w:pPr>
        <w:pStyle w:val="Point1"/>
        <w:rPr>
          <w:noProof/>
        </w:rPr>
      </w:pPr>
      <w:r>
        <w:rPr>
          <w:noProof/>
        </w:rPr>
        <w:t>a)</w:t>
      </w:r>
      <w:r>
        <w:rPr>
          <w:noProof/>
        </w:rPr>
        <w:tab/>
        <w:t xml:space="preserve">par dérogation à l’article 137 du règlement (UE, Euratom) 2018/1046, il est possible de fournir des preuves relatives aux critères d’exclusion et de sélection après la signature du contrat, pourvu qu’une déclaration sur l’honneur ait été présentée à cet égard avant l’attribution du marché; </w:t>
      </w:r>
    </w:p>
    <w:p>
      <w:pPr>
        <w:pStyle w:val="Point1"/>
        <w:rPr>
          <w:noProof/>
        </w:rPr>
      </w:pPr>
      <w:r>
        <w:rPr>
          <w:noProof/>
        </w:rPr>
        <w:t>b)</w:t>
      </w:r>
      <w:r>
        <w:rPr>
          <w:noProof/>
        </w:rPr>
        <w:tab/>
        <w:t>par dérogation à l’article 172, paragraphe 2, du règlement (UE, Euratom) 2018/1046, la Commission peut modifier un contrat, si nécessaire, afin de l’adapter à l’évolution de la situation d’urgence de santé publique;</w:t>
      </w:r>
    </w:p>
    <w:p>
      <w:pPr>
        <w:pStyle w:val="Point1"/>
        <w:rPr>
          <w:noProof/>
          <w:szCs w:val="24"/>
        </w:rPr>
      </w:pPr>
      <w:r>
        <w:rPr>
          <w:noProof/>
        </w:rPr>
        <w:t>c)</w:t>
      </w:r>
      <w:r>
        <w:rPr>
          <w:noProof/>
        </w:rPr>
        <w:tab/>
        <w:t>par dérogation à l’article 165 du règlement (UE, Euratom) 2018/1046, il est possible d’ajouter, après la signature du contrat, des pouvoirs adjudicateurs ne figurant pas dans les documents de marché;</w:t>
      </w:r>
    </w:p>
    <w:p>
      <w:pPr>
        <w:pStyle w:val="Point1"/>
        <w:rPr>
          <w:noProof/>
        </w:rPr>
      </w:pPr>
      <w:r>
        <w:rPr>
          <w:noProof/>
        </w:rPr>
        <w:t>d)</w:t>
      </w:r>
      <w:r>
        <w:rPr>
          <w:noProof/>
        </w:rPr>
        <w:tab/>
        <w:t>par dérogation à l’article 172, paragraphe 1, du règlement (UE, Euratom) 2018/1046, les pouvoirs adjudicateurs sont autorisés à demander la livraison de biens ou la prestation de services dès la date d’envoi des projets de contrats résultant de la passation de marché menée aux fins du présent règlement, et au plus tard 24 heures après l’attribution du marché.</w:t>
      </w:r>
    </w:p>
    <w:p>
      <w:pPr>
        <w:pStyle w:val="Point0"/>
        <w:rPr>
          <w:noProof/>
        </w:rPr>
      </w:pPr>
      <w:r>
        <w:rPr>
          <w:noProof/>
        </w:rPr>
        <w:t>3.</w:t>
      </w:r>
      <w:r>
        <w:rPr>
          <w:noProof/>
        </w:rPr>
        <w:tab/>
        <w:t xml:space="preserve">Conformément au mandat de négociation qui lui a été confié, la Commission peut avoir la capacité et la responsabilité de signer, au nom de tous les États membres participants, des contrats d’achat avec des opérateurs économiques, y compris des producteurs individuels de contre-mesures utiles en cas de crise, concernant l’acquisition de ces contre-mesures ou le financement anticipé de leur production ou de leur conception en échange d’un droit sur le résultat. </w:t>
      </w:r>
    </w:p>
    <w:p>
      <w:pPr>
        <w:pStyle w:val="Text1"/>
        <w:rPr>
          <w:noProof/>
        </w:rPr>
      </w:pPr>
      <w:r>
        <w:rPr>
          <w:noProof/>
        </w:rPr>
        <w:t>Afin de préparer l’accomplissement de ces tâches, les représentants de la Commission ou les experts désignés par elle peuvent effectuer des inspections sur place dans les installations de production des contre-mesures médicales nécessaires en cas de crise.</w:t>
      </w:r>
    </w:p>
    <w:p>
      <w:pPr>
        <w:pStyle w:val="Point0"/>
        <w:rPr>
          <w:noProof/>
        </w:rPr>
      </w:pPr>
      <w:r>
        <w:rPr>
          <w:noProof/>
        </w:rPr>
        <w:t>4.</w:t>
      </w:r>
      <w:r>
        <w:rPr>
          <w:noProof/>
        </w:rPr>
        <w:tab/>
        <w:t xml:space="preserve">La Commission a la capacité et la responsabilité d’activer les installations Fab UE afin de débloquer des capacités de production de réserve pour les situations d’urgence de manière à garantir la fourniture des contre-mesures médicales et des matières premières nécessaires en période de crise, et ce dans les quantités et les délais convenus dans les contrats Fab UE. Des procédures de passation de marchés spécifiques sont appliquées pour ces quantités convenues de contre-mesures médicales nécessaires en cas de crise. </w:t>
      </w:r>
    </w:p>
    <w:p>
      <w:pPr>
        <w:pStyle w:val="Point0"/>
        <w:rPr>
          <w:noProof/>
        </w:rPr>
      </w:pPr>
      <w:r>
        <w:rPr>
          <w:noProof/>
        </w:rPr>
        <w:t>5.</w:t>
      </w:r>
      <w:r>
        <w:rPr>
          <w:noProof/>
        </w:rPr>
        <w:tab/>
        <w:t>Lorsque la Commission finance la production et/ou l’élaboration des contre-mesures médicales nécessaires en cas de crise, elle est autorisée à demander, dans des conditions équitables et raisonnables, les licences pour la propriété intellectuelle et le savoir-faire relatifs à ces contre-mesures, au cas où un opérateur économique abandonne ses efforts de développement ou s’il n’est pas en mesure d’assurer la livraison adéquate et opportune desdites contre-mesures conformément aux termes de l’accord conclu. D’autres conditions et procédures relatives à l’exercice de ce droit peuvent être fixées dans les accords spécifiques avec les opérateurs économiques.</w:t>
      </w:r>
    </w:p>
    <w:p>
      <w:pPr>
        <w:pStyle w:val="Point0"/>
        <w:rPr>
          <w:noProof/>
        </w:rPr>
      </w:pPr>
      <w:r>
        <w:rPr>
          <w:noProof/>
        </w:rPr>
        <w:t>6.</w:t>
      </w:r>
      <w:r>
        <w:rPr>
          <w:noProof/>
        </w:rPr>
        <w:tab/>
        <w:t xml:space="preserve">La Commission, au nom des États membres participants, effectue les procédures de passation de marchés et conclut les contrats qui en découlent avec les opérateurs économiques. La Commission invite les États membres qui prennent part au conseil de gestion des crises sanitaires établi en vertu de l’article 5 à désigner des représentants pour participer à la préparation des procédures de passation de marché ainsi qu’à la négociation des contrats d’achat. Le déploiement et l’utilisation des contre-mesures médicales nécessaires en cas de crise continuent de relever de la responsabilité des États membres participants. </w:t>
      </w:r>
    </w:p>
    <w:p>
      <w:pPr>
        <w:pStyle w:val="Titrearticle"/>
        <w:spacing w:after="0"/>
        <w:rPr>
          <w:noProof/>
        </w:rPr>
      </w:pPr>
      <w:r>
        <w:rPr>
          <w:noProof/>
        </w:rPr>
        <w:t>Article 8</w:t>
      </w:r>
    </w:p>
    <w:p>
      <w:pPr>
        <w:jc w:val="center"/>
        <w:rPr>
          <w:b/>
          <w:i/>
          <w:noProof/>
        </w:rPr>
      </w:pPr>
      <w:r>
        <w:rPr>
          <w:b/>
          <w:noProof/>
        </w:rPr>
        <w:t>Activation de plans de recherche et d’innovation d’urgence et utilisation de réseaux d’essais cliniques et de plateformes de partage de données à l’échelle de l’Union</w:t>
      </w:r>
    </w:p>
    <w:p>
      <w:pPr>
        <w:pStyle w:val="Point0"/>
        <w:rPr>
          <w:noProof/>
        </w:rPr>
      </w:pPr>
      <w:r>
        <w:rPr>
          <w:noProof/>
        </w:rPr>
        <w:t>1.</w:t>
      </w:r>
      <w:r>
        <w:rPr>
          <w:noProof/>
        </w:rPr>
        <w:tab/>
        <w:t>Lorsque cette mesure est activée, la Commission et les États membres activent le volet relatif à la recherche et à l’innovation d’urgence du plan de préparation et de réaction de l’Union visé dans le règlement (UE) .../... [règlement SCBTH].</w:t>
      </w:r>
    </w:p>
    <w:p>
      <w:pPr>
        <w:pStyle w:val="Point0"/>
        <w:rPr>
          <w:noProof/>
        </w:rPr>
      </w:pPr>
      <w:r>
        <w:rPr>
          <w:noProof/>
        </w:rPr>
        <w:t>2.</w:t>
      </w:r>
      <w:r>
        <w:rPr>
          <w:noProof/>
        </w:rPr>
        <w:tab/>
        <w:t xml:space="preserve">La Commission encourage l’accès aux données pertinentes issues des essais cliniques mais aussi aux données réelles. Si possible, la Commission s’appuie sur les initiatives de recherche existantes en matière de préparation, comme les réseaux d’essais cliniques et les études d’observation à l’échelle de l’Union, ou encore les cohortes stratégiques, soutenues par des plateformes et infrastructures numériques comme le calcul à haute performance, qui permettent le partage ouvert de données faciles à trouver, accessibles, interopérables et réutilisables (FAIR); et elle soutient les activités des organismes nationaux compétents qui promeuvent la disponibilité et l’accessibilité des données, y compris les données relatives à la santé. </w:t>
      </w:r>
    </w:p>
    <w:p>
      <w:pPr>
        <w:pStyle w:val="Point0"/>
        <w:rPr>
          <w:noProof/>
        </w:rPr>
      </w:pPr>
      <w:r>
        <w:rPr>
          <w:noProof/>
        </w:rPr>
        <w:t>3.</w:t>
      </w:r>
      <w:r>
        <w:rPr>
          <w:noProof/>
        </w:rPr>
        <w:tab/>
        <w:t>La Commission associe la task-force pour les situations d’urgence de l’EMA, instituée par le règlement (UE) .../... [règlement EMA], aux actions sur les essais cliniques, et elle garantit la coordination avec l’ECDC en la matière.</w:t>
      </w:r>
    </w:p>
    <w:p>
      <w:pPr>
        <w:pStyle w:val="Point0"/>
        <w:rPr>
          <w:noProof/>
        </w:rPr>
      </w:pPr>
      <w:r>
        <w:rPr>
          <w:noProof/>
        </w:rPr>
        <w:t>4.</w:t>
      </w:r>
      <w:r>
        <w:rPr>
          <w:noProof/>
        </w:rPr>
        <w:tab/>
        <w:t xml:space="preserve">La participation de l’Union au volet relatif à la recherche et à l’innovation d’urgence du plan de préparation et de réaction de l’Union, et sa collaboration avec les États membres en la matière, sont conformes aux règles et procédures des différents programmes-cadres financiers pluriannuels. </w:t>
      </w:r>
    </w:p>
    <w:p>
      <w:pPr>
        <w:pStyle w:val="Titrearticle"/>
        <w:spacing w:after="0"/>
        <w:rPr>
          <w:noProof/>
        </w:rPr>
      </w:pPr>
      <w:r>
        <w:rPr>
          <w:noProof/>
        </w:rPr>
        <w:t>Article 9</w:t>
      </w:r>
    </w:p>
    <w:p>
      <w:pPr>
        <w:jc w:val="center"/>
        <w:rPr>
          <w:b/>
          <w:noProof/>
        </w:rPr>
      </w:pPr>
      <w:r>
        <w:rPr>
          <w:b/>
          <w:noProof/>
        </w:rPr>
        <w:t xml:space="preserve">Inventaire de la production et des installations de production des contre-mesures médicales nécessaires en cas de crise </w:t>
      </w:r>
    </w:p>
    <w:p>
      <w:pPr>
        <w:pStyle w:val="Point0"/>
        <w:rPr>
          <w:noProof/>
        </w:rPr>
      </w:pPr>
      <w:r>
        <w:rPr>
          <w:noProof/>
        </w:rPr>
        <w:t>1.</w:t>
      </w:r>
      <w:r>
        <w:rPr>
          <w:noProof/>
        </w:rPr>
        <w:tab/>
        <w:t xml:space="preserve">Lorsque cette mesure est activée, la Commission peut établir un inventaire, après consultation du conseil de gestion des crises sanitaires, et à cette fin demander aux producteurs des contre-mesures médicales nécessaires en cas de crise de l’informer, dans un délai de cinq jours, concernant leur capacité de production totale réelle et les éventuels stocks existants de contre-mesures médicales nécessaires en cas de crise et de composants de ces contre-mesures, dans les installations de production qu’ils opèrent au sein de l’Union ou dans les pays tiers, dans les installations auxquelles ils sont liés par contrat ou dans celles où ils s’approvisionnent, et de transmettre à la Commission un calendrier des résultats de production attendus dans chaque installation de production dans l’Union pour les trois mois qui suivent. </w:t>
      </w:r>
    </w:p>
    <w:p>
      <w:pPr>
        <w:pStyle w:val="Point0"/>
        <w:rPr>
          <w:noProof/>
        </w:rPr>
      </w:pPr>
      <w:r>
        <w:rPr>
          <w:noProof/>
        </w:rPr>
        <w:t>2.</w:t>
      </w:r>
      <w:r>
        <w:rPr>
          <w:noProof/>
        </w:rPr>
        <w:tab/>
        <w:t xml:space="preserve">À la demande de la Commission, chaque producteur de contre-mesures médicales nécessaires en cas de crise lui indique, dans un délai maximal de cinq jours, toutes les installations de production des contre-mesures médicales nécessaires en cas de crise qu’il exploite, en incluant des précisions sur leur capacité de production de contre-mesures médicales nécessaires en cas de crise grâce à des mises à jour régulières. Pour les médicaments, ces informations comprennent à la fois les installations à l’origine des produits finis et celles qui fabriquent des principes actifs pharmaceutiques. </w:t>
      </w:r>
    </w:p>
    <w:p>
      <w:pPr>
        <w:pStyle w:val="Point0"/>
        <w:rPr>
          <w:noProof/>
        </w:rPr>
      </w:pPr>
      <w:r>
        <w:rPr>
          <w:noProof/>
        </w:rPr>
        <w:t>3.</w:t>
      </w:r>
      <w:r>
        <w:rPr>
          <w:noProof/>
        </w:rPr>
        <w:tab/>
        <w:t xml:space="preserve">La Commission présente régulièrement au Parlement européen et au Conseil des informations sur la production et la vitesse de production attendue de contre-mesures médicales nécessaires en cas de crise au sein de l’Union ainsi que dans les installations des pays tiers qui fournissent des produits finis, des produits intermédiaires ou d’autres composants, et sur les capacités des installations de production de contre-mesures médicales nécessaires en cas de crise au sein de l’Union et dans les pays tiers, tout en protégeant de manière adéquate les informations confidentielles à caractère commercial des producteurs. </w:t>
      </w:r>
    </w:p>
    <w:p>
      <w:pPr>
        <w:pStyle w:val="Titrearticle"/>
        <w:spacing w:after="0"/>
        <w:rPr>
          <w:noProof/>
        </w:rPr>
      </w:pPr>
      <w:r>
        <w:rPr>
          <w:noProof/>
        </w:rPr>
        <w:t>Article 10</w:t>
      </w:r>
    </w:p>
    <w:p>
      <w:pPr>
        <w:jc w:val="center"/>
        <w:rPr>
          <w:rStyle w:val="Aucun"/>
          <w:i/>
          <w:noProof/>
        </w:rPr>
      </w:pPr>
      <w:r>
        <w:rPr>
          <w:b/>
          <w:noProof/>
        </w:rPr>
        <w:t xml:space="preserve">Inventaire des matières premières et consommables, des dispositifs, des équipements et des infrastructures nécessaires en cas de crise </w:t>
      </w:r>
    </w:p>
    <w:p>
      <w:pPr>
        <w:rPr>
          <w:noProof/>
        </w:rPr>
      </w:pPr>
      <w:r>
        <w:rPr>
          <w:noProof/>
        </w:rPr>
        <w:t>Lorsque cette mesure est activée, la Commission élargit l’inventaire prévu à l’article 9 aux matières premières et consommables, aux dispositifs, aux équipements et aux infrastructures nécessaires en cas de crise, si elle estime qu’il existe un risque de pénurie d’approvisionnement de matières premières et consommables, de dispositifs et d’équipements nécessaires en cas de crise ou d’éventuels problèmes relatifs aux infrastructures.</w:t>
      </w:r>
    </w:p>
    <w:p>
      <w:pPr>
        <w:pStyle w:val="Titrearticle"/>
        <w:spacing w:after="0"/>
        <w:rPr>
          <w:noProof/>
        </w:rPr>
      </w:pPr>
      <w:r>
        <w:rPr>
          <w:noProof/>
        </w:rPr>
        <w:t>Article 11</w:t>
      </w:r>
    </w:p>
    <w:p>
      <w:pPr>
        <w:jc w:val="center"/>
        <w:rPr>
          <w:b/>
          <w:noProof/>
        </w:rPr>
      </w:pPr>
      <w:r>
        <w:rPr>
          <w:b/>
          <w:noProof/>
        </w:rPr>
        <w:t>Mesures visant à garantir la disponibilité et la fourniture de contre-mesures médicales nécessaires en cas de crise</w:t>
      </w:r>
    </w:p>
    <w:p>
      <w:pPr>
        <w:pStyle w:val="ManualNumPar1"/>
        <w:rPr>
          <w:noProof/>
        </w:rPr>
      </w:pPr>
      <w:r>
        <w:t>1.</w:t>
      </w:r>
      <w:r>
        <w:tab/>
      </w:r>
      <w:r>
        <w:rPr>
          <w:noProof/>
        </w:rPr>
        <w:t xml:space="preserve">Lorsque cette mesure est activée, la Commission met en œuvre, en collaboration avec les États membres concernés, des mesures spécifiques visant à assurer une réorganisation efficace des chaînes d’approvisionnement et des chaînes de production et utilise les stocks existants afin d’accroître le plus rapidement possible la disponibilité et la fourniture de contre-mesures médicales nécessaires en cas de crise, dès lors qu’elle estime qu’il existe un risque de pénurie de matières premières et consommables, de dispositifs, d’équipements et d’infrastructures nécessaires en cas de crise. </w:t>
      </w:r>
    </w:p>
    <w:p>
      <w:pPr>
        <w:pStyle w:val="ManualNumPar1"/>
        <w:rPr>
          <w:noProof/>
        </w:rPr>
      </w:pPr>
      <w:r>
        <w:t>2.</w:t>
      </w:r>
      <w:r>
        <w:tab/>
      </w:r>
      <w:r>
        <w:rPr>
          <w:noProof/>
        </w:rPr>
        <w:t>Les mesures prévues au paragraphe 1 comprennent notamment:</w:t>
      </w:r>
    </w:p>
    <w:p>
      <w:pPr>
        <w:pStyle w:val="Point1"/>
        <w:rPr>
          <w:noProof/>
        </w:rPr>
      </w:pPr>
      <w:r>
        <w:rPr>
          <w:noProof/>
        </w:rPr>
        <w:t>a)</w:t>
      </w:r>
      <w:r>
        <w:rPr>
          <w:noProof/>
        </w:rPr>
        <w:tab/>
        <w:t>la facilitation de l’augmentation ou de la réaffectation de capacités de production existantes, ou la création de nouvelles capacités de production, en ce qui concerne les contre-mesures médicales nécessaires en cas de crise;</w:t>
      </w:r>
    </w:p>
    <w:p>
      <w:pPr>
        <w:pStyle w:val="Point1"/>
        <w:rPr>
          <w:noProof/>
        </w:rPr>
      </w:pPr>
      <w:r>
        <w:rPr>
          <w:noProof/>
        </w:rPr>
        <w:t>b)</w:t>
      </w:r>
      <w:r>
        <w:rPr>
          <w:noProof/>
        </w:rPr>
        <w:tab/>
        <w:t>la facilitation de l’augmentation des capacités existantes ou la création de nouvelles capacités liées aux activités, et l’introduction de mesures qui garantissent une flexibilité réglementaire visant à soutenir la production et la mise sur le marché des contre-mesures médicales nécessaires en cas de crise;</w:t>
      </w:r>
    </w:p>
    <w:p>
      <w:pPr>
        <w:pStyle w:val="Point1"/>
        <w:rPr>
          <w:noProof/>
          <w:szCs w:val="24"/>
        </w:rPr>
      </w:pPr>
      <w:r>
        <w:rPr>
          <w:noProof/>
        </w:rPr>
        <w:t>c)</w:t>
      </w:r>
      <w:r>
        <w:rPr>
          <w:noProof/>
        </w:rPr>
        <w:tab/>
        <w:t>la mise en œuvre d’initiatives en matière de passation de marché, la constitution de stocks et de capacités de production de réserve de manière à coordonner les approches, et la fourniture de biens, de services et de ressources critiques pour la production des contre-mesures médicales nécessaires en cas de crise;</w:t>
      </w:r>
    </w:p>
    <w:p>
      <w:pPr>
        <w:pStyle w:val="Point1"/>
        <w:rPr>
          <w:noProof/>
        </w:rPr>
      </w:pPr>
      <w:r>
        <w:rPr>
          <w:noProof/>
        </w:rPr>
        <w:t>d)</w:t>
      </w:r>
      <w:r>
        <w:rPr>
          <w:noProof/>
        </w:rPr>
        <w:tab/>
        <w:t>la facilitation de la collaboration des entreprises concernées dans un effort industriel commun visant à garantir la disponibilité et la fourniture des contre-mesures médicales nécessaires en cas de crise; et</w:t>
      </w:r>
    </w:p>
    <w:p>
      <w:pPr>
        <w:pStyle w:val="Point1"/>
        <w:rPr>
          <w:noProof/>
        </w:rPr>
      </w:pPr>
      <w:r>
        <w:rPr>
          <w:noProof/>
        </w:rPr>
        <w:t>e)</w:t>
      </w:r>
      <w:r>
        <w:rPr>
          <w:noProof/>
        </w:rPr>
        <w:tab/>
        <w:t>la facilitation de l’obtention de licences pour la propriété intellectuelle et le savoir-faire associés aux contre-mesures médicales nécessaires en cas de crise.</w:t>
      </w:r>
    </w:p>
    <w:p>
      <w:pPr>
        <w:pStyle w:val="Point0"/>
        <w:rPr>
          <w:noProof/>
        </w:rPr>
      </w:pPr>
      <w:r>
        <w:rPr>
          <w:noProof/>
        </w:rPr>
        <w:t>3.</w:t>
      </w:r>
      <w:r>
        <w:rPr>
          <w:noProof/>
        </w:rPr>
        <w:tab/>
        <w:t xml:space="preserve">La Commission peut fournir les incitations financières nécessaires pour garantir la mise en œuvre rapide des mesures visées au paragraphe 2. </w:t>
      </w:r>
    </w:p>
    <w:p>
      <w:pPr>
        <w:pStyle w:val="Titrearticle"/>
        <w:spacing w:after="0"/>
        <w:rPr>
          <w:noProof/>
        </w:rPr>
      </w:pPr>
      <w:r>
        <w:rPr>
          <w:noProof/>
        </w:rPr>
        <w:t>Article 12</w:t>
      </w:r>
    </w:p>
    <w:p>
      <w:pPr>
        <w:jc w:val="center"/>
        <w:rPr>
          <w:b/>
          <w:i/>
          <w:noProof/>
        </w:rPr>
      </w:pPr>
      <w:r>
        <w:rPr>
          <w:b/>
          <w:noProof/>
        </w:rPr>
        <w:t xml:space="preserve">Révision </w:t>
      </w:r>
    </w:p>
    <w:p>
      <w:pPr>
        <w:rPr>
          <w:i/>
          <w:noProof/>
        </w:rPr>
      </w:pPr>
      <w:r>
        <w:rPr>
          <w:noProof/>
        </w:rPr>
        <w:t xml:space="preserve">En 2025 au plus tard, la Commission procède à une révision du présent règlement et présente au Parlement européen et au Conseil un rapport contenant ses principales conclusions. </w:t>
      </w:r>
    </w:p>
    <w:p>
      <w:pPr>
        <w:pStyle w:val="Titrearticle"/>
        <w:spacing w:after="0"/>
        <w:rPr>
          <w:noProof/>
        </w:rPr>
      </w:pPr>
      <w:r>
        <w:rPr>
          <w:noProof/>
        </w:rPr>
        <w:t>Article 13</w:t>
      </w:r>
    </w:p>
    <w:p>
      <w:pPr>
        <w:jc w:val="center"/>
        <w:rPr>
          <w:b/>
          <w:noProof/>
        </w:rPr>
      </w:pPr>
      <w:r>
        <w:rPr>
          <w:b/>
          <w:noProof/>
        </w:rPr>
        <w:t xml:space="preserve">Activation du financement d’urgence </w:t>
      </w:r>
    </w:p>
    <w:p>
      <w:pPr>
        <w:pStyle w:val="Point0"/>
        <w:ind w:left="0" w:firstLine="0"/>
        <w:rPr>
          <w:noProof/>
        </w:rPr>
      </w:pPr>
      <w:r>
        <w:rPr>
          <w:noProof/>
        </w:rPr>
        <w:t xml:space="preserve">L’activation de cette mesure permet la mise en œuvre de l’aide d’urgence prévue par le règlement (UE) 2016/369 pour allouer les ressources nécessaires à la réaction face à une urgence de santé publique, telle que visée par le présent règlement. </w:t>
      </w:r>
    </w:p>
    <w:p>
      <w:pPr>
        <w:pStyle w:val="Titrearticle"/>
        <w:spacing w:after="0"/>
        <w:rPr>
          <w:noProof/>
        </w:rPr>
      </w:pPr>
      <w:r>
        <w:rPr>
          <w:noProof/>
        </w:rPr>
        <w:t>Article 14</w:t>
      </w:r>
    </w:p>
    <w:p>
      <w:pPr>
        <w:jc w:val="center"/>
        <w:rPr>
          <w:b/>
          <w:i/>
          <w:noProof/>
        </w:rPr>
      </w:pPr>
      <w:r>
        <w:rPr>
          <w:b/>
          <w:noProof/>
        </w:rPr>
        <w:t xml:space="preserve">Entrée en vigueur </w:t>
      </w:r>
    </w:p>
    <w:p>
      <w:pPr>
        <w:rPr>
          <w:rFonts w:eastAsia="Times New Roman"/>
          <w:noProof/>
          <w:szCs w:val="24"/>
        </w:rPr>
      </w:pPr>
      <w:r>
        <w:rPr>
          <w:noProof/>
        </w:rPr>
        <w:t xml:space="preserve">Le présent règlement entre en vigueur le vingtième jour suivant celui de sa publication au </w:t>
      </w:r>
      <w:r>
        <w:rPr>
          <w:i/>
          <w:noProof/>
        </w:rPr>
        <w:t>Journal officiel de l’Union européenne</w:t>
      </w:r>
      <w:r>
        <w:rPr>
          <w:noProof/>
        </w:rPr>
        <w:t>.</w:t>
      </w:r>
    </w:p>
    <w:p>
      <w:pPr>
        <w:pStyle w:val="Applicationdirecte"/>
        <w:keepNext/>
        <w:keepLines/>
        <w:rPr>
          <w:rFonts w:eastAsia="Calibri"/>
          <w:noProof/>
        </w:rPr>
      </w:pPr>
      <w:r>
        <w:rPr>
          <w:noProof/>
        </w:rPr>
        <w:t>Le présent règlement est obligatoire dans tous ses éléments et directement applicable dans tout État membre.</w:t>
      </w:r>
    </w:p>
    <w:p>
      <w:pPr>
        <w:pStyle w:val="Fait"/>
        <w:rPr>
          <w:noProof/>
        </w:rPr>
      </w:pPr>
      <w:r>
        <w:t>Fait à Bruxelles, le</w:t>
      </w:r>
    </w:p>
    <w:p>
      <w:pPr>
        <w:pStyle w:val="Institutionquisigne"/>
        <w:rPr>
          <w:noProof/>
        </w:rPr>
      </w:pPr>
      <w:r>
        <w:rPr>
          <w:noProof/>
        </w:rPr>
        <w:tab/>
        <w:t>Par le Conseil</w:t>
      </w:r>
    </w:p>
    <w:p>
      <w:pPr>
        <w:pStyle w:val="Personnequisigne"/>
        <w:rPr>
          <w:noProof/>
        </w:rPr>
      </w:pPr>
      <w:r>
        <w:rPr>
          <w:noProof/>
        </w:rPr>
        <w:tab/>
        <w:t>Le président</w:t>
      </w:r>
    </w:p>
    <w:p>
      <w:pPr>
        <w:rPr>
          <w:noProof/>
        </w:rPr>
        <w:sectPr>
          <w:footerReference w:type="default" r:id="rId14"/>
          <w:footerReference w:type="first" r:id="rId15"/>
          <w:pgSz w:w="11907" w:h="16839"/>
          <w:pgMar w:top="1134" w:right="1417" w:bottom="1134" w:left="1417" w:header="709" w:footer="709" w:gutter="0"/>
          <w:cols w:space="708"/>
          <w:docGrid w:linePitch="360"/>
        </w:sectPr>
      </w:pPr>
    </w:p>
    <w:p>
      <w:pPr>
        <w:pStyle w:val="Fichefinanciretitre"/>
        <w:keepNext/>
        <w:rPr>
          <w:noProof/>
        </w:rPr>
      </w:pPr>
      <w:r>
        <w:rPr>
          <w:noProof/>
        </w:rPr>
        <w:t>LEGISLATIVE FINANCIAL STATEMENT</w:t>
      </w:r>
    </w:p>
    <w:p>
      <w:pPr>
        <w:pStyle w:val="TOC1"/>
        <w:rPr>
          <w:rFonts w:asciiTheme="minorHAnsi" w:eastAsiaTheme="minorEastAsia" w:hAnsiTheme="minorHAnsi" w:cstheme="minorBidi"/>
          <w:noProof/>
          <w:sz w:val="22"/>
          <w:lang w:eastAsia="fr-BE"/>
        </w:rPr>
      </w:pPr>
      <w:r>
        <w:rPr>
          <w:b/>
          <w:bCs/>
          <w:noProof/>
        </w:rPr>
        <w:fldChar w:fldCharType="begin"/>
      </w:r>
      <w:r>
        <w:rPr>
          <w:b/>
          <w:bCs/>
          <w:noProof/>
        </w:rPr>
        <w:instrText xml:space="preserve"> TOC \o "1-3" \h \z \u </w:instrText>
      </w:r>
      <w:r>
        <w:rPr>
          <w:b/>
          <w:bCs/>
          <w:noProof/>
        </w:rPr>
        <w:fldChar w:fldCharType="separate"/>
      </w:r>
      <w:hyperlink w:anchor="_Toc83310781" w:history="1">
        <w:r>
          <w:rPr>
            <w:rStyle w:val="Hyperlink"/>
            <w:noProof/>
          </w:rPr>
          <w:t>1.</w:t>
        </w:r>
        <w:r>
          <w:rPr>
            <w:rFonts w:asciiTheme="minorHAnsi" w:eastAsiaTheme="minorEastAsia" w:hAnsiTheme="minorHAnsi" w:cstheme="minorBidi"/>
            <w:noProof/>
            <w:sz w:val="22"/>
            <w:lang w:eastAsia="fr-BE"/>
          </w:rPr>
          <w:tab/>
        </w:r>
        <w:r>
          <w:rPr>
            <w:rStyle w:val="Hyperlink"/>
            <w:noProof/>
          </w:rPr>
          <w:t>CONTEXTE DE LA PROPOSITION</w:t>
        </w:r>
        <w:r>
          <w:rPr>
            <w:noProof/>
            <w:webHidden/>
          </w:rPr>
          <w:tab/>
        </w:r>
        <w:r>
          <w:rPr>
            <w:noProof/>
            <w:webHidden/>
          </w:rPr>
          <w:fldChar w:fldCharType="begin"/>
        </w:r>
        <w:r>
          <w:rPr>
            <w:noProof/>
            <w:webHidden/>
          </w:rPr>
          <w:instrText xml:space="preserve"> PAGEREF _Toc83310781 \h </w:instrText>
        </w:r>
        <w:r>
          <w:rPr>
            <w:noProof/>
            <w:webHidden/>
          </w:rPr>
        </w:r>
        <w:r>
          <w:rPr>
            <w:noProof/>
            <w:webHidden/>
          </w:rPr>
          <w:fldChar w:fldCharType="separate"/>
        </w:r>
        <w:r>
          <w:rPr>
            <w:noProof/>
            <w:webHidden/>
          </w:rPr>
          <w:t>1</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82" w:history="1">
        <w:r>
          <w:rPr>
            <w:rStyle w:val="Hyperlink"/>
            <w:noProof/>
            <w:u w:color="000000"/>
            <w:bdr w:val="nil"/>
          </w:rPr>
          <w:t>•</w:t>
        </w:r>
        <w:r>
          <w:rPr>
            <w:rFonts w:asciiTheme="minorHAnsi" w:eastAsiaTheme="minorEastAsia" w:hAnsiTheme="minorHAnsi" w:cstheme="minorBidi"/>
            <w:noProof/>
            <w:sz w:val="22"/>
            <w:lang w:eastAsia="fr-BE"/>
          </w:rPr>
          <w:tab/>
        </w:r>
        <w:r>
          <w:rPr>
            <w:rStyle w:val="Hyperlink"/>
            <w:noProof/>
          </w:rPr>
          <w:t>Justification et objectifs de la proposition</w:t>
        </w:r>
        <w:r>
          <w:rPr>
            <w:noProof/>
            <w:webHidden/>
          </w:rPr>
          <w:tab/>
        </w:r>
        <w:r>
          <w:rPr>
            <w:noProof/>
            <w:webHidden/>
          </w:rPr>
          <w:fldChar w:fldCharType="begin"/>
        </w:r>
        <w:r>
          <w:rPr>
            <w:noProof/>
            <w:webHidden/>
          </w:rPr>
          <w:instrText xml:space="preserve"> PAGEREF _Toc83310782 \h </w:instrText>
        </w:r>
        <w:r>
          <w:rPr>
            <w:noProof/>
            <w:webHidden/>
          </w:rPr>
        </w:r>
        <w:r>
          <w:rPr>
            <w:noProof/>
            <w:webHidden/>
          </w:rPr>
          <w:fldChar w:fldCharType="separate"/>
        </w:r>
        <w:r>
          <w:rPr>
            <w:noProof/>
            <w:webHidden/>
          </w:rPr>
          <w:t>1</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83" w:history="1">
        <w:r>
          <w:rPr>
            <w:rStyle w:val="Hyperlink"/>
            <w:noProof/>
            <w:u w:color="000000"/>
            <w:bdr w:val="nil"/>
          </w:rPr>
          <w:t>•</w:t>
        </w:r>
        <w:r>
          <w:rPr>
            <w:rFonts w:asciiTheme="minorHAnsi" w:eastAsiaTheme="minorEastAsia" w:hAnsiTheme="minorHAnsi" w:cstheme="minorBidi"/>
            <w:noProof/>
            <w:sz w:val="22"/>
            <w:lang w:eastAsia="fr-BE"/>
          </w:rPr>
          <w:tab/>
        </w:r>
        <w:r>
          <w:rPr>
            <w:rStyle w:val="Hyperlink"/>
            <w:noProof/>
          </w:rPr>
          <w:t>Cohérence avec les dispositions existantes dans le domaine d’action</w:t>
        </w:r>
        <w:r>
          <w:rPr>
            <w:noProof/>
            <w:webHidden/>
          </w:rPr>
          <w:tab/>
        </w:r>
        <w:r>
          <w:rPr>
            <w:noProof/>
            <w:webHidden/>
          </w:rPr>
          <w:fldChar w:fldCharType="begin"/>
        </w:r>
        <w:r>
          <w:rPr>
            <w:noProof/>
            <w:webHidden/>
          </w:rPr>
          <w:instrText xml:space="preserve"> PAGEREF _Toc83310783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84" w:history="1">
        <w:r>
          <w:rPr>
            <w:rStyle w:val="Hyperlink"/>
            <w:noProof/>
            <w:u w:color="000000"/>
            <w:bdr w:val="nil"/>
          </w:rPr>
          <w:t>•</w:t>
        </w:r>
        <w:r>
          <w:rPr>
            <w:rFonts w:asciiTheme="minorHAnsi" w:eastAsiaTheme="minorEastAsia" w:hAnsiTheme="minorHAnsi" w:cstheme="minorBidi"/>
            <w:noProof/>
            <w:sz w:val="22"/>
            <w:lang w:eastAsia="fr-BE"/>
          </w:rPr>
          <w:tab/>
        </w:r>
        <w:r>
          <w:rPr>
            <w:rStyle w:val="Hyperlink"/>
            <w:noProof/>
          </w:rPr>
          <w:t>Cohérence avec les autres politiques de l’Union</w:t>
        </w:r>
        <w:r>
          <w:rPr>
            <w:noProof/>
            <w:webHidden/>
          </w:rPr>
          <w:tab/>
        </w:r>
        <w:r>
          <w:rPr>
            <w:noProof/>
            <w:webHidden/>
          </w:rPr>
          <w:fldChar w:fldCharType="begin"/>
        </w:r>
        <w:r>
          <w:rPr>
            <w:noProof/>
            <w:webHidden/>
          </w:rPr>
          <w:instrText xml:space="preserve"> PAGEREF _Toc83310784 \h </w:instrText>
        </w:r>
        <w:r>
          <w:rPr>
            <w:noProof/>
            <w:webHidden/>
          </w:rPr>
        </w:r>
        <w:r>
          <w:rPr>
            <w:noProof/>
            <w:webHidden/>
          </w:rPr>
          <w:fldChar w:fldCharType="separate"/>
        </w:r>
        <w:r>
          <w:rPr>
            <w:noProof/>
            <w:webHidden/>
          </w:rPr>
          <w:t>4</w:t>
        </w:r>
        <w:r>
          <w:rPr>
            <w:noProof/>
            <w:webHidden/>
          </w:rPr>
          <w:fldChar w:fldCharType="end"/>
        </w:r>
      </w:hyperlink>
    </w:p>
    <w:p>
      <w:pPr>
        <w:pStyle w:val="TOC1"/>
        <w:rPr>
          <w:rFonts w:asciiTheme="minorHAnsi" w:eastAsiaTheme="minorEastAsia" w:hAnsiTheme="minorHAnsi" w:cstheme="minorBidi"/>
          <w:noProof/>
          <w:sz w:val="22"/>
          <w:lang w:eastAsia="fr-BE"/>
        </w:rPr>
      </w:pPr>
      <w:hyperlink w:anchor="_Toc83310785" w:history="1">
        <w:r>
          <w:rPr>
            <w:rStyle w:val="Hyperlink"/>
            <w:noProof/>
          </w:rPr>
          <w:t>2.</w:t>
        </w:r>
        <w:r>
          <w:rPr>
            <w:rFonts w:asciiTheme="minorHAnsi" w:eastAsiaTheme="minorEastAsia" w:hAnsiTheme="minorHAnsi" w:cstheme="minorBidi"/>
            <w:noProof/>
            <w:sz w:val="22"/>
            <w:lang w:eastAsia="fr-BE"/>
          </w:rPr>
          <w:tab/>
        </w:r>
        <w:r>
          <w:rPr>
            <w:rStyle w:val="Hyperlink"/>
            <w:noProof/>
          </w:rPr>
          <w:t>BASE JURIDIQUE, SUBSIDIARITÉ ET PROPORTIONNALITÉ</w:t>
        </w:r>
        <w:r>
          <w:rPr>
            <w:noProof/>
            <w:webHidden/>
          </w:rPr>
          <w:tab/>
        </w:r>
        <w:r>
          <w:rPr>
            <w:noProof/>
            <w:webHidden/>
          </w:rPr>
          <w:fldChar w:fldCharType="begin"/>
        </w:r>
        <w:r>
          <w:rPr>
            <w:noProof/>
            <w:webHidden/>
          </w:rPr>
          <w:instrText xml:space="preserve"> PAGEREF _Toc83310785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86" w:history="1">
        <w:r>
          <w:rPr>
            <w:rStyle w:val="Hyperlink"/>
            <w:noProof/>
            <w:u w:color="000000"/>
            <w:bdr w:val="nil"/>
          </w:rPr>
          <w:t>•</w:t>
        </w:r>
        <w:r>
          <w:rPr>
            <w:rFonts w:asciiTheme="minorHAnsi" w:eastAsiaTheme="minorEastAsia" w:hAnsiTheme="minorHAnsi" w:cstheme="minorBidi"/>
            <w:noProof/>
            <w:sz w:val="22"/>
            <w:lang w:eastAsia="fr-BE"/>
          </w:rPr>
          <w:tab/>
        </w:r>
        <w:r>
          <w:rPr>
            <w:rStyle w:val="Hyperlink"/>
            <w:noProof/>
            <w:u w:color="000000"/>
            <w:bdr w:val="nil"/>
          </w:rPr>
          <w:t>Base juridique</w:t>
        </w:r>
        <w:r>
          <w:rPr>
            <w:noProof/>
            <w:webHidden/>
          </w:rPr>
          <w:tab/>
        </w:r>
        <w:r>
          <w:rPr>
            <w:noProof/>
            <w:webHidden/>
          </w:rPr>
          <w:fldChar w:fldCharType="begin"/>
        </w:r>
        <w:r>
          <w:rPr>
            <w:noProof/>
            <w:webHidden/>
          </w:rPr>
          <w:instrText xml:space="preserve"> PAGEREF _Toc83310786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87" w:history="1">
        <w:r>
          <w:rPr>
            <w:rStyle w:val="Hyperlink"/>
            <w:noProof/>
            <w:u w:color="000000"/>
            <w:bdr w:val="nil"/>
          </w:rPr>
          <w:t>•</w:t>
        </w:r>
        <w:r>
          <w:rPr>
            <w:rFonts w:asciiTheme="minorHAnsi" w:eastAsiaTheme="minorEastAsia" w:hAnsiTheme="minorHAnsi" w:cstheme="minorBidi"/>
            <w:noProof/>
            <w:sz w:val="22"/>
            <w:lang w:eastAsia="fr-BE"/>
          </w:rPr>
          <w:tab/>
        </w:r>
        <w:r>
          <w:rPr>
            <w:rStyle w:val="Hyperlink"/>
            <w:noProof/>
            <w:u w:color="000000"/>
            <w:bdr w:val="nil"/>
          </w:rPr>
          <w:t>Subsidiarité (en cas de compétence non exclusive)</w:t>
        </w:r>
        <w:r>
          <w:rPr>
            <w:noProof/>
            <w:webHidden/>
          </w:rPr>
          <w:tab/>
        </w:r>
        <w:r>
          <w:rPr>
            <w:noProof/>
            <w:webHidden/>
          </w:rPr>
          <w:fldChar w:fldCharType="begin"/>
        </w:r>
        <w:r>
          <w:rPr>
            <w:noProof/>
            <w:webHidden/>
          </w:rPr>
          <w:instrText xml:space="preserve"> PAGEREF _Toc83310787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88" w:history="1">
        <w:r>
          <w:rPr>
            <w:rStyle w:val="Hyperlink"/>
            <w:noProof/>
            <w:u w:color="000000"/>
            <w:bdr w:val="nil"/>
          </w:rPr>
          <w:t>•</w:t>
        </w:r>
        <w:r>
          <w:rPr>
            <w:rFonts w:asciiTheme="minorHAnsi" w:eastAsiaTheme="minorEastAsia" w:hAnsiTheme="minorHAnsi" w:cstheme="minorBidi"/>
            <w:noProof/>
            <w:sz w:val="22"/>
            <w:lang w:eastAsia="fr-BE"/>
          </w:rPr>
          <w:tab/>
        </w:r>
        <w:r>
          <w:rPr>
            <w:rStyle w:val="Hyperlink"/>
            <w:noProof/>
            <w:u w:color="000000"/>
            <w:bdr w:val="nil"/>
          </w:rPr>
          <w:t>Proportionnalité</w:t>
        </w:r>
        <w:r>
          <w:rPr>
            <w:noProof/>
            <w:webHidden/>
          </w:rPr>
          <w:tab/>
        </w:r>
        <w:r>
          <w:rPr>
            <w:noProof/>
            <w:webHidden/>
          </w:rPr>
          <w:fldChar w:fldCharType="begin"/>
        </w:r>
        <w:r>
          <w:rPr>
            <w:noProof/>
            <w:webHidden/>
          </w:rPr>
          <w:instrText xml:space="preserve"> PAGEREF _Toc83310788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89" w:history="1">
        <w:r>
          <w:rPr>
            <w:rStyle w:val="Hyperlink"/>
            <w:noProof/>
            <w:u w:color="000000"/>
            <w:bdr w:val="nil"/>
          </w:rPr>
          <w:t>•</w:t>
        </w:r>
        <w:r>
          <w:rPr>
            <w:rFonts w:asciiTheme="minorHAnsi" w:eastAsiaTheme="minorEastAsia" w:hAnsiTheme="minorHAnsi" w:cstheme="minorBidi"/>
            <w:noProof/>
            <w:sz w:val="22"/>
            <w:lang w:eastAsia="fr-BE"/>
          </w:rPr>
          <w:tab/>
        </w:r>
        <w:r>
          <w:rPr>
            <w:rStyle w:val="Hyperlink"/>
            <w:noProof/>
            <w:u w:color="000000"/>
            <w:bdr w:val="nil"/>
          </w:rPr>
          <w:t>Choix de l’instrument</w:t>
        </w:r>
        <w:r>
          <w:rPr>
            <w:noProof/>
            <w:webHidden/>
          </w:rPr>
          <w:tab/>
        </w:r>
        <w:r>
          <w:rPr>
            <w:noProof/>
            <w:webHidden/>
          </w:rPr>
          <w:fldChar w:fldCharType="begin"/>
        </w:r>
        <w:r>
          <w:rPr>
            <w:noProof/>
            <w:webHidden/>
          </w:rPr>
          <w:instrText xml:space="preserve"> PAGEREF _Toc83310789 \h </w:instrText>
        </w:r>
        <w:r>
          <w:rPr>
            <w:noProof/>
            <w:webHidden/>
          </w:rPr>
        </w:r>
        <w:r>
          <w:rPr>
            <w:noProof/>
            <w:webHidden/>
          </w:rPr>
          <w:fldChar w:fldCharType="separate"/>
        </w:r>
        <w:r>
          <w:rPr>
            <w:noProof/>
            <w:webHidden/>
          </w:rPr>
          <w:t>5</w:t>
        </w:r>
        <w:r>
          <w:rPr>
            <w:noProof/>
            <w:webHidden/>
          </w:rPr>
          <w:fldChar w:fldCharType="end"/>
        </w:r>
      </w:hyperlink>
    </w:p>
    <w:p>
      <w:pPr>
        <w:pStyle w:val="TOC1"/>
        <w:rPr>
          <w:rFonts w:asciiTheme="minorHAnsi" w:eastAsiaTheme="minorEastAsia" w:hAnsiTheme="minorHAnsi" w:cstheme="minorBidi"/>
          <w:noProof/>
          <w:sz w:val="22"/>
          <w:lang w:eastAsia="fr-BE"/>
        </w:rPr>
      </w:pPr>
      <w:hyperlink w:anchor="_Toc83310790" w:history="1">
        <w:r>
          <w:rPr>
            <w:rStyle w:val="Hyperlink"/>
            <w:noProof/>
          </w:rPr>
          <w:t>3.</w:t>
        </w:r>
        <w:r>
          <w:rPr>
            <w:rFonts w:asciiTheme="minorHAnsi" w:eastAsiaTheme="minorEastAsia" w:hAnsiTheme="minorHAnsi" w:cstheme="minorBidi"/>
            <w:noProof/>
            <w:sz w:val="22"/>
            <w:lang w:eastAsia="fr-BE"/>
          </w:rPr>
          <w:tab/>
        </w:r>
        <w:r>
          <w:rPr>
            <w:rStyle w:val="Hyperlink"/>
            <w:noProof/>
          </w:rPr>
          <w:t>RÉSULTATS DES ÉVALUATIONS EX POST, DES CONSULTATIONS DES PARTIES INTÉRESSÉES ET DES ANALYSES D’IMPACT</w:t>
        </w:r>
        <w:r>
          <w:rPr>
            <w:noProof/>
            <w:webHidden/>
          </w:rPr>
          <w:tab/>
        </w:r>
        <w:r>
          <w:rPr>
            <w:noProof/>
            <w:webHidden/>
          </w:rPr>
          <w:fldChar w:fldCharType="begin"/>
        </w:r>
        <w:r>
          <w:rPr>
            <w:noProof/>
            <w:webHidden/>
          </w:rPr>
          <w:instrText xml:space="preserve"> PAGEREF _Toc83310790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91" w:history="1">
        <w:r>
          <w:rPr>
            <w:rStyle w:val="Hyperlink"/>
            <w:noProof/>
            <w:u w:color="000000"/>
            <w:bdr w:val="nil"/>
          </w:rPr>
          <w:t>•</w:t>
        </w:r>
        <w:r>
          <w:rPr>
            <w:rFonts w:asciiTheme="minorHAnsi" w:eastAsiaTheme="minorEastAsia" w:hAnsiTheme="minorHAnsi" w:cstheme="minorBidi"/>
            <w:noProof/>
            <w:sz w:val="22"/>
            <w:lang w:eastAsia="fr-BE"/>
          </w:rPr>
          <w:tab/>
        </w:r>
        <w:r>
          <w:rPr>
            <w:rStyle w:val="Hyperlink"/>
            <w:noProof/>
            <w:u w:color="000000"/>
            <w:bdr w:val="nil"/>
          </w:rPr>
          <w:t>Consultations des parties intéressées</w:t>
        </w:r>
        <w:r>
          <w:rPr>
            <w:noProof/>
            <w:webHidden/>
          </w:rPr>
          <w:tab/>
        </w:r>
        <w:r>
          <w:rPr>
            <w:noProof/>
            <w:webHidden/>
          </w:rPr>
          <w:fldChar w:fldCharType="begin"/>
        </w:r>
        <w:r>
          <w:rPr>
            <w:noProof/>
            <w:webHidden/>
          </w:rPr>
          <w:instrText xml:space="preserve"> PAGEREF _Toc83310791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92" w:history="1">
        <w:r>
          <w:rPr>
            <w:rStyle w:val="Hyperlink"/>
            <w:noProof/>
            <w:u w:color="000000"/>
            <w:bdr w:val="nil"/>
          </w:rPr>
          <w:t>•</w:t>
        </w:r>
        <w:r>
          <w:rPr>
            <w:rFonts w:asciiTheme="minorHAnsi" w:eastAsiaTheme="minorEastAsia" w:hAnsiTheme="minorHAnsi" w:cstheme="minorBidi"/>
            <w:noProof/>
            <w:sz w:val="22"/>
            <w:lang w:eastAsia="fr-BE"/>
          </w:rPr>
          <w:tab/>
        </w:r>
        <w:r>
          <w:rPr>
            <w:rStyle w:val="Hyperlink"/>
            <w:noProof/>
            <w:u w:color="000000"/>
            <w:bdr w:val="nil"/>
          </w:rPr>
          <w:t>Analyse d’impact</w:t>
        </w:r>
        <w:r>
          <w:rPr>
            <w:noProof/>
            <w:webHidden/>
          </w:rPr>
          <w:tab/>
        </w:r>
        <w:r>
          <w:rPr>
            <w:noProof/>
            <w:webHidden/>
          </w:rPr>
          <w:fldChar w:fldCharType="begin"/>
        </w:r>
        <w:r>
          <w:rPr>
            <w:noProof/>
            <w:webHidden/>
          </w:rPr>
          <w:instrText xml:space="preserve"> PAGEREF _Toc83310792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93" w:history="1">
        <w:r>
          <w:rPr>
            <w:rStyle w:val="Hyperlink"/>
            <w:noProof/>
            <w:u w:color="000000"/>
            <w:bdr w:val="nil"/>
          </w:rPr>
          <w:t>•</w:t>
        </w:r>
        <w:r>
          <w:rPr>
            <w:rFonts w:asciiTheme="minorHAnsi" w:eastAsiaTheme="minorEastAsia" w:hAnsiTheme="minorHAnsi" w:cstheme="minorBidi"/>
            <w:noProof/>
            <w:sz w:val="22"/>
            <w:lang w:eastAsia="fr-BE"/>
          </w:rPr>
          <w:tab/>
        </w:r>
        <w:r>
          <w:rPr>
            <w:rStyle w:val="Hyperlink"/>
            <w:noProof/>
            <w:u w:color="000000"/>
            <w:bdr w:val="nil"/>
          </w:rPr>
          <w:t>Droits fondamentaux</w:t>
        </w:r>
        <w:r>
          <w:rPr>
            <w:noProof/>
            <w:webHidden/>
          </w:rPr>
          <w:tab/>
        </w:r>
        <w:r>
          <w:rPr>
            <w:noProof/>
            <w:webHidden/>
          </w:rPr>
          <w:fldChar w:fldCharType="begin"/>
        </w:r>
        <w:r>
          <w:rPr>
            <w:noProof/>
            <w:webHidden/>
          </w:rPr>
          <w:instrText xml:space="preserve"> PAGEREF _Toc83310793 \h </w:instrText>
        </w:r>
        <w:r>
          <w:rPr>
            <w:noProof/>
            <w:webHidden/>
          </w:rPr>
        </w:r>
        <w:r>
          <w:rPr>
            <w:noProof/>
            <w:webHidden/>
          </w:rPr>
          <w:fldChar w:fldCharType="separate"/>
        </w:r>
        <w:r>
          <w:rPr>
            <w:noProof/>
            <w:webHidden/>
          </w:rPr>
          <w:t>7</w:t>
        </w:r>
        <w:r>
          <w:rPr>
            <w:noProof/>
            <w:webHidden/>
          </w:rPr>
          <w:fldChar w:fldCharType="end"/>
        </w:r>
      </w:hyperlink>
    </w:p>
    <w:p>
      <w:pPr>
        <w:pStyle w:val="TOC1"/>
        <w:rPr>
          <w:rFonts w:asciiTheme="minorHAnsi" w:eastAsiaTheme="minorEastAsia" w:hAnsiTheme="minorHAnsi" w:cstheme="minorBidi"/>
          <w:noProof/>
          <w:sz w:val="22"/>
          <w:lang w:eastAsia="fr-BE"/>
        </w:rPr>
      </w:pPr>
      <w:hyperlink w:anchor="_Toc83310794" w:history="1">
        <w:r>
          <w:rPr>
            <w:rStyle w:val="Hyperlink"/>
            <w:noProof/>
          </w:rPr>
          <w:t>4.</w:t>
        </w:r>
        <w:r>
          <w:rPr>
            <w:rFonts w:asciiTheme="minorHAnsi" w:eastAsiaTheme="minorEastAsia" w:hAnsiTheme="minorHAnsi" w:cstheme="minorBidi"/>
            <w:noProof/>
            <w:sz w:val="22"/>
            <w:lang w:eastAsia="fr-BE"/>
          </w:rPr>
          <w:tab/>
        </w:r>
        <w:r>
          <w:rPr>
            <w:rStyle w:val="Hyperlink"/>
            <w:noProof/>
          </w:rPr>
          <w:t>INCIDENCE BUDGÉTAIRE</w:t>
        </w:r>
        <w:r>
          <w:rPr>
            <w:noProof/>
            <w:webHidden/>
          </w:rPr>
          <w:tab/>
        </w:r>
        <w:r>
          <w:rPr>
            <w:noProof/>
            <w:webHidden/>
          </w:rPr>
          <w:fldChar w:fldCharType="begin"/>
        </w:r>
        <w:r>
          <w:rPr>
            <w:noProof/>
            <w:webHidden/>
          </w:rPr>
          <w:instrText xml:space="preserve"> PAGEREF _Toc83310794 \h </w:instrText>
        </w:r>
        <w:r>
          <w:rPr>
            <w:noProof/>
            <w:webHidden/>
          </w:rPr>
        </w:r>
        <w:r>
          <w:rPr>
            <w:noProof/>
            <w:webHidden/>
          </w:rPr>
          <w:fldChar w:fldCharType="separate"/>
        </w:r>
        <w:r>
          <w:rPr>
            <w:noProof/>
            <w:webHidden/>
          </w:rPr>
          <w:t>7</w:t>
        </w:r>
        <w:r>
          <w:rPr>
            <w:noProof/>
            <w:webHidden/>
          </w:rPr>
          <w:fldChar w:fldCharType="end"/>
        </w:r>
      </w:hyperlink>
    </w:p>
    <w:p>
      <w:pPr>
        <w:pStyle w:val="TOC1"/>
        <w:rPr>
          <w:rFonts w:asciiTheme="minorHAnsi" w:eastAsiaTheme="minorEastAsia" w:hAnsiTheme="minorHAnsi" w:cstheme="minorBidi"/>
          <w:noProof/>
          <w:sz w:val="22"/>
          <w:lang w:eastAsia="fr-BE"/>
        </w:rPr>
      </w:pPr>
      <w:hyperlink w:anchor="_Toc83310795" w:history="1">
        <w:r>
          <w:rPr>
            <w:rStyle w:val="Hyperlink"/>
            <w:noProof/>
          </w:rPr>
          <w:t>5.</w:t>
        </w:r>
        <w:r>
          <w:rPr>
            <w:rFonts w:asciiTheme="minorHAnsi" w:eastAsiaTheme="minorEastAsia" w:hAnsiTheme="minorHAnsi" w:cstheme="minorBidi"/>
            <w:noProof/>
            <w:sz w:val="22"/>
            <w:lang w:eastAsia="fr-BE"/>
          </w:rPr>
          <w:tab/>
        </w:r>
        <w:r>
          <w:rPr>
            <w:rStyle w:val="Hyperlink"/>
            <w:noProof/>
          </w:rPr>
          <w:t>AUTRES ÉLÉMENTS</w:t>
        </w:r>
        <w:r>
          <w:rPr>
            <w:noProof/>
            <w:webHidden/>
          </w:rPr>
          <w:tab/>
        </w:r>
        <w:r>
          <w:rPr>
            <w:noProof/>
            <w:webHidden/>
          </w:rPr>
          <w:fldChar w:fldCharType="begin"/>
        </w:r>
        <w:r>
          <w:rPr>
            <w:noProof/>
            <w:webHidden/>
          </w:rPr>
          <w:instrText xml:space="preserve"> PAGEREF _Toc83310795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96" w:history="1">
        <w:r>
          <w:rPr>
            <w:rStyle w:val="Hyperlink"/>
            <w:noProof/>
            <w:u w:color="000000"/>
            <w:bdr w:val="nil"/>
          </w:rPr>
          <w:t>•</w:t>
        </w:r>
        <w:r>
          <w:rPr>
            <w:rFonts w:asciiTheme="minorHAnsi" w:eastAsiaTheme="minorEastAsia" w:hAnsiTheme="minorHAnsi" w:cstheme="minorBidi"/>
            <w:noProof/>
            <w:sz w:val="22"/>
            <w:lang w:eastAsia="fr-BE"/>
          </w:rPr>
          <w:tab/>
        </w:r>
        <w:r>
          <w:rPr>
            <w:rStyle w:val="Hyperlink"/>
            <w:noProof/>
            <w:u w:color="000000"/>
            <w:bdr w:val="nil"/>
          </w:rPr>
          <w:t>Plans de mise en œuvre et modalités de suivi, d’évaluation et d’information</w:t>
        </w:r>
        <w:r>
          <w:rPr>
            <w:noProof/>
            <w:webHidden/>
          </w:rPr>
          <w:tab/>
        </w:r>
        <w:r>
          <w:rPr>
            <w:noProof/>
            <w:webHidden/>
          </w:rPr>
          <w:fldChar w:fldCharType="begin"/>
        </w:r>
        <w:r>
          <w:rPr>
            <w:noProof/>
            <w:webHidden/>
          </w:rPr>
          <w:instrText xml:space="preserve"> PAGEREF _Toc83310796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97" w:history="1">
        <w:r>
          <w:rPr>
            <w:rStyle w:val="Hyperlink"/>
            <w:noProof/>
            <w:u w:color="000000"/>
            <w:bdr w:val="nil"/>
          </w:rPr>
          <w:t>•</w:t>
        </w:r>
        <w:r>
          <w:rPr>
            <w:rFonts w:asciiTheme="minorHAnsi" w:eastAsiaTheme="minorEastAsia" w:hAnsiTheme="minorHAnsi" w:cstheme="minorBidi"/>
            <w:noProof/>
            <w:sz w:val="22"/>
            <w:lang w:eastAsia="fr-BE"/>
          </w:rPr>
          <w:tab/>
        </w:r>
        <w:r>
          <w:rPr>
            <w:rStyle w:val="Hyperlink"/>
            <w:noProof/>
            <w:u w:color="000000"/>
            <w:bdr w:val="nil"/>
          </w:rPr>
          <w:t>Explication détaillée de certaines dispositions de la proposition</w:t>
        </w:r>
        <w:r>
          <w:rPr>
            <w:noProof/>
            <w:webHidden/>
          </w:rPr>
          <w:tab/>
        </w:r>
        <w:r>
          <w:rPr>
            <w:noProof/>
            <w:webHidden/>
          </w:rPr>
          <w:fldChar w:fldCharType="begin"/>
        </w:r>
        <w:r>
          <w:rPr>
            <w:noProof/>
            <w:webHidden/>
          </w:rPr>
          <w:instrText xml:space="preserve"> PAGEREF _Toc83310797 \h </w:instrText>
        </w:r>
        <w:r>
          <w:rPr>
            <w:noProof/>
            <w:webHidden/>
          </w:rPr>
        </w:r>
        <w:r>
          <w:rPr>
            <w:noProof/>
            <w:webHidden/>
          </w:rPr>
          <w:fldChar w:fldCharType="separate"/>
        </w:r>
        <w:r>
          <w:rPr>
            <w:noProof/>
            <w:webHidden/>
          </w:rPr>
          <w:t>8</w:t>
        </w:r>
        <w:r>
          <w:rPr>
            <w:noProof/>
            <w:webHidden/>
          </w:rPr>
          <w:fldChar w:fldCharType="end"/>
        </w:r>
      </w:hyperlink>
    </w:p>
    <w:p>
      <w:pPr>
        <w:pStyle w:val="TOC1"/>
        <w:rPr>
          <w:rFonts w:asciiTheme="minorHAnsi" w:eastAsiaTheme="minorEastAsia" w:hAnsiTheme="minorHAnsi" w:cstheme="minorBidi"/>
          <w:noProof/>
          <w:sz w:val="22"/>
          <w:lang w:eastAsia="fr-BE"/>
        </w:rPr>
      </w:pPr>
      <w:hyperlink w:anchor="_Toc83310798" w:history="1">
        <w:r>
          <w:rPr>
            <w:rStyle w:val="Hyperlink"/>
            <w:noProof/>
          </w:rPr>
          <w:t>1.</w:t>
        </w:r>
        <w:r>
          <w:rPr>
            <w:rFonts w:asciiTheme="minorHAnsi" w:eastAsiaTheme="minorEastAsia" w:hAnsiTheme="minorHAnsi" w:cstheme="minorBidi"/>
            <w:noProof/>
            <w:sz w:val="22"/>
            <w:lang w:eastAsia="fr-BE"/>
          </w:rPr>
          <w:tab/>
        </w:r>
        <w:r>
          <w:rPr>
            <w:rStyle w:val="Hyperlink"/>
            <w:noProof/>
          </w:rPr>
          <w:t>CADRE DE LA PROPOSITION/DE L’INITIATIVE</w:t>
        </w:r>
        <w:r>
          <w:rPr>
            <w:noProof/>
            <w:webHidden/>
          </w:rPr>
          <w:tab/>
        </w:r>
        <w:r>
          <w:rPr>
            <w:noProof/>
            <w:webHidden/>
          </w:rPr>
          <w:fldChar w:fldCharType="begin"/>
        </w:r>
        <w:r>
          <w:rPr>
            <w:noProof/>
            <w:webHidden/>
          </w:rPr>
          <w:instrText xml:space="preserve"> PAGEREF _Toc83310798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799" w:history="1">
        <w:r>
          <w:rPr>
            <w:rStyle w:val="Hyperlink"/>
            <w:noProof/>
          </w:rPr>
          <w:t>1.1.</w:t>
        </w:r>
        <w:r>
          <w:rPr>
            <w:rFonts w:asciiTheme="minorHAnsi" w:eastAsiaTheme="minorEastAsia" w:hAnsiTheme="minorHAnsi" w:cstheme="minorBidi"/>
            <w:noProof/>
            <w:sz w:val="22"/>
            <w:lang w:eastAsia="fr-BE"/>
          </w:rPr>
          <w:tab/>
        </w:r>
        <w:r>
          <w:rPr>
            <w:rStyle w:val="Hyperlink"/>
            <w:noProof/>
          </w:rPr>
          <w:t>Dénomination de la proposition/de l’initiative</w:t>
        </w:r>
        <w:r>
          <w:rPr>
            <w:noProof/>
            <w:webHidden/>
          </w:rPr>
          <w:tab/>
        </w:r>
        <w:r>
          <w:rPr>
            <w:noProof/>
            <w:webHidden/>
          </w:rPr>
          <w:fldChar w:fldCharType="begin"/>
        </w:r>
        <w:r>
          <w:rPr>
            <w:noProof/>
            <w:webHidden/>
          </w:rPr>
          <w:instrText xml:space="preserve"> PAGEREF _Toc83310799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800" w:history="1">
        <w:r>
          <w:rPr>
            <w:rStyle w:val="Hyperlink"/>
            <w:i/>
            <w:noProof/>
          </w:rPr>
          <w:t>1.2.</w:t>
        </w:r>
        <w:r>
          <w:rPr>
            <w:rFonts w:asciiTheme="minorHAnsi" w:eastAsiaTheme="minorEastAsia" w:hAnsiTheme="minorHAnsi" w:cstheme="minorBidi"/>
            <w:noProof/>
            <w:sz w:val="22"/>
            <w:lang w:eastAsia="fr-BE"/>
          </w:rPr>
          <w:tab/>
        </w:r>
        <w:r>
          <w:rPr>
            <w:rStyle w:val="Hyperlink"/>
            <w:noProof/>
          </w:rPr>
          <w:t>Domaine(s) politique(s) concerné(s)</w:t>
        </w:r>
        <w:r>
          <w:rPr>
            <w:noProof/>
            <w:webHidden/>
          </w:rPr>
          <w:tab/>
        </w:r>
        <w:r>
          <w:rPr>
            <w:noProof/>
            <w:webHidden/>
          </w:rPr>
          <w:fldChar w:fldCharType="begin"/>
        </w:r>
        <w:r>
          <w:rPr>
            <w:noProof/>
            <w:webHidden/>
          </w:rPr>
          <w:instrText xml:space="preserve"> PAGEREF _Toc83310800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801" w:history="1">
        <w:r>
          <w:rPr>
            <w:rStyle w:val="Hyperlink"/>
            <w:noProof/>
          </w:rPr>
          <w:t>1.3.</w:t>
        </w:r>
        <w:r>
          <w:rPr>
            <w:rFonts w:asciiTheme="minorHAnsi" w:eastAsiaTheme="minorEastAsia" w:hAnsiTheme="minorHAnsi" w:cstheme="minorBidi"/>
            <w:noProof/>
            <w:sz w:val="22"/>
            <w:lang w:eastAsia="fr-BE"/>
          </w:rPr>
          <w:tab/>
        </w:r>
        <w:r>
          <w:rPr>
            <w:rStyle w:val="Hyperlink"/>
            <w:noProof/>
          </w:rPr>
          <w:t>La proposition/l’initiative porte sur:</w:t>
        </w:r>
        <w:r>
          <w:rPr>
            <w:noProof/>
            <w:webHidden/>
          </w:rPr>
          <w:tab/>
        </w:r>
        <w:r>
          <w:rPr>
            <w:noProof/>
            <w:webHidden/>
          </w:rPr>
          <w:fldChar w:fldCharType="begin"/>
        </w:r>
        <w:r>
          <w:rPr>
            <w:noProof/>
            <w:webHidden/>
          </w:rPr>
          <w:instrText xml:space="preserve"> PAGEREF _Toc83310801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802" w:history="1">
        <w:r>
          <w:rPr>
            <w:rStyle w:val="Hyperlink"/>
            <w:noProof/>
          </w:rPr>
          <w:t>1.4.</w:t>
        </w:r>
        <w:r>
          <w:rPr>
            <w:rFonts w:asciiTheme="minorHAnsi" w:eastAsiaTheme="minorEastAsia" w:hAnsiTheme="minorHAnsi" w:cstheme="minorBidi"/>
            <w:noProof/>
            <w:sz w:val="22"/>
            <w:lang w:eastAsia="fr-BE"/>
          </w:rPr>
          <w:tab/>
        </w:r>
        <w:r>
          <w:rPr>
            <w:rStyle w:val="Hyperlink"/>
            <w:noProof/>
          </w:rPr>
          <w:t>Objectif(s)</w:t>
        </w:r>
        <w:r>
          <w:rPr>
            <w:noProof/>
            <w:webHidden/>
          </w:rPr>
          <w:tab/>
        </w:r>
        <w:r>
          <w:rPr>
            <w:noProof/>
            <w:webHidden/>
          </w:rPr>
          <w:fldChar w:fldCharType="begin"/>
        </w:r>
        <w:r>
          <w:rPr>
            <w:noProof/>
            <w:webHidden/>
          </w:rPr>
          <w:instrText xml:space="preserve"> PAGEREF _Toc83310802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03" w:history="1">
        <w:r>
          <w:rPr>
            <w:rStyle w:val="Hyperlink"/>
            <w:noProof/>
          </w:rPr>
          <w:t>1.4.1.</w:t>
        </w:r>
        <w:r>
          <w:rPr>
            <w:rFonts w:asciiTheme="minorHAnsi" w:eastAsiaTheme="minorEastAsia" w:hAnsiTheme="minorHAnsi" w:cstheme="minorBidi"/>
            <w:noProof/>
            <w:sz w:val="22"/>
            <w:lang w:eastAsia="fr-BE"/>
          </w:rPr>
          <w:tab/>
        </w:r>
        <w:r>
          <w:rPr>
            <w:rStyle w:val="Hyperlink"/>
            <w:noProof/>
          </w:rPr>
          <w:t>Objectif général / objectifs généraux</w:t>
        </w:r>
        <w:r>
          <w:rPr>
            <w:noProof/>
            <w:webHidden/>
          </w:rPr>
          <w:tab/>
        </w:r>
        <w:r>
          <w:rPr>
            <w:noProof/>
            <w:webHidden/>
          </w:rPr>
          <w:fldChar w:fldCharType="begin"/>
        </w:r>
        <w:r>
          <w:rPr>
            <w:noProof/>
            <w:webHidden/>
          </w:rPr>
          <w:instrText xml:space="preserve"> PAGEREF _Toc83310803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04" w:history="1">
        <w:r>
          <w:rPr>
            <w:rStyle w:val="Hyperlink"/>
            <w:noProof/>
          </w:rPr>
          <w:t>1.4.2.</w:t>
        </w:r>
        <w:r>
          <w:rPr>
            <w:rFonts w:asciiTheme="minorHAnsi" w:eastAsiaTheme="minorEastAsia" w:hAnsiTheme="minorHAnsi" w:cstheme="minorBidi"/>
            <w:noProof/>
            <w:sz w:val="22"/>
            <w:lang w:eastAsia="fr-BE"/>
          </w:rPr>
          <w:tab/>
        </w:r>
        <w:r>
          <w:rPr>
            <w:rStyle w:val="Hyperlink"/>
            <w:noProof/>
          </w:rPr>
          <w:t>Objectif(s) spécifique(s)</w:t>
        </w:r>
        <w:r>
          <w:rPr>
            <w:noProof/>
            <w:webHidden/>
          </w:rPr>
          <w:tab/>
        </w:r>
        <w:r>
          <w:rPr>
            <w:noProof/>
            <w:webHidden/>
          </w:rPr>
          <w:fldChar w:fldCharType="begin"/>
        </w:r>
        <w:r>
          <w:rPr>
            <w:noProof/>
            <w:webHidden/>
          </w:rPr>
          <w:instrText xml:space="preserve"> PAGEREF _Toc83310804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05" w:history="1">
        <w:r>
          <w:rPr>
            <w:rStyle w:val="Hyperlink"/>
            <w:noProof/>
          </w:rPr>
          <w:t>1.4.3.</w:t>
        </w:r>
        <w:r>
          <w:rPr>
            <w:rFonts w:asciiTheme="minorHAnsi" w:eastAsiaTheme="minorEastAsia" w:hAnsiTheme="minorHAnsi" w:cstheme="minorBidi"/>
            <w:noProof/>
            <w:sz w:val="22"/>
            <w:lang w:eastAsia="fr-BE"/>
          </w:rPr>
          <w:tab/>
        </w:r>
        <w:r>
          <w:rPr>
            <w:rStyle w:val="Hyperlink"/>
            <w:noProof/>
          </w:rPr>
          <w:t>Résultat(s) et incidence(s) attendus</w:t>
        </w:r>
        <w:r>
          <w:rPr>
            <w:noProof/>
            <w:webHidden/>
          </w:rPr>
          <w:tab/>
        </w:r>
        <w:r>
          <w:rPr>
            <w:noProof/>
            <w:webHidden/>
          </w:rPr>
          <w:fldChar w:fldCharType="begin"/>
        </w:r>
        <w:r>
          <w:rPr>
            <w:noProof/>
            <w:webHidden/>
          </w:rPr>
          <w:instrText xml:space="preserve"> PAGEREF _Toc83310805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06" w:history="1">
        <w:r>
          <w:rPr>
            <w:rStyle w:val="Hyperlink"/>
            <w:noProof/>
          </w:rPr>
          <w:t>1.4.4.</w:t>
        </w:r>
        <w:r>
          <w:rPr>
            <w:rFonts w:asciiTheme="minorHAnsi" w:eastAsiaTheme="minorEastAsia" w:hAnsiTheme="minorHAnsi" w:cstheme="minorBidi"/>
            <w:noProof/>
            <w:sz w:val="22"/>
            <w:lang w:eastAsia="fr-BE"/>
          </w:rPr>
          <w:tab/>
        </w:r>
        <w:r>
          <w:rPr>
            <w:rStyle w:val="Hyperlink"/>
            <w:noProof/>
          </w:rPr>
          <w:t>Indicateurs de performance</w:t>
        </w:r>
        <w:r>
          <w:rPr>
            <w:noProof/>
            <w:webHidden/>
          </w:rPr>
          <w:tab/>
        </w:r>
        <w:r>
          <w:rPr>
            <w:noProof/>
            <w:webHidden/>
          </w:rPr>
          <w:fldChar w:fldCharType="begin"/>
        </w:r>
        <w:r>
          <w:rPr>
            <w:noProof/>
            <w:webHidden/>
          </w:rPr>
          <w:instrText xml:space="preserve"> PAGEREF _Toc83310806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807" w:history="1">
        <w:r>
          <w:rPr>
            <w:rStyle w:val="Hyperlink"/>
            <w:noProof/>
          </w:rPr>
          <w:t>1.5.</w:t>
        </w:r>
        <w:r>
          <w:rPr>
            <w:rFonts w:asciiTheme="minorHAnsi" w:eastAsiaTheme="minorEastAsia" w:hAnsiTheme="minorHAnsi" w:cstheme="minorBidi"/>
            <w:noProof/>
            <w:sz w:val="22"/>
            <w:lang w:eastAsia="fr-BE"/>
          </w:rPr>
          <w:tab/>
        </w:r>
        <w:r>
          <w:rPr>
            <w:rStyle w:val="Hyperlink"/>
            <w:noProof/>
          </w:rPr>
          <w:t>Justifications de la proposition/de l’initiative</w:t>
        </w:r>
        <w:r>
          <w:rPr>
            <w:noProof/>
            <w:webHidden/>
          </w:rPr>
          <w:tab/>
        </w:r>
        <w:r>
          <w:rPr>
            <w:noProof/>
            <w:webHidden/>
          </w:rPr>
          <w:fldChar w:fldCharType="begin"/>
        </w:r>
        <w:r>
          <w:rPr>
            <w:noProof/>
            <w:webHidden/>
          </w:rPr>
          <w:instrText xml:space="preserve"> PAGEREF _Toc83310807 \h </w:instrText>
        </w:r>
        <w:r>
          <w:rPr>
            <w:noProof/>
            <w:webHidden/>
          </w:rPr>
        </w:r>
        <w:r>
          <w:rPr>
            <w:noProof/>
            <w:webHidden/>
          </w:rPr>
          <w:fldChar w:fldCharType="separate"/>
        </w:r>
        <w:r>
          <w:rPr>
            <w:noProof/>
            <w:webHidden/>
          </w:rPr>
          <w:t>5</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08" w:history="1">
        <w:r>
          <w:rPr>
            <w:rStyle w:val="Hyperlink"/>
            <w:noProof/>
          </w:rPr>
          <w:t>1.5.1.</w:t>
        </w:r>
        <w:r>
          <w:rPr>
            <w:rFonts w:asciiTheme="minorHAnsi" w:eastAsiaTheme="minorEastAsia" w:hAnsiTheme="minorHAnsi" w:cstheme="minorBidi"/>
            <w:noProof/>
            <w:sz w:val="22"/>
            <w:lang w:eastAsia="fr-BE"/>
          </w:rPr>
          <w:tab/>
        </w:r>
        <w:r>
          <w:rPr>
            <w:rStyle w:val="Hyperlink"/>
            <w:noProof/>
          </w:rPr>
          <w:t>Besoin(s) à satisfaire à court ou à long terme, assorti(s) d’un calendrier détaillé pour la mise en œuvre de l’initiative</w:t>
        </w:r>
        <w:r>
          <w:rPr>
            <w:noProof/>
            <w:webHidden/>
          </w:rPr>
          <w:tab/>
        </w:r>
        <w:r>
          <w:rPr>
            <w:noProof/>
            <w:webHidden/>
          </w:rPr>
          <w:fldChar w:fldCharType="begin"/>
        </w:r>
        <w:r>
          <w:rPr>
            <w:noProof/>
            <w:webHidden/>
          </w:rPr>
          <w:instrText xml:space="preserve"> PAGEREF _Toc83310808 \h </w:instrText>
        </w:r>
        <w:r>
          <w:rPr>
            <w:noProof/>
            <w:webHidden/>
          </w:rPr>
        </w:r>
        <w:r>
          <w:rPr>
            <w:noProof/>
            <w:webHidden/>
          </w:rPr>
          <w:fldChar w:fldCharType="separate"/>
        </w:r>
        <w:r>
          <w:rPr>
            <w:noProof/>
            <w:webHidden/>
          </w:rPr>
          <w:t>5</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09" w:history="1">
        <w:r>
          <w:rPr>
            <w:rStyle w:val="Hyperlink"/>
            <w:noProof/>
          </w:rPr>
          <w:t>1.5.2.</w:t>
        </w:r>
        <w:r>
          <w:rPr>
            <w:rFonts w:asciiTheme="minorHAnsi" w:eastAsiaTheme="minorEastAsia" w:hAnsiTheme="minorHAnsi" w:cstheme="minorBidi"/>
            <w:noProof/>
            <w:sz w:val="22"/>
            <w:lang w:eastAsia="fr-BE"/>
          </w:rPr>
          <w:tab/>
        </w:r>
        <w:r>
          <w:rPr>
            <w:rStyle w:val="Hyperlink"/>
            <w:noProof/>
          </w:rPr>
          <w:t>Valeur ajoutée de l’intervention de l’Union (celle-ci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r>
          <w:rPr>
            <w:noProof/>
            <w:webHidden/>
          </w:rPr>
          <w:tab/>
        </w:r>
        <w:r>
          <w:rPr>
            <w:noProof/>
            <w:webHidden/>
          </w:rPr>
          <w:fldChar w:fldCharType="begin"/>
        </w:r>
        <w:r>
          <w:rPr>
            <w:noProof/>
            <w:webHidden/>
          </w:rPr>
          <w:instrText xml:space="preserve"> PAGEREF _Toc83310809 \h </w:instrText>
        </w:r>
        <w:r>
          <w:rPr>
            <w:noProof/>
            <w:webHidden/>
          </w:rPr>
        </w:r>
        <w:r>
          <w:rPr>
            <w:noProof/>
            <w:webHidden/>
          </w:rPr>
          <w:fldChar w:fldCharType="separate"/>
        </w:r>
        <w:r>
          <w:rPr>
            <w:noProof/>
            <w:webHidden/>
          </w:rPr>
          <w:t>5</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10" w:history="1">
        <w:r>
          <w:rPr>
            <w:rStyle w:val="Hyperlink"/>
            <w:noProof/>
          </w:rPr>
          <w:t>1.5.3.</w:t>
        </w:r>
        <w:r>
          <w:rPr>
            <w:rFonts w:asciiTheme="minorHAnsi" w:eastAsiaTheme="minorEastAsia" w:hAnsiTheme="minorHAnsi" w:cstheme="minorBidi"/>
            <w:noProof/>
            <w:sz w:val="22"/>
            <w:lang w:eastAsia="fr-BE"/>
          </w:rPr>
          <w:tab/>
        </w:r>
        <w:r>
          <w:rPr>
            <w:rStyle w:val="Hyperlink"/>
            <w:noProof/>
          </w:rPr>
          <w:t>Leçons tirées d’expériences similaires</w:t>
        </w:r>
        <w:r>
          <w:rPr>
            <w:noProof/>
            <w:webHidden/>
          </w:rPr>
          <w:tab/>
        </w:r>
        <w:r>
          <w:rPr>
            <w:noProof/>
            <w:webHidden/>
          </w:rPr>
          <w:fldChar w:fldCharType="begin"/>
        </w:r>
        <w:r>
          <w:rPr>
            <w:noProof/>
            <w:webHidden/>
          </w:rPr>
          <w:instrText xml:space="preserve"> PAGEREF _Toc83310810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11" w:history="1">
        <w:r>
          <w:rPr>
            <w:rStyle w:val="Hyperlink"/>
            <w:noProof/>
          </w:rPr>
          <w:t>1.5.4.</w:t>
        </w:r>
        <w:r>
          <w:rPr>
            <w:rFonts w:asciiTheme="minorHAnsi" w:eastAsiaTheme="minorEastAsia" w:hAnsiTheme="minorHAnsi" w:cstheme="minorBidi"/>
            <w:noProof/>
            <w:sz w:val="22"/>
            <w:lang w:eastAsia="fr-BE"/>
          </w:rPr>
          <w:tab/>
        </w:r>
        <w:r>
          <w:rPr>
            <w:rStyle w:val="Hyperlink"/>
            <w:noProof/>
          </w:rPr>
          <w:t>Compatibilité avec le cadre financier pluriannuel et synergies éventuelles avec d’autres instruments appropriés</w:t>
        </w:r>
        <w:r>
          <w:rPr>
            <w:noProof/>
            <w:webHidden/>
          </w:rPr>
          <w:tab/>
        </w:r>
        <w:r>
          <w:rPr>
            <w:noProof/>
            <w:webHidden/>
          </w:rPr>
          <w:fldChar w:fldCharType="begin"/>
        </w:r>
        <w:r>
          <w:rPr>
            <w:noProof/>
            <w:webHidden/>
          </w:rPr>
          <w:instrText xml:space="preserve"> PAGEREF _Toc83310811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12" w:history="1">
        <w:r>
          <w:rPr>
            <w:rStyle w:val="Hyperlink"/>
            <w:noProof/>
          </w:rPr>
          <w:t>1.5.5.</w:t>
        </w:r>
        <w:r>
          <w:rPr>
            <w:rFonts w:asciiTheme="minorHAnsi" w:eastAsiaTheme="minorEastAsia" w:hAnsiTheme="minorHAnsi" w:cstheme="minorBidi"/>
            <w:noProof/>
            <w:sz w:val="22"/>
            <w:lang w:eastAsia="fr-BE"/>
          </w:rPr>
          <w:tab/>
        </w:r>
        <w:r>
          <w:rPr>
            <w:rStyle w:val="Hyperlink"/>
            <w:noProof/>
          </w:rPr>
          <w:t>Évaluation des différentes possibilités de financement disponibles, y compris des possibilités de redéploiement</w:t>
        </w:r>
        <w:r>
          <w:rPr>
            <w:noProof/>
            <w:webHidden/>
          </w:rPr>
          <w:tab/>
        </w:r>
        <w:r>
          <w:rPr>
            <w:noProof/>
            <w:webHidden/>
          </w:rPr>
          <w:fldChar w:fldCharType="begin"/>
        </w:r>
        <w:r>
          <w:rPr>
            <w:noProof/>
            <w:webHidden/>
          </w:rPr>
          <w:instrText xml:space="preserve"> PAGEREF _Toc83310812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813" w:history="1">
        <w:r>
          <w:rPr>
            <w:rStyle w:val="Hyperlink"/>
            <w:noProof/>
          </w:rPr>
          <w:t>1.6.</w:t>
        </w:r>
        <w:r>
          <w:rPr>
            <w:rFonts w:asciiTheme="minorHAnsi" w:eastAsiaTheme="minorEastAsia" w:hAnsiTheme="minorHAnsi" w:cstheme="minorBidi"/>
            <w:noProof/>
            <w:sz w:val="22"/>
            <w:lang w:eastAsia="fr-BE"/>
          </w:rPr>
          <w:tab/>
        </w:r>
        <w:r>
          <w:rPr>
            <w:rStyle w:val="Hyperlink"/>
            <w:noProof/>
          </w:rPr>
          <w:t>Durée et incidence financière de la proposition/de l’initiative</w:t>
        </w:r>
        <w:r>
          <w:rPr>
            <w:noProof/>
            <w:webHidden/>
          </w:rPr>
          <w:tab/>
        </w:r>
        <w:r>
          <w:rPr>
            <w:noProof/>
            <w:webHidden/>
          </w:rPr>
          <w:fldChar w:fldCharType="begin"/>
        </w:r>
        <w:r>
          <w:rPr>
            <w:noProof/>
            <w:webHidden/>
          </w:rPr>
          <w:instrText xml:space="preserve"> PAGEREF _Toc83310813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814" w:history="1">
        <w:r>
          <w:rPr>
            <w:rStyle w:val="Hyperlink"/>
            <w:noProof/>
          </w:rPr>
          <w:t>1.7.</w:t>
        </w:r>
        <w:r>
          <w:rPr>
            <w:rFonts w:asciiTheme="minorHAnsi" w:eastAsiaTheme="minorEastAsia" w:hAnsiTheme="minorHAnsi" w:cstheme="minorBidi"/>
            <w:noProof/>
            <w:sz w:val="22"/>
            <w:lang w:eastAsia="fr-BE"/>
          </w:rPr>
          <w:tab/>
        </w:r>
        <w:r>
          <w:rPr>
            <w:rStyle w:val="Hyperlink"/>
            <w:noProof/>
          </w:rPr>
          <w:t>Mode(s) de gestion prévu(s)</w:t>
        </w:r>
        <w:r>
          <w:rPr>
            <w:noProof/>
            <w:webHidden/>
          </w:rPr>
          <w:tab/>
        </w:r>
        <w:r>
          <w:rPr>
            <w:noProof/>
            <w:webHidden/>
          </w:rPr>
          <w:fldChar w:fldCharType="begin"/>
        </w:r>
        <w:r>
          <w:rPr>
            <w:noProof/>
            <w:webHidden/>
          </w:rPr>
          <w:instrText xml:space="preserve"> PAGEREF _Toc83310814 \h </w:instrText>
        </w:r>
        <w:r>
          <w:rPr>
            <w:noProof/>
            <w:webHidden/>
          </w:rPr>
        </w:r>
        <w:r>
          <w:rPr>
            <w:noProof/>
            <w:webHidden/>
          </w:rPr>
          <w:fldChar w:fldCharType="separate"/>
        </w:r>
        <w:r>
          <w:rPr>
            <w:noProof/>
            <w:webHidden/>
          </w:rPr>
          <w:t>7</w:t>
        </w:r>
        <w:r>
          <w:rPr>
            <w:noProof/>
            <w:webHidden/>
          </w:rPr>
          <w:fldChar w:fldCharType="end"/>
        </w:r>
      </w:hyperlink>
    </w:p>
    <w:p>
      <w:pPr>
        <w:pStyle w:val="TOC1"/>
        <w:rPr>
          <w:rFonts w:asciiTheme="minorHAnsi" w:eastAsiaTheme="minorEastAsia" w:hAnsiTheme="minorHAnsi" w:cstheme="minorBidi"/>
          <w:noProof/>
          <w:sz w:val="22"/>
          <w:lang w:eastAsia="fr-BE"/>
        </w:rPr>
      </w:pPr>
      <w:hyperlink w:anchor="_Toc83310815" w:history="1">
        <w:r>
          <w:rPr>
            <w:rStyle w:val="Hyperlink"/>
            <w:noProof/>
          </w:rPr>
          <w:t>2.</w:t>
        </w:r>
        <w:r>
          <w:rPr>
            <w:rFonts w:asciiTheme="minorHAnsi" w:eastAsiaTheme="minorEastAsia" w:hAnsiTheme="minorHAnsi" w:cstheme="minorBidi"/>
            <w:noProof/>
            <w:sz w:val="22"/>
            <w:lang w:eastAsia="fr-BE"/>
          </w:rPr>
          <w:tab/>
        </w:r>
        <w:r>
          <w:rPr>
            <w:rStyle w:val="Hyperlink"/>
            <w:noProof/>
          </w:rPr>
          <w:t>MESURES DE GESTION</w:t>
        </w:r>
        <w:r>
          <w:rPr>
            <w:noProof/>
            <w:webHidden/>
          </w:rPr>
          <w:tab/>
        </w:r>
        <w:r>
          <w:rPr>
            <w:noProof/>
            <w:webHidden/>
          </w:rPr>
          <w:fldChar w:fldCharType="begin"/>
        </w:r>
        <w:r>
          <w:rPr>
            <w:noProof/>
            <w:webHidden/>
          </w:rPr>
          <w:instrText xml:space="preserve"> PAGEREF _Toc83310815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816" w:history="1">
        <w:r>
          <w:rPr>
            <w:rStyle w:val="Hyperlink"/>
            <w:noProof/>
          </w:rPr>
          <w:t>2.1.</w:t>
        </w:r>
        <w:r>
          <w:rPr>
            <w:rFonts w:asciiTheme="minorHAnsi" w:eastAsiaTheme="minorEastAsia" w:hAnsiTheme="minorHAnsi" w:cstheme="minorBidi"/>
            <w:noProof/>
            <w:sz w:val="22"/>
            <w:lang w:eastAsia="fr-BE"/>
          </w:rPr>
          <w:tab/>
        </w:r>
        <w:r>
          <w:rPr>
            <w:rStyle w:val="Hyperlink"/>
            <w:noProof/>
          </w:rPr>
          <w:t>Dispositions en matière de suivi et de compte rendu</w:t>
        </w:r>
        <w:r>
          <w:rPr>
            <w:noProof/>
            <w:webHidden/>
          </w:rPr>
          <w:tab/>
        </w:r>
        <w:r>
          <w:rPr>
            <w:noProof/>
            <w:webHidden/>
          </w:rPr>
          <w:fldChar w:fldCharType="begin"/>
        </w:r>
        <w:r>
          <w:rPr>
            <w:noProof/>
            <w:webHidden/>
          </w:rPr>
          <w:instrText xml:space="preserve"> PAGEREF _Toc83310816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817" w:history="1">
        <w:r>
          <w:rPr>
            <w:rStyle w:val="Hyperlink"/>
            <w:noProof/>
          </w:rPr>
          <w:t>2.2.</w:t>
        </w:r>
        <w:r>
          <w:rPr>
            <w:rFonts w:asciiTheme="minorHAnsi" w:eastAsiaTheme="minorEastAsia" w:hAnsiTheme="minorHAnsi" w:cstheme="minorBidi"/>
            <w:noProof/>
            <w:sz w:val="22"/>
            <w:lang w:eastAsia="fr-BE"/>
          </w:rPr>
          <w:tab/>
        </w:r>
        <w:r>
          <w:rPr>
            <w:rStyle w:val="Hyperlink"/>
            <w:noProof/>
          </w:rPr>
          <w:t>Système(s) de gestion et de contrôle</w:t>
        </w:r>
        <w:r>
          <w:rPr>
            <w:noProof/>
            <w:webHidden/>
          </w:rPr>
          <w:tab/>
        </w:r>
        <w:r>
          <w:rPr>
            <w:noProof/>
            <w:webHidden/>
          </w:rPr>
          <w:fldChar w:fldCharType="begin"/>
        </w:r>
        <w:r>
          <w:rPr>
            <w:noProof/>
            <w:webHidden/>
          </w:rPr>
          <w:instrText xml:space="preserve"> PAGEREF _Toc83310817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18" w:history="1">
        <w:r>
          <w:rPr>
            <w:rStyle w:val="Hyperlink"/>
            <w:noProof/>
          </w:rPr>
          <w:t>2.2.1.</w:t>
        </w:r>
        <w:r>
          <w:rPr>
            <w:rFonts w:asciiTheme="minorHAnsi" w:eastAsiaTheme="minorEastAsia" w:hAnsiTheme="minorHAnsi" w:cstheme="minorBidi"/>
            <w:noProof/>
            <w:sz w:val="22"/>
            <w:lang w:eastAsia="fr-BE"/>
          </w:rPr>
          <w:tab/>
        </w:r>
        <w:r>
          <w:rPr>
            <w:rStyle w:val="Hyperlink"/>
            <w:noProof/>
          </w:rPr>
          <w:t>Justification du (des) mode(s) de gestion, du (des) mécanisme(s) de mise en œuvre des financements, des modalités de paiement et de la stratégie de contrôle proposée</w:t>
        </w:r>
        <w:r>
          <w:rPr>
            <w:noProof/>
            <w:webHidden/>
          </w:rPr>
          <w:tab/>
        </w:r>
        <w:r>
          <w:rPr>
            <w:noProof/>
            <w:webHidden/>
          </w:rPr>
          <w:fldChar w:fldCharType="begin"/>
        </w:r>
        <w:r>
          <w:rPr>
            <w:noProof/>
            <w:webHidden/>
          </w:rPr>
          <w:instrText xml:space="preserve"> PAGEREF _Toc83310818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19" w:history="1">
        <w:r>
          <w:rPr>
            <w:rStyle w:val="Hyperlink"/>
            <w:noProof/>
          </w:rPr>
          <w:t>2.2.2.</w:t>
        </w:r>
        <w:r>
          <w:rPr>
            <w:rFonts w:asciiTheme="minorHAnsi" w:eastAsiaTheme="minorEastAsia" w:hAnsiTheme="minorHAnsi" w:cstheme="minorBidi"/>
            <w:noProof/>
            <w:sz w:val="22"/>
            <w:lang w:eastAsia="fr-BE"/>
          </w:rPr>
          <w:tab/>
        </w:r>
        <w:r>
          <w:rPr>
            <w:rStyle w:val="Hyperlink"/>
            <w:noProof/>
          </w:rPr>
          <w:t>Informations sur les risques recensés et sur le(s) système(s) de contrôle interne mis en place pour les atténuer</w:t>
        </w:r>
        <w:r>
          <w:rPr>
            <w:noProof/>
            <w:webHidden/>
          </w:rPr>
          <w:tab/>
        </w:r>
        <w:r>
          <w:rPr>
            <w:noProof/>
            <w:webHidden/>
          </w:rPr>
          <w:fldChar w:fldCharType="begin"/>
        </w:r>
        <w:r>
          <w:rPr>
            <w:noProof/>
            <w:webHidden/>
          </w:rPr>
          <w:instrText xml:space="preserve"> PAGEREF _Toc83310819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20" w:history="1">
        <w:r>
          <w:rPr>
            <w:rStyle w:val="Hyperlink"/>
            <w:noProof/>
          </w:rPr>
          <w:t>2.2.3.</w:t>
        </w:r>
        <w:r>
          <w:rPr>
            <w:rFonts w:asciiTheme="minorHAnsi" w:eastAsiaTheme="minorEastAsia" w:hAnsiTheme="minorHAnsi" w:cstheme="minorBidi"/>
            <w:noProof/>
            <w:sz w:val="22"/>
            <w:lang w:eastAsia="fr-BE"/>
          </w:rPr>
          <w:tab/>
        </w:r>
        <w:r>
          <w:rPr>
            <w:rStyle w:val="Hyperlink"/>
            <w:noProof/>
          </w:rPr>
          <w:t>Estimation et justification du rapport coût-efficacité des contrôles (rapport «coûts du contrôle ÷ valeur des fonds gérés concernés»), et évaluation du niveau attendu de risque d’erreur (lors du paiement et lors de la clôture)</w:t>
        </w:r>
        <w:r>
          <w:rPr>
            <w:noProof/>
            <w:webHidden/>
          </w:rPr>
          <w:tab/>
        </w:r>
        <w:r>
          <w:rPr>
            <w:noProof/>
            <w:webHidden/>
          </w:rPr>
          <w:fldChar w:fldCharType="begin"/>
        </w:r>
        <w:r>
          <w:rPr>
            <w:noProof/>
            <w:webHidden/>
          </w:rPr>
          <w:instrText xml:space="preserve"> PAGEREF _Toc83310820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821" w:history="1">
        <w:r>
          <w:rPr>
            <w:rStyle w:val="Hyperlink"/>
            <w:noProof/>
          </w:rPr>
          <w:t>2.3.</w:t>
        </w:r>
        <w:r>
          <w:rPr>
            <w:rFonts w:asciiTheme="minorHAnsi" w:eastAsiaTheme="minorEastAsia" w:hAnsiTheme="minorHAnsi" w:cstheme="minorBidi"/>
            <w:noProof/>
            <w:sz w:val="22"/>
            <w:lang w:eastAsia="fr-BE"/>
          </w:rPr>
          <w:tab/>
        </w:r>
        <w:r>
          <w:rPr>
            <w:rStyle w:val="Hyperlink"/>
            <w:noProof/>
          </w:rPr>
          <w:t>Mesures de prévention des fraudes et irrégularités</w:t>
        </w:r>
        <w:r>
          <w:rPr>
            <w:noProof/>
            <w:webHidden/>
          </w:rPr>
          <w:tab/>
        </w:r>
        <w:r>
          <w:rPr>
            <w:noProof/>
            <w:webHidden/>
          </w:rPr>
          <w:fldChar w:fldCharType="begin"/>
        </w:r>
        <w:r>
          <w:rPr>
            <w:noProof/>
            <w:webHidden/>
          </w:rPr>
          <w:instrText xml:space="preserve"> PAGEREF _Toc83310821 \h </w:instrText>
        </w:r>
        <w:r>
          <w:rPr>
            <w:noProof/>
            <w:webHidden/>
          </w:rPr>
        </w:r>
        <w:r>
          <w:rPr>
            <w:noProof/>
            <w:webHidden/>
          </w:rPr>
          <w:fldChar w:fldCharType="separate"/>
        </w:r>
        <w:r>
          <w:rPr>
            <w:noProof/>
            <w:webHidden/>
          </w:rPr>
          <w:t>10</w:t>
        </w:r>
        <w:r>
          <w:rPr>
            <w:noProof/>
            <w:webHidden/>
          </w:rPr>
          <w:fldChar w:fldCharType="end"/>
        </w:r>
      </w:hyperlink>
    </w:p>
    <w:p>
      <w:pPr>
        <w:pStyle w:val="TOC1"/>
        <w:rPr>
          <w:rFonts w:asciiTheme="minorHAnsi" w:eastAsiaTheme="minorEastAsia" w:hAnsiTheme="minorHAnsi" w:cstheme="minorBidi"/>
          <w:noProof/>
          <w:sz w:val="22"/>
          <w:lang w:eastAsia="fr-BE"/>
        </w:rPr>
      </w:pPr>
      <w:hyperlink w:anchor="_Toc83310822" w:history="1">
        <w:r>
          <w:rPr>
            <w:rStyle w:val="Hyperlink"/>
            <w:noProof/>
          </w:rPr>
          <w:t>3.</w:t>
        </w:r>
        <w:r>
          <w:rPr>
            <w:rFonts w:asciiTheme="minorHAnsi" w:eastAsiaTheme="minorEastAsia" w:hAnsiTheme="minorHAnsi" w:cstheme="minorBidi"/>
            <w:noProof/>
            <w:sz w:val="22"/>
            <w:lang w:eastAsia="fr-BE"/>
          </w:rPr>
          <w:tab/>
        </w:r>
        <w:r>
          <w:rPr>
            <w:rStyle w:val="Hyperlink"/>
            <w:noProof/>
          </w:rPr>
          <w:t>INCIDENCE FINANCIÈRE ESTIMÉE DE LA PROPOSITION/DE L’INITIATIVE</w:t>
        </w:r>
        <w:r>
          <w:rPr>
            <w:noProof/>
            <w:webHidden/>
          </w:rPr>
          <w:tab/>
        </w:r>
        <w:r>
          <w:rPr>
            <w:noProof/>
            <w:webHidden/>
          </w:rPr>
          <w:fldChar w:fldCharType="begin"/>
        </w:r>
        <w:r>
          <w:rPr>
            <w:noProof/>
            <w:webHidden/>
          </w:rPr>
          <w:instrText xml:space="preserve"> PAGEREF _Toc83310822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823" w:history="1">
        <w:r>
          <w:rPr>
            <w:rStyle w:val="Hyperlink"/>
            <w:noProof/>
          </w:rPr>
          <w:t>3.1.</w:t>
        </w:r>
        <w:r>
          <w:rPr>
            <w:rFonts w:asciiTheme="minorHAnsi" w:eastAsiaTheme="minorEastAsia" w:hAnsiTheme="minorHAnsi" w:cstheme="minorBidi"/>
            <w:noProof/>
            <w:sz w:val="22"/>
            <w:lang w:eastAsia="fr-BE"/>
          </w:rPr>
          <w:tab/>
        </w:r>
        <w:r>
          <w:rPr>
            <w:rStyle w:val="Hyperlink"/>
            <w:noProof/>
          </w:rPr>
          <w:t>Rubrique(s) du cadre financier pluriannuel et ligne(s) budgétaire(s) de dépenses concernée(s)</w:t>
        </w:r>
        <w:r>
          <w:rPr>
            <w:noProof/>
            <w:webHidden/>
          </w:rPr>
          <w:tab/>
        </w:r>
        <w:r>
          <w:rPr>
            <w:noProof/>
            <w:webHidden/>
          </w:rPr>
          <w:fldChar w:fldCharType="begin"/>
        </w:r>
        <w:r>
          <w:rPr>
            <w:noProof/>
            <w:webHidden/>
          </w:rPr>
          <w:instrText xml:space="preserve"> PAGEREF _Toc83310823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824" w:history="1">
        <w:r>
          <w:rPr>
            <w:rStyle w:val="Hyperlink"/>
            <w:noProof/>
          </w:rPr>
          <w:t>3.2.</w:t>
        </w:r>
        <w:r>
          <w:rPr>
            <w:rFonts w:asciiTheme="minorHAnsi" w:eastAsiaTheme="minorEastAsia" w:hAnsiTheme="minorHAnsi" w:cstheme="minorBidi"/>
            <w:noProof/>
            <w:sz w:val="22"/>
            <w:lang w:eastAsia="fr-BE"/>
          </w:rPr>
          <w:tab/>
        </w:r>
        <w:r>
          <w:rPr>
            <w:rStyle w:val="Hyperlink"/>
            <w:noProof/>
          </w:rPr>
          <w:t>Incidence financière estimée de la proposition sur les crédits</w:t>
        </w:r>
        <w:r>
          <w:rPr>
            <w:noProof/>
            <w:webHidden/>
          </w:rPr>
          <w:tab/>
        </w:r>
        <w:r>
          <w:rPr>
            <w:noProof/>
            <w:webHidden/>
          </w:rPr>
          <w:fldChar w:fldCharType="begin"/>
        </w:r>
        <w:r>
          <w:rPr>
            <w:noProof/>
            <w:webHidden/>
          </w:rPr>
          <w:instrText xml:space="preserve"> PAGEREF _Toc83310824 \h </w:instrText>
        </w:r>
        <w:r>
          <w:rPr>
            <w:noProof/>
            <w:webHidden/>
          </w:rPr>
        </w:r>
        <w:r>
          <w:rPr>
            <w:noProof/>
            <w:webHidden/>
          </w:rPr>
          <w:fldChar w:fldCharType="separate"/>
        </w:r>
        <w:r>
          <w:rPr>
            <w:noProof/>
            <w:webHidden/>
          </w:rPr>
          <w:t>13</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25" w:history="1">
        <w:r>
          <w:rPr>
            <w:rStyle w:val="Hyperlink"/>
            <w:noProof/>
          </w:rPr>
          <w:t>3.2.1.</w:t>
        </w:r>
        <w:r>
          <w:rPr>
            <w:rFonts w:asciiTheme="minorHAnsi" w:eastAsiaTheme="minorEastAsia" w:hAnsiTheme="minorHAnsi" w:cstheme="minorBidi"/>
            <w:noProof/>
            <w:sz w:val="22"/>
            <w:lang w:eastAsia="fr-BE"/>
          </w:rPr>
          <w:tab/>
        </w:r>
        <w:r>
          <w:rPr>
            <w:rStyle w:val="Hyperlink"/>
            <w:noProof/>
          </w:rPr>
          <w:t>Synthèse de l’incidence estimée sur les crédits opérationnels</w:t>
        </w:r>
        <w:r>
          <w:rPr>
            <w:noProof/>
            <w:webHidden/>
          </w:rPr>
          <w:tab/>
        </w:r>
        <w:r>
          <w:rPr>
            <w:noProof/>
            <w:webHidden/>
          </w:rPr>
          <w:fldChar w:fldCharType="begin"/>
        </w:r>
        <w:r>
          <w:rPr>
            <w:noProof/>
            <w:webHidden/>
          </w:rPr>
          <w:instrText xml:space="preserve"> PAGEREF _Toc83310825 \h </w:instrText>
        </w:r>
        <w:r>
          <w:rPr>
            <w:noProof/>
            <w:webHidden/>
          </w:rPr>
        </w:r>
        <w:r>
          <w:rPr>
            <w:noProof/>
            <w:webHidden/>
          </w:rPr>
          <w:fldChar w:fldCharType="separate"/>
        </w:r>
        <w:r>
          <w:rPr>
            <w:noProof/>
            <w:webHidden/>
          </w:rPr>
          <w:t>13</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26" w:history="1">
        <w:r>
          <w:rPr>
            <w:rStyle w:val="Hyperlink"/>
            <w:noProof/>
          </w:rPr>
          <w:t>3.2.2.</w:t>
        </w:r>
        <w:r>
          <w:rPr>
            <w:rFonts w:asciiTheme="minorHAnsi" w:eastAsiaTheme="minorEastAsia" w:hAnsiTheme="minorHAnsi" w:cstheme="minorBidi"/>
            <w:noProof/>
            <w:sz w:val="22"/>
            <w:lang w:eastAsia="fr-BE"/>
          </w:rPr>
          <w:tab/>
        </w:r>
        <w:r>
          <w:rPr>
            <w:rStyle w:val="Hyperlink"/>
            <w:noProof/>
          </w:rPr>
          <w:t>Estimation des réalisations financées avec des crédits opérationnels</w:t>
        </w:r>
        <w:r>
          <w:rPr>
            <w:noProof/>
            <w:webHidden/>
          </w:rPr>
          <w:tab/>
        </w:r>
        <w:r>
          <w:rPr>
            <w:noProof/>
            <w:webHidden/>
          </w:rPr>
          <w:fldChar w:fldCharType="begin"/>
        </w:r>
        <w:r>
          <w:rPr>
            <w:noProof/>
            <w:webHidden/>
          </w:rPr>
          <w:instrText xml:space="preserve"> PAGEREF _Toc83310826 \h </w:instrText>
        </w:r>
        <w:r>
          <w:rPr>
            <w:noProof/>
            <w:webHidden/>
          </w:rPr>
        </w:r>
        <w:r>
          <w:rPr>
            <w:noProof/>
            <w:webHidden/>
          </w:rPr>
          <w:fldChar w:fldCharType="separate"/>
        </w:r>
        <w:r>
          <w:rPr>
            <w:noProof/>
            <w:webHidden/>
          </w:rPr>
          <w:t>19</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27" w:history="1">
        <w:r>
          <w:rPr>
            <w:rStyle w:val="Hyperlink"/>
            <w:noProof/>
          </w:rPr>
          <w:t>3.2.3.</w:t>
        </w:r>
        <w:r>
          <w:rPr>
            <w:rFonts w:asciiTheme="minorHAnsi" w:eastAsiaTheme="minorEastAsia" w:hAnsiTheme="minorHAnsi" w:cstheme="minorBidi"/>
            <w:noProof/>
            <w:sz w:val="22"/>
            <w:lang w:eastAsia="fr-BE"/>
          </w:rPr>
          <w:tab/>
        </w:r>
        <w:r>
          <w:rPr>
            <w:rStyle w:val="Hyperlink"/>
            <w:noProof/>
          </w:rPr>
          <w:t>Synthèse de l’incidence estimée sur les crédits administratifs</w:t>
        </w:r>
        <w:r>
          <w:rPr>
            <w:noProof/>
            <w:webHidden/>
          </w:rPr>
          <w:tab/>
        </w:r>
        <w:r>
          <w:rPr>
            <w:noProof/>
            <w:webHidden/>
          </w:rPr>
          <w:fldChar w:fldCharType="begin"/>
        </w:r>
        <w:r>
          <w:rPr>
            <w:noProof/>
            <w:webHidden/>
          </w:rPr>
          <w:instrText xml:space="preserve"> PAGEREF _Toc83310827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28" w:history="1">
        <w:r>
          <w:rPr>
            <w:rStyle w:val="Hyperlink"/>
            <w:noProof/>
          </w:rPr>
          <w:t>3.2.4.</w:t>
        </w:r>
        <w:r>
          <w:rPr>
            <w:rFonts w:asciiTheme="minorHAnsi" w:eastAsiaTheme="minorEastAsia" w:hAnsiTheme="minorHAnsi" w:cstheme="minorBidi"/>
            <w:noProof/>
            <w:sz w:val="22"/>
            <w:lang w:eastAsia="fr-BE"/>
          </w:rPr>
          <w:tab/>
        </w:r>
        <w:r>
          <w:rPr>
            <w:rStyle w:val="Hyperlink"/>
            <w:noProof/>
          </w:rPr>
          <w:t>Compatibilité avec le cadre financier pluriannuel actuel</w:t>
        </w:r>
        <w:r>
          <w:rPr>
            <w:noProof/>
            <w:webHidden/>
          </w:rPr>
          <w:tab/>
        </w:r>
        <w:r>
          <w:rPr>
            <w:noProof/>
            <w:webHidden/>
          </w:rPr>
          <w:fldChar w:fldCharType="begin"/>
        </w:r>
        <w:r>
          <w:rPr>
            <w:noProof/>
            <w:webHidden/>
          </w:rPr>
          <w:instrText xml:space="preserve"> PAGEREF _Toc83310828 \h </w:instrText>
        </w:r>
        <w:r>
          <w:rPr>
            <w:noProof/>
            <w:webHidden/>
          </w:rPr>
        </w:r>
        <w:r>
          <w:rPr>
            <w:noProof/>
            <w:webHidden/>
          </w:rPr>
          <w:fldChar w:fldCharType="separate"/>
        </w:r>
        <w:r>
          <w:rPr>
            <w:noProof/>
            <w:webHidden/>
          </w:rPr>
          <w:t>23</w:t>
        </w:r>
        <w:r>
          <w:rPr>
            <w:noProof/>
            <w:webHidden/>
          </w:rPr>
          <w:fldChar w:fldCharType="end"/>
        </w:r>
      </w:hyperlink>
    </w:p>
    <w:p>
      <w:pPr>
        <w:pStyle w:val="TOC3"/>
        <w:rPr>
          <w:rFonts w:asciiTheme="minorHAnsi" w:eastAsiaTheme="minorEastAsia" w:hAnsiTheme="minorHAnsi" w:cstheme="minorBidi"/>
          <w:noProof/>
          <w:sz w:val="22"/>
          <w:lang w:eastAsia="fr-BE"/>
        </w:rPr>
      </w:pPr>
      <w:hyperlink w:anchor="_Toc83310829" w:history="1">
        <w:r>
          <w:rPr>
            <w:rStyle w:val="Hyperlink"/>
            <w:noProof/>
          </w:rPr>
          <w:t>3.2.5.</w:t>
        </w:r>
        <w:r>
          <w:rPr>
            <w:rFonts w:asciiTheme="minorHAnsi" w:eastAsiaTheme="minorEastAsia" w:hAnsiTheme="minorHAnsi" w:cstheme="minorBidi"/>
            <w:noProof/>
            <w:sz w:val="22"/>
            <w:lang w:eastAsia="fr-BE"/>
          </w:rPr>
          <w:tab/>
        </w:r>
        <w:r>
          <w:rPr>
            <w:rStyle w:val="Hyperlink"/>
            <w:noProof/>
          </w:rPr>
          <w:t>Participation de tiers au financement</w:t>
        </w:r>
        <w:r>
          <w:rPr>
            <w:noProof/>
            <w:webHidden/>
          </w:rPr>
          <w:tab/>
        </w:r>
        <w:r>
          <w:rPr>
            <w:noProof/>
            <w:webHidden/>
          </w:rPr>
          <w:fldChar w:fldCharType="begin"/>
        </w:r>
        <w:r>
          <w:rPr>
            <w:noProof/>
            <w:webHidden/>
          </w:rPr>
          <w:instrText xml:space="preserve"> PAGEREF _Toc83310829 \h </w:instrText>
        </w:r>
        <w:r>
          <w:rPr>
            <w:noProof/>
            <w:webHidden/>
          </w:rPr>
        </w:r>
        <w:r>
          <w:rPr>
            <w:noProof/>
            <w:webHidden/>
          </w:rPr>
          <w:fldChar w:fldCharType="separate"/>
        </w:r>
        <w:r>
          <w:rPr>
            <w:noProof/>
            <w:webHidden/>
          </w:rPr>
          <w:t>23</w:t>
        </w:r>
        <w:r>
          <w:rPr>
            <w:noProof/>
            <w:webHidden/>
          </w:rPr>
          <w:fldChar w:fldCharType="end"/>
        </w:r>
      </w:hyperlink>
    </w:p>
    <w:p>
      <w:pPr>
        <w:pStyle w:val="TOC2"/>
        <w:rPr>
          <w:rFonts w:asciiTheme="minorHAnsi" w:eastAsiaTheme="minorEastAsia" w:hAnsiTheme="minorHAnsi" w:cstheme="minorBidi"/>
          <w:noProof/>
          <w:sz w:val="22"/>
          <w:lang w:eastAsia="fr-BE"/>
        </w:rPr>
      </w:pPr>
      <w:hyperlink w:anchor="_Toc83310830" w:history="1">
        <w:r>
          <w:rPr>
            <w:rStyle w:val="Hyperlink"/>
            <w:noProof/>
          </w:rPr>
          <w:t>3.3.</w:t>
        </w:r>
        <w:r>
          <w:rPr>
            <w:rFonts w:asciiTheme="minorHAnsi" w:eastAsiaTheme="minorEastAsia" w:hAnsiTheme="minorHAnsi" w:cstheme="minorBidi"/>
            <w:noProof/>
            <w:sz w:val="22"/>
            <w:lang w:eastAsia="fr-BE"/>
          </w:rPr>
          <w:tab/>
        </w:r>
        <w:r>
          <w:rPr>
            <w:rStyle w:val="Hyperlink"/>
            <w:noProof/>
          </w:rPr>
          <w:t>Incidence estimée sur les recettes</w:t>
        </w:r>
        <w:r>
          <w:rPr>
            <w:noProof/>
            <w:webHidden/>
          </w:rPr>
          <w:tab/>
        </w:r>
        <w:r>
          <w:rPr>
            <w:noProof/>
            <w:webHidden/>
          </w:rPr>
          <w:fldChar w:fldCharType="begin"/>
        </w:r>
        <w:r>
          <w:rPr>
            <w:noProof/>
            <w:webHidden/>
          </w:rPr>
          <w:instrText xml:space="preserve"> PAGEREF _Toc83310830 \h </w:instrText>
        </w:r>
        <w:r>
          <w:rPr>
            <w:noProof/>
            <w:webHidden/>
          </w:rPr>
        </w:r>
        <w:r>
          <w:rPr>
            <w:noProof/>
            <w:webHidden/>
          </w:rPr>
          <w:fldChar w:fldCharType="separate"/>
        </w:r>
        <w:r>
          <w:rPr>
            <w:noProof/>
            <w:webHidden/>
          </w:rPr>
          <w:t>24</w:t>
        </w:r>
        <w:r>
          <w:rPr>
            <w:noProof/>
            <w:webHidden/>
          </w:rPr>
          <w:fldChar w:fldCharType="end"/>
        </w:r>
      </w:hyperlink>
    </w:p>
    <w:p>
      <w:pPr>
        <w:rPr>
          <w:noProof/>
        </w:rPr>
      </w:pPr>
      <w:r>
        <w:rPr>
          <w:b/>
          <w:bCs/>
          <w:noProof/>
        </w:rPr>
        <w:fldChar w:fldCharType="end"/>
      </w:r>
    </w:p>
    <w:p>
      <w:pPr>
        <w:rPr>
          <w:noProof/>
        </w:rPr>
        <w:sectPr>
          <w:pgSz w:w="11907" w:h="16840" w:code="9"/>
          <w:pgMar w:top="1134" w:right="1418" w:bottom="1134" w:left="1418" w:header="709" w:footer="709" w:gutter="0"/>
          <w:pgNumType w:start="1"/>
          <w:cols w:space="720"/>
          <w:docGrid w:linePitch="360"/>
        </w:sectPr>
      </w:pPr>
    </w:p>
    <w:p>
      <w:pPr>
        <w:jc w:val="center"/>
        <w:rPr>
          <w:b/>
          <w:noProof/>
          <w:u w:val="single"/>
        </w:rPr>
      </w:pPr>
      <w:r>
        <w:rPr>
          <w:b/>
          <w:noProof/>
          <w:u w:val="single"/>
        </w:rPr>
        <w:t>FICHE FINANCIÈRE LÉGISLATIVE</w:t>
      </w:r>
    </w:p>
    <w:p>
      <w:pPr>
        <w:pStyle w:val="ManualHeading1"/>
        <w:rPr>
          <w:noProof/>
        </w:rPr>
      </w:pPr>
      <w:bookmarkStart w:id="18" w:name="_Toc514938007"/>
      <w:bookmarkStart w:id="19" w:name="_Toc520485025"/>
      <w:bookmarkStart w:id="20" w:name="_Toc83310798"/>
      <w:r>
        <w:t>1.</w:t>
      </w:r>
      <w:r>
        <w:tab/>
      </w:r>
      <w:r>
        <w:rPr>
          <w:noProof/>
        </w:rPr>
        <w:t>CADRE DE LA PROPOSITION/DE L’INITIATIVE</w:t>
      </w:r>
      <w:bookmarkEnd w:id="18"/>
      <w:bookmarkEnd w:id="19"/>
      <w:bookmarkEnd w:id="20"/>
      <w:r>
        <w:rPr>
          <w:noProof/>
        </w:rPr>
        <w:t xml:space="preserve"> </w:t>
      </w:r>
    </w:p>
    <w:p>
      <w:pPr>
        <w:pStyle w:val="ManualHeading2"/>
        <w:rPr>
          <w:noProof/>
        </w:rPr>
      </w:pPr>
      <w:bookmarkStart w:id="21" w:name="_Toc514938008"/>
      <w:bookmarkStart w:id="22" w:name="_Toc520485026"/>
      <w:bookmarkStart w:id="23" w:name="_Toc83310799"/>
      <w:r>
        <w:t>1.1.</w:t>
      </w:r>
      <w:r>
        <w:tab/>
      </w:r>
      <w:r>
        <w:rPr>
          <w:noProof/>
        </w:rPr>
        <w:t>Dénomination de la proposition/de l’initiative</w:t>
      </w:r>
      <w:bookmarkEnd w:id="21"/>
      <w:bookmarkEnd w:id="22"/>
      <w:bookmarkEnd w:id="23"/>
    </w:p>
    <w:p>
      <w:pPr>
        <w:pStyle w:val="Text1"/>
        <w:pBdr>
          <w:top w:val="single" w:sz="4" w:space="1" w:color="auto"/>
          <w:left w:val="single" w:sz="4" w:space="4" w:color="auto"/>
          <w:bottom w:val="single" w:sz="4" w:space="1" w:color="auto"/>
          <w:right w:val="single" w:sz="4" w:space="4" w:color="auto"/>
        </w:pBdr>
        <w:jc w:val="left"/>
        <w:rPr>
          <w:noProof/>
          <w:szCs w:val="28"/>
          <w:shd w:val="clear" w:color="auto" w:fill="FFFFFF"/>
        </w:rPr>
      </w:pPr>
      <w:bookmarkStart w:id="24" w:name="_Toc514938011"/>
      <w:bookmarkStart w:id="25" w:name="_Toc520485027"/>
      <w:r>
        <w:rPr>
          <w:noProof/>
          <w:szCs w:val="28"/>
          <w:shd w:val="clear" w:color="auto" w:fill="FFFFFF"/>
        </w:rPr>
        <w:t>Autorité européenne de préparation et de réaction en cas d’urgence sanitaire (HERA)</w:t>
      </w:r>
    </w:p>
    <w:p>
      <w:pPr>
        <w:pStyle w:val="ManualHeading2"/>
        <w:rPr>
          <w:i/>
          <w:noProof/>
        </w:rPr>
      </w:pPr>
      <w:bookmarkStart w:id="26" w:name="_Toc83310800"/>
      <w:r>
        <w:t>1.2.</w:t>
      </w:r>
      <w:r>
        <w:tab/>
      </w:r>
      <w:r>
        <w:rPr>
          <w:noProof/>
        </w:rPr>
        <w:t>Domaine(s) politique(s) concerné(s)</w:t>
      </w:r>
      <w:bookmarkEnd w:id="24"/>
      <w:bookmarkEnd w:id="25"/>
      <w:bookmarkEnd w:id="26"/>
      <w:r>
        <w:rPr>
          <w:i/>
          <w:noProof/>
        </w:rPr>
        <w:t xml:space="preserve"> </w:t>
      </w:r>
    </w:p>
    <w:p>
      <w:pPr>
        <w:pStyle w:val="Text1"/>
        <w:pBdr>
          <w:top w:val="single" w:sz="4" w:space="1" w:color="auto"/>
          <w:left w:val="single" w:sz="4" w:space="4" w:color="auto"/>
          <w:bottom w:val="single" w:sz="4" w:space="1" w:color="auto"/>
          <w:right w:val="single" w:sz="4" w:space="4" w:color="auto"/>
        </w:pBdr>
      </w:pPr>
      <w:bookmarkStart w:id="27" w:name="_Toc514938014"/>
      <w:bookmarkStart w:id="28" w:name="_Toc520485028"/>
      <w:r>
        <w:t xml:space="preserve">Rubrique 1. Marché unique, innovation et numérique  </w:t>
      </w:r>
    </w:p>
    <w:p>
      <w:pPr>
        <w:pStyle w:val="Text1"/>
        <w:pBdr>
          <w:top w:val="single" w:sz="4" w:space="1" w:color="auto"/>
          <w:left w:val="single" w:sz="4" w:space="4" w:color="auto"/>
          <w:bottom w:val="single" w:sz="4" w:space="1" w:color="auto"/>
          <w:right w:val="single" w:sz="4" w:space="4" w:color="auto"/>
        </w:pBdr>
        <w:rPr>
          <w:noProof/>
        </w:rPr>
      </w:pPr>
      <w:r>
        <w:t>Rubrique 2b. Résilience et valeurs</w:t>
      </w:r>
    </w:p>
    <w:p>
      <w:pPr>
        <w:pStyle w:val="ManualHeading2"/>
        <w:rPr>
          <w:bCs/>
          <w:noProof/>
          <w:szCs w:val="24"/>
        </w:rPr>
      </w:pPr>
      <w:bookmarkStart w:id="29" w:name="_Toc83310801"/>
      <w:r>
        <w:t>1.3.</w:t>
      </w:r>
      <w:r>
        <w:tab/>
      </w:r>
      <w:r>
        <w:rPr>
          <w:noProof/>
        </w:rPr>
        <w:t>La proposition/l’initiative porte sur:</w:t>
      </w:r>
      <w:bookmarkEnd w:id="27"/>
      <w:bookmarkEnd w:id="28"/>
      <w:bookmarkEnd w:id="29"/>
      <w:r>
        <w:rPr>
          <w:noProof/>
        </w:rPr>
        <w:t xml:space="preserve"> </w:t>
      </w:r>
    </w:p>
    <w:p>
      <w:pPr>
        <w:pStyle w:val="Text1"/>
        <w:rPr>
          <w:b/>
          <w:noProof/>
          <w:sz w:val="22"/>
        </w:rPr>
      </w:pPr>
      <w:r>
        <w:rPr>
          <w:noProof/>
          <w:sz w:val="22"/>
        </w:rPr>
        <w:t>X</w:t>
      </w:r>
      <w:r>
        <w:rPr>
          <w:b/>
          <w:i/>
          <w:noProof/>
          <w:sz w:val="22"/>
        </w:rPr>
        <w:t xml:space="preserve"> </w:t>
      </w:r>
      <w:r>
        <w:rPr>
          <w:b/>
          <w:noProof/>
        </w:rPr>
        <w:t>une action nouvelle</w:t>
      </w:r>
      <w:r>
        <w:rPr>
          <w:b/>
          <w:noProof/>
          <w:sz w:val="22"/>
        </w:rPr>
        <w:t xml:space="preserve"> </w:t>
      </w:r>
    </w:p>
    <w:p>
      <w:pPr>
        <w:pStyle w:val="Text1"/>
        <w:rPr>
          <w:noProof/>
          <w:sz w:val="22"/>
        </w:rPr>
      </w:pPr>
      <w:r>
        <w:rPr>
          <w:noProof/>
          <w:sz w:val="22"/>
        </w:rPr>
        <w:sym w:font="Wingdings" w:char="F0A8"/>
      </w:r>
      <w:r>
        <w:rPr>
          <w:i/>
          <w:noProof/>
          <w:sz w:val="22"/>
        </w:rPr>
        <w:t xml:space="preserve"> </w:t>
      </w:r>
      <w:r>
        <w:rPr>
          <w:b/>
          <w:noProof/>
        </w:rPr>
        <w:t>une action nouvelle suite à un projet pilote/une action préparatoire</w:t>
      </w:r>
      <w:r>
        <w:rPr>
          <w:rStyle w:val="FootnoteReference"/>
          <w:b/>
          <w:noProof/>
        </w:rPr>
        <w:footnoteReference w:id="34"/>
      </w:r>
      <w:r>
        <w:rPr>
          <w:noProof/>
          <w:sz w:val="22"/>
        </w:rPr>
        <w:t xml:space="preserve"> </w:t>
      </w:r>
    </w:p>
    <w:p>
      <w:pPr>
        <w:pStyle w:val="Text1"/>
        <w:rPr>
          <w:noProof/>
          <w:sz w:val="22"/>
        </w:rPr>
      </w:pPr>
      <w:r>
        <w:rPr>
          <w:noProof/>
          <w:sz w:val="22"/>
        </w:rPr>
        <w:sym w:font="Wingdings" w:char="F0A8"/>
      </w:r>
      <w:r>
        <w:rPr>
          <w:i/>
          <w:noProof/>
          <w:sz w:val="22"/>
        </w:rPr>
        <w:t xml:space="preserve"> </w:t>
      </w:r>
      <w:r>
        <w:rPr>
          <w:b/>
          <w:noProof/>
        </w:rPr>
        <w:t>la prolongation d’une action existante</w:t>
      </w:r>
      <w:r>
        <w:rPr>
          <w:noProof/>
          <w:sz w:val="22"/>
        </w:rPr>
        <w:t xml:space="preserve"> </w:t>
      </w:r>
    </w:p>
    <w:p>
      <w:pPr>
        <w:pStyle w:val="Text1"/>
        <w:rPr>
          <w:noProof/>
        </w:rPr>
      </w:pPr>
      <w:r>
        <w:rPr>
          <w:noProof/>
          <w:sz w:val="22"/>
        </w:rPr>
        <w:sym w:font="Wingdings" w:char="F0A8"/>
      </w:r>
      <w:r>
        <w:rPr>
          <w:i/>
          <w:noProof/>
          <w:sz w:val="22"/>
        </w:rPr>
        <w:t xml:space="preserve"> </w:t>
      </w:r>
      <w:r>
        <w:rPr>
          <w:b/>
          <w:noProof/>
        </w:rPr>
        <w:t>une fusion ou une réorientation d’une ou de plusieurs actions vers une autre action/une action nouvelle</w:t>
      </w:r>
      <w:r>
        <w:rPr>
          <w:noProof/>
        </w:rPr>
        <w:t xml:space="preserve"> </w:t>
      </w:r>
    </w:p>
    <w:p>
      <w:pPr>
        <w:pStyle w:val="ManualHeading2"/>
        <w:rPr>
          <w:bCs/>
          <w:noProof/>
          <w:szCs w:val="24"/>
        </w:rPr>
      </w:pPr>
      <w:bookmarkStart w:id="30" w:name="_Toc514938015"/>
      <w:bookmarkStart w:id="31" w:name="_Toc520485029"/>
      <w:bookmarkStart w:id="32" w:name="_Toc83310802"/>
      <w:r>
        <w:t>1.4.</w:t>
      </w:r>
      <w:r>
        <w:tab/>
      </w:r>
      <w:r>
        <w:rPr>
          <w:noProof/>
        </w:rPr>
        <w:t>Objectif(s)</w:t>
      </w:r>
      <w:bookmarkEnd w:id="30"/>
      <w:bookmarkEnd w:id="31"/>
      <w:bookmarkEnd w:id="32"/>
    </w:p>
    <w:p>
      <w:pPr>
        <w:pStyle w:val="ManualHeading3"/>
        <w:rPr>
          <w:noProof/>
        </w:rPr>
      </w:pPr>
      <w:bookmarkStart w:id="33" w:name="_Toc514938016"/>
      <w:bookmarkStart w:id="34" w:name="_Toc520485030"/>
      <w:bookmarkStart w:id="35" w:name="_Toc83310803"/>
      <w:r>
        <w:t>1.4.1.</w:t>
      </w:r>
      <w:r>
        <w:tab/>
      </w:r>
      <w:r>
        <w:rPr>
          <w:noProof/>
        </w:rPr>
        <w:t>Objectif général / objectifs généraux</w:t>
      </w:r>
      <w:bookmarkEnd w:id="33"/>
      <w:bookmarkEnd w:id="34"/>
      <w:bookmarkEnd w:id="35"/>
    </w:p>
    <w:p>
      <w:pPr>
        <w:pStyle w:val="Text1"/>
        <w:pBdr>
          <w:top w:val="single" w:sz="4" w:space="1" w:color="auto"/>
          <w:left w:val="single" w:sz="4" w:space="4" w:color="auto"/>
          <w:bottom w:val="single" w:sz="4" w:space="1" w:color="auto"/>
          <w:right w:val="single" w:sz="4" w:space="4" w:color="auto"/>
        </w:pBdr>
        <w:rPr>
          <w:noProof/>
        </w:rPr>
      </w:pPr>
      <w:bookmarkStart w:id="36" w:name="_Toc514938018"/>
      <w:bookmarkStart w:id="37" w:name="_Toc520485031"/>
      <w:r>
        <w:rPr>
          <w:noProof/>
        </w:rPr>
        <w:t>L’HERA cherchera à améliorer la santé publique en renforçant la capacité de préparation et de réaction de l’UE face aux menaces transfrontières graves pour la santé, qu’elles soient d’origine naturelle ou intentionnelle.</w:t>
      </w:r>
    </w:p>
    <w:p>
      <w:pPr>
        <w:pStyle w:val="ManualHeading3"/>
        <w:rPr>
          <w:bCs/>
          <w:noProof/>
          <w:szCs w:val="24"/>
        </w:rPr>
      </w:pPr>
      <w:bookmarkStart w:id="38" w:name="_Toc83310804"/>
      <w:r>
        <w:t>1.4.2.</w:t>
      </w:r>
      <w:r>
        <w:tab/>
      </w:r>
      <w:r>
        <w:rPr>
          <w:noProof/>
        </w:rPr>
        <w:t>Objectif(s) spécifique(s)</w:t>
      </w:r>
      <w:bookmarkEnd w:id="36"/>
      <w:bookmarkEnd w:id="37"/>
      <w:bookmarkEnd w:id="38"/>
    </w:p>
    <w:p>
      <w:pPr>
        <w:pStyle w:val="Text1"/>
        <w:pBdr>
          <w:top w:val="single" w:sz="4" w:space="1" w:color="auto"/>
          <w:left w:val="single" w:sz="4" w:space="4" w:color="auto"/>
          <w:bottom w:val="single" w:sz="4" w:space="1" w:color="auto"/>
          <w:right w:val="single" w:sz="4" w:space="4" w:color="auto"/>
        </w:pBdr>
        <w:ind w:right="-143"/>
        <w:rPr>
          <w:noProof/>
          <w:u w:val="single"/>
        </w:rPr>
      </w:pPr>
      <w:r>
        <w:rPr>
          <w:noProof/>
          <w:u w:val="single"/>
        </w:rPr>
        <w:t>Objectif spécifique n°</w:t>
      </w:r>
    </w:p>
    <w:p>
      <w:pPr>
        <w:pStyle w:val="Point1"/>
        <w:pBdr>
          <w:top w:val="single" w:sz="4" w:space="1" w:color="auto"/>
          <w:left w:val="single" w:sz="4" w:space="4" w:color="auto"/>
          <w:bottom w:val="single" w:sz="4" w:space="1" w:color="auto"/>
          <w:right w:val="single" w:sz="4" w:space="4" w:color="auto"/>
        </w:pBdr>
        <w:rPr>
          <w:noProof/>
        </w:rPr>
      </w:pPr>
      <w:bookmarkStart w:id="39" w:name="_Toc514938019"/>
      <w:bookmarkStart w:id="40" w:name="_Toc520485032"/>
      <w:r>
        <w:rPr>
          <w:noProof/>
        </w:rPr>
        <w:t>1.</w:t>
      </w:r>
      <w:r>
        <w:rPr>
          <w:noProof/>
        </w:rPr>
        <w:tab/>
        <w:t xml:space="preserve">Garantir la disponibilité en temps utile des contre-mesures médicales nécessaires et un accès équitable à celles-ci lors d’une situation de menace transfrontière pour la santé </w:t>
      </w:r>
    </w:p>
    <w:p>
      <w:pPr>
        <w:pStyle w:val="Point1"/>
        <w:pBdr>
          <w:top w:val="single" w:sz="4" w:space="1" w:color="auto"/>
          <w:left w:val="single" w:sz="4" w:space="4" w:color="auto"/>
          <w:bottom w:val="single" w:sz="4" w:space="1" w:color="auto"/>
          <w:right w:val="single" w:sz="4" w:space="4" w:color="auto"/>
        </w:pBdr>
        <w:rPr>
          <w:iCs/>
          <w:noProof/>
        </w:rPr>
      </w:pPr>
      <w:r>
        <w:rPr>
          <w:noProof/>
        </w:rPr>
        <w:t>2.</w:t>
      </w:r>
      <w:r>
        <w:rPr>
          <w:noProof/>
        </w:rPr>
        <w:tab/>
        <w:t>Améliorer la collecte, l’analyse et le partage de renseignements relatifs aux menaces transfrontières graves pour la santé, recenser les dépendances liées aux matières premières, ainsi que les défis/défaillances du marché et de la réglementation, et y remédier</w:t>
      </w:r>
    </w:p>
    <w:p>
      <w:pPr>
        <w:pStyle w:val="Point1"/>
        <w:pBdr>
          <w:top w:val="single" w:sz="4" w:space="1" w:color="auto"/>
          <w:left w:val="single" w:sz="4" w:space="4" w:color="auto"/>
          <w:bottom w:val="single" w:sz="4" w:space="1" w:color="auto"/>
          <w:right w:val="single" w:sz="4" w:space="4" w:color="auto"/>
        </w:pBdr>
        <w:rPr>
          <w:iCs/>
          <w:noProof/>
        </w:rPr>
      </w:pPr>
      <w:r>
        <w:rPr>
          <w:noProof/>
        </w:rPr>
        <w:t>3.</w:t>
      </w:r>
      <w:r>
        <w:rPr>
          <w:noProof/>
        </w:rPr>
        <w:tab/>
        <w:t>Améliorer le développement et la production de contre-mesures médicales, en mettant en place des structures permettant d’intégrer la recherche et des projets de développement technologique</w:t>
      </w:r>
    </w:p>
    <w:p>
      <w:pPr>
        <w:pStyle w:val="Point1"/>
        <w:pBdr>
          <w:top w:val="single" w:sz="4" w:space="1" w:color="auto"/>
          <w:left w:val="single" w:sz="4" w:space="4" w:color="auto"/>
          <w:bottom w:val="single" w:sz="4" w:space="1" w:color="auto"/>
          <w:right w:val="single" w:sz="4" w:space="4" w:color="auto"/>
        </w:pBdr>
        <w:rPr>
          <w:iCs/>
          <w:noProof/>
        </w:rPr>
      </w:pPr>
      <w:r>
        <w:rPr>
          <w:noProof/>
        </w:rPr>
        <w:t>4.</w:t>
      </w:r>
      <w:r>
        <w:rPr>
          <w:noProof/>
        </w:rPr>
        <w:tab/>
        <w:t>Coordonner les actions relatives aux contre-mesures médicales des autorités nationales compétentes, des acheteurs publics, des opérateurs de l’industrie et de la recherche et des acteurs à l’échelle mondiale</w:t>
      </w:r>
    </w:p>
    <w:p>
      <w:pPr>
        <w:pStyle w:val="ManualHeading3"/>
        <w:rPr>
          <w:noProof/>
        </w:rPr>
      </w:pPr>
      <w:bookmarkStart w:id="41" w:name="_Toc83310805"/>
      <w:r>
        <w:t>1.4.3.</w:t>
      </w:r>
      <w:r>
        <w:tab/>
      </w:r>
      <w:r>
        <w:rPr>
          <w:noProof/>
        </w:rPr>
        <w:t>Résultat(s) et incidence(s) attendus</w:t>
      </w:r>
      <w:bookmarkEnd w:id="39"/>
      <w:bookmarkEnd w:id="40"/>
      <w:bookmarkEnd w:id="41"/>
    </w:p>
    <w:p>
      <w:pPr>
        <w:pStyle w:val="Text1"/>
        <w:rPr>
          <w:i/>
          <w:noProof/>
          <w:sz w:val="20"/>
        </w:rPr>
      </w:pPr>
      <w:r>
        <w:rPr>
          <w:i/>
          <w:noProof/>
          <w:sz w:val="20"/>
        </w:rPr>
        <w:t>Préciser les effets que la proposition/l’initiative devrait avoir sur les bénéficiaires/la population visée.</w:t>
      </w:r>
    </w:p>
    <w:p>
      <w:pPr>
        <w:pStyle w:val="Text1"/>
        <w:pBdr>
          <w:top w:val="single" w:sz="4" w:space="1" w:color="auto"/>
          <w:left w:val="single" w:sz="4" w:space="4" w:color="auto"/>
          <w:bottom w:val="single" w:sz="4" w:space="1" w:color="auto"/>
          <w:right w:val="single" w:sz="4" w:space="4" w:color="auto"/>
        </w:pBdr>
        <w:ind w:right="-143"/>
        <w:rPr>
          <w:b/>
          <w:noProof/>
          <w:u w:val="single"/>
        </w:rPr>
      </w:pPr>
      <w:bookmarkStart w:id="42" w:name="_Toc514938023"/>
      <w:bookmarkStart w:id="43" w:name="_Toc520485033"/>
      <w:r>
        <w:rPr>
          <w:b/>
          <w:noProof/>
          <w:u w:val="single"/>
        </w:rPr>
        <w:t>Objectif spécifique nº 1:</w:t>
      </w:r>
    </w:p>
    <w:p>
      <w:pPr>
        <w:pStyle w:val="Text1"/>
        <w:pBdr>
          <w:top w:val="single" w:sz="4" w:space="1" w:color="auto"/>
          <w:left w:val="single" w:sz="4" w:space="4" w:color="auto"/>
          <w:bottom w:val="single" w:sz="4" w:space="1" w:color="auto"/>
          <w:right w:val="single" w:sz="4" w:space="4" w:color="auto"/>
        </w:pBdr>
        <w:ind w:right="-143"/>
        <w:rPr>
          <w:noProof/>
          <w:u w:val="single"/>
        </w:rPr>
      </w:pPr>
      <w:r>
        <w:rPr>
          <w:noProof/>
        </w:rPr>
        <w:t xml:space="preserve">Garantir la disponibilité en temps utile des contre-mesures médicales nécessaires et un accès équitable à celles-ci lors d’une situation de menace transfrontière pour la santé </w:t>
      </w:r>
    </w:p>
    <w:p>
      <w:pPr>
        <w:pStyle w:val="Text1"/>
        <w:pBdr>
          <w:top w:val="single" w:sz="4" w:space="1" w:color="auto"/>
          <w:left w:val="single" w:sz="4" w:space="4" w:color="auto"/>
          <w:bottom w:val="single" w:sz="4" w:space="1" w:color="auto"/>
          <w:right w:val="single" w:sz="4" w:space="4" w:color="auto"/>
        </w:pBdr>
        <w:ind w:right="-143"/>
        <w:rPr>
          <w:noProof/>
          <w:u w:val="single"/>
        </w:rPr>
      </w:pPr>
      <w:r>
        <w:rPr>
          <w:noProof/>
          <w:u w:val="single"/>
        </w:rPr>
        <w:t xml:space="preserve">Résultat(s) et incidence(s) attendus </w:t>
      </w:r>
    </w:p>
    <w:p>
      <w:pPr>
        <w:pStyle w:val="Text1"/>
        <w:pBdr>
          <w:top w:val="single" w:sz="4" w:space="1" w:color="auto"/>
          <w:left w:val="single" w:sz="4" w:space="4" w:color="auto"/>
          <w:bottom w:val="single" w:sz="4" w:space="1" w:color="auto"/>
          <w:right w:val="single" w:sz="4" w:space="4" w:color="auto"/>
        </w:pBdr>
        <w:ind w:right="-143"/>
      </w:pPr>
      <w:r>
        <w:t xml:space="preserve">Meilleure préparation en termes de disponibilité et d’approvisionnement (passation de marchés, constitution de stocks et d’une réserve) des contre-mesures médicales critiques. </w:t>
      </w:r>
    </w:p>
    <w:p>
      <w:pPr>
        <w:pStyle w:val="Text1"/>
        <w:pBdr>
          <w:top w:val="single" w:sz="4" w:space="1" w:color="auto"/>
          <w:left w:val="single" w:sz="4" w:space="4" w:color="auto"/>
          <w:bottom w:val="single" w:sz="4" w:space="1" w:color="auto"/>
          <w:right w:val="single" w:sz="4" w:space="4" w:color="auto"/>
        </w:pBdr>
        <w:ind w:right="-143"/>
        <w:rPr>
          <w:b/>
          <w:noProof/>
          <w:u w:val="single"/>
        </w:rPr>
      </w:pPr>
      <w:r>
        <w:rPr>
          <w:b/>
          <w:noProof/>
          <w:u w:val="single"/>
        </w:rPr>
        <w:t>Objectif spécifique nº 2:</w:t>
      </w:r>
    </w:p>
    <w:p>
      <w:pPr>
        <w:pStyle w:val="Text1"/>
        <w:pBdr>
          <w:top w:val="single" w:sz="4" w:space="1" w:color="auto"/>
          <w:left w:val="single" w:sz="4" w:space="4" w:color="auto"/>
          <w:bottom w:val="single" w:sz="4" w:space="1" w:color="auto"/>
          <w:right w:val="single" w:sz="4" w:space="4" w:color="auto"/>
        </w:pBdr>
        <w:ind w:right="-143"/>
        <w:rPr>
          <w:noProof/>
          <w:u w:val="single"/>
        </w:rPr>
      </w:pPr>
      <w:r>
        <w:rPr>
          <w:noProof/>
        </w:rPr>
        <w:t>Améliorer la collecte, l’analyse et le partage de renseignements relatifs aux menaces transfrontières graves pour la santé, recenser les dépendances liées aux matières premières, ainsi que les défis/défaillances du marché et de la réglementation, et y remédier</w:t>
      </w:r>
      <w:r>
        <w:rPr>
          <w:noProof/>
          <w:u w:val="single"/>
        </w:rPr>
        <w:t xml:space="preserve"> </w:t>
      </w:r>
    </w:p>
    <w:p>
      <w:pPr>
        <w:pStyle w:val="Text1"/>
        <w:pBdr>
          <w:top w:val="single" w:sz="4" w:space="1" w:color="auto"/>
          <w:left w:val="single" w:sz="4" w:space="4" w:color="auto"/>
          <w:bottom w:val="single" w:sz="4" w:space="1" w:color="auto"/>
          <w:right w:val="single" w:sz="4" w:space="4" w:color="auto"/>
        </w:pBdr>
        <w:ind w:right="-143"/>
        <w:rPr>
          <w:noProof/>
          <w:u w:val="single"/>
        </w:rPr>
      </w:pPr>
      <w:r>
        <w:rPr>
          <w:noProof/>
          <w:u w:val="single"/>
        </w:rPr>
        <w:t xml:space="preserve">Résultat(s) et incidence(s) attendus </w:t>
      </w:r>
    </w:p>
    <w:p>
      <w:pPr>
        <w:pStyle w:val="Text1"/>
        <w:pBdr>
          <w:top w:val="single" w:sz="4" w:space="1" w:color="auto"/>
          <w:left w:val="single" w:sz="4" w:space="4" w:color="auto"/>
          <w:bottom w:val="single" w:sz="4" w:space="1" w:color="auto"/>
          <w:right w:val="single" w:sz="4" w:space="4" w:color="auto"/>
        </w:pBdr>
        <w:ind w:right="-143"/>
        <w:rPr>
          <w:noProof/>
          <w:u w:val="single"/>
        </w:rPr>
      </w:pPr>
      <w:r>
        <w:rPr>
          <w:noProof/>
        </w:rPr>
        <w:t>Évaluation anticipative de la menace, analyse prospective, connaissance du marché, prévision des menaces transfrontières graves pour la santé au niveau de l’UE</w:t>
      </w:r>
    </w:p>
    <w:p>
      <w:pPr>
        <w:pStyle w:val="Text1"/>
        <w:pBdr>
          <w:top w:val="single" w:sz="4" w:space="1" w:color="auto"/>
          <w:left w:val="single" w:sz="4" w:space="4" w:color="auto"/>
          <w:bottom w:val="single" w:sz="4" w:space="1" w:color="auto"/>
          <w:right w:val="single" w:sz="4" w:space="4" w:color="auto"/>
        </w:pBdr>
        <w:ind w:right="-143"/>
        <w:rPr>
          <w:b/>
          <w:noProof/>
          <w:u w:val="single"/>
        </w:rPr>
      </w:pPr>
      <w:r>
        <w:rPr>
          <w:b/>
          <w:noProof/>
          <w:u w:val="single"/>
        </w:rPr>
        <w:t>Objectif spécifique nº 3:</w:t>
      </w:r>
    </w:p>
    <w:p>
      <w:pPr>
        <w:pStyle w:val="Text1"/>
        <w:pBdr>
          <w:top w:val="single" w:sz="4" w:space="1" w:color="auto"/>
          <w:left w:val="single" w:sz="4" w:space="4" w:color="auto"/>
          <w:bottom w:val="single" w:sz="4" w:space="1" w:color="auto"/>
          <w:right w:val="single" w:sz="4" w:space="4" w:color="auto"/>
        </w:pBdr>
        <w:ind w:right="-143"/>
        <w:rPr>
          <w:noProof/>
        </w:rPr>
      </w:pPr>
      <w:r>
        <w:rPr>
          <w:noProof/>
        </w:rPr>
        <w:t>Améliorer le développement et la production de contre-mesures médicales, en mettant en place des structures permettant d’intégrer des projets de recherche et de développement technologique</w:t>
      </w:r>
    </w:p>
    <w:p>
      <w:pPr>
        <w:pStyle w:val="Text1"/>
        <w:pBdr>
          <w:top w:val="single" w:sz="4" w:space="1" w:color="auto"/>
          <w:left w:val="single" w:sz="4" w:space="4" w:color="auto"/>
          <w:bottom w:val="single" w:sz="4" w:space="1" w:color="auto"/>
          <w:right w:val="single" w:sz="4" w:space="4" w:color="auto"/>
        </w:pBdr>
        <w:ind w:right="-143"/>
        <w:rPr>
          <w:noProof/>
          <w:u w:val="single"/>
        </w:rPr>
      </w:pPr>
      <w:r>
        <w:rPr>
          <w:noProof/>
          <w:u w:val="single"/>
        </w:rPr>
        <w:t xml:space="preserve">Résultat(s) et incidence(s) attendus </w:t>
      </w:r>
    </w:p>
    <w:p>
      <w:pPr>
        <w:pStyle w:val="Text1"/>
        <w:pBdr>
          <w:top w:val="single" w:sz="4" w:space="1" w:color="auto"/>
          <w:left w:val="single" w:sz="4" w:space="4" w:color="auto"/>
          <w:bottom w:val="single" w:sz="4" w:space="1" w:color="auto"/>
          <w:right w:val="single" w:sz="4" w:space="4" w:color="auto"/>
        </w:pBdr>
        <w:ind w:right="-143"/>
        <w:rPr>
          <w:noProof/>
          <w:u w:val="single"/>
        </w:rPr>
      </w:pPr>
      <w:r>
        <w:rPr>
          <w:noProof/>
        </w:rPr>
        <w:t>Meilleure intégration de la recherche avancée, de l’innovation et du développement de technologies et de contre-mesures correspondantes (y compris la R &amp; D au stade final, les essais cliniques et les voies réglementaires)</w:t>
      </w:r>
    </w:p>
    <w:p>
      <w:pPr>
        <w:pStyle w:val="Text1"/>
        <w:pBdr>
          <w:top w:val="single" w:sz="4" w:space="1" w:color="auto"/>
          <w:left w:val="single" w:sz="4" w:space="4" w:color="auto"/>
          <w:bottom w:val="single" w:sz="4" w:space="1" w:color="auto"/>
          <w:right w:val="single" w:sz="4" w:space="4" w:color="auto"/>
        </w:pBdr>
        <w:ind w:right="-143"/>
        <w:rPr>
          <w:noProof/>
          <w:u w:val="single"/>
        </w:rPr>
      </w:pPr>
      <w:r>
        <w:rPr>
          <w:noProof/>
        </w:rPr>
        <w:t>Garantir la production des contre-mesures (incluant les matières premières) nécessaires en cas d’urgence sanitaire et appropriées pour y réagir, en mettant en place des capacités de production flexibles et modulables à l’échelle de l’UE.</w:t>
      </w:r>
    </w:p>
    <w:p>
      <w:pPr>
        <w:pStyle w:val="Text1"/>
        <w:pBdr>
          <w:top w:val="single" w:sz="4" w:space="1" w:color="auto"/>
          <w:left w:val="single" w:sz="4" w:space="4" w:color="auto"/>
          <w:bottom w:val="single" w:sz="4" w:space="1" w:color="auto"/>
          <w:right w:val="single" w:sz="4" w:space="4" w:color="auto"/>
        </w:pBdr>
        <w:ind w:right="-143"/>
        <w:rPr>
          <w:b/>
          <w:noProof/>
          <w:u w:val="single"/>
        </w:rPr>
      </w:pPr>
      <w:r>
        <w:rPr>
          <w:b/>
          <w:noProof/>
          <w:u w:val="single"/>
        </w:rPr>
        <w:t>Objectif spécifique nº 4:</w:t>
      </w:r>
    </w:p>
    <w:p>
      <w:pPr>
        <w:pStyle w:val="Text1"/>
        <w:pBdr>
          <w:top w:val="single" w:sz="4" w:space="1" w:color="auto"/>
          <w:left w:val="single" w:sz="4" w:space="4" w:color="auto"/>
          <w:bottom w:val="single" w:sz="4" w:space="1" w:color="auto"/>
          <w:right w:val="single" w:sz="4" w:space="4" w:color="auto"/>
        </w:pBdr>
        <w:ind w:right="-143"/>
        <w:rPr>
          <w:noProof/>
        </w:rPr>
      </w:pPr>
      <w:r>
        <w:rPr>
          <w:noProof/>
        </w:rPr>
        <w:t>Coordonner les actions relatives aux contre-mesures médicales des autorités nationales compétentes, des acheteurs publics, des acteurs de l’industrie et de la recherche et des acteurs à l’échelle mondiale</w:t>
      </w:r>
    </w:p>
    <w:p>
      <w:pPr>
        <w:pStyle w:val="Text1"/>
        <w:pBdr>
          <w:top w:val="single" w:sz="4" w:space="1" w:color="auto"/>
          <w:left w:val="single" w:sz="4" w:space="4" w:color="auto"/>
          <w:bottom w:val="single" w:sz="4" w:space="1" w:color="auto"/>
          <w:right w:val="single" w:sz="4" w:space="4" w:color="auto"/>
        </w:pBdr>
        <w:ind w:right="-143"/>
        <w:rPr>
          <w:noProof/>
          <w:u w:val="single"/>
        </w:rPr>
      </w:pPr>
      <w:r>
        <w:rPr>
          <w:noProof/>
          <w:u w:val="single"/>
        </w:rPr>
        <w:t xml:space="preserve">Résultat(s) et incidence(s) attendus </w:t>
      </w:r>
    </w:p>
    <w:p>
      <w:pPr>
        <w:pStyle w:val="Text1"/>
        <w:pBdr>
          <w:top w:val="single" w:sz="4" w:space="1" w:color="auto"/>
          <w:left w:val="single" w:sz="4" w:space="4" w:color="auto"/>
          <w:bottom w:val="single" w:sz="4" w:space="1" w:color="auto"/>
          <w:right w:val="single" w:sz="4" w:space="4" w:color="auto"/>
        </w:pBdr>
        <w:ind w:right="-143"/>
        <w:rPr>
          <w:noProof/>
        </w:rPr>
      </w:pPr>
      <w:r>
        <w:rPr>
          <w:noProof/>
        </w:rPr>
        <w:t xml:space="preserve">Renforcement des capacités dans les États membres, par exemple au moyen de formations et d’échanges d’experts </w:t>
      </w:r>
    </w:p>
    <w:p>
      <w:pPr>
        <w:pStyle w:val="Text1"/>
        <w:pBdr>
          <w:top w:val="single" w:sz="4" w:space="1" w:color="auto"/>
          <w:left w:val="single" w:sz="4" w:space="4" w:color="auto"/>
          <w:bottom w:val="single" w:sz="4" w:space="1" w:color="auto"/>
          <w:right w:val="single" w:sz="4" w:space="4" w:color="auto"/>
        </w:pBdr>
        <w:ind w:right="-143"/>
        <w:rPr>
          <w:noProof/>
        </w:rPr>
      </w:pPr>
      <w:r>
        <w:rPr>
          <w:noProof/>
        </w:rPr>
        <w:t>Engagement au niveau international, et renforcement des engagements existants, concernant le développement des contre-mesures médicales et l’accès à celles-ci, ainsi qu’en ce qui concerne l’évaluation des menaces, la surveillance et le renforcement des capacités</w:t>
      </w:r>
    </w:p>
    <w:p>
      <w:pPr>
        <w:pStyle w:val="ManualHeading3"/>
        <w:rPr>
          <w:noProof/>
          <w:szCs w:val="24"/>
        </w:rPr>
      </w:pPr>
      <w:bookmarkStart w:id="44" w:name="_Toc83310806"/>
      <w:r>
        <w:t>1.4.4.</w:t>
      </w:r>
      <w:r>
        <w:tab/>
      </w:r>
      <w:r>
        <w:rPr>
          <w:noProof/>
        </w:rPr>
        <w:t>Indicateurs de performance</w:t>
      </w:r>
      <w:bookmarkEnd w:id="42"/>
      <w:bookmarkEnd w:id="43"/>
      <w:bookmarkEnd w:id="44"/>
    </w:p>
    <w:p>
      <w:pPr>
        <w:pStyle w:val="Text1"/>
        <w:rPr>
          <w:i/>
          <w:noProof/>
          <w:sz w:val="20"/>
        </w:rPr>
      </w:pPr>
      <w:r>
        <w:rPr>
          <w:i/>
          <w:noProof/>
          <w:sz w:val="20"/>
        </w:rPr>
        <w:t>Préciser les indicateurs permettant de suivre l’avancement et les réalisations.</w:t>
      </w:r>
    </w:p>
    <w:p>
      <w:pPr>
        <w:pStyle w:val="Text1"/>
        <w:pBdr>
          <w:top w:val="single" w:sz="4" w:space="0" w:color="auto"/>
          <w:left w:val="single" w:sz="4" w:space="4" w:color="auto"/>
          <w:bottom w:val="single" w:sz="4" w:space="1" w:color="auto"/>
          <w:right w:val="single" w:sz="4" w:space="4" w:color="auto"/>
        </w:pBdr>
        <w:rPr>
          <w:noProof/>
          <w:szCs w:val="24"/>
        </w:rPr>
      </w:pPr>
      <w:bookmarkStart w:id="45" w:name="_Toc514938025"/>
      <w:bookmarkStart w:id="46" w:name="_Toc520485034"/>
      <w:r>
        <w:rPr>
          <w:noProof/>
        </w:rPr>
        <w:t>Objectifs généraux</w:t>
      </w:r>
    </w:p>
    <w:p>
      <w:pPr>
        <w:pStyle w:val="Point1"/>
        <w:pBdr>
          <w:top w:val="single" w:sz="4" w:space="1" w:color="auto"/>
          <w:left w:val="single" w:sz="4" w:space="1" w:color="auto"/>
          <w:bottom w:val="single" w:sz="4" w:space="1" w:color="auto"/>
          <w:right w:val="single" w:sz="4" w:space="1" w:color="auto"/>
        </w:pBdr>
        <w:rPr>
          <w:noProof/>
          <w:szCs w:val="24"/>
        </w:rPr>
      </w:pPr>
      <w:r>
        <w:rPr>
          <w:noProof/>
        </w:rPr>
        <w:t>I.</w:t>
      </w:r>
      <w:r>
        <w:rPr>
          <w:noProof/>
        </w:rPr>
        <w:tab/>
        <w:t>Renforcement de la capacité de préparation et de réaction de l’UE face aux menaces transfrontières graves pour la santé, qu’elles soient d’origine naturelle ou intentionnelle.</w:t>
      </w:r>
    </w:p>
    <w:p>
      <w:pPr>
        <w:pStyle w:val="Text1"/>
        <w:pBdr>
          <w:top w:val="single" w:sz="4" w:space="1" w:color="auto"/>
          <w:left w:val="single" w:sz="4" w:space="1" w:color="auto"/>
          <w:bottom w:val="single" w:sz="4" w:space="1" w:color="auto"/>
          <w:right w:val="single" w:sz="4" w:space="1" w:color="auto"/>
        </w:pBdr>
        <w:rPr>
          <w:iCs/>
          <w:noProof/>
        </w:rPr>
      </w:pPr>
      <w:r>
        <w:rPr>
          <w:i/>
          <w:iCs/>
          <w:noProof/>
        </w:rPr>
        <w:t xml:space="preserve">Indicateur nº 1: </w:t>
      </w:r>
      <w:r>
        <w:rPr>
          <w:noProof/>
        </w:rPr>
        <w:t xml:space="preserve">Disponibilité en temps utile et en suffisance des contre-mesures médicales nécessaires lors d’une situation de crise. </w:t>
      </w:r>
    </w:p>
    <w:p>
      <w:pPr>
        <w:pStyle w:val="Text1"/>
        <w:pBdr>
          <w:top w:val="single" w:sz="4" w:space="1" w:color="auto"/>
          <w:left w:val="single" w:sz="4" w:space="1" w:color="auto"/>
          <w:bottom w:val="single" w:sz="4" w:space="1" w:color="auto"/>
          <w:right w:val="single" w:sz="4" w:space="1" w:color="auto"/>
        </w:pBdr>
        <w:rPr>
          <w:noProof/>
          <w:szCs w:val="24"/>
        </w:rPr>
      </w:pPr>
      <w:r>
        <w:rPr>
          <w:i/>
          <w:iCs/>
          <w:noProof/>
        </w:rPr>
        <w:t>Indicateur nº 2:</w:t>
      </w:r>
      <w:r>
        <w:rPr>
          <w:noProof/>
          <w:sz w:val="20"/>
          <w:szCs w:val="20"/>
        </w:rPr>
        <w:t xml:space="preserve"> </w:t>
      </w:r>
      <w:r>
        <w:rPr>
          <w:noProof/>
        </w:rPr>
        <w:t>Intensification de la production, de la constitution de stocks et d’une réserve des contre-mesures médicales critiques afin de garantir un accès équitable à celles-ci.</w:t>
      </w:r>
    </w:p>
    <w:p>
      <w:pPr>
        <w:pStyle w:val="Text1"/>
        <w:pBdr>
          <w:top w:val="single" w:sz="4" w:space="1" w:color="auto"/>
          <w:left w:val="single" w:sz="4" w:space="1" w:color="auto"/>
          <w:bottom w:val="single" w:sz="4" w:space="1" w:color="auto"/>
          <w:right w:val="single" w:sz="4" w:space="1" w:color="auto"/>
        </w:pBdr>
        <w:rPr>
          <w:noProof/>
          <w:szCs w:val="24"/>
        </w:rPr>
      </w:pPr>
      <w:r>
        <w:rPr>
          <w:i/>
          <w:iCs/>
          <w:noProof/>
        </w:rPr>
        <w:t>Indicateur nº 3:</w:t>
      </w:r>
      <w:r>
        <w:rPr>
          <w:noProof/>
          <w:sz w:val="20"/>
          <w:szCs w:val="20"/>
        </w:rPr>
        <w:t xml:space="preserve"> </w:t>
      </w:r>
      <w:r>
        <w:rPr>
          <w:noProof/>
        </w:rPr>
        <w:t>Amélioration de la planification de la préparation et de la réaction aux menaces transfrontières graves pour la santé dans le domaine des contre-mesures médicales au niveau national et à celui de l’UE.</w:t>
      </w:r>
    </w:p>
    <w:p>
      <w:pPr>
        <w:pStyle w:val="ManualHeading2"/>
        <w:rPr>
          <w:bCs/>
          <w:noProof/>
          <w:szCs w:val="24"/>
        </w:rPr>
      </w:pPr>
      <w:bookmarkStart w:id="47" w:name="_Toc83310807"/>
      <w:r>
        <w:t>1.5.</w:t>
      </w:r>
      <w:r>
        <w:tab/>
      </w:r>
      <w:r>
        <w:rPr>
          <w:noProof/>
        </w:rPr>
        <w:t>Justifications de la proposition/de l’initiative</w:t>
      </w:r>
      <w:bookmarkEnd w:id="45"/>
      <w:bookmarkEnd w:id="46"/>
      <w:bookmarkEnd w:id="47"/>
      <w:r>
        <w:rPr>
          <w:noProof/>
        </w:rPr>
        <w:t xml:space="preserve"> </w:t>
      </w:r>
    </w:p>
    <w:p>
      <w:pPr>
        <w:pStyle w:val="ManualHeading3"/>
        <w:rPr>
          <w:noProof/>
        </w:rPr>
      </w:pPr>
      <w:bookmarkStart w:id="48" w:name="_Toc514938026"/>
      <w:bookmarkStart w:id="49" w:name="_Toc520485035"/>
      <w:bookmarkStart w:id="50" w:name="_Toc83310808"/>
      <w:r>
        <w:t>1.5.1.</w:t>
      </w:r>
      <w:r>
        <w:tab/>
      </w:r>
      <w:r>
        <w:rPr>
          <w:noProof/>
        </w:rPr>
        <w:t>Besoin(s) à satisfaire à court ou à long terme, assorti(s) d’un calendrier détaillé pour la mise en œuvre de l’initiative</w:t>
      </w:r>
      <w:bookmarkEnd w:id="48"/>
      <w:bookmarkEnd w:id="49"/>
      <w:bookmarkEnd w:id="50"/>
    </w:p>
    <w:p>
      <w:pPr>
        <w:pStyle w:val="Text1"/>
        <w:pBdr>
          <w:top w:val="single" w:sz="4" w:space="1" w:color="auto"/>
          <w:left w:val="single" w:sz="4" w:space="4" w:color="auto"/>
          <w:bottom w:val="single" w:sz="4" w:space="1" w:color="auto"/>
          <w:right w:val="single" w:sz="4" w:space="4" w:color="auto"/>
        </w:pBdr>
        <w:rPr>
          <w:rFonts w:eastAsia="Calibri"/>
          <w:noProof/>
          <w:color w:val="000000" w:themeColor="text1"/>
          <w:szCs w:val="24"/>
        </w:rPr>
      </w:pPr>
      <w:bookmarkStart w:id="51" w:name="_Toc514938029"/>
      <w:bookmarkStart w:id="52" w:name="_Toc520485036"/>
      <w:r>
        <w:rPr>
          <w:noProof/>
          <w:color w:val="000000" w:themeColor="text1"/>
          <w:szCs w:val="24"/>
        </w:rPr>
        <w:t>La crise actuelle de la COVID-19 a révélé qu’il fallait accorder à l’avenir une priorité plus élevée à la préparation et à la réaction aux situations d’urgence. Elle a montré qu’une action coordonnée à l’échelle de l’Union était nécessaire pour faire face aux urgences sanitaires. Elle a mis en évidence des lacunes en ce qui concerne la prévoyance, notamment pour le volet de l’offre et de la demande, et les outils de préparation et de réaction. L’Autorité européenne de préparation et de réaction en cas d’urgence sanitaire (HERA) est un élément central pour renforcer l’union européenne de la santé: elle permettra d’améliorer la capacité de préparation et de réaction de l’UE face aux menaces transfrontières graves pour la santé et de rendre disponibles et accessibles rapidement des contre-mesures nécessaires, et leur distribution.</w:t>
      </w:r>
    </w:p>
    <w:p>
      <w:pPr>
        <w:pStyle w:val="ManualHeading3"/>
        <w:rPr>
          <w:bCs/>
          <w:noProof/>
          <w:szCs w:val="24"/>
        </w:rPr>
      </w:pPr>
      <w:bookmarkStart w:id="53" w:name="_Toc83310809"/>
      <w:r>
        <w:t>1.5.2.</w:t>
      </w:r>
      <w:r>
        <w:tab/>
      </w:r>
      <w:r>
        <w:rPr>
          <w:noProof/>
        </w:rPr>
        <w:t>Valeur ajoutée de l’intervention de l’Union (celle-ci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bookmarkEnd w:id="51"/>
      <w:bookmarkEnd w:id="52"/>
      <w:bookmarkEnd w:id="53"/>
    </w:p>
    <w:p>
      <w:pPr>
        <w:pStyle w:val="Text1"/>
        <w:pBdr>
          <w:top w:val="single" w:sz="4" w:space="1" w:color="auto"/>
          <w:left w:val="single" w:sz="4" w:space="4" w:color="auto"/>
          <w:bottom w:val="single" w:sz="4" w:space="1" w:color="auto"/>
          <w:right w:val="single" w:sz="4" w:space="4" w:color="auto"/>
        </w:pBdr>
      </w:pPr>
      <w:bookmarkStart w:id="54" w:name="_Toc514938030"/>
      <w:bookmarkStart w:id="55" w:name="_Toc520485037"/>
      <w:r>
        <w:rPr>
          <w:noProof/>
        </w:rPr>
        <w:t>Justification de l’action au niveau européen (ex ante)</w:t>
      </w:r>
      <w: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pandémie </w:t>
      </w:r>
      <w:r>
        <w:t>actuelle</w:t>
      </w:r>
      <w:r>
        <w:rPr>
          <w:noProof/>
        </w:rPr>
        <w:t xml:space="preserve"> de COVID-19</w:t>
      </w:r>
      <w:r>
        <w:t xml:space="preserve"> a révélé l’importance de</w:t>
      </w:r>
      <w:r>
        <w:rPr>
          <w:noProof/>
        </w:rPr>
        <w:t xml:space="preserve"> la préparation et des capacités de réaction des États membres pour faire face rapidement aux urgences sanitaires lorsqu’elles nécessitent un engagement transfrontière. </w:t>
      </w:r>
    </w:p>
    <w:p>
      <w:pPr>
        <w:pStyle w:val="Text1"/>
        <w:pBdr>
          <w:top w:val="single" w:sz="4" w:space="1" w:color="auto"/>
          <w:left w:val="single" w:sz="4" w:space="4" w:color="auto"/>
          <w:bottom w:val="single" w:sz="4" w:space="1" w:color="auto"/>
          <w:right w:val="single" w:sz="4" w:space="4" w:color="auto"/>
        </w:pBdr>
        <w:rPr>
          <w:noProof/>
        </w:rPr>
      </w:pPr>
      <w:r>
        <w:rPr>
          <w:noProof/>
        </w:rPr>
        <w:t>Valeur ajoutée de l’Union escomptée (ex post):</w:t>
      </w:r>
    </w:p>
    <w:p>
      <w:pPr>
        <w:pStyle w:val="Text1"/>
        <w:pBdr>
          <w:top w:val="single" w:sz="4" w:space="1" w:color="auto"/>
          <w:left w:val="single" w:sz="4" w:space="4" w:color="auto"/>
          <w:bottom w:val="single" w:sz="4" w:space="1" w:color="auto"/>
          <w:right w:val="single" w:sz="4" w:space="4" w:color="auto"/>
        </w:pBdr>
      </w:pPr>
      <w:r>
        <w:rPr>
          <w:noProof/>
        </w:rPr>
        <w:t>Un cadre solide, juridiquement fiable et doté de bons financements pour la préparation et la réaction aux crises sanitaires de l’UE, capable de faire face aux menaces transfrontières sur la santé, y compris celles en provenance de pays tiers, lorsque l’intervention de l’UE peut apporter une valeur ajoutée tangible. L’activité économique et sociale dans l’UE devrait être assurée à tout moment</w:t>
      </w:r>
      <w:r>
        <w:t xml:space="preserve">. </w:t>
      </w:r>
      <w:r>
        <w:rPr>
          <w:noProof/>
        </w:rPr>
        <w:t>Du point de vue de la relance après la crise, l’HERA contribuera grandement à faire en sorte que l’UE soit mieux préparée à faire face à de futures menaces dans le domaine de la santé qui toucheraient la totalité ou une grande partie de son territoire.</w:t>
      </w:r>
      <w:r>
        <w:t xml:space="preserve"> </w:t>
      </w:r>
    </w:p>
    <w:p>
      <w:pPr>
        <w:pStyle w:val="ManualHeading3"/>
        <w:rPr>
          <w:noProof/>
        </w:rPr>
      </w:pPr>
      <w:bookmarkStart w:id="56" w:name="_Toc83310810"/>
      <w:r>
        <w:t>1.5.3.</w:t>
      </w:r>
      <w:r>
        <w:tab/>
      </w:r>
      <w:r>
        <w:rPr>
          <w:noProof/>
        </w:rPr>
        <w:t>Leçons tirées d’expériences similaires</w:t>
      </w:r>
      <w:bookmarkEnd w:id="54"/>
      <w:bookmarkEnd w:id="55"/>
      <w:bookmarkEnd w:id="56"/>
    </w:p>
    <w:p>
      <w:pPr>
        <w:pStyle w:val="Text1"/>
        <w:pBdr>
          <w:top w:val="single" w:sz="4" w:space="1" w:color="auto"/>
          <w:left w:val="single" w:sz="4" w:space="4" w:color="auto"/>
          <w:bottom w:val="single" w:sz="4" w:space="1" w:color="auto"/>
          <w:right w:val="single" w:sz="4" w:space="4" w:color="auto"/>
        </w:pBdr>
        <w:rPr>
          <w:noProof/>
        </w:rPr>
      </w:pPr>
      <w:bookmarkStart w:id="57" w:name="_Toc514938033"/>
      <w:bookmarkStart w:id="58" w:name="_Toc520485038"/>
      <w:r>
        <w:rPr>
          <w:noProof/>
        </w:rPr>
        <w:t>Il n’y a aucune expérience similaire dans le passé.</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59" w:name="_Toc83310811"/>
      <w:r>
        <w:t>1.5.4.</w:t>
      </w:r>
      <w:r>
        <w:tab/>
      </w:r>
      <w:r>
        <w:rPr>
          <w:noProof/>
        </w:rPr>
        <w:t>Compatibilité avec le cadre financier pluriannuel et synergies éventuelles avec d’autres instruments appropriés</w:t>
      </w:r>
      <w:bookmarkEnd w:id="57"/>
      <w:bookmarkEnd w:id="58"/>
      <w:bookmarkEnd w:id="59"/>
    </w:p>
    <w:p>
      <w:pPr>
        <w:pStyle w:val="Text1"/>
        <w:pBdr>
          <w:top w:val="single" w:sz="4" w:space="1" w:color="auto"/>
          <w:left w:val="single" w:sz="4" w:space="4" w:color="auto"/>
          <w:bottom w:val="single" w:sz="4" w:space="1" w:color="auto"/>
          <w:right w:val="single" w:sz="4" w:space="4" w:color="auto"/>
        </w:pBdr>
        <w:rPr>
          <w:noProof/>
        </w:rPr>
      </w:pPr>
      <w:bookmarkStart w:id="60" w:name="_Toc514938036"/>
      <w:bookmarkStart w:id="61" w:name="_Toc520485039"/>
      <w:r>
        <w:rPr>
          <w:noProof/>
        </w:rPr>
        <w:t>L’HERA fera appel, dans le cadre des programmes existants, à des fonds au titre du CFP 2021-2027, tels que le programme L’UE pour la santé, le pôle «Santé» d’Horizon Europe, le mécanisme de protection civile de l’Union/RescEU. Elle travaillera en synergie et en complémentarité avec les politiques et fonds existants de l’UE, et notamment les actions mises en œuvre dans le cadre du programme pour une Europe numérique, du Fonds InvestEU, du programme du marché unique, du Fonds européen de développement régional ou de la facilité pour la reprise et la résilience.</w:t>
      </w:r>
    </w:p>
    <w:p>
      <w:pPr>
        <w:pStyle w:val="ManualHeading3"/>
        <w:rPr>
          <w:noProof/>
        </w:rPr>
      </w:pPr>
      <w:bookmarkStart w:id="62" w:name="_Toc83310812"/>
      <w:r>
        <w:t>1.5.5.</w:t>
      </w:r>
      <w:r>
        <w:tab/>
      </w:r>
      <w:r>
        <w:rPr>
          <w:noProof/>
        </w:rPr>
        <w:t>Évaluation des différentes possibilités de financement disponibles, y compris des possibilités de redéploiement</w:t>
      </w:r>
      <w:bookmarkEnd w:id="60"/>
      <w:bookmarkEnd w:id="61"/>
      <w:bookmarkEnd w:id="62"/>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Text1"/>
        <w:rPr>
          <w:noProof/>
        </w:rPr>
      </w:pPr>
    </w:p>
    <w:p>
      <w:pPr>
        <w:pStyle w:val="ManualHeading2"/>
        <w:rPr>
          <w:bCs/>
          <w:noProof/>
          <w:szCs w:val="24"/>
        </w:rPr>
      </w:pPr>
      <w:r>
        <w:rPr>
          <w:noProof/>
        </w:rPr>
        <w:br w:type="page"/>
      </w:r>
      <w:bookmarkStart w:id="63" w:name="_Toc514938039"/>
      <w:bookmarkStart w:id="64" w:name="_Toc520485040"/>
      <w:bookmarkStart w:id="65" w:name="_Toc83310813"/>
      <w:r>
        <w:t>1.6.</w:t>
      </w:r>
      <w:r>
        <w:tab/>
      </w:r>
      <w:r>
        <w:rPr>
          <w:noProof/>
        </w:rPr>
        <w:t>Durée et incidence financière de la proposition/de l’initiative</w:t>
      </w:r>
      <w:bookmarkEnd w:id="63"/>
      <w:bookmarkEnd w:id="64"/>
      <w:bookmarkEnd w:id="65"/>
    </w:p>
    <w:p>
      <w:pPr>
        <w:pStyle w:val="Text1"/>
        <w:rPr>
          <w:noProof/>
        </w:rPr>
      </w:pPr>
      <w:r>
        <w:rPr>
          <w:noProof/>
        </w:rPr>
        <w:sym w:font="Wingdings" w:char="F0A8"/>
      </w:r>
      <w:r>
        <w:rPr>
          <w:b/>
          <w:i/>
          <w:noProof/>
        </w:rPr>
        <w:t xml:space="preserve"> </w:t>
      </w:r>
      <w:r>
        <w:rPr>
          <w:noProof/>
        </w:rPr>
        <w:t xml:space="preserve">Proposition/initiative à </w:t>
      </w:r>
      <w:r>
        <w:rPr>
          <w:b/>
          <w:noProof/>
        </w:rPr>
        <w:t xml:space="preserve">durée limitée </w:t>
      </w:r>
    </w:p>
    <w:p>
      <w:pPr>
        <w:pStyle w:val="Text1"/>
        <w:rPr>
          <w:noProof/>
        </w:rPr>
      </w:pPr>
      <w:r>
        <w:rPr>
          <w:noProof/>
        </w:rPr>
        <w:sym w:font="Wingdings" w:char="F0FE"/>
      </w:r>
      <w:r>
        <w:rPr>
          <w:b/>
          <w:i/>
          <w:noProof/>
        </w:rPr>
        <w:t xml:space="preserve"> </w:t>
      </w:r>
      <w:r>
        <w:rPr>
          <w:b/>
          <w:noProof/>
        </w:rPr>
        <w:t>Durée illimitée</w:t>
      </w:r>
    </w:p>
    <w:p>
      <w:pPr>
        <w:pStyle w:val="ListDash1"/>
        <w:numPr>
          <w:ilvl w:val="0"/>
          <w:numId w:val="19"/>
        </w:numPr>
        <w:spacing w:before="120" w:after="120"/>
        <w:rPr>
          <w:noProof/>
          <w:lang w:val="fr-FR"/>
        </w:rPr>
      </w:pPr>
      <w:r>
        <w:rPr>
          <w:noProof/>
          <w:lang w:val="fr-FR"/>
        </w:rPr>
        <w:t>Mise en œuvre avec une période estimée de montée en puissance de septembre 2021 à mi-2023</w:t>
      </w:r>
    </w:p>
    <w:p>
      <w:pPr>
        <w:pStyle w:val="ListDash1"/>
        <w:numPr>
          <w:ilvl w:val="0"/>
          <w:numId w:val="19"/>
        </w:numPr>
        <w:spacing w:before="120" w:after="120"/>
        <w:rPr>
          <w:noProof/>
          <w:lang w:val="fr-FR"/>
        </w:rPr>
      </w:pPr>
      <w:r>
        <w:rPr>
          <w:noProof/>
          <w:lang w:val="fr-FR"/>
        </w:rPr>
        <w:t>puis un fonctionnement en rythme de croisière au-delà.</w:t>
      </w:r>
    </w:p>
    <w:p>
      <w:pPr>
        <w:pStyle w:val="ManualHeading2"/>
        <w:rPr>
          <w:bCs/>
          <w:noProof/>
          <w:szCs w:val="24"/>
        </w:rPr>
      </w:pPr>
      <w:bookmarkStart w:id="66" w:name="_Toc83310814"/>
      <w:bookmarkStart w:id="67" w:name="_Toc514938040"/>
      <w:bookmarkStart w:id="68" w:name="_Toc520485041"/>
      <w:r>
        <w:t>1.7.</w:t>
      </w:r>
      <w:r>
        <w:tab/>
      </w:r>
      <w:r>
        <w:rPr>
          <w:noProof/>
        </w:rPr>
        <w:t>Mode(s) de gestion prévu(s)</w:t>
      </w:r>
      <w:r>
        <w:rPr>
          <w:rStyle w:val="FootnoteReference"/>
          <w:noProof/>
        </w:rPr>
        <w:footnoteReference w:id="35"/>
      </w:r>
      <w:bookmarkEnd w:id="66"/>
      <w:r>
        <w:rPr>
          <w:rStyle w:val="FootnoteReference"/>
          <w:noProof/>
        </w:rPr>
        <w:t xml:space="preserve"> </w:t>
      </w:r>
      <w:bookmarkEnd w:id="67"/>
      <w:bookmarkEnd w:id="68"/>
      <w:r>
        <w:rPr>
          <w:rStyle w:val="FootnoteReference"/>
          <w:noProof/>
        </w:rPr>
        <w:t xml:space="preserve"> </w:t>
      </w:r>
    </w:p>
    <w:p>
      <w:pPr>
        <w:pStyle w:val="Text1"/>
        <w:rPr>
          <w:noProof/>
        </w:rPr>
      </w:pPr>
      <w:r>
        <w:rPr>
          <w:noProof/>
        </w:rPr>
        <w:sym w:font="Wingdings" w:char="F0FE"/>
      </w:r>
      <w:r>
        <w:rPr>
          <w:i/>
          <w:noProof/>
        </w:rPr>
        <w:t xml:space="preserve"> </w:t>
      </w:r>
      <w:r>
        <w:rPr>
          <w:b/>
          <w:noProof/>
        </w:rPr>
        <w:t>Gestion directe</w:t>
      </w:r>
      <w:r>
        <w:rPr>
          <w:noProof/>
        </w:rPr>
        <w:t xml:space="preserve"> par la Commission</w:t>
      </w:r>
    </w:p>
    <w:p>
      <w:pPr>
        <w:pStyle w:val="ListDash2"/>
        <w:rPr>
          <w:rFonts w:cs="EUAlbertina"/>
          <w:noProof/>
        </w:rPr>
      </w:pPr>
      <w:r>
        <w:rPr>
          <w:noProof/>
        </w:rPr>
        <w:sym w:font="Wingdings" w:char="F0FE"/>
      </w:r>
      <w:r>
        <w:rPr>
          <w:noProof/>
        </w:rPr>
        <w:t xml:space="preserve"> dans ses services, y compris par l’intermédiaire de son personnel dans les délégations de l’Union; </w:t>
      </w:r>
    </w:p>
    <w:p>
      <w:pPr>
        <w:pStyle w:val="ListDash2"/>
        <w:rPr>
          <w:noProof/>
        </w:rPr>
      </w:pPr>
      <w:r>
        <w:rPr>
          <w:noProof/>
        </w:rPr>
        <w:sym w:font="Wingdings" w:char="F0FE"/>
      </w:r>
      <w:r>
        <w:rPr>
          <w:noProof/>
        </w:rPr>
        <w:tab/>
        <w:t xml:space="preserve">par les agences exécutives </w:t>
      </w:r>
    </w:p>
    <w:p>
      <w:pPr>
        <w:pStyle w:val="Text1"/>
        <w:rPr>
          <w:noProof/>
        </w:rPr>
      </w:pPr>
      <w:r>
        <w:rPr>
          <w:noProof/>
        </w:rPr>
        <w:sym w:font="Wingdings" w:char="F0A8"/>
      </w:r>
      <w:r>
        <w:rPr>
          <w:b/>
          <w:i/>
          <w:noProof/>
        </w:rPr>
        <w:t xml:space="preserve"> </w:t>
      </w:r>
      <w:r>
        <w:rPr>
          <w:b/>
          <w:noProof/>
        </w:rPr>
        <w:t>Gestion partagée</w:t>
      </w:r>
      <w:r>
        <w:rPr>
          <w:noProof/>
        </w:rPr>
        <w:t xml:space="preserve"> avec les États membres </w:t>
      </w:r>
    </w:p>
    <w:p>
      <w:pPr>
        <w:pStyle w:val="Text1"/>
        <w:rPr>
          <w:noProof/>
        </w:rPr>
      </w:pPr>
      <w:r>
        <w:rPr>
          <w:noProof/>
        </w:rPr>
        <w:sym w:font="Wingdings" w:char="F0FE"/>
      </w:r>
      <w:r>
        <w:rPr>
          <w:i/>
          <w:noProof/>
        </w:rPr>
        <w:t xml:space="preserve"> </w:t>
      </w:r>
      <w:r>
        <w:rPr>
          <w:b/>
          <w:noProof/>
        </w:rPr>
        <w:t>Gestion indirecte</w:t>
      </w:r>
      <w:r>
        <w:rPr>
          <w:noProof/>
        </w:rPr>
        <w:t xml:space="preserve"> en confiant des tâches d’exécution budgétaire:</w:t>
      </w:r>
    </w:p>
    <w:p>
      <w:pPr>
        <w:pStyle w:val="ListDash2"/>
        <w:rPr>
          <w:noProof/>
        </w:rPr>
      </w:pPr>
      <w:r>
        <w:rPr>
          <w:noProof/>
        </w:rPr>
        <w:sym w:font="Wingdings" w:char="F0A8"/>
      </w:r>
      <w:r>
        <w:rPr>
          <w:noProof/>
        </w:rPr>
        <w:t xml:space="preserve"> à des pays tiers ou aux organismes qu’ils ont désignés;</w:t>
      </w:r>
    </w:p>
    <w:p>
      <w:pPr>
        <w:pStyle w:val="ListDash2"/>
        <w:rPr>
          <w:noProof/>
        </w:rPr>
      </w:pPr>
      <w:r>
        <w:rPr>
          <w:noProof/>
        </w:rPr>
        <w:sym w:font="Wingdings" w:char="F0A8"/>
      </w:r>
      <w:r>
        <w:rPr>
          <w:noProof/>
        </w:rPr>
        <w:t xml:space="preserve"> à des organisations internationales et à leurs agences (à préciser);</w:t>
      </w:r>
    </w:p>
    <w:p>
      <w:pPr>
        <w:pStyle w:val="ListDash2"/>
        <w:rPr>
          <w:noProof/>
        </w:rPr>
      </w:pPr>
      <w:r>
        <w:rPr>
          <w:noProof/>
        </w:rPr>
        <w:sym w:font="Wingdings" w:char="F0A8"/>
      </w:r>
      <w:r>
        <w:rPr>
          <w:noProof/>
        </w:rPr>
        <w:t xml:space="preserve"> à la BEI et au Fonds européen d’investissement;</w:t>
      </w:r>
    </w:p>
    <w:p>
      <w:pPr>
        <w:pStyle w:val="ListDash2"/>
        <w:rPr>
          <w:noProof/>
        </w:rPr>
      </w:pPr>
      <w:r>
        <w:rPr>
          <w:noProof/>
        </w:rPr>
        <w:sym w:font="Wingdings" w:char="F0FE"/>
      </w:r>
      <w:r>
        <w:rPr>
          <w:noProof/>
        </w:rPr>
        <w:t xml:space="preserve"> aux organismes visés aux articles 70 et 71 du règlement financier;</w:t>
      </w:r>
    </w:p>
    <w:p>
      <w:pPr>
        <w:pStyle w:val="ListDash2"/>
        <w:rPr>
          <w:noProof/>
        </w:rPr>
      </w:pPr>
      <w:r>
        <w:rPr>
          <w:noProof/>
        </w:rPr>
        <w:sym w:font="Wingdings" w:char="F0A8"/>
      </w:r>
      <w:r>
        <w:rPr>
          <w:noProof/>
        </w:rPr>
        <w:t xml:space="preserve"> à des organismes de droit public;</w:t>
      </w:r>
    </w:p>
    <w:p>
      <w:pPr>
        <w:pStyle w:val="ListDash2"/>
        <w:rPr>
          <w:noProof/>
        </w:rPr>
      </w:pPr>
      <w:r>
        <w:rPr>
          <w:noProof/>
        </w:rPr>
        <w:sym w:font="Wingdings" w:char="F0A8"/>
      </w:r>
      <w:r>
        <w:rPr>
          <w:noProof/>
        </w:rPr>
        <w:t xml:space="preserve"> à des organismes de droit privé investis d’une mission de service public, pour autant qu’ils présentent les garanties financières suffisantes;</w:t>
      </w:r>
    </w:p>
    <w:p>
      <w:pPr>
        <w:pStyle w:val="ListDash2"/>
        <w:rPr>
          <w:noProof/>
        </w:rPr>
      </w:pPr>
      <w:r>
        <w:rPr>
          <w:noProof/>
        </w:rPr>
        <w:sym w:font="Wingdings" w:char="F0A8"/>
      </w:r>
      <w:r>
        <w:rPr>
          <w:noProof/>
        </w:rPr>
        <w:t xml:space="preserve"> à des organismes de droit privé d’un État membre qui sont chargés de la mise en œuvre d’un partenariat public‑privé et présentent les garanties financières suffisantes;</w:t>
      </w:r>
    </w:p>
    <w:p>
      <w:pPr>
        <w:pStyle w:val="ListDash2"/>
        <w:rPr>
          <w:noProof/>
        </w:rPr>
      </w:pPr>
      <w:r>
        <w:rPr>
          <w:noProof/>
        </w:rPr>
        <w:sym w:font="Wingdings" w:char="F0A8"/>
      </w:r>
      <w:r>
        <w:rPr>
          <w:noProof/>
        </w:rPr>
        <w:t xml:space="preserve"> à des personnes chargées de l’exécution d’actions spécifiques relevant de la PESC, en vertu du titre V du traité sur l’Union européenne, identifiées dans l’acte de base concerné.</w:t>
      </w:r>
    </w:p>
    <w:p>
      <w:pPr>
        <w:pStyle w:val="ListDash2"/>
        <w:rPr>
          <w:i/>
          <w:noProof/>
          <w:sz w:val="18"/>
          <w:u w:val="single"/>
        </w:rPr>
      </w:pPr>
      <w:r>
        <w:rPr>
          <w:i/>
          <w:noProof/>
          <w:sz w:val="18"/>
        </w:rPr>
        <w:t>Si plusieurs modes de gestion sont indiqués, veuillez donner des précisions dans la partie «Remarques».</w:t>
      </w:r>
    </w:p>
    <w:p>
      <w:pPr>
        <w:rPr>
          <w:noProof/>
        </w:rPr>
      </w:pPr>
      <w:r>
        <w:rPr>
          <w:noProof/>
        </w:rPr>
        <w:t xml:space="preserve">Remarques </w:t>
      </w:r>
    </w:p>
    <w:p>
      <w:pPr>
        <w:pBdr>
          <w:top w:val="single" w:sz="4" w:space="1" w:color="auto"/>
          <w:left w:val="single" w:sz="4" w:space="4" w:color="auto"/>
          <w:bottom w:val="single" w:sz="4" w:space="1" w:color="auto"/>
          <w:right w:val="single" w:sz="4" w:space="4" w:color="auto"/>
        </w:pBdr>
        <w:rPr>
          <w:noProof/>
        </w:rPr>
      </w:pPr>
      <w:r>
        <w:rPr>
          <w:noProof/>
        </w:rPr>
        <w:t>Une partie des activités qui devraient être gérées par l’HERA et qui relèvent actuellement d’un programme spécifique de l’UE («L’UE pour la santé»/Horizon) sont déléguées à des agences exécutives. L’HERA peut encore décider de déléguer une autre partie de la mise en œuvre de ses programmes à une agence exécutive.</w:t>
      </w:r>
    </w:p>
    <w:p>
      <w:pPr>
        <w:pBdr>
          <w:top w:val="single" w:sz="4" w:space="1" w:color="auto"/>
          <w:left w:val="single" w:sz="4" w:space="4" w:color="auto"/>
          <w:bottom w:val="single" w:sz="4" w:space="1" w:color="auto"/>
          <w:right w:val="single" w:sz="4" w:space="4" w:color="auto"/>
        </w:pBdr>
        <w:rPr>
          <w:noProof/>
        </w:rPr>
      </w:pPr>
      <w:r>
        <w:rPr>
          <w:noProof/>
        </w:rPr>
        <w:t>En outre, elle peut confier certaines tâches à des agences décentralisées (ECDC, EMA, EFSA, ECHA, Europol, EMCDDA, Observatoire européen du climat et de la santé) en vue d’atteindre les objectifs de l’HERA.</w:t>
      </w:r>
    </w:p>
    <w:p>
      <w:pPr>
        <w:pBdr>
          <w:top w:val="single" w:sz="4" w:space="1" w:color="auto"/>
          <w:left w:val="single" w:sz="4" w:space="4" w:color="auto"/>
          <w:bottom w:val="single" w:sz="4" w:space="1" w:color="auto"/>
          <w:right w:val="single" w:sz="4" w:space="4" w:color="auto"/>
        </w:pBdr>
        <w:rPr>
          <w:noProof/>
        </w:rPr>
      </w:pPr>
      <w:r>
        <w:rPr>
          <w:noProof/>
          <w:u w:val="single"/>
        </w:rPr>
        <w:t>Gestion indirecte avec des organisations internationales</w:t>
      </w:r>
    </w:p>
    <w:p>
      <w:pPr>
        <w:pBdr>
          <w:top w:val="single" w:sz="4" w:space="1" w:color="auto"/>
          <w:left w:val="single" w:sz="4" w:space="4" w:color="auto"/>
          <w:bottom w:val="single" w:sz="4" w:space="1" w:color="auto"/>
          <w:right w:val="single" w:sz="4" w:space="4" w:color="auto"/>
        </w:pBdr>
        <w:rPr>
          <w:noProof/>
        </w:rPr>
      </w:pPr>
      <w:r>
        <w:rPr>
          <w:noProof/>
        </w:rPr>
        <w:t>Aux fins de l’exécution de son mandat, l’HERA assurera, élargira ou poursuivra la coopération avec des organisations internationales telles que les agences des Nations unies, notamment l’OMS, le Conseil de l’Europe, l’OCDE ou toute autre organisation internationale pertinente.</w:t>
      </w:r>
    </w:p>
    <w:p>
      <w:pPr>
        <w:pStyle w:val="ManualHeading1"/>
        <w:rPr>
          <w:bCs/>
          <w:noProof/>
          <w:szCs w:val="24"/>
        </w:rPr>
      </w:pPr>
      <w:bookmarkStart w:id="69" w:name="_Toc514938041"/>
      <w:bookmarkStart w:id="70" w:name="_Toc520485042"/>
      <w:bookmarkStart w:id="71" w:name="_Toc83310815"/>
      <w:r>
        <w:t>2.</w:t>
      </w:r>
      <w:r>
        <w:tab/>
      </w:r>
      <w:r>
        <w:rPr>
          <w:noProof/>
        </w:rPr>
        <w:t>MESURES DE GESTION</w:t>
      </w:r>
      <w:bookmarkEnd w:id="69"/>
      <w:bookmarkEnd w:id="70"/>
      <w:bookmarkEnd w:id="71"/>
      <w:r>
        <w:rPr>
          <w:noProof/>
        </w:rPr>
        <w:t xml:space="preserve"> </w:t>
      </w:r>
    </w:p>
    <w:p>
      <w:pPr>
        <w:pStyle w:val="ManualHeading2"/>
        <w:rPr>
          <w:noProof/>
        </w:rPr>
      </w:pPr>
      <w:bookmarkStart w:id="72" w:name="_Toc514938042"/>
      <w:bookmarkStart w:id="73" w:name="_Toc520485043"/>
      <w:bookmarkStart w:id="74" w:name="_Toc83310816"/>
      <w:r>
        <w:t>2.1.</w:t>
      </w:r>
      <w:r>
        <w:tab/>
      </w:r>
      <w:r>
        <w:rPr>
          <w:noProof/>
        </w:rPr>
        <w:t>Dispositions en matière de suivi et de compte rendu</w:t>
      </w:r>
      <w:bookmarkEnd w:id="72"/>
      <w:bookmarkEnd w:id="73"/>
      <w:bookmarkEnd w:id="74"/>
      <w:r>
        <w:rPr>
          <w:noProof/>
        </w:rPr>
        <w:t xml:space="preserve"> </w:t>
      </w:r>
    </w:p>
    <w:p>
      <w:pPr>
        <w:pStyle w:val="Text1"/>
        <w:rPr>
          <w:i/>
          <w:noProof/>
          <w:sz w:val="20"/>
        </w:rPr>
      </w:pPr>
      <w:r>
        <w:rPr>
          <w:i/>
          <w:noProof/>
          <w:sz w:val="20"/>
        </w:rPr>
        <w:t>Préciser la fréquence et les conditions de ces dispositions.</w:t>
      </w:r>
    </w:p>
    <w:p>
      <w:pPr>
        <w:pStyle w:val="Text1"/>
        <w:pBdr>
          <w:top w:val="single" w:sz="4" w:space="1" w:color="auto"/>
          <w:left w:val="single" w:sz="4" w:space="4" w:color="auto"/>
          <w:bottom w:val="single" w:sz="4" w:space="1" w:color="auto"/>
          <w:right w:val="single" w:sz="4" w:space="4" w:color="auto"/>
        </w:pBdr>
        <w:rPr>
          <w:noProof/>
        </w:rPr>
      </w:pPr>
      <w:bookmarkStart w:id="75" w:name="_Toc514938045"/>
      <w:bookmarkStart w:id="76" w:name="_Toc520485044"/>
      <w:r>
        <w:rPr>
          <w:noProof/>
        </w:rPr>
        <w:t>Des cadres de performance seront élaborés au sein des programmes mis en œuvre par l’HERA sur la base des pratiques pertinentes des programmes 2021-2027 pour garantir que les données seront collectées de manière efficiente, effective et en temps utile.</w:t>
      </w:r>
    </w:p>
    <w:p>
      <w:pPr>
        <w:pStyle w:val="ManualHeading2"/>
        <w:rPr>
          <w:bCs/>
          <w:noProof/>
          <w:szCs w:val="24"/>
        </w:rPr>
      </w:pPr>
      <w:bookmarkStart w:id="77" w:name="_Toc83310817"/>
      <w:r>
        <w:t>2.2.</w:t>
      </w:r>
      <w:r>
        <w:tab/>
      </w:r>
      <w:r>
        <w:rPr>
          <w:noProof/>
        </w:rPr>
        <w:t>Système(s) de gestion et de contrôle</w:t>
      </w:r>
      <w:bookmarkEnd w:id="75"/>
      <w:bookmarkEnd w:id="76"/>
      <w:bookmarkEnd w:id="77"/>
      <w:r>
        <w:rPr>
          <w:noProof/>
        </w:rPr>
        <w:t xml:space="preserve"> </w:t>
      </w:r>
    </w:p>
    <w:p>
      <w:pPr>
        <w:pStyle w:val="ManualHeading3"/>
        <w:rPr>
          <w:noProof/>
        </w:rPr>
      </w:pPr>
      <w:bookmarkStart w:id="78" w:name="_Toc514938046"/>
      <w:bookmarkStart w:id="79" w:name="_Toc520485045"/>
      <w:bookmarkStart w:id="80" w:name="_Toc83310818"/>
      <w:r>
        <w:t>2.2.1.</w:t>
      </w:r>
      <w:r>
        <w:tab/>
      </w:r>
      <w:r>
        <w:rPr>
          <w:noProof/>
        </w:rPr>
        <w:t>Justification du (des) mode(s) de gestion, du (des) mécanisme(s) de mise en œuvre des financements, des modalités de paiement et de la stratégie de contrôle proposée</w:t>
      </w:r>
      <w:bookmarkEnd w:id="78"/>
      <w:bookmarkEnd w:id="79"/>
      <w:bookmarkEnd w:id="80"/>
    </w:p>
    <w:p>
      <w:pPr>
        <w:pStyle w:val="Text1"/>
        <w:pBdr>
          <w:top w:val="single" w:sz="4" w:space="1" w:color="auto"/>
          <w:left w:val="single" w:sz="4" w:space="1" w:color="auto"/>
          <w:bottom w:val="single" w:sz="4" w:space="1" w:color="auto"/>
          <w:right w:val="single" w:sz="4" w:space="1" w:color="auto"/>
        </w:pBdr>
        <w:rPr>
          <w:noProof/>
        </w:rPr>
      </w:pPr>
      <w:r>
        <w:rPr>
          <w:noProof/>
        </w:rPr>
        <w:t>L’HERA sera mise en œuvre en gestion directe et indirecte, en utilisant les modes de mise en œuvre prévus par le règlement financier, principalement les subventions et les marchés publics. La gestion directe permet d’établir des conventions/contrats de subvention avec les bénéficiaires/contractants participant directement à des activités qui servent des politiques de l’Union</w:t>
      </w:r>
      <w:r>
        <w:t xml:space="preserve">. </w:t>
      </w:r>
      <w:r>
        <w:rPr>
          <w:noProof/>
        </w:rPr>
        <w:t xml:space="preserve">La Commission assure un suivi direct des résultats des actions financées. Les modalités de paiement des actions financées seront adaptées aux risques liés aux opérations financières. </w:t>
      </w:r>
    </w:p>
    <w:p>
      <w:pPr>
        <w:pStyle w:val="Text1"/>
        <w:pBdr>
          <w:top w:val="single" w:sz="4" w:space="1" w:color="auto"/>
          <w:left w:val="single" w:sz="4" w:space="1" w:color="auto"/>
          <w:bottom w:val="single" w:sz="4" w:space="1" w:color="auto"/>
          <w:right w:val="single" w:sz="4" w:space="1" w:color="auto"/>
        </w:pBdr>
        <w:rPr>
          <w:noProof/>
        </w:rPr>
      </w:pPr>
      <w:r>
        <w:rPr>
          <w:noProof/>
        </w:rPr>
        <w:t>Afin de garantir l’efficacité, l’efficience et l’économie des contrôles effectués par la Commission, la stratégie de suivi sera orientée vers un équilibre entre les contrôles ex ante et ex post et se concentrera sur trois étapes clés de la mise en œuvre des subventions et des contrats, conformément au règlement financier:</w:t>
      </w:r>
    </w:p>
    <w:p>
      <w:pPr>
        <w:pStyle w:val="Tiret1"/>
        <w:pBdr>
          <w:top w:val="single" w:sz="4" w:space="1" w:color="auto"/>
          <w:left w:val="single" w:sz="4" w:space="1" w:color="auto"/>
          <w:bottom w:val="single" w:sz="4" w:space="1" w:color="auto"/>
          <w:right w:val="single" w:sz="4" w:space="1" w:color="auto"/>
        </w:pBdr>
        <w:rPr>
          <w:noProof/>
        </w:rPr>
      </w:pPr>
      <w:r>
        <w:rPr>
          <w:noProof/>
        </w:rPr>
        <w:t>la sélection des propositions/appels d’offres qui correspondent aux objectifs stratégiques du programme;</w:t>
      </w:r>
    </w:p>
    <w:p>
      <w:pPr>
        <w:pStyle w:val="Tiret1"/>
        <w:pBdr>
          <w:top w:val="single" w:sz="4" w:space="1" w:color="auto"/>
          <w:left w:val="single" w:sz="4" w:space="1" w:color="auto"/>
          <w:bottom w:val="single" w:sz="4" w:space="1" w:color="auto"/>
          <w:right w:val="single" w:sz="4" w:space="1" w:color="auto"/>
        </w:pBdr>
        <w:rPr>
          <w:noProof/>
        </w:rPr>
      </w:pPr>
      <w:r>
        <w:rPr>
          <w:noProof/>
        </w:rPr>
        <w:t xml:space="preserve">le suivi opérationnel et les contrôles ex ante portant sur la mise en œuvre des projets, la passation des marchés publics, le préfinancement, les paiements intermédiaires et finaux, la gestion des garanties. </w:t>
      </w:r>
    </w:p>
    <w:p>
      <w:pPr>
        <w:pStyle w:val="Text1"/>
        <w:pBdr>
          <w:top w:val="single" w:sz="4" w:space="1" w:color="auto"/>
          <w:left w:val="single" w:sz="4" w:space="1" w:color="auto"/>
          <w:bottom w:val="single" w:sz="4" w:space="1" w:color="auto"/>
          <w:right w:val="single" w:sz="4" w:space="1" w:color="auto"/>
        </w:pBdr>
        <w:rPr>
          <w:noProof/>
        </w:rPr>
      </w:pPr>
      <w:r>
        <w:rPr>
          <w:noProof/>
        </w:rPr>
        <w:t>Des contrôles ex post sur les sites des bénéficiaires/contractants seront effectués pour un échantillon de transactions. Les transactions seront choisies au moyen d’une évaluation des risques combinée à une sélection aléatoire</w:t>
      </w:r>
      <w:r>
        <w:t>.</w:t>
      </w:r>
    </w:p>
    <w:p>
      <w:pPr>
        <w:pStyle w:val="ManualHeading3"/>
        <w:rPr>
          <w:bCs/>
          <w:noProof/>
          <w:szCs w:val="24"/>
        </w:rPr>
      </w:pPr>
      <w:bookmarkStart w:id="81" w:name="_Toc514938047"/>
      <w:bookmarkStart w:id="82" w:name="_Toc520485046"/>
      <w:bookmarkStart w:id="83" w:name="_Toc83310819"/>
      <w:r>
        <w:t>2.2.2.</w:t>
      </w:r>
      <w:r>
        <w:tab/>
      </w:r>
      <w:r>
        <w:rPr>
          <w:noProof/>
        </w:rPr>
        <w:t>Informations sur les risques recensés et sur le(s) système(s) de contrôle interne mis en place pour les atténuer</w:t>
      </w:r>
      <w:bookmarkEnd w:id="81"/>
      <w:bookmarkEnd w:id="82"/>
      <w:bookmarkEnd w:id="83"/>
    </w:p>
    <w:p>
      <w:pPr>
        <w:pStyle w:val="Text1"/>
        <w:pBdr>
          <w:top w:val="single" w:sz="4" w:space="1" w:color="auto"/>
          <w:left w:val="single" w:sz="4" w:space="4" w:color="auto"/>
          <w:bottom w:val="single" w:sz="4" w:space="1" w:color="auto"/>
          <w:right w:val="single" w:sz="4" w:space="4" w:color="auto"/>
        </w:pBdr>
        <w:rPr>
          <w:noProof/>
        </w:rPr>
      </w:pPr>
      <w:bookmarkStart w:id="84" w:name="_Toc514938048"/>
      <w:bookmarkStart w:id="85" w:name="_Toc520485047"/>
      <w:r>
        <w:rPr>
          <w:noProof/>
        </w:rPr>
        <w:t>La mise en œuvre de l’HERA se concentre sur l’attribution de marchés publics ainsi que sur un certain nombre de subventions pour des activités et des organisations spécifiques.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Les marchés publics seront principalement conclus dans des domaines tels que l’achat de médicaments, de vaccins, de nouveaux traitements potentiels, d’enquêtes, d’études, de collecte de données, d’exercices d’évaluation comparative, d’activités de suivi et d’évaluation, de campagnes d’information, de services informatiques et de communication, etc. Les contractants sont principalement des sociétés de conseil et d’autres entreprises privées; les instituts et les laboratoires peuvent également être des contractants principaux.   </w:t>
      </w:r>
    </w:p>
    <w:p>
      <w:pPr>
        <w:pStyle w:val="Text1"/>
        <w:pBdr>
          <w:top w:val="single" w:sz="4" w:space="1" w:color="auto"/>
          <w:left w:val="single" w:sz="4" w:space="4" w:color="auto"/>
          <w:bottom w:val="single" w:sz="4" w:space="1" w:color="auto"/>
          <w:right w:val="single" w:sz="4" w:space="4" w:color="auto"/>
        </w:pBdr>
        <w:rPr>
          <w:noProof/>
        </w:rPr>
      </w:pPr>
      <w:r>
        <w:rPr>
          <w:noProof/>
        </w:rPr>
        <w:t>Les subventions seront principalement accordées pour des activités de soutien aux autorités compétentes des États membres, aux organisations de santé, aux agences nationales, etc. La période d’exécution des projets et activités subventionnés varie d’un à trois ans pour la plupart.</w:t>
      </w:r>
    </w:p>
    <w:p>
      <w:pPr>
        <w:pStyle w:val="Text1"/>
        <w:pBdr>
          <w:top w:val="single" w:sz="4" w:space="1" w:color="auto"/>
          <w:left w:val="single" w:sz="4" w:space="4" w:color="auto"/>
          <w:bottom w:val="single" w:sz="4" w:space="1" w:color="auto"/>
          <w:right w:val="single" w:sz="4" w:space="4" w:color="auto"/>
        </w:pBdr>
        <w:rPr>
          <w:noProof/>
        </w:rPr>
      </w:pPr>
      <w:r>
        <w:rPr>
          <w:noProof/>
        </w:rPr>
        <w:t>Les principaux risques sont les suivants:</w:t>
      </w:r>
    </w:p>
    <w:p>
      <w:pPr>
        <w:pStyle w:val="Text1"/>
        <w:pBdr>
          <w:top w:val="single" w:sz="4" w:space="1" w:color="auto"/>
          <w:left w:val="single" w:sz="4" w:space="4" w:color="auto"/>
          <w:bottom w:val="single" w:sz="4" w:space="1" w:color="auto"/>
          <w:right w:val="single" w:sz="4" w:space="4" w:color="auto"/>
        </w:pBdr>
        <w:rPr>
          <w:noProof/>
        </w:rPr>
      </w:pPr>
      <w:r>
        <w:rPr>
          <w:noProof/>
        </w:rPr>
        <w:t>• risque de ne pas atteindre pleinement les objectifs du programme en raison d’une participation insuffisante ou de problèmes de qualité ou de retards dans la mise en œuvre des projets ou contrats sélectionnés;</w:t>
      </w:r>
    </w:p>
    <w:p>
      <w:pPr>
        <w:pStyle w:val="Text1"/>
        <w:pBdr>
          <w:top w:val="single" w:sz="4" w:space="1" w:color="auto"/>
          <w:left w:val="single" w:sz="4" w:space="4" w:color="auto"/>
          <w:bottom w:val="single" w:sz="4" w:space="1" w:color="auto"/>
          <w:right w:val="single" w:sz="4" w:space="4" w:color="auto"/>
        </w:pBdr>
        <w:rPr>
          <w:noProof/>
        </w:rPr>
      </w:pPr>
      <w:r>
        <w:rPr>
          <w:noProof/>
        </w:rPr>
        <w:t>• risque d’utilisation inefficace ou non économique des fonds accordés, tant pour les subventions (complexité des règles de financement) que pour les marchés (peu d’opérateurs économiques possédant les connaissances spécialisées requises, ce qui entraîne des possibilités insuffisantes de comparaison des offres de prix dans certains secteurs);</w:t>
      </w:r>
    </w:p>
    <w:p>
      <w:pPr>
        <w:pStyle w:val="Text1"/>
        <w:pBdr>
          <w:top w:val="single" w:sz="4" w:space="1" w:color="auto"/>
          <w:left w:val="single" w:sz="4" w:space="4" w:color="auto"/>
          <w:bottom w:val="single" w:sz="4" w:space="1" w:color="auto"/>
          <w:right w:val="single" w:sz="4" w:space="4" w:color="auto"/>
        </w:pBdr>
        <w:rPr>
          <w:noProof/>
        </w:rPr>
      </w:pPr>
      <w:r>
        <w:rPr>
          <w:noProof/>
        </w:rPr>
        <w:t>• risque d’atteinte à la réputation de la Commission en cas de découverte d’activités frauduleuses ou criminelles; les systèmes de contrôle internes des tiers ne sont pas entièrement fiables en raison du nombre relativement élevé de contractants et de bénéficiaires hétérogènes, disposant chacun de son système de contrôle.</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Commission met en place des procédures internes visant à tenir compte des risques susmentionnés. Ces procédures internes sont pleinement conformes au règlement financier, comportent des mesures de lutte contre la fraude et sont fondées sur des considérations relatives aux coûts et aux avantages. Dans ce cadre, la Commission continue d’explorer les possibilités d’améliorer la gestion et de réaliser des gains d’efficacité. Les principales caractéristiques du dispositif de contrôle sont énoncées ci-après: </w:t>
      </w:r>
    </w:p>
    <w:p>
      <w:pPr>
        <w:pStyle w:val="Text1"/>
        <w:pBdr>
          <w:top w:val="single" w:sz="4" w:space="1" w:color="auto"/>
          <w:left w:val="single" w:sz="4" w:space="4" w:color="auto"/>
          <w:bottom w:val="single" w:sz="4" w:space="1" w:color="auto"/>
          <w:right w:val="single" w:sz="4" w:space="4" w:color="auto"/>
        </w:pBdr>
        <w:rPr>
          <w:b/>
          <w:noProof/>
        </w:rPr>
      </w:pPr>
      <w:r>
        <w:rPr>
          <w:b/>
          <w:noProof/>
        </w:rPr>
        <w:t xml:space="preserve">Contrôles préalables et concomitants à l’exécution des projets: </w:t>
      </w:r>
    </w:p>
    <w:p>
      <w:pPr>
        <w:pStyle w:val="Text1"/>
        <w:pBdr>
          <w:top w:val="single" w:sz="4" w:space="1" w:color="auto"/>
          <w:left w:val="single" w:sz="4" w:space="4" w:color="auto"/>
          <w:bottom w:val="single" w:sz="4" w:space="1" w:color="auto"/>
          <w:right w:val="single" w:sz="4" w:space="4" w:color="auto"/>
        </w:pBdr>
        <w:rPr>
          <w:noProof/>
        </w:rPr>
      </w:pPr>
      <w:r>
        <w:rPr>
          <w:noProof/>
        </w:rPr>
        <w:t>• Un système adéquat de gestion de projet sera mis en place, axé sur les contributions des projets et des contrats aux objectifs stratégiques, en assurant une participation systématique de tous les acteurs, en établissant des comptes rendus réguliers sur la gestion du projet, complétés par des visites sur place au cas par cas, y compris des rapports sur les risques destinés à l’encadrement supérieur, le tout en maintenant la souplesse budgétaire adéquate.</w:t>
      </w:r>
    </w:p>
    <w:p>
      <w:pPr>
        <w:pStyle w:val="Text1"/>
        <w:pBdr>
          <w:top w:val="single" w:sz="4" w:space="1" w:color="auto"/>
          <w:left w:val="single" w:sz="4" w:space="4" w:color="auto"/>
          <w:bottom w:val="single" w:sz="4" w:space="1" w:color="auto"/>
          <w:right w:val="single" w:sz="4" w:space="4" w:color="auto"/>
        </w:pBdr>
        <w:rPr>
          <w:noProof/>
        </w:rPr>
      </w:pPr>
      <w:r>
        <w:rPr>
          <w:noProof/>
        </w:rPr>
        <w:t>• Les modèles de convention de subvention et de contrat de services utilisés sont élaborés au sein de la Commission. Ces modèles prévoient un certain nombre de mécanismes de contrôle, comme des certificats d’audit, des garanties financières, des vérifications sur place et des inspections par l’OLAF. Les règles régissant l’éligibilité des coûts sont simplifiées grâce, par exemple, au recours aux coûts unitaires, aux montants forfaitaires, aux contributions indépendantes des coûts et aux autres possibilités offertes par le règlement financier. Cela permettra de réduire le coût des contrôles et d’orienter les vérifications et contrôles vers les domaines à haut risque.</w:t>
      </w:r>
    </w:p>
    <w:p>
      <w:pPr>
        <w:pStyle w:val="Text1"/>
        <w:pBdr>
          <w:top w:val="single" w:sz="4" w:space="1" w:color="auto"/>
          <w:left w:val="single" w:sz="4" w:space="4" w:color="auto"/>
          <w:bottom w:val="single" w:sz="4" w:space="1" w:color="auto"/>
          <w:right w:val="single" w:sz="4" w:space="4" w:color="auto"/>
        </w:pBdr>
        <w:rPr>
          <w:noProof/>
        </w:rPr>
      </w:pPr>
      <w:r>
        <w:rPr>
          <w:noProof/>
        </w:rPr>
        <w:t xml:space="preserve">• Tous les membres du personnel souscrivent au code de bonne conduite administrative. Les membres du personnel participant à la procédure de sélection ou à la gestion des contrats/conventions de subvention signent (également) une déclaration d’absence de conflit d’intérêts. Le personnel reçoit régulièrement des formations et utilise des réseaux d’échange de bonnes pratiques. </w:t>
      </w:r>
    </w:p>
    <w:p>
      <w:pPr>
        <w:pStyle w:val="Text1"/>
        <w:pBdr>
          <w:top w:val="single" w:sz="4" w:space="1" w:color="auto"/>
          <w:left w:val="single" w:sz="4" w:space="4" w:color="auto"/>
          <w:bottom w:val="single" w:sz="4" w:space="1" w:color="auto"/>
          <w:right w:val="single" w:sz="4" w:space="4" w:color="auto"/>
        </w:pBdr>
        <w:rPr>
          <w:b/>
          <w:noProof/>
        </w:rPr>
      </w:pPr>
      <w:r>
        <w:rPr>
          <w:noProof/>
        </w:rPr>
        <w:t>• La réalisation technique des projets fait l’objet, à intervalles réguliers, de contrôles documentaires effectués sur la base des rapports techniques intermédiaires remis par les contractants et les bénéficiaires; des réunions avec les contractants/bénéficiaires et des visites sur place sont également organisées dans certains cas.</w:t>
      </w:r>
    </w:p>
    <w:p>
      <w:pPr>
        <w:pStyle w:val="Text1"/>
        <w:pBdr>
          <w:top w:val="single" w:sz="4" w:space="1" w:color="auto"/>
          <w:left w:val="single" w:sz="4" w:space="4" w:color="auto"/>
          <w:bottom w:val="single" w:sz="4" w:space="1" w:color="auto"/>
          <w:right w:val="single" w:sz="4" w:space="4" w:color="auto"/>
        </w:pBdr>
        <w:rPr>
          <w:noProof/>
        </w:rPr>
      </w:pPr>
      <w:r>
        <w:rPr>
          <w:b/>
          <w:noProof/>
        </w:rPr>
        <w:t>Contrôles au terme du projet:</w:t>
      </w:r>
      <w:r>
        <w:rPr>
          <w:noProof/>
        </w:rPr>
        <w:t xml:space="preserve">  Des audits ex post sont effectués sur un échantillon de transactions pour vérifier sur place l’admissibilité des demandes de remboursement. Ces contrôles sont destinés à prévenir, détecter et corriger les erreurs matérielles liées à la légalité et à la régularité des transactions financières. Pour maximiser l’incidence des contrôles, la procédure de sélection des bénéficiaires à soumettre à un audit prévoit de combiner une sélection en fonction du risque et un échantillonnage aléatoire et de prendre en considération, dans la mesure du possible, des aspects opérationnels lors des vérifications sur place.</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86" w:name="_Toc83310820"/>
      <w:r>
        <w:t>2.2.3.</w:t>
      </w:r>
      <w:r>
        <w:tab/>
      </w:r>
      <w:r>
        <w:rPr>
          <w:noProof/>
        </w:rPr>
        <w:t>Estimation et justification du rapport coût-efficacité des contrôles (rapport «coûts du contrôle ÷ valeur des fonds gérés concernés»), et évaluation du niveau attendu de risque d’erreur (lors du paiement et lors de la clôture)</w:t>
      </w:r>
      <w:bookmarkEnd w:id="84"/>
      <w:bookmarkEnd w:id="85"/>
      <w:bookmarkEnd w:id="86"/>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À titre de référence, les coûts annuels du niveau de contrôle suggéré dans le cadre du programme de santé 2014-2020 représentent environ 4 à 7 % du budget annuel des dépenses opérationnelles. Cela se justifie par la diversité des transactions à contrôler et la mise en œuvre dans le cadre d’une gestion directe impliquant l’attribution de nombreux contrats et subventions pour des actions de très petite à très grande taille. La Commission estime que le coût moyen des contrôles devrait diminuer compte tenu de l’élargissement du champ d’application et de l’augmentation du budget des programmes.</w:t>
      </w:r>
    </w:p>
    <w:p>
      <w:pPr>
        <w:pStyle w:val="Text1"/>
        <w:pBdr>
          <w:top w:val="single" w:sz="4" w:space="1" w:color="auto"/>
          <w:left w:val="single" w:sz="4" w:space="4" w:color="auto"/>
          <w:bottom w:val="single" w:sz="4" w:space="1" w:color="auto"/>
          <w:right w:val="single" w:sz="4" w:space="4" w:color="auto"/>
        </w:pBdr>
        <w:rPr>
          <w:noProof/>
          <w:color w:val="0000FF"/>
        </w:rPr>
      </w:pPr>
      <w:r>
        <w:rPr>
          <w:noProof/>
        </w:rPr>
        <w:t>L’HERA réservera des crédits dans le cadre de plusieurs programmes afin d’assurer sa mise en œuvre.  Le système de contrôle existant devrait permettre de prévenir et/ou de relever les erreurs et/ou les irrégularités et, le cas échéant, de les corriger. Il garantira que les taux d’erreur résiduels (après correction) restent inférieurs au seuil de 2 %</w:t>
      </w:r>
      <w:r>
        <w:t>.</w:t>
      </w:r>
    </w:p>
    <w:p>
      <w:pPr>
        <w:pStyle w:val="ManualHeading2"/>
        <w:rPr>
          <w:bCs/>
          <w:noProof/>
          <w:szCs w:val="24"/>
        </w:rPr>
      </w:pPr>
      <w:bookmarkStart w:id="87" w:name="_Toc514938049"/>
      <w:bookmarkStart w:id="88" w:name="_Toc520485048"/>
      <w:bookmarkStart w:id="89" w:name="_Toc83310821"/>
      <w:r>
        <w:t>2.3.</w:t>
      </w:r>
      <w:r>
        <w:tab/>
      </w:r>
      <w:r>
        <w:rPr>
          <w:noProof/>
        </w:rPr>
        <w:t>Mesures de prévention des fraudes et irrégularités</w:t>
      </w:r>
      <w:bookmarkEnd w:id="87"/>
      <w:bookmarkEnd w:id="88"/>
      <w:bookmarkEnd w:id="89"/>
      <w:r>
        <w:rPr>
          <w:noProof/>
        </w:rPr>
        <w:t xml:space="preserve"> </w:t>
      </w:r>
    </w:p>
    <w:p>
      <w:pPr>
        <w:pStyle w:val="Text1"/>
        <w:rPr>
          <w:i/>
          <w:noProof/>
          <w:sz w:val="20"/>
        </w:rPr>
      </w:pPr>
      <w:r>
        <w:rPr>
          <w:i/>
          <w:noProof/>
          <w:sz w:val="20"/>
        </w:rPr>
        <w:t>Préciser les mesures de prévention et de protection existantes ou envisagées, au titre de la stratégie antifraude par exemple.</w:t>
      </w:r>
    </w:p>
    <w:p>
      <w:pPr>
        <w:pStyle w:val="Text1"/>
        <w:pBdr>
          <w:top w:val="single" w:sz="4" w:space="1" w:color="auto"/>
          <w:left w:val="single" w:sz="4" w:space="4" w:color="auto"/>
          <w:bottom w:val="single" w:sz="4" w:space="1" w:color="auto"/>
          <w:right w:val="single" w:sz="4" w:space="4" w:color="auto"/>
        </w:pBdr>
        <w:rPr>
          <w:noProof/>
        </w:rPr>
      </w:pPr>
      <w:r>
        <w:rPr>
          <w:noProof/>
        </w:rPr>
        <w:t>En ce qui concerne les activités relevant de la gestion directe, la Commission prend les mesures appropriées garantissant la protection des intérêts financiers de l’Union européenne par l’application de mesures préventives contre la fraude, la corruption et toute autre activité illégale, au moyen de contrôles efficaces et, si des irrégularités sont décelées, par le recouvrement des montants indûment versés et, s’il y a lieu, par l’application de sanctions effectives, proportionnées et dissuasives. À cet effet, la Commission a adopté une stratégie antifraude – mise à jour en dernier lieu en avril 2019 [COM(2019) 176] –, qui prévoit notamment les mesures de prévention, de détection et de correction énoncées ci-après:</w:t>
      </w:r>
    </w:p>
    <w:p>
      <w:pPr>
        <w:pStyle w:val="Text1"/>
        <w:pBdr>
          <w:top w:val="single" w:sz="4" w:space="1" w:color="auto"/>
          <w:left w:val="single" w:sz="4" w:space="4" w:color="auto"/>
          <w:bottom w:val="single" w:sz="4" w:space="1" w:color="auto"/>
          <w:right w:val="single" w:sz="4" w:space="4" w:color="auto"/>
        </w:pBdr>
        <w:rPr>
          <w:noProof/>
        </w:rPr>
      </w:pPr>
      <w:r>
        <w:rPr>
          <w:noProof/>
        </w:rPr>
        <w:t>La Commission ou ses représentants et la Cour des comptes disposent d’un pouvoir d’audit, sur pièces et sur place, à l’égard de tous les bénéficiaires de subventions, contractants et sous-traitants qui ont reçu des fonds de l’Union. L’OLAF est autorisé à effectuer des contrôles et vérifications sur place auprès des opérateurs économiques concernés, directement ou indirectement, par un tel financement.</w:t>
      </w:r>
    </w:p>
    <w:p>
      <w:pPr>
        <w:pStyle w:val="Text1"/>
        <w:pBdr>
          <w:top w:val="single" w:sz="4" w:space="1" w:color="auto"/>
          <w:left w:val="single" w:sz="4" w:space="4" w:color="auto"/>
          <w:bottom w:val="single" w:sz="4" w:space="1" w:color="auto"/>
          <w:right w:val="single" w:sz="4" w:space="4" w:color="auto"/>
        </w:pBdr>
        <w:rPr>
          <w:noProof/>
        </w:rPr>
      </w:pPr>
      <w:r>
        <w:rPr>
          <w:noProof/>
        </w:rPr>
        <w:t>La Commission met également en œuvre une série de mesures telles que les mesures suivantes:</w:t>
      </w:r>
    </w:p>
    <w:p>
      <w:pPr>
        <w:pStyle w:val="Text1"/>
        <w:pBdr>
          <w:top w:val="single" w:sz="4" w:space="1" w:color="auto"/>
          <w:left w:val="single" w:sz="4" w:space="4" w:color="auto"/>
          <w:bottom w:val="single" w:sz="4" w:space="1" w:color="auto"/>
          <w:right w:val="single" w:sz="4" w:space="4" w:color="auto"/>
        </w:pBdr>
        <w:rPr>
          <w:noProof/>
        </w:rPr>
      </w:pPr>
      <w:r>
        <w:rPr>
          <w:noProof/>
        </w:rPr>
        <w:t>- dans les décisions, conventions et contrats résultant de la mise en œuvre du programme, la Commission, OLAF compris, et la Cour des comptes seront expressément habilitées à mener des audits, des vérifications sur place et des inspections; ainsi qu’à recouvrer les montants indûment versés et, le cas échéant, à imposer des sanctions administratives;</w:t>
      </w:r>
    </w:p>
    <w:p>
      <w:pPr>
        <w:pStyle w:val="Text1"/>
        <w:pBdr>
          <w:top w:val="single" w:sz="4" w:space="1" w:color="auto"/>
          <w:left w:val="single" w:sz="4" w:space="4" w:color="auto"/>
          <w:bottom w:val="single" w:sz="4" w:space="1" w:color="auto"/>
          <w:right w:val="single" w:sz="4" w:space="4" w:color="auto"/>
        </w:pBdr>
        <w:rPr>
          <w:noProof/>
        </w:rPr>
      </w:pPr>
      <w:r>
        <w:rPr>
          <w:noProof/>
        </w:rPr>
        <w:t>- pendant la phase d’évaluation des propositions ou offres reçues à la suite d’un appel, les candidats et soumissionnaires seront évalués en fonction des critères d’exclusion publiés, sur la base de déclarations et du système de détection rapide et d’exclusion (EDES);</w:t>
      </w:r>
    </w:p>
    <w:p>
      <w:pPr>
        <w:pStyle w:val="Text1"/>
        <w:pBdr>
          <w:top w:val="single" w:sz="4" w:space="1" w:color="auto"/>
          <w:left w:val="single" w:sz="4" w:space="4" w:color="auto"/>
          <w:bottom w:val="single" w:sz="4" w:space="1" w:color="auto"/>
          <w:right w:val="single" w:sz="4" w:space="4" w:color="auto"/>
        </w:pBdr>
        <w:rPr>
          <w:noProof/>
        </w:rPr>
      </w:pPr>
      <w:r>
        <w:rPr>
          <w:noProof/>
        </w:rPr>
        <w:t>- les règles régissant l’éligibilité des dépenses seront simplifiées conformément aux dispositions du règlement financier;</w:t>
      </w:r>
    </w:p>
    <w:p>
      <w:pPr>
        <w:pStyle w:val="Text1"/>
        <w:pBdr>
          <w:top w:val="single" w:sz="4" w:space="1" w:color="auto"/>
          <w:left w:val="single" w:sz="4" w:space="4" w:color="auto"/>
          <w:bottom w:val="single" w:sz="4" w:space="1" w:color="auto"/>
          <w:right w:val="single" w:sz="4" w:space="4" w:color="auto"/>
        </w:pBdr>
      </w:pPr>
      <w:r>
        <w:rPr>
          <w:noProof/>
        </w:rPr>
        <w:t>- des formations sur des questions relatives à la fraude et aux irrégularités sont régulièrement dispensées à l’ensemble du personnel participant à la gestion des contrats, ainsi qu’aux auditeurs et aux contrôleurs qui vérifient les déclarations des bénéficiaires sur le terrain.</w:t>
      </w:r>
    </w:p>
    <w:p>
      <w:pPr>
        <w:pStyle w:val="ManualHeading1"/>
        <w:rPr>
          <w:bCs/>
          <w:noProof/>
          <w:szCs w:val="24"/>
        </w:rPr>
      </w:pPr>
      <w:bookmarkStart w:id="90" w:name="_Toc514938050"/>
      <w:bookmarkStart w:id="91" w:name="_Toc520485049"/>
      <w:bookmarkStart w:id="92" w:name="_Toc83310822"/>
      <w:r>
        <w:t>3.</w:t>
      </w:r>
      <w:r>
        <w:tab/>
      </w:r>
      <w:r>
        <w:rPr>
          <w:noProof/>
        </w:rPr>
        <w:t>INCIDENCE FINANCIÈRE ESTIMÉE DE LA PROPOSITION/DE L’INITIATIVE</w:t>
      </w:r>
      <w:bookmarkEnd w:id="90"/>
      <w:bookmarkEnd w:id="91"/>
      <w:bookmarkEnd w:id="92"/>
      <w:r>
        <w:rPr>
          <w:noProof/>
        </w:rPr>
        <w:t xml:space="preserve"> </w:t>
      </w:r>
    </w:p>
    <w:p>
      <w:pPr>
        <w:pStyle w:val="ManualHeading2"/>
        <w:rPr>
          <w:noProof/>
        </w:rPr>
      </w:pPr>
      <w:bookmarkStart w:id="93" w:name="_Toc514938051"/>
      <w:bookmarkStart w:id="94" w:name="_Toc520485050"/>
      <w:bookmarkStart w:id="95" w:name="_Toc83310823"/>
      <w:r>
        <w:t>3.1.</w:t>
      </w:r>
      <w:r>
        <w:tab/>
      </w:r>
      <w:r>
        <w:rPr>
          <w:noProof/>
        </w:rPr>
        <w:t>Rubrique(s) du cadre financier pluriannuel et ligne(s) budgétaire(s) de dépenses concernée(s)</w:t>
      </w:r>
      <w:bookmarkEnd w:id="93"/>
      <w:bookmarkEnd w:id="94"/>
      <w:bookmarkEnd w:id="95"/>
      <w:r>
        <w:rPr>
          <w:noProof/>
        </w:rPr>
        <w:t xml:space="preserve"> </w:t>
      </w:r>
    </w:p>
    <w:p>
      <w:pPr>
        <w:pStyle w:val="ListBullet1"/>
        <w:rPr>
          <w:noProof/>
        </w:rPr>
      </w:pPr>
      <w:r>
        <w:rPr>
          <w:noProof/>
        </w:rPr>
        <w:t xml:space="preserve">Lignes budgétaires existantes </w:t>
      </w:r>
    </w:p>
    <w:p>
      <w:pPr>
        <w:pStyle w:val="Text1"/>
        <w:rPr>
          <w:i/>
          <w:noProof/>
          <w:sz w:val="20"/>
        </w:rPr>
      </w:pPr>
      <w:r>
        <w:rPr>
          <w:i/>
          <w:noProof/>
          <w:u w:val="single"/>
        </w:rPr>
        <w:t>Dans l’ordre</w:t>
      </w:r>
      <w:r>
        <w:rPr>
          <w:i/>
          <w:noProof/>
        </w:rPr>
        <w:t xml:space="preserve"> des rubriques du cadre financier pluriannuel et des lignes budgétaires.</w:t>
      </w: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798"/>
        <w:gridCol w:w="1080"/>
        <w:gridCol w:w="900"/>
        <w:gridCol w:w="990"/>
        <w:gridCol w:w="900"/>
        <w:gridCol w:w="1530"/>
      </w:tblGrid>
      <w:tr>
        <w:trPr>
          <w:jc w:val="center"/>
        </w:trPr>
        <w:tc>
          <w:tcPr>
            <w:tcW w:w="1080" w:type="dxa"/>
            <w:vMerge w:val="restart"/>
            <w:vAlign w:val="center"/>
          </w:tcPr>
          <w:p>
            <w:pPr>
              <w:spacing w:before="60" w:after="60"/>
              <w:ind w:left="-37" w:right="-266"/>
              <w:rPr>
                <w:noProof/>
                <w:sz w:val="18"/>
                <w:szCs w:val="18"/>
              </w:rPr>
            </w:pPr>
            <w:r>
              <w:rPr>
                <w:noProof/>
                <w:sz w:val="18"/>
              </w:rPr>
              <w:t>Rubrique du cadre financier pluriannuel</w:t>
            </w:r>
          </w:p>
        </w:tc>
        <w:tc>
          <w:tcPr>
            <w:tcW w:w="3798" w:type="dxa"/>
            <w:vAlign w:val="center"/>
          </w:tcPr>
          <w:p>
            <w:pPr>
              <w:spacing w:before="60" w:after="60"/>
              <w:ind w:left="-482"/>
              <w:jc w:val="center"/>
              <w:rPr>
                <w:noProof/>
              </w:rPr>
            </w:pPr>
            <w:r>
              <w:rPr>
                <w:noProof/>
                <w:sz w:val="20"/>
              </w:rPr>
              <w:t>Ligne budgétaire</w:t>
            </w:r>
          </w:p>
        </w:tc>
        <w:tc>
          <w:tcPr>
            <w:tcW w:w="1080" w:type="dxa"/>
            <w:vAlign w:val="center"/>
          </w:tcPr>
          <w:p>
            <w:pPr>
              <w:spacing w:before="60" w:after="60"/>
              <w:jc w:val="center"/>
              <w:rPr>
                <w:noProof/>
              </w:rPr>
            </w:pPr>
            <w:r>
              <w:rPr>
                <w:noProof/>
                <w:sz w:val="18"/>
              </w:rPr>
              <w:t>Nature de</w:t>
            </w:r>
            <w:r>
              <w:rPr>
                <w:noProof/>
              </w:rPr>
              <w:t xml:space="preserve"> </w:t>
            </w:r>
            <w:r>
              <w:rPr>
                <w:noProof/>
              </w:rPr>
              <w:br/>
            </w:r>
            <w:r>
              <w:rPr>
                <w:noProof/>
                <w:sz w:val="18"/>
              </w:rPr>
              <w:t>la dépense</w:t>
            </w:r>
          </w:p>
        </w:tc>
        <w:tc>
          <w:tcPr>
            <w:tcW w:w="4320" w:type="dxa"/>
            <w:gridSpan w:val="4"/>
            <w:vAlign w:val="center"/>
          </w:tcPr>
          <w:p>
            <w:pPr>
              <w:spacing w:before="60" w:after="60"/>
              <w:ind w:left="-482"/>
              <w:jc w:val="center"/>
              <w:rPr>
                <w:noProof/>
              </w:rPr>
            </w:pPr>
            <w:r>
              <w:rPr>
                <w:noProof/>
                <w:sz w:val="20"/>
              </w:rPr>
              <w:t xml:space="preserve">Participation </w:t>
            </w:r>
          </w:p>
        </w:tc>
      </w:tr>
      <w:tr>
        <w:trPr>
          <w:jc w:val="center"/>
        </w:trPr>
        <w:tc>
          <w:tcPr>
            <w:tcW w:w="1080" w:type="dxa"/>
            <w:vMerge/>
            <w:vAlign w:val="center"/>
          </w:tcPr>
          <w:p>
            <w:pPr>
              <w:ind w:left="-482"/>
              <w:jc w:val="center"/>
              <w:rPr>
                <w:noProof/>
              </w:rPr>
            </w:pPr>
          </w:p>
        </w:tc>
        <w:tc>
          <w:tcPr>
            <w:tcW w:w="3798" w:type="dxa"/>
            <w:vAlign w:val="center"/>
          </w:tcPr>
          <w:p>
            <w:pPr>
              <w:ind w:left="-48" w:firstLine="48"/>
              <w:rPr>
                <w:noProof/>
              </w:rPr>
            </w:pPr>
          </w:p>
        </w:tc>
        <w:tc>
          <w:tcPr>
            <w:tcW w:w="1080" w:type="dxa"/>
            <w:vAlign w:val="center"/>
          </w:tcPr>
          <w:p>
            <w:pPr>
              <w:ind w:left="-68"/>
              <w:jc w:val="center"/>
              <w:rPr>
                <w:noProof/>
              </w:rPr>
            </w:pPr>
            <w:r>
              <w:rPr>
                <w:noProof/>
                <w:sz w:val="18"/>
              </w:rPr>
              <w:t>CD/CND</w:t>
            </w:r>
          </w:p>
        </w:tc>
        <w:tc>
          <w:tcPr>
            <w:tcW w:w="900" w:type="dxa"/>
            <w:vAlign w:val="center"/>
          </w:tcPr>
          <w:p>
            <w:pPr>
              <w:ind w:left="-154"/>
              <w:jc w:val="center"/>
              <w:rPr>
                <w:noProof/>
                <w:sz w:val="18"/>
              </w:rPr>
            </w:pPr>
            <w:r>
              <w:rPr>
                <w:noProof/>
                <w:sz w:val="18"/>
              </w:rPr>
              <w:t>de pays AELE</w:t>
            </w:r>
          </w:p>
        </w:tc>
        <w:tc>
          <w:tcPr>
            <w:tcW w:w="990" w:type="dxa"/>
            <w:vAlign w:val="center"/>
          </w:tcPr>
          <w:p>
            <w:pPr>
              <w:ind w:left="-155"/>
              <w:jc w:val="center"/>
              <w:rPr>
                <w:noProof/>
                <w:sz w:val="18"/>
              </w:rPr>
            </w:pPr>
            <w:r>
              <w:rPr>
                <w:noProof/>
                <w:sz w:val="18"/>
              </w:rPr>
              <w:t>de pays candidats</w:t>
            </w:r>
          </w:p>
        </w:tc>
        <w:tc>
          <w:tcPr>
            <w:tcW w:w="900" w:type="dxa"/>
            <w:vAlign w:val="center"/>
          </w:tcPr>
          <w:p>
            <w:pPr>
              <w:ind w:left="-155"/>
              <w:jc w:val="center"/>
              <w:rPr>
                <w:noProof/>
                <w:sz w:val="18"/>
              </w:rPr>
            </w:pPr>
            <w:r>
              <w:rPr>
                <w:noProof/>
                <w:sz w:val="18"/>
              </w:rPr>
              <w:t>de pays tiers</w:t>
            </w:r>
          </w:p>
        </w:tc>
        <w:tc>
          <w:tcPr>
            <w:tcW w:w="1530" w:type="dxa"/>
            <w:vAlign w:val="center"/>
          </w:tcPr>
          <w:p>
            <w:pPr>
              <w:ind w:left="-67"/>
              <w:jc w:val="center"/>
              <w:rPr>
                <w:noProof/>
              </w:rPr>
            </w:pPr>
            <w:r>
              <w:rPr>
                <w:noProof/>
                <w:sz w:val="16"/>
              </w:rPr>
              <w:t>au sens de l’article 21, paragraphe 2, point b), du règlement financier</w:t>
            </w:r>
          </w:p>
        </w:tc>
      </w:tr>
      <w:tr>
        <w:trPr>
          <w:jc w:val="center"/>
        </w:trPr>
        <w:tc>
          <w:tcPr>
            <w:tcW w:w="1080" w:type="dxa"/>
            <w:vAlign w:val="center"/>
          </w:tcPr>
          <w:p>
            <w:pPr>
              <w:ind w:left="-482"/>
              <w:jc w:val="center"/>
              <w:rPr>
                <w:noProof/>
              </w:rPr>
            </w:pPr>
            <w:r>
              <w:rPr>
                <w:noProof/>
              </w:rPr>
              <w:t xml:space="preserve">1 </w:t>
            </w:r>
          </w:p>
        </w:tc>
        <w:tc>
          <w:tcPr>
            <w:tcW w:w="3798" w:type="dxa"/>
            <w:vAlign w:val="center"/>
          </w:tcPr>
          <w:p>
            <w:pPr>
              <w:spacing w:before="60"/>
              <w:ind w:left="-48"/>
            </w:pPr>
            <w:r>
              <w:t>01 02 02 10 — Horizon Europe</w:t>
            </w:r>
          </w:p>
        </w:tc>
        <w:tc>
          <w:tcPr>
            <w:tcW w:w="1080" w:type="dxa"/>
            <w:vAlign w:val="center"/>
          </w:tcPr>
          <w:p>
            <w:pPr>
              <w:ind w:left="-482"/>
              <w:jc w:val="center"/>
              <w:rPr>
                <w:noProof/>
                <w:color w:val="0000FF"/>
              </w:rPr>
            </w:pPr>
            <w:r>
              <w:rPr>
                <w:noProof/>
                <w:sz w:val="22"/>
              </w:rPr>
              <w:t>CD</w:t>
            </w:r>
          </w:p>
        </w:tc>
        <w:tc>
          <w:tcPr>
            <w:tcW w:w="900" w:type="dxa"/>
            <w:vAlign w:val="center"/>
          </w:tcPr>
          <w:p>
            <w:pPr>
              <w:ind w:left="-482"/>
              <w:jc w:val="center"/>
              <w:rPr>
                <w:noProof/>
                <w:sz w:val="22"/>
              </w:rPr>
            </w:pPr>
            <w:r>
              <w:rPr>
                <w:noProof/>
                <w:sz w:val="22"/>
              </w:rPr>
              <w:t>Oui</w:t>
            </w:r>
          </w:p>
        </w:tc>
        <w:tc>
          <w:tcPr>
            <w:tcW w:w="990" w:type="dxa"/>
            <w:vAlign w:val="center"/>
          </w:tcPr>
          <w:p>
            <w:pPr>
              <w:ind w:left="-482"/>
              <w:jc w:val="center"/>
              <w:rPr>
                <w:noProof/>
                <w:sz w:val="22"/>
              </w:rPr>
            </w:pPr>
            <w:r>
              <w:rPr>
                <w:noProof/>
                <w:sz w:val="22"/>
              </w:rPr>
              <w:t>Oui</w:t>
            </w:r>
          </w:p>
        </w:tc>
        <w:tc>
          <w:tcPr>
            <w:tcW w:w="900" w:type="dxa"/>
            <w:vAlign w:val="center"/>
          </w:tcPr>
          <w:p>
            <w:pPr>
              <w:ind w:left="-482"/>
              <w:jc w:val="center"/>
              <w:rPr>
                <w:noProof/>
                <w:sz w:val="22"/>
              </w:rPr>
            </w:pPr>
            <w:r>
              <w:rPr>
                <w:noProof/>
                <w:sz w:val="22"/>
              </w:rPr>
              <w:t>Oui</w:t>
            </w:r>
          </w:p>
        </w:tc>
        <w:tc>
          <w:tcPr>
            <w:tcW w:w="1530" w:type="dxa"/>
            <w:vAlign w:val="center"/>
          </w:tcPr>
          <w:p>
            <w:pPr>
              <w:ind w:left="-482"/>
              <w:jc w:val="center"/>
              <w:rPr>
                <w:noProof/>
                <w:sz w:val="22"/>
              </w:rPr>
            </w:pPr>
            <w:r>
              <w:rPr>
                <w:noProof/>
                <w:sz w:val="22"/>
              </w:rPr>
              <w:t>Non</w:t>
            </w:r>
          </w:p>
        </w:tc>
      </w:tr>
      <w:tr>
        <w:trPr>
          <w:jc w:val="center"/>
        </w:trPr>
        <w:tc>
          <w:tcPr>
            <w:tcW w:w="1080" w:type="dxa"/>
            <w:vAlign w:val="center"/>
          </w:tcPr>
          <w:p>
            <w:pPr>
              <w:ind w:left="-482"/>
              <w:jc w:val="center"/>
              <w:rPr>
                <w:noProof/>
              </w:rPr>
            </w:pPr>
            <w:r>
              <w:rPr>
                <w:noProof/>
              </w:rPr>
              <w:t>2b</w:t>
            </w:r>
          </w:p>
        </w:tc>
        <w:tc>
          <w:tcPr>
            <w:tcW w:w="3798" w:type="dxa"/>
            <w:vAlign w:val="center"/>
          </w:tcPr>
          <w:p>
            <w:pPr>
              <w:spacing w:before="60"/>
              <w:ind w:left="-48"/>
            </w:pPr>
            <w:r>
              <w:t>06 06 01 — Programme L’UE pour la santé (EU4Health)</w:t>
            </w:r>
          </w:p>
        </w:tc>
        <w:tc>
          <w:tcPr>
            <w:tcW w:w="1080" w:type="dxa"/>
            <w:vAlign w:val="center"/>
          </w:tcPr>
          <w:p>
            <w:pPr>
              <w:ind w:left="-482"/>
              <w:jc w:val="center"/>
              <w:rPr>
                <w:noProof/>
                <w:color w:val="0000FF"/>
              </w:rPr>
            </w:pPr>
            <w:r>
              <w:rPr>
                <w:noProof/>
                <w:sz w:val="22"/>
              </w:rPr>
              <w:t>CD</w:t>
            </w:r>
          </w:p>
        </w:tc>
        <w:tc>
          <w:tcPr>
            <w:tcW w:w="900" w:type="dxa"/>
            <w:vAlign w:val="center"/>
          </w:tcPr>
          <w:p>
            <w:pPr>
              <w:ind w:left="-482"/>
              <w:jc w:val="center"/>
              <w:rPr>
                <w:noProof/>
                <w:sz w:val="22"/>
              </w:rPr>
            </w:pPr>
            <w:r>
              <w:rPr>
                <w:noProof/>
                <w:sz w:val="22"/>
              </w:rPr>
              <w:t>Oui</w:t>
            </w:r>
          </w:p>
        </w:tc>
        <w:tc>
          <w:tcPr>
            <w:tcW w:w="990" w:type="dxa"/>
            <w:vAlign w:val="center"/>
          </w:tcPr>
          <w:p>
            <w:pPr>
              <w:ind w:left="-482"/>
              <w:jc w:val="center"/>
              <w:rPr>
                <w:noProof/>
                <w:sz w:val="22"/>
              </w:rPr>
            </w:pPr>
            <w:r>
              <w:rPr>
                <w:noProof/>
                <w:sz w:val="22"/>
              </w:rPr>
              <w:t>Oui</w:t>
            </w:r>
          </w:p>
        </w:tc>
        <w:tc>
          <w:tcPr>
            <w:tcW w:w="900" w:type="dxa"/>
            <w:vAlign w:val="center"/>
          </w:tcPr>
          <w:p>
            <w:pPr>
              <w:ind w:left="-482"/>
              <w:jc w:val="center"/>
              <w:rPr>
                <w:noProof/>
                <w:sz w:val="22"/>
              </w:rPr>
            </w:pPr>
            <w:r>
              <w:rPr>
                <w:noProof/>
                <w:sz w:val="22"/>
              </w:rPr>
              <w:t>Oui</w:t>
            </w:r>
          </w:p>
        </w:tc>
        <w:tc>
          <w:tcPr>
            <w:tcW w:w="1530" w:type="dxa"/>
            <w:vAlign w:val="center"/>
          </w:tcPr>
          <w:p>
            <w:pPr>
              <w:ind w:left="-482"/>
              <w:jc w:val="center"/>
              <w:rPr>
                <w:noProof/>
                <w:sz w:val="22"/>
              </w:rPr>
            </w:pPr>
            <w:r>
              <w:rPr>
                <w:noProof/>
                <w:sz w:val="22"/>
              </w:rPr>
              <w:t>Non</w:t>
            </w:r>
          </w:p>
        </w:tc>
      </w:tr>
      <w:tr>
        <w:trPr>
          <w:jc w:val="center"/>
        </w:trPr>
        <w:tc>
          <w:tcPr>
            <w:tcW w:w="1080" w:type="dxa"/>
            <w:vAlign w:val="center"/>
          </w:tcPr>
          <w:p>
            <w:pPr>
              <w:ind w:left="-482"/>
              <w:jc w:val="center"/>
              <w:rPr>
                <w:noProof/>
              </w:rPr>
            </w:pPr>
            <w:r>
              <w:rPr>
                <w:noProof/>
              </w:rPr>
              <w:t>2b</w:t>
            </w:r>
          </w:p>
        </w:tc>
        <w:tc>
          <w:tcPr>
            <w:tcW w:w="3798" w:type="dxa"/>
            <w:vAlign w:val="center"/>
          </w:tcPr>
          <w:p>
            <w:pPr>
              <w:spacing w:before="60"/>
              <w:ind w:left="-48"/>
            </w:pPr>
            <w:r>
              <w:t>06 05 01 – Mécanisme de protection civile de l’Union (rescEU)</w:t>
            </w:r>
          </w:p>
        </w:tc>
        <w:tc>
          <w:tcPr>
            <w:tcW w:w="1080" w:type="dxa"/>
            <w:vAlign w:val="center"/>
          </w:tcPr>
          <w:p>
            <w:pPr>
              <w:ind w:left="-482"/>
              <w:jc w:val="center"/>
              <w:rPr>
                <w:noProof/>
                <w:color w:val="0000FF"/>
              </w:rPr>
            </w:pPr>
            <w:r>
              <w:rPr>
                <w:noProof/>
                <w:sz w:val="22"/>
              </w:rPr>
              <w:t>CD</w:t>
            </w:r>
          </w:p>
        </w:tc>
        <w:tc>
          <w:tcPr>
            <w:tcW w:w="900" w:type="dxa"/>
            <w:vAlign w:val="center"/>
          </w:tcPr>
          <w:p>
            <w:pPr>
              <w:ind w:left="-482"/>
              <w:jc w:val="center"/>
              <w:rPr>
                <w:noProof/>
                <w:sz w:val="22"/>
              </w:rPr>
            </w:pPr>
            <w:r>
              <w:rPr>
                <w:noProof/>
                <w:sz w:val="22"/>
              </w:rPr>
              <w:t>Oui</w:t>
            </w:r>
          </w:p>
        </w:tc>
        <w:tc>
          <w:tcPr>
            <w:tcW w:w="990" w:type="dxa"/>
            <w:vAlign w:val="center"/>
          </w:tcPr>
          <w:p>
            <w:pPr>
              <w:ind w:left="-482"/>
              <w:jc w:val="center"/>
              <w:rPr>
                <w:noProof/>
                <w:sz w:val="22"/>
              </w:rPr>
            </w:pPr>
            <w:r>
              <w:rPr>
                <w:noProof/>
                <w:sz w:val="22"/>
              </w:rPr>
              <w:t>Oui</w:t>
            </w:r>
          </w:p>
        </w:tc>
        <w:tc>
          <w:tcPr>
            <w:tcW w:w="900" w:type="dxa"/>
            <w:vAlign w:val="center"/>
          </w:tcPr>
          <w:p>
            <w:pPr>
              <w:ind w:left="-482"/>
              <w:jc w:val="center"/>
              <w:rPr>
                <w:noProof/>
                <w:sz w:val="22"/>
              </w:rPr>
            </w:pPr>
            <w:r>
              <w:rPr>
                <w:noProof/>
                <w:sz w:val="22"/>
              </w:rPr>
              <w:t>Oui</w:t>
            </w:r>
          </w:p>
        </w:tc>
        <w:tc>
          <w:tcPr>
            <w:tcW w:w="1530" w:type="dxa"/>
            <w:vAlign w:val="center"/>
          </w:tcPr>
          <w:p>
            <w:pPr>
              <w:ind w:left="-482"/>
              <w:jc w:val="center"/>
              <w:rPr>
                <w:noProof/>
                <w:sz w:val="22"/>
              </w:rPr>
            </w:pPr>
            <w:r>
              <w:rPr>
                <w:noProof/>
                <w:sz w:val="22"/>
              </w:rPr>
              <w:t>Non</w:t>
            </w:r>
          </w:p>
        </w:tc>
      </w:tr>
      <w:tr>
        <w:trPr>
          <w:jc w:val="center"/>
        </w:trPr>
        <w:tc>
          <w:tcPr>
            <w:tcW w:w="1080" w:type="dxa"/>
            <w:vAlign w:val="center"/>
          </w:tcPr>
          <w:p>
            <w:pPr>
              <w:ind w:left="-482"/>
              <w:jc w:val="center"/>
              <w:rPr>
                <w:noProof/>
              </w:rPr>
            </w:pPr>
          </w:p>
        </w:tc>
        <w:tc>
          <w:tcPr>
            <w:tcW w:w="3798" w:type="dxa"/>
            <w:vAlign w:val="center"/>
          </w:tcPr>
          <w:p>
            <w:pPr>
              <w:spacing w:before="60"/>
              <w:ind w:left="-48"/>
            </w:pPr>
          </w:p>
        </w:tc>
        <w:tc>
          <w:tcPr>
            <w:tcW w:w="1080" w:type="dxa"/>
            <w:vAlign w:val="center"/>
          </w:tcPr>
          <w:p>
            <w:pPr>
              <w:ind w:left="-482"/>
              <w:jc w:val="center"/>
              <w:rPr>
                <w:noProof/>
                <w:color w:val="0000FF"/>
              </w:rPr>
            </w:pPr>
          </w:p>
        </w:tc>
        <w:tc>
          <w:tcPr>
            <w:tcW w:w="900" w:type="dxa"/>
            <w:vAlign w:val="center"/>
          </w:tcPr>
          <w:p>
            <w:pPr>
              <w:ind w:left="-482"/>
              <w:jc w:val="center"/>
              <w:rPr>
                <w:noProof/>
                <w:sz w:val="22"/>
              </w:rPr>
            </w:pPr>
          </w:p>
        </w:tc>
        <w:tc>
          <w:tcPr>
            <w:tcW w:w="990" w:type="dxa"/>
            <w:vAlign w:val="center"/>
          </w:tcPr>
          <w:p>
            <w:pPr>
              <w:ind w:left="-482"/>
              <w:jc w:val="center"/>
              <w:rPr>
                <w:noProof/>
                <w:sz w:val="22"/>
              </w:rPr>
            </w:pPr>
          </w:p>
        </w:tc>
        <w:tc>
          <w:tcPr>
            <w:tcW w:w="900" w:type="dxa"/>
            <w:vAlign w:val="center"/>
          </w:tcPr>
          <w:p>
            <w:pPr>
              <w:ind w:left="-482"/>
              <w:jc w:val="center"/>
              <w:rPr>
                <w:noProof/>
                <w:sz w:val="22"/>
              </w:rPr>
            </w:pPr>
          </w:p>
        </w:tc>
        <w:tc>
          <w:tcPr>
            <w:tcW w:w="1530" w:type="dxa"/>
            <w:vAlign w:val="center"/>
          </w:tcPr>
          <w:p>
            <w:pPr>
              <w:ind w:left="-482"/>
              <w:jc w:val="center"/>
              <w:rPr>
                <w:noProof/>
                <w:sz w:val="22"/>
              </w:rPr>
            </w:pPr>
          </w:p>
        </w:tc>
      </w:tr>
      <w:tr>
        <w:trPr>
          <w:jc w:val="center"/>
        </w:trPr>
        <w:tc>
          <w:tcPr>
            <w:tcW w:w="1080" w:type="dxa"/>
            <w:vAlign w:val="center"/>
          </w:tcPr>
          <w:p>
            <w:pPr>
              <w:ind w:left="-482"/>
              <w:jc w:val="center"/>
              <w:rPr>
                <w:noProof/>
              </w:rPr>
            </w:pPr>
          </w:p>
        </w:tc>
        <w:tc>
          <w:tcPr>
            <w:tcW w:w="3798" w:type="dxa"/>
            <w:vAlign w:val="center"/>
          </w:tcPr>
          <w:p>
            <w:pPr>
              <w:spacing w:before="60"/>
              <w:ind w:left="-48"/>
            </w:pPr>
            <w:r>
              <w:rPr>
                <w:noProof/>
                <w:sz w:val="20"/>
              </w:rPr>
              <w:t>Autres programmes détaillés dans la communication, section xx (lignes budgétaires à préciser)</w:t>
            </w:r>
          </w:p>
        </w:tc>
        <w:tc>
          <w:tcPr>
            <w:tcW w:w="1080" w:type="dxa"/>
            <w:vAlign w:val="center"/>
          </w:tcPr>
          <w:p>
            <w:pPr>
              <w:ind w:left="-482"/>
              <w:jc w:val="center"/>
              <w:rPr>
                <w:noProof/>
                <w:sz w:val="22"/>
              </w:rPr>
            </w:pPr>
          </w:p>
        </w:tc>
        <w:tc>
          <w:tcPr>
            <w:tcW w:w="900" w:type="dxa"/>
            <w:vAlign w:val="center"/>
          </w:tcPr>
          <w:p>
            <w:pPr>
              <w:ind w:left="-482"/>
              <w:jc w:val="center"/>
              <w:rPr>
                <w:noProof/>
                <w:sz w:val="22"/>
              </w:rPr>
            </w:pPr>
          </w:p>
        </w:tc>
        <w:tc>
          <w:tcPr>
            <w:tcW w:w="990" w:type="dxa"/>
            <w:vAlign w:val="center"/>
          </w:tcPr>
          <w:p>
            <w:pPr>
              <w:ind w:left="-482"/>
              <w:jc w:val="center"/>
              <w:rPr>
                <w:noProof/>
                <w:sz w:val="22"/>
              </w:rPr>
            </w:pPr>
          </w:p>
        </w:tc>
        <w:tc>
          <w:tcPr>
            <w:tcW w:w="900" w:type="dxa"/>
            <w:vAlign w:val="center"/>
          </w:tcPr>
          <w:p>
            <w:pPr>
              <w:ind w:left="-482"/>
              <w:jc w:val="center"/>
              <w:rPr>
                <w:noProof/>
                <w:sz w:val="22"/>
              </w:rPr>
            </w:pPr>
          </w:p>
        </w:tc>
        <w:tc>
          <w:tcPr>
            <w:tcW w:w="1530" w:type="dxa"/>
            <w:vAlign w:val="center"/>
          </w:tcPr>
          <w:p>
            <w:pPr>
              <w:ind w:left="-482"/>
              <w:jc w:val="center"/>
              <w:rPr>
                <w:noProof/>
                <w:sz w:val="22"/>
              </w:rPr>
            </w:pPr>
          </w:p>
        </w:tc>
      </w:tr>
      <w:tr>
        <w:trPr>
          <w:jc w:val="center"/>
        </w:trPr>
        <w:tc>
          <w:tcPr>
            <w:tcW w:w="10278" w:type="dxa"/>
            <w:gridSpan w:val="7"/>
            <w:vAlign w:val="center"/>
          </w:tcPr>
          <w:p>
            <w:pPr>
              <w:ind w:left="-482"/>
              <w:jc w:val="center"/>
              <w:rPr>
                <w:b/>
                <w:noProof/>
                <w:sz w:val="22"/>
              </w:rPr>
            </w:pPr>
            <w:r>
              <w:rPr>
                <w:b/>
                <w:noProof/>
                <w:sz w:val="22"/>
              </w:rPr>
              <w:t>Lignes budgétaires à utiliser en temps de crise (aucune dotation budgétaire n’est prévue dans les tableaux ci-dessous)</w:t>
            </w:r>
          </w:p>
        </w:tc>
      </w:tr>
      <w:tr>
        <w:trPr>
          <w:jc w:val="center"/>
        </w:trPr>
        <w:tc>
          <w:tcPr>
            <w:tcW w:w="1080" w:type="dxa"/>
            <w:vAlign w:val="center"/>
          </w:tcPr>
          <w:p>
            <w:pPr>
              <w:ind w:left="-482"/>
              <w:jc w:val="center"/>
              <w:rPr>
                <w:noProof/>
              </w:rPr>
            </w:pPr>
            <w:r>
              <w:rPr>
                <w:noProof/>
              </w:rPr>
              <w:t>2b</w:t>
            </w:r>
          </w:p>
        </w:tc>
        <w:tc>
          <w:tcPr>
            <w:tcW w:w="3798" w:type="dxa"/>
            <w:vAlign w:val="center"/>
          </w:tcPr>
          <w:p>
            <w:pPr>
              <w:spacing w:before="60"/>
              <w:ind w:left="-48"/>
            </w:pPr>
            <w:r>
              <w:t xml:space="preserve">06 07 01 — Instrument d’aide d’urgence </w:t>
            </w:r>
          </w:p>
        </w:tc>
        <w:tc>
          <w:tcPr>
            <w:tcW w:w="1080" w:type="dxa"/>
            <w:vAlign w:val="center"/>
          </w:tcPr>
          <w:p>
            <w:pPr>
              <w:ind w:left="-482"/>
              <w:jc w:val="center"/>
              <w:rPr>
                <w:noProof/>
                <w:color w:val="0000FF"/>
              </w:rPr>
            </w:pPr>
            <w:r>
              <w:rPr>
                <w:noProof/>
                <w:sz w:val="22"/>
              </w:rPr>
              <w:t>CD</w:t>
            </w:r>
          </w:p>
        </w:tc>
        <w:tc>
          <w:tcPr>
            <w:tcW w:w="900" w:type="dxa"/>
            <w:vAlign w:val="center"/>
          </w:tcPr>
          <w:p>
            <w:pPr>
              <w:ind w:left="-482"/>
              <w:jc w:val="center"/>
              <w:rPr>
                <w:noProof/>
                <w:sz w:val="22"/>
              </w:rPr>
            </w:pPr>
            <w:r>
              <w:rPr>
                <w:noProof/>
                <w:sz w:val="22"/>
              </w:rPr>
              <w:t>Non</w:t>
            </w:r>
          </w:p>
        </w:tc>
        <w:tc>
          <w:tcPr>
            <w:tcW w:w="990" w:type="dxa"/>
            <w:vAlign w:val="center"/>
          </w:tcPr>
          <w:p>
            <w:pPr>
              <w:ind w:left="-482"/>
              <w:jc w:val="center"/>
              <w:rPr>
                <w:noProof/>
                <w:sz w:val="22"/>
              </w:rPr>
            </w:pPr>
            <w:r>
              <w:rPr>
                <w:noProof/>
                <w:sz w:val="22"/>
              </w:rPr>
              <w:t>Non</w:t>
            </w:r>
          </w:p>
        </w:tc>
        <w:tc>
          <w:tcPr>
            <w:tcW w:w="900" w:type="dxa"/>
            <w:vAlign w:val="center"/>
          </w:tcPr>
          <w:p>
            <w:pPr>
              <w:ind w:left="-482"/>
              <w:jc w:val="center"/>
              <w:rPr>
                <w:noProof/>
                <w:sz w:val="22"/>
              </w:rPr>
            </w:pPr>
            <w:r>
              <w:rPr>
                <w:noProof/>
                <w:sz w:val="22"/>
              </w:rPr>
              <w:t>Non</w:t>
            </w:r>
          </w:p>
        </w:tc>
        <w:tc>
          <w:tcPr>
            <w:tcW w:w="1530" w:type="dxa"/>
            <w:vAlign w:val="center"/>
          </w:tcPr>
          <w:p>
            <w:pPr>
              <w:ind w:left="-482"/>
              <w:jc w:val="center"/>
              <w:rPr>
                <w:noProof/>
                <w:sz w:val="22"/>
              </w:rPr>
            </w:pPr>
            <w:r>
              <w:rPr>
                <w:noProof/>
                <w:sz w:val="22"/>
              </w:rPr>
              <w:t>Non</w:t>
            </w:r>
          </w:p>
        </w:tc>
      </w:tr>
      <w:tr>
        <w:trPr>
          <w:jc w:val="center"/>
        </w:trPr>
        <w:tc>
          <w:tcPr>
            <w:tcW w:w="1080" w:type="dxa"/>
            <w:vAlign w:val="center"/>
          </w:tcPr>
          <w:p>
            <w:pPr>
              <w:ind w:left="-482"/>
              <w:jc w:val="center"/>
              <w:rPr>
                <w:noProof/>
              </w:rPr>
            </w:pPr>
          </w:p>
        </w:tc>
        <w:tc>
          <w:tcPr>
            <w:tcW w:w="3798" w:type="dxa"/>
            <w:vAlign w:val="center"/>
          </w:tcPr>
          <w:p>
            <w:pPr>
              <w:spacing w:before="60"/>
              <w:ind w:left="-48"/>
            </w:pPr>
          </w:p>
        </w:tc>
        <w:tc>
          <w:tcPr>
            <w:tcW w:w="1080" w:type="dxa"/>
          </w:tcPr>
          <w:p>
            <w:pPr>
              <w:ind w:left="-482"/>
              <w:jc w:val="center"/>
              <w:rPr>
                <w:noProof/>
                <w:color w:val="0000FF"/>
              </w:rPr>
            </w:pPr>
          </w:p>
        </w:tc>
        <w:tc>
          <w:tcPr>
            <w:tcW w:w="900" w:type="dxa"/>
            <w:vAlign w:val="center"/>
          </w:tcPr>
          <w:p>
            <w:pPr>
              <w:ind w:left="-482"/>
              <w:jc w:val="center"/>
              <w:rPr>
                <w:noProof/>
                <w:sz w:val="22"/>
              </w:rPr>
            </w:pPr>
          </w:p>
        </w:tc>
        <w:tc>
          <w:tcPr>
            <w:tcW w:w="990" w:type="dxa"/>
            <w:vAlign w:val="center"/>
          </w:tcPr>
          <w:p>
            <w:pPr>
              <w:ind w:left="-482"/>
              <w:jc w:val="center"/>
              <w:rPr>
                <w:noProof/>
                <w:sz w:val="22"/>
              </w:rPr>
            </w:pPr>
          </w:p>
        </w:tc>
        <w:tc>
          <w:tcPr>
            <w:tcW w:w="900" w:type="dxa"/>
            <w:vAlign w:val="center"/>
          </w:tcPr>
          <w:p>
            <w:pPr>
              <w:ind w:left="-482"/>
              <w:jc w:val="center"/>
              <w:rPr>
                <w:noProof/>
                <w:sz w:val="22"/>
              </w:rPr>
            </w:pPr>
          </w:p>
        </w:tc>
        <w:tc>
          <w:tcPr>
            <w:tcW w:w="1530" w:type="dxa"/>
            <w:vAlign w:val="center"/>
          </w:tcPr>
          <w:p>
            <w:pPr>
              <w:ind w:left="-482"/>
              <w:jc w:val="center"/>
              <w:rPr>
                <w:noProof/>
                <w:sz w:val="22"/>
              </w:rPr>
            </w:pP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96" w:name="_Toc514938052"/>
      <w:bookmarkStart w:id="97" w:name="_Toc520485051"/>
      <w:bookmarkStart w:id="98" w:name="_Toc83310824"/>
      <w:r>
        <w:t>3.2.</w:t>
      </w:r>
      <w:r>
        <w:tab/>
      </w:r>
      <w:r>
        <w:rPr>
          <w:noProof/>
        </w:rPr>
        <w:t>Incidence financière estimée de la proposition sur les crédits</w:t>
      </w:r>
      <w:bookmarkEnd w:id="96"/>
      <w:bookmarkEnd w:id="97"/>
      <w:bookmarkEnd w:id="98"/>
      <w:r>
        <w:rPr>
          <w:noProof/>
        </w:rPr>
        <w:t xml:space="preserve"> </w:t>
      </w:r>
    </w:p>
    <w:p>
      <w:pPr>
        <w:pStyle w:val="ManualHeading3"/>
        <w:rPr>
          <w:noProof/>
        </w:rPr>
      </w:pPr>
      <w:bookmarkStart w:id="99" w:name="_Toc514938053"/>
      <w:bookmarkStart w:id="100" w:name="_Toc520485052"/>
      <w:bookmarkStart w:id="101" w:name="_Toc83310825"/>
      <w:r>
        <w:t>3.2.1.</w:t>
      </w:r>
      <w:r>
        <w:tab/>
      </w:r>
      <w:r>
        <w:rPr>
          <w:noProof/>
        </w:rPr>
        <w:t>Synthèse de l’incidence estimée sur les crédits opérationnels</w:t>
      </w:r>
      <w:bookmarkEnd w:id="99"/>
      <w:bookmarkEnd w:id="100"/>
      <w:bookmarkEnd w:id="101"/>
      <w:r>
        <w:rPr>
          <w:noProof/>
        </w:rPr>
        <w:t xml:space="preserve"> </w:t>
      </w:r>
    </w:p>
    <w:p>
      <w:pPr>
        <w:pStyle w:val="ListDash1"/>
        <w:numPr>
          <w:ilvl w:val="0"/>
          <w:numId w:val="19"/>
        </w:numPr>
        <w:spacing w:before="120" w:after="120"/>
        <w:rPr>
          <w:noProof/>
          <w:lang w:val="fr-FR"/>
        </w:rPr>
      </w:pPr>
      <w:r>
        <w:rPr>
          <w:noProof/>
          <w:lang w:val="fr-FR"/>
        </w:rPr>
        <w:sym w:font="Wingdings" w:char="F0A8"/>
      </w:r>
      <w:r>
        <w:rPr>
          <w:noProof/>
          <w:lang w:val="fr-FR"/>
        </w:rPr>
        <w:tab/>
        <w:t xml:space="preserve">La proposition/l’initiative n’engendre pas l’utilisation de crédits opérationnels </w:t>
      </w:r>
    </w:p>
    <w:p>
      <w:pPr>
        <w:pStyle w:val="ListDash1"/>
        <w:numPr>
          <w:ilvl w:val="0"/>
          <w:numId w:val="19"/>
        </w:numPr>
        <w:spacing w:before="120" w:after="120"/>
        <w:rPr>
          <w:noProof/>
          <w:lang w:val="fr-FR"/>
        </w:rPr>
      </w:pPr>
      <w:r>
        <w:rPr>
          <w:noProof/>
          <w:lang w:val="fr-FR"/>
        </w:rPr>
        <w:t>X</w:t>
      </w:r>
      <w:r>
        <w:rPr>
          <w:noProof/>
          <w:lang w:val="fr-FR"/>
        </w:rPr>
        <w:tab/>
        <w:t>La proposition/l’initiative engendre l’utilisation de crédits opérationnels, comme expliqué ci-après (tous les crédits mentionnés seront couverts par redéploiement au titre du volet Santé du programme Horizon, du mécanisme de protection civile de l’Union, du programme L’UE pour la santé et d’autres programmes).</w:t>
      </w:r>
    </w:p>
    <w:p>
      <w:pPr>
        <w:jc w:val="right"/>
        <w:rPr>
          <w:noProof/>
        </w:rPr>
      </w:pPr>
      <w:r>
        <w:rPr>
          <w:noProof/>
        </w:rPr>
        <w:t>En Mio EUR (à la 3</w:t>
      </w:r>
      <w:r>
        <w:rPr>
          <w:noProof/>
          <w:vertAlign w:val="superscript"/>
        </w:rPr>
        <w:t>e</w:t>
      </w:r>
      <w:r>
        <w:rPr>
          <w:noProof/>
        </w:rPr>
        <w:t xml:space="preserve"> décimale)</w:t>
      </w:r>
    </w:p>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Rubrique du cadre financier</w:t>
            </w:r>
            <w:r>
              <w:rPr>
                <w:noProof/>
              </w:rPr>
              <w:t xml:space="preserve"> </w:t>
            </w:r>
            <w:r>
              <w:rPr>
                <w:noProof/>
              </w:rPr>
              <w:br/>
            </w:r>
            <w:r>
              <w:rPr>
                <w:b/>
                <w:noProof/>
                <w:sz w:val="22"/>
              </w:rPr>
              <w:t xml:space="preserve">pluriannuel </w:t>
            </w:r>
          </w:p>
        </w:tc>
        <w:tc>
          <w:tcPr>
            <w:tcW w:w="1080" w:type="dxa"/>
            <w:vAlign w:val="center"/>
          </w:tcPr>
          <w:p>
            <w:pPr>
              <w:spacing w:before="60" w:after="60"/>
              <w:jc w:val="center"/>
              <w:rPr>
                <w:noProof/>
              </w:rPr>
            </w:pPr>
            <w:r>
              <w:rPr>
                <w:b/>
                <w:noProof/>
                <w:sz w:val="22"/>
              </w:rPr>
              <w:t>1</w:t>
            </w:r>
          </w:p>
        </w:tc>
        <w:tc>
          <w:tcPr>
            <w:tcW w:w="7817" w:type="dxa"/>
            <w:vAlign w:val="center"/>
          </w:tcPr>
          <w:p>
            <w:pPr>
              <w:spacing w:before="60" w:after="60"/>
              <w:rPr>
                <w:b/>
                <w:noProof/>
              </w:rPr>
            </w:pPr>
            <w:r>
              <w:rPr>
                <w:b/>
                <w:noProof/>
                <w:sz w:val="22"/>
              </w:rPr>
              <w:t>Marché unique, innovation et numérique</w:t>
            </w:r>
          </w:p>
        </w:tc>
      </w:tr>
    </w:tbl>
    <w:p>
      <w:pPr>
        <w:rPr>
          <w:noProof/>
        </w:rPr>
      </w:pPr>
    </w:p>
    <w:tbl>
      <w:tblPr>
        <w:tblW w:w="146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0"/>
        <w:gridCol w:w="60"/>
        <w:gridCol w:w="1260"/>
        <w:gridCol w:w="540"/>
        <w:gridCol w:w="990"/>
        <w:gridCol w:w="990"/>
        <w:gridCol w:w="990"/>
        <w:gridCol w:w="976"/>
        <w:gridCol w:w="1004"/>
        <w:gridCol w:w="990"/>
        <w:gridCol w:w="1031"/>
        <w:gridCol w:w="992"/>
        <w:gridCol w:w="1127"/>
      </w:tblGrid>
      <w:tr>
        <w:tc>
          <w:tcPr>
            <w:tcW w:w="3780" w:type="dxa"/>
            <w:gridSpan w:val="2"/>
            <w:vAlign w:val="center"/>
          </w:tcPr>
          <w:p>
            <w:pPr>
              <w:jc w:val="center"/>
              <w:rPr>
                <w:noProof/>
              </w:rPr>
            </w:pPr>
            <w:r>
              <w:rPr>
                <w:noProof/>
                <w:sz w:val="22"/>
              </w:rPr>
              <w:t>DG: RTD</w:t>
            </w:r>
          </w:p>
        </w:tc>
        <w:tc>
          <w:tcPr>
            <w:tcW w:w="1260" w:type="dxa"/>
          </w:tcPr>
          <w:p>
            <w:pPr>
              <w:rPr>
                <w:noProof/>
                <w:sz w:val="20"/>
              </w:rPr>
            </w:pPr>
          </w:p>
        </w:tc>
        <w:tc>
          <w:tcPr>
            <w:tcW w:w="540" w:type="dxa"/>
          </w:tcPr>
          <w:p>
            <w:pPr>
              <w:jc w:val="center"/>
              <w:rPr>
                <w:noProof/>
                <w:sz w:val="20"/>
              </w:rPr>
            </w:pPr>
          </w:p>
        </w:tc>
        <w:tc>
          <w:tcPr>
            <w:tcW w:w="990" w:type="dxa"/>
            <w:vAlign w:val="center"/>
          </w:tcPr>
          <w:p>
            <w:pPr>
              <w:jc w:val="center"/>
              <w:rPr>
                <w:b/>
                <w:noProof/>
                <w:sz w:val="20"/>
              </w:rPr>
            </w:pPr>
            <w:r>
              <w:rPr>
                <w:b/>
                <w:noProof/>
                <w:sz w:val="20"/>
              </w:rPr>
              <w:t>2021</w:t>
            </w:r>
          </w:p>
        </w:tc>
        <w:tc>
          <w:tcPr>
            <w:tcW w:w="990" w:type="dxa"/>
            <w:vAlign w:val="center"/>
          </w:tcPr>
          <w:p>
            <w:pPr>
              <w:jc w:val="center"/>
              <w:rPr>
                <w:noProof/>
                <w:sz w:val="20"/>
              </w:rPr>
            </w:pPr>
            <w:r>
              <w:rPr>
                <w:b/>
                <w:noProof/>
                <w:sz w:val="20"/>
              </w:rPr>
              <w:t>2022</w:t>
            </w:r>
          </w:p>
        </w:tc>
        <w:tc>
          <w:tcPr>
            <w:tcW w:w="990" w:type="dxa"/>
            <w:vAlign w:val="center"/>
          </w:tcPr>
          <w:p>
            <w:pPr>
              <w:jc w:val="center"/>
              <w:rPr>
                <w:noProof/>
                <w:sz w:val="20"/>
              </w:rPr>
            </w:pPr>
            <w:r>
              <w:rPr>
                <w:b/>
                <w:noProof/>
                <w:sz w:val="20"/>
              </w:rPr>
              <w:t>2023</w:t>
            </w:r>
          </w:p>
        </w:tc>
        <w:tc>
          <w:tcPr>
            <w:tcW w:w="976" w:type="dxa"/>
            <w:vAlign w:val="center"/>
          </w:tcPr>
          <w:p>
            <w:pPr>
              <w:jc w:val="center"/>
              <w:rPr>
                <w:noProof/>
                <w:sz w:val="20"/>
              </w:rPr>
            </w:pPr>
            <w:r>
              <w:rPr>
                <w:b/>
                <w:noProof/>
                <w:sz w:val="20"/>
              </w:rPr>
              <w:t>2024</w:t>
            </w:r>
          </w:p>
        </w:tc>
        <w:tc>
          <w:tcPr>
            <w:tcW w:w="1004" w:type="dxa"/>
            <w:vAlign w:val="center"/>
          </w:tcPr>
          <w:p>
            <w:pPr>
              <w:jc w:val="center"/>
              <w:rPr>
                <w:b/>
                <w:noProof/>
                <w:sz w:val="18"/>
              </w:rPr>
            </w:pPr>
            <w:r>
              <w:rPr>
                <w:b/>
                <w:noProof/>
                <w:sz w:val="18"/>
              </w:rPr>
              <w:t>2025</w:t>
            </w:r>
          </w:p>
        </w:tc>
        <w:tc>
          <w:tcPr>
            <w:tcW w:w="990" w:type="dxa"/>
            <w:vAlign w:val="center"/>
          </w:tcPr>
          <w:p>
            <w:pPr>
              <w:jc w:val="center"/>
              <w:rPr>
                <w:b/>
                <w:noProof/>
                <w:sz w:val="18"/>
              </w:rPr>
            </w:pPr>
            <w:r>
              <w:rPr>
                <w:b/>
                <w:noProof/>
                <w:sz w:val="18"/>
              </w:rPr>
              <w:t>2026</w:t>
            </w:r>
          </w:p>
        </w:tc>
        <w:tc>
          <w:tcPr>
            <w:tcW w:w="1031" w:type="dxa"/>
            <w:vAlign w:val="center"/>
          </w:tcPr>
          <w:p>
            <w:pPr>
              <w:jc w:val="center"/>
              <w:rPr>
                <w:b/>
                <w:noProof/>
                <w:sz w:val="18"/>
              </w:rPr>
            </w:pPr>
            <w:r>
              <w:rPr>
                <w:b/>
                <w:noProof/>
                <w:sz w:val="18"/>
              </w:rPr>
              <w:t>2027</w:t>
            </w:r>
          </w:p>
        </w:tc>
        <w:tc>
          <w:tcPr>
            <w:tcW w:w="992" w:type="dxa"/>
          </w:tcPr>
          <w:p>
            <w:pPr>
              <w:jc w:val="center"/>
              <w:rPr>
                <w:b/>
                <w:noProof/>
                <w:sz w:val="20"/>
              </w:rPr>
            </w:pPr>
            <w:r>
              <w:rPr>
                <w:b/>
                <w:i/>
                <w:noProof/>
                <w:sz w:val="20"/>
              </w:rPr>
              <w:t>Après 2027</w:t>
            </w:r>
          </w:p>
        </w:tc>
        <w:tc>
          <w:tcPr>
            <w:tcW w:w="1127" w:type="dxa"/>
            <w:vAlign w:val="center"/>
          </w:tcPr>
          <w:p>
            <w:pPr>
              <w:jc w:val="center"/>
              <w:rPr>
                <w:b/>
                <w:noProof/>
                <w:sz w:val="20"/>
              </w:rPr>
            </w:pPr>
            <w:r>
              <w:rPr>
                <w:b/>
                <w:noProof/>
                <w:sz w:val="20"/>
              </w:rPr>
              <w:t>TOTAL</w:t>
            </w:r>
          </w:p>
        </w:tc>
      </w:tr>
      <w:tr>
        <w:trPr>
          <w:trHeight w:val="213"/>
        </w:trPr>
        <w:tc>
          <w:tcPr>
            <w:tcW w:w="5580" w:type="dxa"/>
            <w:gridSpan w:val="4"/>
            <w:vAlign w:val="center"/>
          </w:tcPr>
          <w:p>
            <w:pPr>
              <w:spacing w:before="20" w:after="20"/>
              <w:rPr>
                <w:noProof/>
                <w:sz w:val="21"/>
              </w:rPr>
            </w:pPr>
            <w:r>
              <w:rPr>
                <w:noProof/>
                <w:sz w:val="21"/>
              </w:rPr>
              <w:sym w:font="Wingdings" w:char="F09F"/>
            </w:r>
            <w:r>
              <w:rPr>
                <w:noProof/>
                <w:sz w:val="21"/>
              </w:rPr>
              <w:t>Crédits opérationnels (C1 et crédits NGEU)</w:t>
            </w:r>
          </w:p>
        </w:tc>
        <w:tc>
          <w:tcPr>
            <w:tcW w:w="990" w:type="dxa"/>
            <w:vAlign w:val="center"/>
          </w:tcPr>
          <w:p>
            <w:pPr>
              <w:rPr>
                <w:noProof/>
                <w:sz w:val="20"/>
              </w:rPr>
            </w:pPr>
          </w:p>
        </w:tc>
        <w:tc>
          <w:tcPr>
            <w:tcW w:w="990" w:type="dxa"/>
            <w:vAlign w:val="center"/>
          </w:tcPr>
          <w:p>
            <w:pPr>
              <w:rPr>
                <w:noProof/>
                <w:sz w:val="20"/>
              </w:rPr>
            </w:pPr>
          </w:p>
        </w:tc>
        <w:tc>
          <w:tcPr>
            <w:tcW w:w="990" w:type="dxa"/>
            <w:vAlign w:val="center"/>
          </w:tcPr>
          <w:p>
            <w:pPr>
              <w:rPr>
                <w:noProof/>
                <w:sz w:val="20"/>
              </w:rPr>
            </w:pPr>
          </w:p>
        </w:tc>
        <w:tc>
          <w:tcPr>
            <w:tcW w:w="976" w:type="dxa"/>
            <w:vAlign w:val="center"/>
          </w:tcPr>
          <w:p>
            <w:pPr>
              <w:rPr>
                <w:noProof/>
                <w:sz w:val="20"/>
              </w:rPr>
            </w:pPr>
          </w:p>
        </w:tc>
        <w:tc>
          <w:tcPr>
            <w:tcW w:w="1004" w:type="dxa"/>
            <w:vAlign w:val="center"/>
          </w:tcPr>
          <w:p>
            <w:pPr>
              <w:rPr>
                <w:noProof/>
                <w:sz w:val="20"/>
              </w:rPr>
            </w:pPr>
          </w:p>
        </w:tc>
        <w:tc>
          <w:tcPr>
            <w:tcW w:w="990" w:type="dxa"/>
            <w:vAlign w:val="center"/>
          </w:tcPr>
          <w:p>
            <w:pPr>
              <w:rPr>
                <w:noProof/>
                <w:sz w:val="20"/>
              </w:rPr>
            </w:pPr>
          </w:p>
        </w:tc>
        <w:tc>
          <w:tcPr>
            <w:tcW w:w="1031" w:type="dxa"/>
            <w:vAlign w:val="center"/>
          </w:tcPr>
          <w:p>
            <w:pPr>
              <w:rPr>
                <w:b/>
                <w:noProof/>
                <w:sz w:val="20"/>
              </w:rPr>
            </w:pPr>
          </w:p>
        </w:tc>
        <w:tc>
          <w:tcPr>
            <w:tcW w:w="992" w:type="dxa"/>
          </w:tcPr>
          <w:p>
            <w:pPr>
              <w:rPr>
                <w:b/>
                <w:noProof/>
                <w:sz w:val="20"/>
              </w:rPr>
            </w:pPr>
          </w:p>
        </w:tc>
        <w:tc>
          <w:tcPr>
            <w:tcW w:w="1127" w:type="dxa"/>
            <w:vAlign w:val="center"/>
          </w:tcPr>
          <w:p>
            <w:pPr>
              <w:rPr>
                <w:b/>
                <w:noProof/>
                <w:sz w:val="20"/>
              </w:rPr>
            </w:pPr>
          </w:p>
        </w:tc>
      </w:tr>
      <w:tr>
        <w:trPr>
          <w:trHeight w:val="277"/>
        </w:trPr>
        <w:tc>
          <w:tcPr>
            <w:tcW w:w="3780" w:type="dxa"/>
            <w:gridSpan w:val="2"/>
            <w:vMerge w:val="restart"/>
            <w:vAlign w:val="center"/>
          </w:tcPr>
          <w:p>
            <w:pPr>
              <w:rPr>
                <w:noProof/>
              </w:rPr>
            </w:pPr>
            <w:r>
              <w:rPr>
                <w:noProof/>
                <w:sz w:val="20"/>
              </w:rPr>
              <w:t>01 02 02 10 — Horizon Europe</w:t>
            </w:r>
            <w:r>
              <w:rPr>
                <w:rStyle w:val="FootnoteReference"/>
                <w:noProof/>
                <w:sz w:val="20"/>
              </w:rPr>
              <w:footnoteReference w:id="36"/>
            </w:r>
            <w:r>
              <w:rPr>
                <w:rStyle w:val="FootnoteReference"/>
                <w:noProof/>
                <w:sz w:val="20"/>
              </w:rPr>
              <w:footnoteReference w:id="37"/>
            </w:r>
          </w:p>
        </w:tc>
        <w:tc>
          <w:tcPr>
            <w:tcW w:w="1260" w:type="dxa"/>
            <w:vAlign w:val="center"/>
          </w:tcPr>
          <w:p>
            <w:pPr>
              <w:spacing w:before="20" w:after="20"/>
              <w:rPr>
                <w:noProof/>
                <w:sz w:val="18"/>
              </w:rPr>
            </w:pPr>
            <w:r>
              <w:rPr>
                <w:noProof/>
                <w:sz w:val="18"/>
              </w:rPr>
              <w:t>Engagements</w:t>
            </w:r>
          </w:p>
        </w:tc>
        <w:tc>
          <w:tcPr>
            <w:tcW w:w="540" w:type="dxa"/>
            <w:vAlign w:val="center"/>
          </w:tcPr>
          <w:p>
            <w:pPr>
              <w:spacing w:before="20" w:after="20"/>
              <w:jc w:val="center"/>
              <w:rPr>
                <w:noProof/>
                <w:sz w:val="14"/>
              </w:rPr>
            </w:pPr>
            <w:r>
              <w:rPr>
                <w:noProof/>
                <w:sz w:val="14"/>
              </w:rPr>
              <w:t>(1)</w:t>
            </w:r>
          </w:p>
        </w:tc>
        <w:tc>
          <w:tcPr>
            <w:tcW w:w="990" w:type="dxa"/>
            <w:vAlign w:val="center"/>
          </w:tcPr>
          <w:p>
            <w:pPr>
              <w:spacing w:before="20" w:after="20"/>
              <w:jc w:val="right"/>
              <w:rPr>
                <w:noProof/>
                <w:sz w:val="20"/>
              </w:rPr>
            </w:pPr>
          </w:p>
        </w:tc>
        <w:tc>
          <w:tcPr>
            <w:tcW w:w="990" w:type="dxa"/>
            <w:vAlign w:val="center"/>
          </w:tcPr>
          <w:p>
            <w:pPr>
              <w:spacing w:before="20" w:after="20"/>
              <w:jc w:val="right"/>
              <w:rPr>
                <w:noProof/>
                <w:sz w:val="20"/>
              </w:rPr>
            </w:pPr>
            <w:r>
              <w:rPr>
                <w:noProof/>
                <w:color w:val="000000"/>
                <w:sz w:val="20"/>
                <w:szCs w:val="20"/>
              </w:rPr>
              <w:t>394,553</w:t>
            </w:r>
          </w:p>
        </w:tc>
        <w:tc>
          <w:tcPr>
            <w:tcW w:w="990" w:type="dxa"/>
            <w:vAlign w:val="center"/>
          </w:tcPr>
          <w:p>
            <w:pPr>
              <w:spacing w:before="20" w:after="20"/>
              <w:jc w:val="right"/>
              <w:rPr>
                <w:noProof/>
                <w:sz w:val="20"/>
              </w:rPr>
            </w:pPr>
            <w:r>
              <w:rPr>
                <w:noProof/>
                <w:color w:val="000000"/>
                <w:sz w:val="20"/>
                <w:szCs w:val="20"/>
              </w:rPr>
              <w:t>418,135</w:t>
            </w:r>
          </w:p>
        </w:tc>
        <w:tc>
          <w:tcPr>
            <w:tcW w:w="976" w:type="dxa"/>
            <w:vAlign w:val="center"/>
          </w:tcPr>
          <w:p>
            <w:pPr>
              <w:spacing w:before="20" w:after="20"/>
              <w:jc w:val="right"/>
              <w:rPr>
                <w:noProof/>
                <w:sz w:val="20"/>
              </w:rPr>
            </w:pPr>
            <w:r>
              <w:rPr>
                <w:noProof/>
                <w:color w:val="000000"/>
                <w:sz w:val="20"/>
                <w:szCs w:val="20"/>
              </w:rPr>
              <w:t>212,937</w:t>
            </w:r>
          </w:p>
        </w:tc>
        <w:tc>
          <w:tcPr>
            <w:tcW w:w="1004" w:type="dxa"/>
            <w:vAlign w:val="center"/>
          </w:tcPr>
          <w:p>
            <w:pPr>
              <w:spacing w:before="20" w:after="20"/>
              <w:jc w:val="right"/>
              <w:rPr>
                <w:noProof/>
                <w:sz w:val="20"/>
              </w:rPr>
            </w:pPr>
            <w:r>
              <w:rPr>
                <w:noProof/>
                <w:color w:val="000000"/>
                <w:sz w:val="20"/>
                <w:szCs w:val="20"/>
              </w:rPr>
              <w:t>222,619</w:t>
            </w:r>
          </w:p>
        </w:tc>
        <w:tc>
          <w:tcPr>
            <w:tcW w:w="990" w:type="dxa"/>
            <w:vAlign w:val="center"/>
          </w:tcPr>
          <w:p>
            <w:pPr>
              <w:spacing w:before="20" w:after="20"/>
              <w:jc w:val="right"/>
              <w:rPr>
                <w:noProof/>
                <w:sz w:val="20"/>
              </w:rPr>
            </w:pPr>
            <w:r>
              <w:rPr>
                <w:noProof/>
                <w:color w:val="000000"/>
                <w:sz w:val="20"/>
                <w:szCs w:val="20"/>
              </w:rPr>
              <w:t>229,512</w:t>
            </w:r>
          </w:p>
        </w:tc>
        <w:tc>
          <w:tcPr>
            <w:tcW w:w="1031" w:type="dxa"/>
            <w:vAlign w:val="center"/>
          </w:tcPr>
          <w:p>
            <w:pPr>
              <w:spacing w:before="20" w:after="20"/>
              <w:jc w:val="right"/>
              <w:rPr>
                <w:b/>
                <w:noProof/>
                <w:sz w:val="20"/>
              </w:rPr>
            </w:pPr>
            <w:r>
              <w:rPr>
                <w:noProof/>
                <w:color w:val="000000"/>
                <w:sz w:val="20"/>
                <w:szCs w:val="20"/>
              </w:rPr>
              <w:t>231,272</w:t>
            </w:r>
          </w:p>
        </w:tc>
        <w:tc>
          <w:tcPr>
            <w:tcW w:w="992" w:type="dxa"/>
            <w:vAlign w:val="center"/>
          </w:tcPr>
          <w:p>
            <w:pPr>
              <w:spacing w:before="20" w:after="20"/>
              <w:jc w:val="right"/>
              <w:rPr>
                <w:b/>
                <w:noProof/>
                <w:sz w:val="20"/>
              </w:rPr>
            </w:pPr>
          </w:p>
        </w:tc>
        <w:tc>
          <w:tcPr>
            <w:tcW w:w="1127" w:type="dxa"/>
            <w:vAlign w:val="center"/>
          </w:tcPr>
          <w:p>
            <w:pPr>
              <w:spacing w:before="0" w:after="0"/>
              <w:jc w:val="right"/>
              <w:rPr>
                <w:b/>
                <w:bCs/>
                <w:noProof/>
                <w:color w:val="000000"/>
                <w:sz w:val="20"/>
                <w:szCs w:val="20"/>
              </w:rPr>
            </w:pPr>
            <w:r>
              <w:rPr>
                <w:b/>
                <w:bCs/>
                <w:noProof/>
                <w:color w:val="000000"/>
                <w:sz w:val="20"/>
                <w:szCs w:val="20"/>
              </w:rPr>
              <w:t>1 709,027</w:t>
            </w:r>
          </w:p>
        </w:tc>
      </w:tr>
      <w:tr>
        <w:tc>
          <w:tcPr>
            <w:tcW w:w="3780" w:type="dxa"/>
            <w:gridSpan w:val="2"/>
            <w:vMerge/>
          </w:tcPr>
          <w:p>
            <w:pPr>
              <w:jc w:val="center"/>
              <w:rPr>
                <w:noProof/>
                <w:sz w:val="20"/>
              </w:rPr>
            </w:pPr>
          </w:p>
        </w:tc>
        <w:tc>
          <w:tcPr>
            <w:tcW w:w="1260" w:type="dxa"/>
            <w:vAlign w:val="center"/>
          </w:tcPr>
          <w:p>
            <w:pPr>
              <w:spacing w:before="20" w:after="20"/>
              <w:rPr>
                <w:noProof/>
                <w:sz w:val="18"/>
              </w:rPr>
            </w:pPr>
            <w:r>
              <w:rPr>
                <w:noProof/>
                <w:sz w:val="18"/>
              </w:rPr>
              <w:t>Paiements</w:t>
            </w:r>
          </w:p>
        </w:tc>
        <w:tc>
          <w:tcPr>
            <w:tcW w:w="540" w:type="dxa"/>
            <w:vAlign w:val="center"/>
          </w:tcPr>
          <w:p>
            <w:pPr>
              <w:spacing w:before="20" w:after="20"/>
              <w:jc w:val="center"/>
              <w:rPr>
                <w:noProof/>
                <w:sz w:val="14"/>
              </w:rPr>
            </w:pPr>
            <w:r>
              <w:rPr>
                <w:noProof/>
                <w:sz w:val="14"/>
              </w:rPr>
              <w:t>(2)</w:t>
            </w:r>
          </w:p>
        </w:tc>
        <w:tc>
          <w:tcPr>
            <w:tcW w:w="990" w:type="dxa"/>
            <w:vAlign w:val="center"/>
          </w:tcPr>
          <w:p>
            <w:pPr>
              <w:spacing w:before="20" w:after="20"/>
              <w:jc w:val="right"/>
              <w:rPr>
                <w:noProof/>
                <w:sz w:val="20"/>
              </w:rPr>
            </w:pPr>
          </w:p>
        </w:tc>
        <w:tc>
          <w:tcPr>
            <w:tcW w:w="990" w:type="dxa"/>
            <w:vAlign w:val="center"/>
          </w:tcPr>
          <w:p>
            <w:pPr>
              <w:spacing w:before="20" w:after="20"/>
              <w:jc w:val="right"/>
              <w:rPr>
                <w:noProof/>
                <w:sz w:val="20"/>
              </w:rPr>
            </w:pPr>
            <w:r>
              <w:rPr>
                <w:noProof/>
                <w:color w:val="000000"/>
                <w:sz w:val="20"/>
                <w:szCs w:val="20"/>
              </w:rPr>
              <w:t>157,821</w:t>
            </w:r>
          </w:p>
        </w:tc>
        <w:tc>
          <w:tcPr>
            <w:tcW w:w="990" w:type="dxa"/>
            <w:vAlign w:val="center"/>
          </w:tcPr>
          <w:p>
            <w:pPr>
              <w:spacing w:before="20" w:after="20"/>
              <w:jc w:val="right"/>
              <w:rPr>
                <w:noProof/>
                <w:sz w:val="20"/>
              </w:rPr>
            </w:pPr>
            <w:r>
              <w:rPr>
                <w:noProof/>
                <w:color w:val="000000"/>
                <w:sz w:val="20"/>
                <w:szCs w:val="20"/>
              </w:rPr>
              <w:t>285,620</w:t>
            </w:r>
          </w:p>
        </w:tc>
        <w:tc>
          <w:tcPr>
            <w:tcW w:w="976" w:type="dxa"/>
            <w:vAlign w:val="center"/>
          </w:tcPr>
          <w:p>
            <w:pPr>
              <w:spacing w:before="20" w:after="20"/>
              <w:jc w:val="right"/>
              <w:rPr>
                <w:noProof/>
                <w:sz w:val="20"/>
              </w:rPr>
            </w:pPr>
            <w:r>
              <w:rPr>
                <w:noProof/>
                <w:color w:val="000000"/>
                <w:sz w:val="20"/>
                <w:szCs w:val="20"/>
              </w:rPr>
              <w:t>328,981</w:t>
            </w:r>
          </w:p>
        </w:tc>
        <w:tc>
          <w:tcPr>
            <w:tcW w:w="1004" w:type="dxa"/>
            <w:vAlign w:val="center"/>
          </w:tcPr>
          <w:p>
            <w:pPr>
              <w:spacing w:before="20" w:after="20"/>
              <w:jc w:val="right"/>
              <w:rPr>
                <w:noProof/>
                <w:sz w:val="20"/>
              </w:rPr>
            </w:pPr>
            <w:r>
              <w:rPr>
                <w:noProof/>
                <w:color w:val="000000"/>
                <w:sz w:val="20"/>
                <w:szCs w:val="20"/>
              </w:rPr>
              <w:t>278,369</w:t>
            </w:r>
          </w:p>
        </w:tc>
        <w:tc>
          <w:tcPr>
            <w:tcW w:w="990" w:type="dxa"/>
            <w:vAlign w:val="center"/>
          </w:tcPr>
          <w:p>
            <w:pPr>
              <w:spacing w:before="20" w:after="20"/>
              <w:jc w:val="right"/>
              <w:rPr>
                <w:noProof/>
                <w:sz w:val="20"/>
              </w:rPr>
            </w:pPr>
            <w:r>
              <w:rPr>
                <w:noProof/>
                <w:color w:val="000000"/>
                <w:sz w:val="20"/>
                <w:szCs w:val="20"/>
              </w:rPr>
              <w:t>222,471</w:t>
            </w:r>
          </w:p>
        </w:tc>
        <w:tc>
          <w:tcPr>
            <w:tcW w:w="1031" w:type="dxa"/>
            <w:vAlign w:val="center"/>
          </w:tcPr>
          <w:p>
            <w:pPr>
              <w:spacing w:before="20" w:after="20"/>
              <w:jc w:val="right"/>
              <w:rPr>
                <w:b/>
                <w:noProof/>
                <w:sz w:val="20"/>
              </w:rPr>
            </w:pPr>
            <w:r>
              <w:rPr>
                <w:noProof/>
                <w:color w:val="000000"/>
                <w:sz w:val="20"/>
                <w:szCs w:val="20"/>
              </w:rPr>
              <w:t>228,148</w:t>
            </w:r>
          </w:p>
        </w:tc>
        <w:tc>
          <w:tcPr>
            <w:tcW w:w="992" w:type="dxa"/>
            <w:vAlign w:val="center"/>
          </w:tcPr>
          <w:p>
            <w:pPr>
              <w:spacing w:before="20" w:after="20"/>
              <w:jc w:val="right"/>
              <w:rPr>
                <w:b/>
                <w:noProof/>
                <w:sz w:val="20"/>
              </w:rPr>
            </w:pPr>
            <w:r>
              <w:rPr>
                <w:noProof/>
                <w:color w:val="000000"/>
                <w:sz w:val="20"/>
                <w:szCs w:val="20"/>
              </w:rPr>
              <w:t>207,616</w:t>
            </w:r>
          </w:p>
        </w:tc>
        <w:tc>
          <w:tcPr>
            <w:tcW w:w="1127" w:type="dxa"/>
            <w:vAlign w:val="center"/>
          </w:tcPr>
          <w:p>
            <w:pPr>
              <w:spacing w:before="20" w:after="20"/>
              <w:jc w:val="right"/>
              <w:rPr>
                <w:b/>
                <w:noProof/>
                <w:sz w:val="20"/>
              </w:rPr>
            </w:pPr>
            <w:r>
              <w:rPr>
                <w:b/>
                <w:bCs/>
                <w:noProof/>
                <w:color w:val="000000"/>
                <w:sz w:val="20"/>
                <w:szCs w:val="20"/>
              </w:rPr>
              <w:t>1 709,027</w:t>
            </w:r>
          </w:p>
        </w:tc>
      </w:tr>
      <w:tr>
        <w:trPr>
          <w:trHeight w:val="231"/>
        </w:trPr>
        <w:tc>
          <w:tcPr>
            <w:tcW w:w="3720" w:type="dxa"/>
            <w:vAlign w:val="center"/>
          </w:tcPr>
          <w:p>
            <w:pPr>
              <w:spacing w:before="20" w:after="20"/>
              <w:rPr>
                <w:noProof/>
              </w:rPr>
            </w:pPr>
            <w:r>
              <w:rPr>
                <w:noProof/>
                <w:sz w:val="21"/>
              </w:rPr>
              <w:sym w:font="Wingdings" w:char="F09F"/>
            </w:r>
            <w:r>
              <w:rPr>
                <w:noProof/>
                <w:sz w:val="21"/>
              </w:rPr>
              <w:t>Crédits de nature administrative financés par l’enveloppe de certains programmes spécifiques</w:t>
            </w:r>
          </w:p>
        </w:tc>
        <w:tc>
          <w:tcPr>
            <w:tcW w:w="1320" w:type="dxa"/>
            <w:gridSpan w:val="2"/>
            <w:vAlign w:val="center"/>
          </w:tcPr>
          <w:p>
            <w:pPr>
              <w:spacing w:before="0" w:after="0"/>
              <w:rPr>
                <w:noProof/>
              </w:rPr>
            </w:pPr>
          </w:p>
        </w:tc>
        <w:tc>
          <w:tcPr>
            <w:tcW w:w="540" w:type="dxa"/>
            <w:vAlign w:val="center"/>
          </w:tcPr>
          <w:p>
            <w:pPr>
              <w:spacing w:before="20" w:after="20"/>
              <w:jc w:val="center"/>
              <w:rPr>
                <w:noProof/>
              </w:rPr>
            </w:pPr>
          </w:p>
        </w:tc>
        <w:tc>
          <w:tcPr>
            <w:tcW w:w="990" w:type="dxa"/>
            <w:vAlign w:val="center"/>
          </w:tcPr>
          <w:p>
            <w:pPr>
              <w:rPr>
                <w:b/>
                <w:noProof/>
                <w:sz w:val="20"/>
              </w:rPr>
            </w:pPr>
          </w:p>
        </w:tc>
        <w:tc>
          <w:tcPr>
            <w:tcW w:w="990" w:type="dxa"/>
            <w:vAlign w:val="center"/>
          </w:tcPr>
          <w:p>
            <w:pPr>
              <w:rPr>
                <w:b/>
                <w:noProof/>
                <w:sz w:val="20"/>
              </w:rPr>
            </w:pPr>
            <w:r>
              <w:rPr>
                <w:b/>
                <w:bCs/>
                <w:noProof/>
                <w:color w:val="000000"/>
                <w:sz w:val="20"/>
              </w:rPr>
              <w:t xml:space="preserve"> </w:t>
            </w:r>
          </w:p>
        </w:tc>
        <w:tc>
          <w:tcPr>
            <w:tcW w:w="990" w:type="dxa"/>
            <w:vAlign w:val="center"/>
          </w:tcPr>
          <w:p>
            <w:pPr>
              <w:rPr>
                <w:b/>
                <w:noProof/>
                <w:sz w:val="20"/>
              </w:rPr>
            </w:pPr>
            <w:r>
              <w:rPr>
                <w:b/>
                <w:bCs/>
                <w:noProof/>
                <w:color w:val="000000"/>
                <w:sz w:val="20"/>
              </w:rPr>
              <w:t xml:space="preserve"> </w:t>
            </w:r>
          </w:p>
        </w:tc>
        <w:tc>
          <w:tcPr>
            <w:tcW w:w="976" w:type="dxa"/>
            <w:vAlign w:val="center"/>
          </w:tcPr>
          <w:p>
            <w:pPr>
              <w:rPr>
                <w:b/>
                <w:noProof/>
                <w:sz w:val="20"/>
              </w:rPr>
            </w:pPr>
            <w:r>
              <w:rPr>
                <w:b/>
                <w:bCs/>
                <w:noProof/>
                <w:color w:val="000000"/>
                <w:sz w:val="20"/>
              </w:rPr>
              <w:t xml:space="preserve"> </w:t>
            </w:r>
          </w:p>
        </w:tc>
        <w:tc>
          <w:tcPr>
            <w:tcW w:w="1004" w:type="dxa"/>
            <w:vAlign w:val="center"/>
          </w:tcPr>
          <w:p>
            <w:pPr>
              <w:rPr>
                <w:b/>
                <w:noProof/>
                <w:sz w:val="20"/>
              </w:rPr>
            </w:pPr>
            <w:r>
              <w:rPr>
                <w:b/>
                <w:bCs/>
                <w:noProof/>
                <w:color w:val="000000"/>
                <w:sz w:val="20"/>
              </w:rPr>
              <w:t xml:space="preserve"> </w:t>
            </w:r>
          </w:p>
        </w:tc>
        <w:tc>
          <w:tcPr>
            <w:tcW w:w="990" w:type="dxa"/>
            <w:vAlign w:val="center"/>
          </w:tcPr>
          <w:p>
            <w:pPr>
              <w:rPr>
                <w:b/>
                <w:noProof/>
                <w:sz w:val="20"/>
              </w:rPr>
            </w:pPr>
            <w:r>
              <w:rPr>
                <w:b/>
                <w:bCs/>
                <w:noProof/>
                <w:color w:val="000000"/>
                <w:sz w:val="20"/>
              </w:rPr>
              <w:t xml:space="preserve"> </w:t>
            </w:r>
          </w:p>
        </w:tc>
        <w:tc>
          <w:tcPr>
            <w:tcW w:w="1031" w:type="dxa"/>
            <w:vAlign w:val="center"/>
          </w:tcPr>
          <w:p>
            <w:pPr>
              <w:rPr>
                <w:b/>
                <w:noProof/>
                <w:sz w:val="20"/>
              </w:rPr>
            </w:pPr>
            <w:r>
              <w:rPr>
                <w:b/>
                <w:bCs/>
                <w:noProof/>
                <w:color w:val="000000"/>
                <w:sz w:val="20"/>
              </w:rPr>
              <w:t xml:space="preserve"> </w:t>
            </w:r>
          </w:p>
        </w:tc>
        <w:tc>
          <w:tcPr>
            <w:tcW w:w="992" w:type="dxa"/>
            <w:vAlign w:val="center"/>
          </w:tcPr>
          <w:p>
            <w:pPr>
              <w:rPr>
                <w:b/>
                <w:noProof/>
                <w:sz w:val="20"/>
              </w:rPr>
            </w:pPr>
            <w:r>
              <w:rPr>
                <w:b/>
                <w:bCs/>
                <w:noProof/>
                <w:color w:val="000000"/>
                <w:sz w:val="20"/>
              </w:rPr>
              <w:t xml:space="preserve"> </w:t>
            </w:r>
          </w:p>
        </w:tc>
        <w:tc>
          <w:tcPr>
            <w:tcW w:w="1127" w:type="dxa"/>
            <w:vAlign w:val="center"/>
          </w:tcPr>
          <w:p>
            <w:pPr>
              <w:spacing w:before="0" w:after="0"/>
              <w:jc w:val="right"/>
              <w:rPr>
                <w:b/>
                <w:noProof/>
                <w:sz w:val="20"/>
              </w:rPr>
            </w:pPr>
            <w:r>
              <w:rPr>
                <w:b/>
                <w:bCs/>
                <w:noProof/>
                <w:color w:val="000000"/>
                <w:sz w:val="20"/>
              </w:rPr>
              <w:t xml:space="preserve"> </w:t>
            </w:r>
          </w:p>
        </w:tc>
      </w:tr>
      <w:tr>
        <w:trPr>
          <w:trHeight w:val="319"/>
        </w:trPr>
        <w:tc>
          <w:tcPr>
            <w:tcW w:w="3780" w:type="dxa"/>
            <w:gridSpan w:val="2"/>
            <w:vAlign w:val="center"/>
          </w:tcPr>
          <w:p>
            <w:pPr>
              <w:spacing w:before="60" w:after="60"/>
              <w:rPr>
                <w:noProof/>
              </w:rPr>
            </w:pPr>
            <w:r>
              <w:rPr>
                <w:noProof/>
                <w:sz w:val="20"/>
              </w:rPr>
              <w:t>01 01 — Dépenses d’appui</w:t>
            </w:r>
          </w:p>
        </w:tc>
        <w:tc>
          <w:tcPr>
            <w:tcW w:w="1260" w:type="dxa"/>
            <w:vAlign w:val="center"/>
          </w:tcPr>
          <w:p>
            <w:pPr>
              <w:spacing w:before="40" w:after="40"/>
              <w:jc w:val="right"/>
              <w:rPr>
                <w:noProof/>
                <w:sz w:val="18"/>
              </w:rPr>
            </w:pPr>
            <w:r>
              <w:rPr>
                <w:noProof/>
                <w:sz w:val="18"/>
              </w:rPr>
              <w:t>Engagements = Paiements</w:t>
            </w:r>
          </w:p>
        </w:tc>
        <w:tc>
          <w:tcPr>
            <w:tcW w:w="540" w:type="dxa"/>
            <w:vAlign w:val="center"/>
          </w:tcPr>
          <w:p>
            <w:pPr>
              <w:spacing w:before="40" w:after="40"/>
              <w:jc w:val="center"/>
              <w:rPr>
                <w:noProof/>
                <w:sz w:val="14"/>
              </w:rPr>
            </w:pPr>
            <w:r>
              <w:rPr>
                <w:noProof/>
                <w:sz w:val="14"/>
              </w:rPr>
              <w:t>(3)</w:t>
            </w:r>
          </w:p>
        </w:tc>
        <w:tc>
          <w:tcPr>
            <w:tcW w:w="990" w:type="dxa"/>
            <w:vAlign w:val="center"/>
          </w:tcPr>
          <w:p>
            <w:pPr>
              <w:spacing w:before="40" w:after="40"/>
              <w:jc w:val="right"/>
              <w:rPr>
                <w:noProof/>
                <w:sz w:val="20"/>
              </w:rPr>
            </w:pPr>
          </w:p>
        </w:tc>
        <w:tc>
          <w:tcPr>
            <w:tcW w:w="990" w:type="dxa"/>
            <w:vAlign w:val="center"/>
          </w:tcPr>
          <w:p>
            <w:pPr>
              <w:spacing w:before="40" w:after="40"/>
              <w:jc w:val="center"/>
              <w:rPr>
                <w:b/>
                <w:noProof/>
                <w:sz w:val="20"/>
              </w:rPr>
            </w:pPr>
            <w:r>
              <w:rPr>
                <w:noProof/>
                <w:sz w:val="20"/>
              </w:rPr>
              <w:t>p.m.</w:t>
            </w:r>
          </w:p>
        </w:tc>
        <w:tc>
          <w:tcPr>
            <w:tcW w:w="990" w:type="dxa"/>
            <w:vAlign w:val="center"/>
          </w:tcPr>
          <w:p>
            <w:pPr>
              <w:spacing w:before="40" w:after="40"/>
              <w:jc w:val="center"/>
              <w:rPr>
                <w:b/>
                <w:noProof/>
                <w:sz w:val="20"/>
              </w:rPr>
            </w:pPr>
            <w:r>
              <w:rPr>
                <w:noProof/>
                <w:sz w:val="20"/>
              </w:rPr>
              <w:t>p.m.</w:t>
            </w:r>
          </w:p>
        </w:tc>
        <w:tc>
          <w:tcPr>
            <w:tcW w:w="976" w:type="dxa"/>
            <w:vAlign w:val="center"/>
          </w:tcPr>
          <w:p>
            <w:pPr>
              <w:spacing w:before="40" w:after="40"/>
              <w:jc w:val="center"/>
              <w:rPr>
                <w:b/>
                <w:noProof/>
                <w:sz w:val="20"/>
              </w:rPr>
            </w:pPr>
            <w:r>
              <w:rPr>
                <w:noProof/>
                <w:sz w:val="20"/>
              </w:rPr>
              <w:t>p.m.</w:t>
            </w:r>
          </w:p>
        </w:tc>
        <w:tc>
          <w:tcPr>
            <w:tcW w:w="1004" w:type="dxa"/>
            <w:vAlign w:val="center"/>
          </w:tcPr>
          <w:p>
            <w:pPr>
              <w:spacing w:before="40" w:after="40"/>
              <w:jc w:val="center"/>
              <w:rPr>
                <w:b/>
                <w:noProof/>
                <w:sz w:val="20"/>
              </w:rPr>
            </w:pPr>
            <w:r>
              <w:rPr>
                <w:noProof/>
                <w:sz w:val="20"/>
              </w:rPr>
              <w:t>p.m.</w:t>
            </w:r>
          </w:p>
        </w:tc>
        <w:tc>
          <w:tcPr>
            <w:tcW w:w="990" w:type="dxa"/>
            <w:vAlign w:val="center"/>
          </w:tcPr>
          <w:p>
            <w:pPr>
              <w:spacing w:before="40" w:after="40"/>
              <w:jc w:val="center"/>
              <w:rPr>
                <w:b/>
                <w:noProof/>
                <w:sz w:val="20"/>
              </w:rPr>
            </w:pPr>
            <w:r>
              <w:rPr>
                <w:noProof/>
                <w:sz w:val="20"/>
              </w:rPr>
              <w:t>p.m.</w:t>
            </w:r>
          </w:p>
        </w:tc>
        <w:tc>
          <w:tcPr>
            <w:tcW w:w="1031" w:type="dxa"/>
            <w:vAlign w:val="center"/>
          </w:tcPr>
          <w:p>
            <w:pPr>
              <w:spacing w:before="40" w:after="40"/>
              <w:jc w:val="center"/>
              <w:rPr>
                <w:b/>
                <w:noProof/>
                <w:sz w:val="20"/>
              </w:rPr>
            </w:pPr>
            <w:r>
              <w:rPr>
                <w:noProof/>
                <w:sz w:val="20"/>
              </w:rPr>
              <w:t>p.m.</w:t>
            </w:r>
          </w:p>
        </w:tc>
        <w:tc>
          <w:tcPr>
            <w:tcW w:w="992" w:type="dxa"/>
            <w:vAlign w:val="center"/>
          </w:tcPr>
          <w:p>
            <w:pPr>
              <w:spacing w:before="40" w:after="40"/>
              <w:jc w:val="center"/>
              <w:rPr>
                <w:b/>
                <w:noProof/>
                <w:sz w:val="20"/>
              </w:rPr>
            </w:pPr>
          </w:p>
        </w:tc>
        <w:tc>
          <w:tcPr>
            <w:tcW w:w="1127" w:type="dxa"/>
            <w:vAlign w:val="center"/>
          </w:tcPr>
          <w:p>
            <w:pPr>
              <w:spacing w:before="40" w:after="40"/>
              <w:jc w:val="center"/>
              <w:rPr>
                <w:b/>
                <w:noProof/>
                <w:sz w:val="20"/>
              </w:rPr>
            </w:pPr>
            <w:r>
              <w:rPr>
                <w:b/>
                <w:noProof/>
                <w:sz w:val="20"/>
              </w:rPr>
              <w:t>p.m.</w:t>
            </w:r>
          </w:p>
        </w:tc>
      </w:tr>
      <w:tr>
        <w:tc>
          <w:tcPr>
            <w:tcW w:w="3780" w:type="dxa"/>
            <w:gridSpan w:val="2"/>
            <w:vMerge w:val="restart"/>
            <w:vAlign w:val="center"/>
          </w:tcPr>
          <w:p>
            <w:pPr>
              <w:jc w:val="center"/>
              <w:rPr>
                <w:b/>
                <w:noProof/>
              </w:rPr>
            </w:pPr>
            <w:r>
              <w:rPr>
                <w:b/>
                <w:noProof/>
                <w:sz w:val="22"/>
              </w:rPr>
              <w:t>TOTAL des crédits</w:t>
            </w:r>
            <w:r>
              <w:rPr>
                <w:noProof/>
              </w:rPr>
              <w:t xml:space="preserve"> </w:t>
            </w:r>
            <w:r>
              <w:rPr>
                <w:noProof/>
              </w:rPr>
              <w:br/>
            </w:r>
            <w:r>
              <w:rPr>
                <w:b/>
                <w:noProof/>
                <w:sz w:val="22"/>
              </w:rPr>
              <w:t>des procédures budgétaires pour l’enveloppe du programme</w:t>
            </w:r>
          </w:p>
        </w:tc>
        <w:tc>
          <w:tcPr>
            <w:tcW w:w="1260" w:type="dxa"/>
            <w:vAlign w:val="center"/>
          </w:tcPr>
          <w:p>
            <w:pPr>
              <w:rPr>
                <w:noProof/>
                <w:sz w:val="18"/>
              </w:rPr>
            </w:pPr>
            <w:r>
              <w:rPr>
                <w:noProof/>
                <w:sz w:val="18"/>
              </w:rPr>
              <w:t>Engagements</w:t>
            </w:r>
          </w:p>
        </w:tc>
        <w:tc>
          <w:tcPr>
            <w:tcW w:w="540" w:type="dxa"/>
            <w:vAlign w:val="center"/>
          </w:tcPr>
          <w:p>
            <w:pPr>
              <w:jc w:val="center"/>
              <w:rPr>
                <w:noProof/>
                <w:sz w:val="14"/>
              </w:rPr>
            </w:pPr>
            <w:r>
              <w:rPr>
                <w:noProof/>
                <w:sz w:val="14"/>
              </w:rPr>
              <w:t>=1+1a +3</w:t>
            </w:r>
          </w:p>
        </w:tc>
        <w:tc>
          <w:tcPr>
            <w:tcW w:w="990" w:type="dxa"/>
            <w:vAlign w:val="center"/>
          </w:tcPr>
          <w:p>
            <w:pPr>
              <w:spacing w:before="20" w:after="20"/>
              <w:jc w:val="right"/>
              <w:rPr>
                <w:noProof/>
                <w:sz w:val="20"/>
              </w:rPr>
            </w:pPr>
          </w:p>
        </w:tc>
        <w:tc>
          <w:tcPr>
            <w:tcW w:w="990" w:type="dxa"/>
            <w:vAlign w:val="center"/>
          </w:tcPr>
          <w:p>
            <w:pPr>
              <w:spacing w:before="20" w:after="20"/>
              <w:jc w:val="right"/>
              <w:rPr>
                <w:noProof/>
                <w:sz w:val="20"/>
              </w:rPr>
            </w:pPr>
            <w:r>
              <w:rPr>
                <w:noProof/>
                <w:color w:val="000000"/>
                <w:sz w:val="20"/>
                <w:szCs w:val="20"/>
              </w:rPr>
              <w:t>394,553</w:t>
            </w:r>
          </w:p>
        </w:tc>
        <w:tc>
          <w:tcPr>
            <w:tcW w:w="990" w:type="dxa"/>
            <w:vAlign w:val="center"/>
          </w:tcPr>
          <w:p>
            <w:pPr>
              <w:spacing w:before="20" w:after="20"/>
              <w:jc w:val="right"/>
              <w:rPr>
                <w:noProof/>
                <w:sz w:val="20"/>
              </w:rPr>
            </w:pPr>
            <w:r>
              <w:rPr>
                <w:noProof/>
                <w:color w:val="000000"/>
                <w:sz w:val="20"/>
                <w:szCs w:val="20"/>
              </w:rPr>
              <w:t>418,135</w:t>
            </w:r>
          </w:p>
        </w:tc>
        <w:tc>
          <w:tcPr>
            <w:tcW w:w="976" w:type="dxa"/>
            <w:vAlign w:val="center"/>
          </w:tcPr>
          <w:p>
            <w:pPr>
              <w:spacing w:before="20" w:after="20"/>
              <w:jc w:val="right"/>
              <w:rPr>
                <w:noProof/>
                <w:sz w:val="20"/>
              </w:rPr>
            </w:pPr>
            <w:r>
              <w:rPr>
                <w:noProof/>
                <w:color w:val="000000"/>
                <w:sz w:val="20"/>
                <w:szCs w:val="20"/>
              </w:rPr>
              <w:t>212,937</w:t>
            </w:r>
          </w:p>
        </w:tc>
        <w:tc>
          <w:tcPr>
            <w:tcW w:w="1004" w:type="dxa"/>
            <w:vAlign w:val="center"/>
          </w:tcPr>
          <w:p>
            <w:pPr>
              <w:spacing w:before="20" w:after="20"/>
              <w:jc w:val="right"/>
              <w:rPr>
                <w:noProof/>
                <w:sz w:val="20"/>
              </w:rPr>
            </w:pPr>
            <w:r>
              <w:rPr>
                <w:noProof/>
                <w:color w:val="000000"/>
                <w:sz w:val="20"/>
                <w:szCs w:val="20"/>
              </w:rPr>
              <w:t>222,619</w:t>
            </w:r>
          </w:p>
        </w:tc>
        <w:tc>
          <w:tcPr>
            <w:tcW w:w="990" w:type="dxa"/>
            <w:vAlign w:val="center"/>
          </w:tcPr>
          <w:p>
            <w:pPr>
              <w:spacing w:before="20" w:after="20"/>
              <w:jc w:val="right"/>
              <w:rPr>
                <w:noProof/>
                <w:sz w:val="20"/>
              </w:rPr>
            </w:pPr>
            <w:r>
              <w:rPr>
                <w:noProof/>
                <w:color w:val="000000"/>
                <w:sz w:val="20"/>
                <w:szCs w:val="20"/>
              </w:rPr>
              <w:t>229,512</w:t>
            </w:r>
          </w:p>
        </w:tc>
        <w:tc>
          <w:tcPr>
            <w:tcW w:w="1031" w:type="dxa"/>
            <w:vAlign w:val="center"/>
          </w:tcPr>
          <w:p>
            <w:pPr>
              <w:spacing w:before="20" w:after="20"/>
              <w:jc w:val="right"/>
              <w:rPr>
                <w:b/>
                <w:noProof/>
                <w:sz w:val="20"/>
              </w:rPr>
            </w:pPr>
            <w:r>
              <w:rPr>
                <w:noProof/>
                <w:color w:val="000000"/>
                <w:sz w:val="20"/>
                <w:szCs w:val="20"/>
              </w:rPr>
              <w:t>231,272</w:t>
            </w:r>
          </w:p>
        </w:tc>
        <w:tc>
          <w:tcPr>
            <w:tcW w:w="992" w:type="dxa"/>
            <w:vAlign w:val="center"/>
          </w:tcPr>
          <w:p>
            <w:pPr>
              <w:spacing w:before="20" w:after="20"/>
              <w:jc w:val="right"/>
              <w:rPr>
                <w:b/>
                <w:noProof/>
                <w:sz w:val="20"/>
              </w:rPr>
            </w:pPr>
          </w:p>
        </w:tc>
        <w:tc>
          <w:tcPr>
            <w:tcW w:w="1127" w:type="dxa"/>
            <w:vAlign w:val="center"/>
          </w:tcPr>
          <w:p>
            <w:pPr>
              <w:spacing w:before="20" w:after="20"/>
              <w:jc w:val="right"/>
              <w:rPr>
                <w:b/>
                <w:noProof/>
                <w:sz w:val="20"/>
              </w:rPr>
            </w:pPr>
            <w:r>
              <w:rPr>
                <w:b/>
                <w:bCs/>
                <w:noProof/>
                <w:color w:val="000000"/>
                <w:sz w:val="20"/>
                <w:szCs w:val="20"/>
              </w:rPr>
              <w:t>1 709,027</w:t>
            </w:r>
          </w:p>
        </w:tc>
      </w:tr>
      <w:tr>
        <w:tc>
          <w:tcPr>
            <w:tcW w:w="3780" w:type="dxa"/>
            <w:gridSpan w:val="2"/>
            <w:vMerge/>
          </w:tcPr>
          <w:p>
            <w:pPr>
              <w:rPr>
                <w:noProof/>
                <w:sz w:val="20"/>
              </w:rPr>
            </w:pPr>
          </w:p>
        </w:tc>
        <w:tc>
          <w:tcPr>
            <w:tcW w:w="1260" w:type="dxa"/>
            <w:vAlign w:val="center"/>
          </w:tcPr>
          <w:p>
            <w:pPr>
              <w:rPr>
                <w:noProof/>
                <w:sz w:val="18"/>
              </w:rPr>
            </w:pPr>
            <w:r>
              <w:rPr>
                <w:noProof/>
                <w:sz w:val="18"/>
              </w:rPr>
              <w:t>Paiements</w:t>
            </w:r>
          </w:p>
        </w:tc>
        <w:tc>
          <w:tcPr>
            <w:tcW w:w="540" w:type="dxa"/>
            <w:vAlign w:val="center"/>
          </w:tcPr>
          <w:p>
            <w:pPr>
              <w:jc w:val="center"/>
              <w:rPr>
                <w:noProof/>
                <w:sz w:val="14"/>
              </w:rPr>
            </w:pPr>
            <w:r>
              <w:rPr>
                <w:noProof/>
                <w:sz w:val="14"/>
              </w:rPr>
              <w:t>=2+2a</w:t>
            </w:r>
          </w:p>
          <w:p>
            <w:pPr>
              <w:jc w:val="center"/>
              <w:rPr>
                <w:noProof/>
                <w:sz w:val="14"/>
              </w:rPr>
            </w:pPr>
            <w:r>
              <w:rPr>
                <w:noProof/>
                <w:sz w:val="14"/>
              </w:rPr>
              <w:t>+3</w:t>
            </w:r>
          </w:p>
        </w:tc>
        <w:tc>
          <w:tcPr>
            <w:tcW w:w="990" w:type="dxa"/>
            <w:vAlign w:val="center"/>
          </w:tcPr>
          <w:p>
            <w:pPr>
              <w:spacing w:before="20" w:after="20"/>
              <w:jc w:val="right"/>
              <w:rPr>
                <w:noProof/>
                <w:sz w:val="20"/>
              </w:rPr>
            </w:pPr>
          </w:p>
        </w:tc>
        <w:tc>
          <w:tcPr>
            <w:tcW w:w="990" w:type="dxa"/>
            <w:vAlign w:val="center"/>
          </w:tcPr>
          <w:p>
            <w:pPr>
              <w:spacing w:before="20" w:after="20"/>
              <w:jc w:val="right"/>
              <w:rPr>
                <w:noProof/>
                <w:sz w:val="20"/>
              </w:rPr>
            </w:pPr>
            <w:r>
              <w:rPr>
                <w:noProof/>
                <w:color w:val="000000"/>
                <w:sz w:val="20"/>
                <w:szCs w:val="20"/>
              </w:rPr>
              <w:t>157,821</w:t>
            </w:r>
          </w:p>
        </w:tc>
        <w:tc>
          <w:tcPr>
            <w:tcW w:w="990" w:type="dxa"/>
            <w:vAlign w:val="center"/>
          </w:tcPr>
          <w:p>
            <w:pPr>
              <w:spacing w:before="20" w:after="20"/>
              <w:jc w:val="right"/>
              <w:rPr>
                <w:noProof/>
                <w:sz w:val="20"/>
              </w:rPr>
            </w:pPr>
            <w:r>
              <w:rPr>
                <w:noProof/>
                <w:color w:val="000000"/>
                <w:sz w:val="20"/>
                <w:szCs w:val="20"/>
              </w:rPr>
              <w:t>285,620</w:t>
            </w:r>
          </w:p>
        </w:tc>
        <w:tc>
          <w:tcPr>
            <w:tcW w:w="976" w:type="dxa"/>
            <w:vAlign w:val="center"/>
          </w:tcPr>
          <w:p>
            <w:pPr>
              <w:spacing w:before="20" w:after="20"/>
              <w:jc w:val="right"/>
              <w:rPr>
                <w:noProof/>
                <w:sz w:val="20"/>
              </w:rPr>
            </w:pPr>
            <w:r>
              <w:rPr>
                <w:noProof/>
                <w:color w:val="000000"/>
                <w:sz w:val="20"/>
                <w:szCs w:val="20"/>
              </w:rPr>
              <w:t>328,981</w:t>
            </w:r>
          </w:p>
        </w:tc>
        <w:tc>
          <w:tcPr>
            <w:tcW w:w="1004" w:type="dxa"/>
            <w:vAlign w:val="center"/>
          </w:tcPr>
          <w:p>
            <w:pPr>
              <w:spacing w:before="20" w:after="20"/>
              <w:jc w:val="right"/>
              <w:rPr>
                <w:noProof/>
                <w:sz w:val="20"/>
              </w:rPr>
            </w:pPr>
            <w:r>
              <w:rPr>
                <w:noProof/>
                <w:color w:val="000000"/>
                <w:sz w:val="20"/>
                <w:szCs w:val="20"/>
              </w:rPr>
              <w:t>278,369</w:t>
            </w:r>
          </w:p>
        </w:tc>
        <w:tc>
          <w:tcPr>
            <w:tcW w:w="990" w:type="dxa"/>
            <w:vAlign w:val="center"/>
          </w:tcPr>
          <w:p>
            <w:pPr>
              <w:spacing w:before="20" w:after="20"/>
              <w:jc w:val="right"/>
              <w:rPr>
                <w:noProof/>
                <w:sz w:val="20"/>
              </w:rPr>
            </w:pPr>
            <w:r>
              <w:rPr>
                <w:noProof/>
                <w:color w:val="000000"/>
                <w:sz w:val="20"/>
                <w:szCs w:val="20"/>
              </w:rPr>
              <w:t>222,471</w:t>
            </w:r>
          </w:p>
        </w:tc>
        <w:tc>
          <w:tcPr>
            <w:tcW w:w="1031" w:type="dxa"/>
            <w:vAlign w:val="center"/>
          </w:tcPr>
          <w:p>
            <w:pPr>
              <w:spacing w:before="20" w:after="20"/>
              <w:jc w:val="right"/>
              <w:rPr>
                <w:b/>
                <w:noProof/>
                <w:sz w:val="20"/>
              </w:rPr>
            </w:pPr>
            <w:r>
              <w:rPr>
                <w:noProof/>
                <w:color w:val="000000"/>
                <w:sz w:val="20"/>
                <w:szCs w:val="20"/>
              </w:rPr>
              <w:t>228,148</w:t>
            </w:r>
          </w:p>
        </w:tc>
        <w:tc>
          <w:tcPr>
            <w:tcW w:w="992" w:type="dxa"/>
            <w:vAlign w:val="center"/>
          </w:tcPr>
          <w:p>
            <w:pPr>
              <w:spacing w:before="20" w:after="20"/>
              <w:jc w:val="right"/>
              <w:rPr>
                <w:b/>
                <w:noProof/>
                <w:sz w:val="20"/>
              </w:rPr>
            </w:pPr>
            <w:r>
              <w:rPr>
                <w:noProof/>
                <w:color w:val="000000"/>
                <w:sz w:val="20"/>
                <w:szCs w:val="20"/>
              </w:rPr>
              <w:t>207,616</w:t>
            </w:r>
          </w:p>
        </w:tc>
        <w:tc>
          <w:tcPr>
            <w:tcW w:w="1127" w:type="dxa"/>
            <w:vAlign w:val="center"/>
          </w:tcPr>
          <w:p>
            <w:pPr>
              <w:spacing w:before="20" w:after="20"/>
              <w:jc w:val="right"/>
              <w:rPr>
                <w:b/>
                <w:noProof/>
                <w:sz w:val="20"/>
              </w:rPr>
            </w:pPr>
            <w:r>
              <w:rPr>
                <w:b/>
                <w:bCs/>
                <w:noProof/>
                <w:color w:val="000000"/>
                <w:sz w:val="20"/>
                <w:szCs w:val="20"/>
              </w:rPr>
              <w:t>1 709,027</w:t>
            </w:r>
          </w:p>
        </w:tc>
      </w:tr>
    </w:tbl>
    <w:p>
      <w:pPr>
        <w:rPr>
          <w:noProof/>
        </w:rPr>
      </w:pPr>
    </w:p>
    <w:p>
      <w:pPr>
        <w:rPr>
          <w:noProof/>
        </w:rPr>
      </w:pPr>
    </w:p>
    <w:p>
      <w:pPr>
        <w:jc w:val="right"/>
        <w:rPr>
          <w:noProof/>
        </w:rPr>
      </w:pPr>
      <w:r>
        <w:rPr>
          <w:i/>
          <w:noProof/>
        </w:rPr>
        <w:t>En Mio EUR (à la 3</w:t>
      </w:r>
      <w:r>
        <w:rPr>
          <w:i/>
          <w:noProof/>
          <w:vertAlign w:val="superscript"/>
        </w:rPr>
        <w:t>e</w:t>
      </w:r>
      <w:r>
        <w:rPr>
          <w:i/>
          <w:noProof/>
        </w:rPr>
        <w:t xml:space="preserve">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Rubrique du cadre financier</w:t>
            </w:r>
            <w:r>
              <w:rPr>
                <w:noProof/>
              </w:rPr>
              <w:t xml:space="preserve"> </w:t>
            </w:r>
            <w:r>
              <w:rPr>
                <w:noProof/>
              </w:rPr>
              <w:br/>
            </w:r>
            <w:r>
              <w:rPr>
                <w:b/>
                <w:noProof/>
                <w:sz w:val="22"/>
              </w:rPr>
              <w:t xml:space="preserve">pluriannuel </w:t>
            </w:r>
          </w:p>
        </w:tc>
        <w:tc>
          <w:tcPr>
            <w:tcW w:w="1080" w:type="dxa"/>
            <w:vAlign w:val="center"/>
          </w:tcPr>
          <w:p>
            <w:pPr>
              <w:spacing w:before="60" w:after="60"/>
              <w:jc w:val="center"/>
              <w:rPr>
                <w:noProof/>
              </w:rPr>
            </w:pPr>
            <w:r>
              <w:rPr>
                <w:b/>
                <w:noProof/>
                <w:sz w:val="22"/>
              </w:rPr>
              <w:t>2b</w:t>
            </w:r>
          </w:p>
        </w:tc>
        <w:tc>
          <w:tcPr>
            <w:tcW w:w="7817" w:type="dxa"/>
            <w:vAlign w:val="center"/>
          </w:tcPr>
          <w:p>
            <w:pPr>
              <w:spacing w:before="60" w:after="60"/>
              <w:rPr>
                <w:b/>
                <w:noProof/>
              </w:rPr>
            </w:pPr>
            <w:r>
              <w:rPr>
                <w:b/>
                <w:noProof/>
                <w:sz w:val="22"/>
              </w:rPr>
              <w:t>Résilience et valeurs</w:t>
            </w:r>
          </w:p>
        </w:tc>
      </w:tr>
    </w:tbl>
    <w:p>
      <w:pPr>
        <w:rPr>
          <w:noProof/>
        </w:rPr>
      </w:pPr>
    </w:p>
    <w:tbl>
      <w:tblPr>
        <w:tblW w:w="146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0"/>
        <w:gridCol w:w="60"/>
        <w:gridCol w:w="1260"/>
        <w:gridCol w:w="540"/>
        <w:gridCol w:w="990"/>
        <w:gridCol w:w="990"/>
        <w:gridCol w:w="990"/>
        <w:gridCol w:w="976"/>
        <w:gridCol w:w="1004"/>
        <w:gridCol w:w="990"/>
        <w:gridCol w:w="990"/>
        <w:gridCol w:w="1033"/>
        <w:gridCol w:w="1127"/>
      </w:tblGrid>
      <w:tr>
        <w:tc>
          <w:tcPr>
            <w:tcW w:w="3780" w:type="dxa"/>
            <w:gridSpan w:val="2"/>
            <w:vAlign w:val="center"/>
          </w:tcPr>
          <w:p>
            <w:pPr>
              <w:jc w:val="center"/>
              <w:rPr>
                <w:noProof/>
              </w:rPr>
            </w:pPr>
            <w:r>
              <w:rPr>
                <w:noProof/>
                <w:sz w:val="22"/>
              </w:rPr>
              <w:t>DG: SANTÉ</w:t>
            </w:r>
          </w:p>
        </w:tc>
        <w:tc>
          <w:tcPr>
            <w:tcW w:w="1260" w:type="dxa"/>
          </w:tcPr>
          <w:p>
            <w:pPr>
              <w:rPr>
                <w:noProof/>
                <w:sz w:val="20"/>
              </w:rPr>
            </w:pPr>
          </w:p>
        </w:tc>
        <w:tc>
          <w:tcPr>
            <w:tcW w:w="540" w:type="dxa"/>
          </w:tcPr>
          <w:p>
            <w:pPr>
              <w:jc w:val="center"/>
              <w:rPr>
                <w:noProof/>
                <w:sz w:val="20"/>
              </w:rPr>
            </w:pPr>
          </w:p>
        </w:tc>
        <w:tc>
          <w:tcPr>
            <w:tcW w:w="990" w:type="dxa"/>
            <w:vAlign w:val="center"/>
          </w:tcPr>
          <w:p>
            <w:pPr>
              <w:jc w:val="center"/>
              <w:rPr>
                <w:noProof/>
                <w:sz w:val="20"/>
              </w:rPr>
            </w:pPr>
            <w:r>
              <w:rPr>
                <w:b/>
                <w:noProof/>
                <w:sz w:val="20"/>
              </w:rPr>
              <w:t>2021</w:t>
            </w:r>
          </w:p>
        </w:tc>
        <w:tc>
          <w:tcPr>
            <w:tcW w:w="990" w:type="dxa"/>
            <w:vAlign w:val="center"/>
          </w:tcPr>
          <w:p>
            <w:pPr>
              <w:jc w:val="center"/>
              <w:rPr>
                <w:noProof/>
                <w:sz w:val="20"/>
              </w:rPr>
            </w:pPr>
            <w:r>
              <w:rPr>
                <w:b/>
                <w:noProof/>
                <w:sz w:val="20"/>
              </w:rPr>
              <w:t>2022</w:t>
            </w:r>
          </w:p>
        </w:tc>
        <w:tc>
          <w:tcPr>
            <w:tcW w:w="990" w:type="dxa"/>
            <w:vAlign w:val="center"/>
          </w:tcPr>
          <w:p>
            <w:pPr>
              <w:jc w:val="center"/>
              <w:rPr>
                <w:noProof/>
                <w:sz w:val="20"/>
              </w:rPr>
            </w:pPr>
            <w:r>
              <w:rPr>
                <w:b/>
                <w:noProof/>
                <w:sz w:val="20"/>
              </w:rPr>
              <w:t>2023</w:t>
            </w:r>
          </w:p>
        </w:tc>
        <w:tc>
          <w:tcPr>
            <w:tcW w:w="976" w:type="dxa"/>
            <w:vAlign w:val="center"/>
          </w:tcPr>
          <w:p>
            <w:pPr>
              <w:jc w:val="center"/>
              <w:rPr>
                <w:noProof/>
                <w:sz w:val="20"/>
              </w:rPr>
            </w:pPr>
            <w:r>
              <w:rPr>
                <w:b/>
                <w:noProof/>
                <w:sz w:val="20"/>
              </w:rPr>
              <w:t>2024</w:t>
            </w:r>
          </w:p>
        </w:tc>
        <w:tc>
          <w:tcPr>
            <w:tcW w:w="1004" w:type="dxa"/>
            <w:vAlign w:val="center"/>
          </w:tcPr>
          <w:p>
            <w:pPr>
              <w:jc w:val="center"/>
              <w:rPr>
                <w:b/>
                <w:noProof/>
                <w:sz w:val="18"/>
              </w:rPr>
            </w:pPr>
            <w:r>
              <w:rPr>
                <w:b/>
                <w:noProof/>
                <w:sz w:val="18"/>
              </w:rPr>
              <w:t>2025</w:t>
            </w:r>
          </w:p>
        </w:tc>
        <w:tc>
          <w:tcPr>
            <w:tcW w:w="990" w:type="dxa"/>
            <w:vAlign w:val="center"/>
          </w:tcPr>
          <w:p>
            <w:pPr>
              <w:jc w:val="center"/>
              <w:rPr>
                <w:b/>
                <w:noProof/>
                <w:sz w:val="18"/>
              </w:rPr>
            </w:pPr>
            <w:r>
              <w:rPr>
                <w:b/>
                <w:noProof/>
                <w:sz w:val="18"/>
              </w:rPr>
              <w:t>2026</w:t>
            </w:r>
          </w:p>
        </w:tc>
        <w:tc>
          <w:tcPr>
            <w:tcW w:w="990" w:type="dxa"/>
            <w:vAlign w:val="center"/>
          </w:tcPr>
          <w:p>
            <w:pPr>
              <w:jc w:val="center"/>
              <w:rPr>
                <w:b/>
                <w:noProof/>
                <w:sz w:val="18"/>
              </w:rPr>
            </w:pPr>
            <w:r>
              <w:rPr>
                <w:b/>
                <w:noProof/>
                <w:sz w:val="18"/>
              </w:rPr>
              <w:t>2027</w:t>
            </w:r>
          </w:p>
        </w:tc>
        <w:tc>
          <w:tcPr>
            <w:tcW w:w="1033" w:type="dxa"/>
          </w:tcPr>
          <w:p>
            <w:pPr>
              <w:jc w:val="center"/>
              <w:rPr>
                <w:b/>
                <w:noProof/>
                <w:sz w:val="20"/>
              </w:rPr>
            </w:pPr>
            <w:r>
              <w:rPr>
                <w:b/>
                <w:i/>
                <w:noProof/>
                <w:sz w:val="20"/>
              </w:rPr>
              <w:t>Après 2027</w:t>
            </w:r>
          </w:p>
        </w:tc>
        <w:tc>
          <w:tcPr>
            <w:tcW w:w="1127" w:type="dxa"/>
            <w:vAlign w:val="center"/>
          </w:tcPr>
          <w:p>
            <w:pPr>
              <w:jc w:val="center"/>
              <w:rPr>
                <w:b/>
                <w:noProof/>
                <w:sz w:val="20"/>
              </w:rPr>
            </w:pPr>
            <w:r>
              <w:rPr>
                <w:b/>
                <w:noProof/>
                <w:sz w:val="20"/>
              </w:rPr>
              <w:t>TOTAL</w:t>
            </w:r>
          </w:p>
        </w:tc>
      </w:tr>
      <w:tr>
        <w:trPr>
          <w:trHeight w:val="213"/>
        </w:trPr>
        <w:tc>
          <w:tcPr>
            <w:tcW w:w="5580" w:type="dxa"/>
            <w:gridSpan w:val="4"/>
            <w:vAlign w:val="center"/>
          </w:tcPr>
          <w:p>
            <w:pPr>
              <w:spacing w:before="20" w:after="20"/>
              <w:rPr>
                <w:noProof/>
                <w:sz w:val="21"/>
              </w:rPr>
            </w:pPr>
            <w:r>
              <w:rPr>
                <w:noProof/>
                <w:sz w:val="21"/>
              </w:rPr>
              <w:sym w:font="Wingdings" w:char="F09F"/>
            </w:r>
            <w:r>
              <w:rPr>
                <w:noProof/>
                <w:sz w:val="21"/>
              </w:rPr>
              <w:t>Crédits opérationnels (crédits C1)</w:t>
            </w:r>
          </w:p>
        </w:tc>
        <w:tc>
          <w:tcPr>
            <w:tcW w:w="990" w:type="dxa"/>
            <w:vAlign w:val="center"/>
          </w:tcPr>
          <w:p>
            <w:pPr>
              <w:rPr>
                <w:noProof/>
                <w:sz w:val="20"/>
              </w:rPr>
            </w:pPr>
          </w:p>
        </w:tc>
        <w:tc>
          <w:tcPr>
            <w:tcW w:w="990" w:type="dxa"/>
            <w:vAlign w:val="center"/>
          </w:tcPr>
          <w:p>
            <w:pPr>
              <w:rPr>
                <w:noProof/>
                <w:sz w:val="20"/>
              </w:rPr>
            </w:pPr>
          </w:p>
        </w:tc>
        <w:tc>
          <w:tcPr>
            <w:tcW w:w="990" w:type="dxa"/>
            <w:vAlign w:val="center"/>
          </w:tcPr>
          <w:p>
            <w:pPr>
              <w:rPr>
                <w:noProof/>
                <w:sz w:val="20"/>
              </w:rPr>
            </w:pPr>
          </w:p>
        </w:tc>
        <w:tc>
          <w:tcPr>
            <w:tcW w:w="976" w:type="dxa"/>
            <w:vAlign w:val="center"/>
          </w:tcPr>
          <w:p>
            <w:pPr>
              <w:rPr>
                <w:noProof/>
                <w:sz w:val="20"/>
              </w:rPr>
            </w:pPr>
          </w:p>
        </w:tc>
        <w:tc>
          <w:tcPr>
            <w:tcW w:w="1004" w:type="dxa"/>
            <w:vAlign w:val="center"/>
          </w:tcPr>
          <w:p>
            <w:pPr>
              <w:rPr>
                <w:noProof/>
                <w:sz w:val="20"/>
              </w:rPr>
            </w:pPr>
          </w:p>
        </w:tc>
        <w:tc>
          <w:tcPr>
            <w:tcW w:w="990" w:type="dxa"/>
            <w:vAlign w:val="center"/>
          </w:tcPr>
          <w:p>
            <w:pPr>
              <w:rPr>
                <w:noProof/>
                <w:sz w:val="20"/>
              </w:rPr>
            </w:pPr>
          </w:p>
        </w:tc>
        <w:tc>
          <w:tcPr>
            <w:tcW w:w="990" w:type="dxa"/>
            <w:vAlign w:val="center"/>
          </w:tcPr>
          <w:p>
            <w:pPr>
              <w:rPr>
                <w:b/>
                <w:noProof/>
                <w:sz w:val="20"/>
              </w:rPr>
            </w:pPr>
          </w:p>
        </w:tc>
        <w:tc>
          <w:tcPr>
            <w:tcW w:w="1033" w:type="dxa"/>
          </w:tcPr>
          <w:p>
            <w:pPr>
              <w:rPr>
                <w:b/>
                <w:noProof/>
                <w:sz w:val="20"/>
              </w:rPr>
            </w:pPr>
          </w:p>
        </w:tc>
        <w:tc>
          <w:tcPr>
            <w:tcW w:w="1127" w:type="dxa"/>
            <w:vAlign w:val="center"/>
          </w:tcPr>
          <w:p>
            <w:pPr>
              <w:rPr>
                <w:b/>
                <w:noProof/>
                <w:sz w:val="20"/>
              </w:rPr>
            </w:pPr>
          </w:p>
        </w:tc>
      </w:tr>
      <w:tr>
        <w:trPr>
          <w:trHeight w:val="277"/>
        </w:trPr>
        <w:tc>
          <w:tcPr>
            <w:tcW w:w="3780" w:type="dxa"/>
            <w:gridSpan w:val="2"/>
            <w:vMerge w:val="restart"/>
            <w:vAlign w:val="center"/>
          </w:tcPr>
          <w:p>
            <w:pPr>
              <w:spacing w:before="60" w:after="60"/>
              <w:rPr>
                <w:noProof/>
              </w:rPr>
            </w:pPr>
            <w:r>
              <w:rPr>
                <w:noProof/>
                <w:sz w:val="20"/>
              </w:rPr>
              <w:t>06 06 01 - Programme L’UE pour la santé (EU4Health)</w:t>
            </w:r>
            <w:r>
              <w:rPr>
                <w:rStyle w:val="FootnoteReference"/>
                <w:noProof/>
                <w:sz w:val="20"/>
              </w:rPr>
              <w:footnoteReference w:id="38"/>
            </w:r>
          </w:p>
        </w:tc>
        <w:tc>
          <w:tcPr>
            <w:tcW w:w="1260" w:type="dxa"/>
            <w:vAlign w:val="center"/>
          </w:tcPr>
          <w:p>
            <w:pPr>
              <w:spacing w:before="20" w:after="20"/>
              <w:rPr>
                <w:noProof/>
                <w:sz w:val="18"/>
              </w:rPr>
            </w:pPr>
            <w:r>
              <w:rPr>
                <w:noProof/>
                <w:sz w:val="18"/>
              </w:rPr>
              <w:t>Engagements</w:t>
            </w:r>
          </w:p>
        </w:tc>
        <w:tc>
          <w:tcPr>
            <w:tcW w:w="540" w:type="dxa"/>
            <w:vAlign w:val="center"/>
          </w:tcPr>
          <w:p>
            <w:pPr>
              <w:spacing w:before="20" w:after="20"/>
              <w:jc w:val="center"/>
              <w:rPr>
                <w:noProof/>
                <w:sz w:val="14"/>
              </w:rPr>
            </w:pPr>
            <w:r>
              <w:rPr>
                <w:noProof/>
                <w:sz w:val="14"/>
              </w:rPr>
              <w:t>(1)</w:t>
            </w:r>
          </w:p>
        </w:tc>
        <w:tc>
          <w:tcPr>
            <w:tcW w:w="990" w:type="dxa"/>
            <w:vAlign w:val="center"/>
          </w:tcPr>
          <w:p>
            <w:pPr>
              <w:spacing w:before="20" w:after="20"/>
              <w:jc w:val="right"/>
              <w:rPr>
                <w:noProof/>
                <w:sz w:val="20"/>
              </w:rPr>
            </w:pPr>
          </w:p>
        </w:tc>
        <w:tc>
          <w:tcPr>
            <w:tcW w:w="990" w:type="dxa"/>
            <w:vAlign w:val="center"/>
          </w:tcPr>
          <w:p>
            <w:pPr>
              <w:spacing w:before="20" w:after="20"/>
              <w:jc w:val="right"/>
              <w:rPr>
                <w:noProof/>
                <w:sz w:val="20"/>
              </w:rPr>
            </w:pPr>
            <w:r>
              <w:rPr>
                <w:noProof/>
                <w:color w:val="000000"/>
                <w:sz w:val="20"/>
                <w:szCs w:val="20"/>
              </w:rPr>
              <w:t>274,883</w:t>
            </w:r>
          </w:p>
        </w:tc>
        <w:tc>
          <w:tcPr>
            <w:tcW w:w="990" w:type="dxa"/>
            <w:vAlign w:val="center"/>
          </w:tcPr>
          <w:p>
            <w:pPr>
              <w:spacing w:before="20" w:after="20"/>
              <w:jc w:val="right"/>
              <w:rPr>
                <w:noProof/>
                <w:sz w:val="20"/>
              </w:rPr>
            </w:pPr>
            <w:r>
              <w:rPr>
                <w:noProof/>
                <w:color w:val="000000"/>
                <w:sz w:val="20"/>
                <w:szCs w:val="20"/>
              </w:rPr>
              <w:t>243,145</w:t>
            </w:r>
          </w:p>
        </w:tc>
        <w:tc>
          <w:tcPr>
            <w:tcW w:w="976" w:type="dxa"/>
            <w:vAlign w:val="center"/>
          </w:tcPr>
          <w:p>
            <w:pPr>
              <w:spacing w:before="20" w:after="20"/>
              <w:jc w:val="right"/>
              <w:rPr>
                <w:noProof/>
                <w:sz w:val="20"/>
              </w:rPr>
            </w:pPr>
            <w:r>
              <w:rPr>
                <w:noProof/>
                <w:color w:val="000000"/>
                <w:sz w:val="20"/>
                <w:szCs w:val="20"/>
              </w:rPr>
              <w:t>474,048</w:t>
            </w:r>
          </w:p>
        </w:tc>
        <w:tc>
          <w:tcPr>
            <w:tcW w:w="1004" w:type="dxa"/>
            <w:vAlign w:val="center"/>
          </w:tcPr>
          <w:p>
            <w:pPr>
              <w:spacing w:before="20" w:after="20"/>
              <w:jc w:val="right"/>
              <w:rPr>
                <w:noProof/>
                <w:sz w:val="20"/>
              </w:rPr>
            </w:pPr>
            <w:r>
              <w:rPr>
                <w:noProof/>
                <w:color w:val="000000"/>
                <w:sz w:val="20"/>
                <w:szCs w:val="20"/>
              </w:rPr>
              <w:t>484,140</w:t>
            </w:r>
          </w:p>
        </w:tc>
        <w:tc>
          <w:tcPr>
            <w:tcW w:w="990" w:type="dxa"/>
            <w:vAlign w:val="center"/>
          </w:tcPr>
          <w:p>
            <w:pPr>
              <w:spacing w:before="20" w:after="20"/>
              <w:jc w:val="right"/>
              <w:rPr>
                <w:noProof/>
                <w:sz w:val="20"/>
              </w:rPr>
            </w:pPr>
            <w:r>
              <w:rPr>
                <w:noProof/>
                <w:color w:val="000000"/>
                <w:sz w:val="20"/>
                <w:szCs w:val="20"/>
              </w:rPr>
              <w:t>492,488</w:t>
            </w:r>
          </w:p>
        </w:tc>
        <w:tc>
          <w:tcPr>
            <w:tcW w:w="990" w:type="dxa"/>
            <w:vAlign w:val="center"/>
          </w:tcPr>
          <w:p>
            <w:pPr>
              <w:spacing w:before="20" w:after="20"/>
              <w:jc w:val="right"/>
              <w:rPr>
                <w:b/>
                <w:noProof/>
                <w:sz w:val="20"/>
              </w:rPr>
            </w:pPr>
            <w:r>
              <w:rPr>
                <w:noProof/>
                <w:color w:val="000000"/>
                <w:sz w:val="20"/>
                <w:szCs w:val="20"/>
              </w:rPr>
              <w:t>826,514</w:t>
            </w:r>
          </w:p>
        </w:tc>
        <w:tc>
          <w:tcPr>
            <w:tcW w:w="1033" w:type="dxa"/>
            <w:vAlign w:val="center"/>
          </w:tcPr>
          <w:p>
            <w:pPr>
              <w:spacing w:before="20" w:after="20"/>
              <w:jc w:val="right"/>
              <w:rPr>
                <w:b/>
                <w:noProof/>
                <w:sz w:val="20"/>
              </w:rPr>
            </w:pPr>
          </w:p>
        </w:tc>
        <w:tc>
          <w:tcPr>
            <w:tcW w:w="1127" w:type="dxa"/>
            <w:vAlign w:val="center"/>
          </w:tcPr>
          <w:p>
            <w:pPr>
              <w:spacing w:before="0" w:after="0"/>
              <w:jc w:val="right"/>
              <w:rPr>
                <w:b/>
                <w:bCs/>
                <w:noProof/>
                <w:color w:val="000000"/>
                <w:sz w:val="20"/>
                <w:szCs w:val="20"/>
              </w:rPr>
            </w:pPr>
            <w:r>
              <w:rPr>
                <w:b/>
                <w:bCs/>
                <w:noProof/>
                <w:color w:val="000000"/>
                <w:sz w:val="20"/>
                <w:szCs w:val="20"/>
              </w:rPr>
              <w:t>2 795,218</w:t>
            </w:r>
          </w:p>
        </w:tc>
      </w:tr>
      <w:tr>
        <w:tc>
          <w:tcPr>
            <w:tcW w:w="3780" w:type="dxa"/>
            <w:gridSpan w:val="2"/>
            <w:vMerge/>
          </w:tcPr>
          <w:p>
            <w:pPr>
              <w:jc w:val="center"/>
              <w:rPr>
                <w:noProof/>
                <w:sz w:val="20"/>
              </w:rPr>
            </w:pPr>
          </w:p>
        </w:tc>
        <w:tc>
          <w:tcPr>
            <w:tcW w:w="1260" w:type="dxa"/>
            <w:vAlign w:val="center"/>
          </w:tcPr>
          <w:p>
            <w:pPr>
              <w:spacing w:before="20" w:after="20"/>
              <w:rPr>
                <w:noProof/>
                <w:sz w:val="18"/>
              </w:rPr>
            </w:pPr>
            <w:r>
              <w:rPr>
                <w:noProof/>
                <w:sz w:val="18"/>
              </w:rPr>
              <w:t>Paiements</w:t>
            </w:r>
          </w:p>
        </w:tc>
        <w:tc>
          <w:tcPr>
            <w:tcW w:w="540" w:type="dxa"/>
            <w:vAlign w:val="center"/>
          </w:tcPr>
          <w:p>
            <w:pPr>
              <w:spacing w:before="20" w:after="20"/>
              <w:jc w:val="center"/>
              <w:rPr>
                <w:noProof/>
                <w:sz w:val="14"/>
              </w:rPr>
            </w:pPr>
            <w:r>
              <w:rPr>
                <w:noProof/>
                <w:sz w:val="14"/>
              </w:rPr>
              <w:t>(2)</w:t>
            </w:r>
          </w:p>
        </w:tc>
        <w:tc>
          <w:tcPr>
            <w:tcW w:w="990" w:type="dxa"/>
            <w:vAlign w:val="center"/>
          </w:tcPr>
          <w:p>
            <w:pPr>
              <w:spacing w:before="20" w:after="20"/>
              <w:jc w:val="right"/>
              <w:rPr>
                <w:noProof/>
                <w:sz w:val="20"/>
              </w:rPr>
            </w:pPr>
          </w:p>
        </w:tc>
        <w:tc>
          <w:tcPr>
            <w:tcW w:w="990" w:type="dxa"/>
            <w:vAlign w:val="center"/>
          </w:tcPr>
          <w:p>
            <w:pPr>
              <w:spacing w:before="20" w:after="20"/>
              <w:jc w:val="right"/>
              <w:rPr>
                <w:noProof/>
                <w:sz w:val="20"/>
              </w:rPr>
            </w:pPr>
            <w:r>
              <w:rPr>
                <w:noProof/>
                <w:color w:val="000000"/>
                <w:sz w:val="20"/>
                <w:szCs w:val="20"/>
              </w:rPr>
              <w:t>82,465</w:t>
            </w:r>
          </w:p>
        </w:tc>
        <w:tc>
          <w:tcPr>
            <w:tcW w:w="990" w:type="dxa"/>
            <w:vAlign w:val="center"/>
          </w:tcPr>
          <w:p>
            <w:pPr>
              <w:spacing w:before="20" w:after="20"/>
              <w:jc w:val="right"/>
              <w:rPr>
                <w:noProof/>
                <w:sz w:val="20"/>
              </w:rPr>
            </w:pPr>
            <w:r>
              <w:rPr>
                <w:noProof/>
                <w:color w:val="000000"/>
                <w:sz w:val="20"/>
                <w:szCs w:val="20"/>
              </w:rPr>
              <w:t>155,409</w:t>
            </w:r>
          </w:p>
        </w:tc>
        <w:tc>
          <w:tcPr>
            <w:tcW w:w="976" w:type="dxa"/>
            <w:vAlign w:val="center"/>
          </w:tcPr>
          <w:p>
            <w:pPr>
              <w:spacing w:before="20" w:after="20"/>
              <w:jc w:val="right"/>
              <w:rPr>
                <w:noProof/>
                <w:sz w:val="20"/>
              </w:rPr>
            </w:pPr>
            <w:r>
              <w:rPr>
                <w:noProof/>
                <w:color w:val="000000"/>
                <w:sz w:val="20"/>
                <w:szCs w:val="20"/>
              </w:rPr>
              <w:t>325,111</w:t>
            </w:r>
          </w:p>
        </w:tc>
        <w:tc>
          <w:tcPr>
            <w:tcW w:w="1004" w:type="dxa"/>
            <w:vAlign w:val="center"/>
          </w:tcPr>
          <w:p>
            <w:pPr>
              <w:spacing w:before="20" w:after="20"/>
              <w:jc w:val="right"/>
              <w:rPr>
                <w:noProof/>
                <w:sz w:val="20"/>
              </w:rPr>
            </w:pPr>
            <w:r>
              <w:rPr>
                <w:noProof/>
                <w:color w:val="000000"/>
                <w:sz w:val="20"/>
                <w:szCs w:val="20"/>
              </w:rPr>
              <w:t>384,714</w:t>
            </w:r>
          </w:p>
        </w:tc>
        <w:tc>
          <w:tcPr>
            <w:tcW w:w="990" w:type="dxa"/>
            <w:vAlign w:val="center"/>
          </w:tcPr>
          <w:p>
            <w:pPr>
              <w:spacing w:before="20" w:after="20"/>
              <w:jc w:val="right"/>
              <w:rPr>
                <w:noProof/>
                <w:sz w:val="20"/>
              </w:rPr>
            </w:pPr>
            <w:r>
              <w:rPr>
                <w:noProof/>
                <w:color w:val="000000"/>
                <w:sz w:val="20"/>
                <w:szCs w:val="20"/>
              </w:rPr>
              <w:t>482,608</w:t>
            </w:r>
          </w:p>
        </w:tc>
        <w:tc>
          <w:tcPr>
            <w:tcW w:w="990" w:type="dxa"/>
            <w:vAlign w:val="center"/>
          </w:tcPr>
          <w:p>
            <w:pPr>
              <w:spacing w:before="20" w:after="20"/>
              <w:jc w:val="right"/>
              <w:rPr>
                <w:b/>
                <w:noProof/>
                <w:sz w:val="20"/>
              </w:rPr>
            </w:pPr>
            <w:r>
              <w:rPr>
                <w:noProof/>
                <w:color w:val="000000"/>
                <w:sz w:val="20"/>
                <w:szCs w:val="20"/>
              </w:rPr>
              <w:t>589,357</w:t>
            </w:r>
          </w:p>
        </w:tc>
        <w:tc>
          <w:tcPr>
            <w:tcW w:w="1033" w:type="dxa"/>
            <w:vAlign w:val="center"/>
          </w:tcPr>
          <w:p>
            <w:pPr>
              <w:spacing w:before="20" w:after="20"/>
              <w:jc w:val="right"/>
              <w:rPr>
                <w:b/>
                <w:noProof/>
                <w:sz w:val="20"/>
              </w:rPr>
            </w:pPr>
            <w:r>
              <w:rPr>
                <w:noProof/>
                <w:color w:val="000000"/>
                <w:sz w:val="20"/>
                <w:szCs w:val="20"/>
              </w:rPr>
              <w:t>775,555</w:t>
            </w:r>
          </w:p>
        </w:tc>
        <w:tc>
          <w:tcPr>
            <w:tcW w:w="1127" w:type="dxa"/>
            <w:vAlign w:val="center"/>
          </w:tcPr>
          <w:p>
            <w:pPr>
              <w:spacing w:before="20" w:after="20"/>
              <w:jc w:val="right"/>
              <w:rPr>
                <w:b/>
                <w:noProof/>
                <w:sz w:val="20"/>
              </w:rPr>
            </w:pPr>
            <w:r>
              <w:rPr>
                <w:b/>
                <w:bCs/>
                <w:noProof/>
                <w:color w:val="000000"/>
                <w:sz w:val="20"/>
                <w:szCs w:val="20"/>
              </w:rPr>
              <w:t>2 795,218</w:t>
            </w:r>
          </w:p>
        </w:tc>
      </w:tr>
      <w:tr>
        <w:trPr>
          <w:trHeight w:val="231"/>
        </w:trPr>
        <w:tc>
          <w:tcPr>
            <w:tcW w:w="3720" w:type="dxa"/>
            <w:vAlign w:val="center"/>
          </w:tcPr>
          <w:p>
            <w:pPr>
              <w:spacing w:before="20" w:after="20"/>
              <w:rPr>
                <w:noProof/>
              </w:rPr>
            </w:pPr>
            <w:r>
              <w:rPr>
                <w:noProof/>
                <w:sz w:val="21"/>
              </w:rPr>
              <w:sym w:font="Wingdings" w:char="F09F"/>
            </w:r>
            <w:r>
              <w:rPr>
                <w:noProof/>
                <w:sz w:val="21"/>
              </w:rPr>
              <w:t>Crédits de nature administrative financés par l’enveloppe de certains programmes spécifiques</w:t>
            </w:r>
          </w:p>
        </w:tc>
        <w:tc>
          <w:tcPr>
            <w:tcW w:w="1320" w:type="dxa"/>
            <w:gridSpan w:val="2"/>
            <w:vAlign w:val="center"/>
          </w:tcPr>
          <w:p>
            <w:pPr>
              <w:spacing w:before="0" w:after="0"/>
              <w:rPr>
                <w:noProof/>
              </w:rPr>
            </w:pPr>
          </w:p>
        </w:tc>
        <w:tc>
          <w:tcPr>
            <w:tcW w:w="540" w:type="dxa"/>
            <w:vAlign w:val="center"/>
          </w:tcPr>
          <w:p>
            <w:pPr>
              <w:spacing w:before="20" w:after="20"/>
              <w:jc w:val="center"/>
              <w:rPr>
                <w:noProof/>
              </w:rPr>
            </w:pPr>
          </w:p>
        </w:tc>
        <w:tc>
          <w:tcPr>
            <w:tcW w:w="990" w:type="dxa"/>
            <w:vAlign w:val="center"/>
          </w:tcPr>
          <w:p>
            <w:pPr>
              <w:rPr>
                <w:b/>
                <w:noProof/>
                <w:sz w:val="20"/>
              </w:rPr>
            </w:pPr>
          </w:p>
        </w:tc>
        <w:tc>
          <w:tcPr>
            <w:tcW w:w="990" w:type="dxa"/>
            <w:vAlign w:val="center"/>
          </w:tcPr>
          <w:p>
            <w:pPr>
              <w:rPr>
                <w:b/>
                <w:noProof/>
                <w:sz w:val="20"/>
              </w:rPr>
            </w:pPr>
            <w:r>
              <w:rPr>
                <w:b/>
                <w:bCs/>
                <w:noProof/>
                <w:color w:val="000000"/>
                <w:sz w:val="20"/>
              </w:rPr>
              <w:t xml:space="preserve"> </w:t>
            </w:r>
          </w:p>
        </w:tc>
        <w:tc>
          <w:tcPr>
            <w:tcW w:w="990" w:type="dxa"/>
            <w:vAlign w:val="center"/>
          </w:tcPr>
          <w:p>
            <w:pPr>
              <w:rPr>
                <w:b/>
                <w:noProof/>
                <w:sz w:val="20"/>
              </w:rPr>
            </w:pPr>
            <w:r>
              <w:rPr>
                <w:b/>
                <w:bCs/>
                <w:noProof/>
                <w:color w:val="000000"/>
                <w:sz w:val="20"/>
              </w:rPr>
              <w:t xml:space="preserve"> </w:t>
            </w:r>
          </w:p>
        </w:tc>
        <w:tc>
          <w:tcPr>
            <w:tcW w:w="976" w:type="dxa"/>
            <w:vAlign w:val="center"/>
          </w:tcPr>
          <w:p>
            <w:pPr>
              <w:rPr>
                <w:b/>
                <w:noProof/>
                <w:sz w:val="20"/>
              </w:rPr>
            </w:pPr>
            <w:r>
              <w:rPr>
                <w:b/>
                <w:bCs/>
                <w:noProof/>
                <w:color w:val="000000"/>
                <w:sz w:val="20"/>
              </w:rPr>
              <w:t xml:space="preserve"> </w:t>
            </w:r>
          </w:p>
        </w:tc>
        <w:tc>
          <w:tcPr>
            <w:tcW w:w="1004" w:type="dxa"/>
            <w:vAlign w:val="center"/>
          </w:tcPr>
          <w:p>
            <w:pPr>
              <w:rPr>
                <w:b/>
                <w:noProof/>
                <w:sz w:val="20"/>
              </w:rPr>
            </w:pPr>
            <w:r>
              <w:rPr>
                <w:b/>
                <w:bCs/>
                <w:noProof/>
                <w:color w:val="000000"/>
                <w:sz w:val="20"/>
              </w:rPr>
              <w:t xml:space="preserve"> </w:t>
            </w:r>
          </w:p>
        </w:tc>
        <w:tc>
          <w:tcPr>
            <w:tcW w:w="990" w:type="dxa"/>
            <w:vAlign w:val="center"/>
          </w:tcPr>
          <w:p>
            <w:pPr>
              <w:rPr>
                <w:b/>
                <w:noProof/>
                <w:sz w:val="20"/>
              </w:rPr>
            </w:pPr>
            <w:r>
              <w:rPr>
                <w:b/>
                <w:bCs/>
                <w:noProof/>
                <w:color w:val="000000"/>
                <w:sz w:val="20"/>
              </w:rPr>
              <w:t xml:space="preserve"> </w:t>
            </w:r>
          </w:p>
        </w:tc>
        <w:tc>
          <w:tcPr>
            <w:tcW w:w="990" w:type="dxa"/>
            <w:vAlign w:val="center"/>
          </w:tcPr>
          <w:p>
            <w:pPr>
              <w:rPr>
                <w:b/>
                <w:noProof/>
                <w:sz w:val="20"/>
              </w:rPr>
            </w:pPr>
            <w:r>
              <w:rPr>
                <w:b/>
                <w:bCs/>
                <w:noProof/>
                <w:color w:val="000000"/>
                <w:sz w:val="20"/>
              </w:rPr>
              <w:t xml:space="preserve"> </w:t>
            </w:r>
          </w:p>
        </w:tc>
        <w:tc>
          <w:tcPr>
            <w:tcW w:w="1033" w:type="dxa"/>
            <w:vAlign w:val="center"/>
          </w:tcPr>
          <w:p>
            <w:pPr>
              <w:rPr>
                <w:b/>
                <w:noProof/>
                <w:sz w:val="20"/>
              </w:rPr>
            </w:pPr>
            <w:r>
              <w:rPr>
                <w:b/>
                <w:bCs/>
                <w:noProof/>
                <w:color w:val="000000"/>
                <w:sz w:val="20"/>
              </w:rPr>
              <w:t xml:space="preserve"> </w:t>
            </w:r>
          </w:p>
        </w:tc>
        <w:tc>
          <w:tcPr>
            <w:tcW w:w="1127" w:type="dxa"/>
            <w:vAlign w:val="center"/>
          </w:tcPr>
          <w:p>
            <w:pPr>
              <w:spacing w:before="0" w:after="0"/>
              <w:jc w:val="right"/>
              <w:rPr>
                <w:b/>
                <w:noProof/>
                <w:sz w:val="20"/>
              </w:rPr>
            </w:pPr>
            <w:r>
              <w:rPr>
                <w:b/>
                <w:bCs/>
                <w:noProof/>
                <w:color w:val="000000"/>
                <w:sz w:val="20"/>
              </w:rPr>
              <w:t xml:space="preserve"> </w:t>
            </w:r>
          </w:p>
        </w:tc>
      </w:tr>
      <w:tr>
        <w:trPr>
          <w:trHeight w:val="319"/>
        </w:trPr>
        <w:tc>
          <w:tcPr>
            <w:tcW w:w="3780" w:type="dxa"/>
            <w:gridSpan w:val="2"/>
            <w:vAlign w:val="center"/>
          </w:tcPr>
          <w:p>
            <w:pPr>
              <w:spacing w:before="60" w:after="60"/>
              <w:rPr>
                <w:noProof/>
              </w:rPr>
            </w:pPr>
            <w:r>
              <w:rPr>
                <w:noProof/>
                <w:sz w:val="20"/>
              </w:rPr>
              <w:t>06 01 05 — Appui</w:t>
            </w:r>
          </w:p>
        </w:tc>
        <w:tc>
          <w:tcPr>
            <w:tcW w:w="1260" w:type="dxa"/>
            <w:vAlign w:val="center"/>
          </w:tcPr>
          <w:p>
            <w:pPr>
              <w:spacing w:before="40" w:after="40"/>
              <w:jc w:val="right"/>
              <w:rPr>
                <w:noProof/>
                <w:sz w:val="18"/>
              </w:rPr>
            </w:pPr>
            <w:r>
              <w:rPr>
                <w:noProof/>
                <w:sz w:val="18"/>
              </w:rPr>
              <w:t>Engagements = Paiements</w:t>
            </w:r>
          </w:p>
        </w:tc>
        <w:tc>
          <w:tcPr>
            <w:tcW w:w="540" w:type="dxa"/>
            <w:vAlign w:val="center"/>
          </w:tcPr>
          <w:p>
            <w:pPr>
              <w:spacing w:before="40" w:after="40"/>
              <w:jc w:val="center"/>
              <w:rPr>
                <w:noProof/>
                <w:sz w:val="14"/>
              </w:rPr>
            </w:pPr>
            <w:r>
              <w:rPr>
                <w:noProof/>
                <w:sz w:val="14"/>
              </w:rPr>
              <w:t>(3)</w:t>
            </w:r>
          </w:p>
        </w:tc>
        <w:tc>
          <w:tcPr>
            <w:tcW w:w="990" w:type="dxa"/>
            <w:vAlign w:val="center"/>
          </w:tcPr>
          <w:p>
            <w:pPr>
              <w:spacing w:before="40" w:after="40"/>
              <w:jc w:val="right"/>
              <w:rPr>
                <w:b/>
                <w:noProof/>
                <w:sz w:val="20"/>
              </w:rPr>
            </w:pPr>
          </w:p>
        </w:tc>
        <w:tc>
          <w:tcPr>
            <w:tcW w:w="990" w:type="dxa"/>
            <w:vAlign w:val="center"/>
          </w:tcPr>
          <w:p>
            <w:pPr>
              <w:spacing w:before="40" w:after="40"/>
              <w:jc w:val="center"/>
              <w:rPr>
                <w:b/>
                <w:noProof/>
                <w:sz w:val="20"/>
              </w:rPr>
            </w:pPr>
            <w:r>
              <w:rPr>
                <w:noProof/>
                <w:sz w:val="20"/>
              </w:rPr>
              <w:t>p.m.</w:t>
            </w:r>
          </w:p>
        </w:tc>
        <w:tc>
          <w:tcPr>
            <w:tcW w:w="990" w:type="dxa"/>
            <w:vAlign w:val="center"/>
          </w:tcPr>
          <w:p>
            <w:pPr>
              <w:spacing w:before="40" w:after="40"/>
              <w:jc w:val="center"/>
              <w:rPr>
                <w:b/>
                <w:noProof/>
                <w:sz w:val="20"/>
              </w:rPr>
            </w:pPr>
            <w:r>
              <w:rPr>
                <w:noProof/>
                <w:sz w:val="20"/>
              </w:rPr>
              <w:t>p.m.</w:t>
            </w:r>
          </w:p>
        </w:tc>
        <w:tc>
          <w:tcPr>
            <w:tcW w:w="976" w:type="dxa"/>
            <w:vAlign w:val="center"/>
          </w:tcPr>
          <w:p>
            <w:pPr>
              <w:spacing w:before="40" w:after="40"/>
              <w:jc w:val="center"/>
              <w:rPr>
                <w:b/>
                <w:noProof/>
                <w:sz w:val="20"/>
              </w:rPr>
            </w:pPr>
            <w:r>
              <w:rPr>
                <w:noProof/>
                <w:sz w:val="20"/>
              </w:rPr>
              <w:t>p.m.</w:t>
            </w:r>
          </w:p>
        </w:tc>
        <w:tc>
          <w:tcPr>
            <w:tcW w:w="1004" w:type="dxa"/>
            <w:vAlign w:val="center"/>
          </w:tcPr>
          <w:p>
            <w:pPr>
              <w:spacing w:before="40" w:after="40"/>
              <w:jc w:val="center"/>
              <w:rPr>
                <w:b/>
                <w:noProof/>
                <w:sz w:val="20"/>
              </w:rPr>
            </w:pPr>
            <w:r>
              <w:rPr>
                <w:noProof/>
                <w:sz w:val="20"/>
              </w:rPr>
              <w:t>p.m.</w:t>
            </w:r>
          </w:p>
        </w:tc>
        <w:tc>
          <w:tcPr>
            <w:tcW w:w="990" w:type="dxa"/>
            <w:vAlign w:val="center"/>
          </w:tcPr>
          <w:p>
            <w:pPr>
              <w:spacing w:before="40" w:after="40"/>
              <w:jc w:val="center"/>
              <w:rPr>
                <w:b/>
                <w:noProof/>
                <w:sz w:val="20"/>
              </w:rPr>
            </w:pPr>
            <w:r>
              <w:rPr>
                <w:noProof/>
                <w:sz w:val="20"/>
              </w:rPr>
              <w:t>p.m.</w:t>
            </w:r>
          </w:p>
        </w:tc>
        <w:tc>
          <w:tcPr>
            <w:tcW w:w="990" w:type="dxa"/>
            <w:vAlign w:val="center"/>
          </w:tcPr>
          <w:p>
            <w:pPr>
              <w:spacing w:before="40" w:after="40"/>
              <w:jc w:val="center"/>
              <w:rPr>
                <w:b/>
                <w:noProof/>
                <w:sz w:val="20"/>
              </w:rPr>
            </w:pPr>
            <w:r>
              <w:rPr>
                <w:noProof/>
                <w:sz w:val="20"/>
              </w:rPr>
              <w:t>p.m.</w:t>
            </w:r>
          </w:p>
        </w:tc>
        <w:tc>
          <w:tcPr>
            <w:tcW w:w="1033" w:type="dxa"/>
            <w:vAlign w:val="center"/>
          </w:tcPr>
          <w:p>
            <w:pPr>
              <w:spacing w:before="40" w:after="40"/>
              <w:jc w:val="center"/>
              <w:rPr>
                <w:b/>
                <w:noProof/>
                <w:sz w:val="20"/>
              </w:rPr>
            </w:pPr>
          </w:p>
        </w:tc>
        <w:tc>
          <w:tcPr>
            <w:tcW w:w="1127" w:type="dxa"/>
            <w:vAlign w:val="center"/>
          </w:tcPr>
          <w:p>
            <w:pPr>
              <w:spacing w:before="40" w:after="40"/>
              <w:jc w:val="center"/>
              <w:rPr>
                <w:b/>
                <w:noProof/>
                <w:sz w:val="20"/>
              </w:rPr>
            </w:pPr>
            <w:r>
              <w:rPr>
                <w:b/>
                <w:noProof/>
                <w:sz w:val="20"/>
              </w:rPr>
              <w:t>p.m.</w:t>
            </w:r>
          </w:p>
        </w:tc>
      </w:tr>
      <w:tr>
        <w:tc>
          <w:tcPr>
            <w:tcW w:w="3780" w:type="dxa"/>
            <w:gridSpan w:val="2"/>
            <w:vMerge w:val="restart"/>
            <w:vAlign w:val="center"/>
          </w:tcPr>
          <w:p>
            <w:pPr>
              <w:jc w:val="center"/>
              <w:rPr>
                <w:b/>
                <w:noProof/>
              </w:rPr>
            </w:pPr>
            <w:r>
              <w:rPr>
                <w:b/>
                <w:noProof/>
                <w:sz w:val="22"/>
              </w:rPr>
              <w:t>TOTAL des crédits</w:t>
            </w:r>
            <w:r>
              <w:rPr>
                <w:noProof/>
              </w:rPr>
              <w:t xml:space="preserve"> </w:t>
            </w:r>
            <w:r>
              <w:rPr>
                <w:noProof/>
              </w:rPr>
              <w:br/>
            </w:r>
            <w:r>
              <w:rPr>
                <w:b/>
                <w:noProof/>
                <w:sz w:val="22"/>
              </w:rPr>
              <w:t>des procédures budgétaires pour l’enveloppe du programme</w:t>
            </w:r>
          </w:p>
        </w:tc>
        <w:tc>
          <w:tcPr>
            <w:tcW w:w="1260" w:type="dxa"/>
            <w:vAlign w:val="center"/>
          </w:tcPr>
          <w:p>
            <w:pPr>
              <w:rPr>
                <w:noProof/>
                <w:sz w:val="18"/>
              </w:rPr>
            </w:pPr>
            <w:r>
              <w:rPr>
                <w:noProof/>
                <w:sz w:val="18"/>
              </w:rPr>
              <w:t>Engagements</w:t>
            </w:r>
          </w:p>
        </w:tc>
        <w:tc>
          <w:tcPr>
            <w:tcW w:w="540" w:type="dxa"/>
            <w:vAlign w:val="center"/>
          </w:tcPr>
          <w:p>
            <w:pPr>
              <w:jc w:val="center"/>
              <w:rPr>
                <w:noProof/>
                <w:sz w:val="14"/>
              </w:rPr>
            </w:pPr>
            <w:r>
              <w:rPr>
                <w:noProof/>
                <w:sz w:val="14"/>
              </w:rPr>
              <w:t>=1+1a +3</w:t>
            </w:r>
          </w:p>
        </w:tc>
        <w:tc>
          <w:tcPr>
            <w:tcW w:w="990" w:type="dxa"/>
            <w:vAlign w:val="center"/>
          </w:tcPr>
          <w:p>
            <w:pPr>
              <w:spacing w:before="20" w:after="20"/>
              <w:jc w:val="right"/>
              <w:rPr>
                <w:noProof/>
                <w:sz w:val="20"/>
              </w:rPr>
            </w:pPr>
          </w:p>
        </w:tc>
        <w:tc>
          <w:tcPr>
            <w:tcW w:w="990" w:type="dxa"/>
            <w:vAlign w:val="center"/>
          </w:tcPr>
          <w:p>
            <w:pPr>
              <w:spacing w:before="20" w:after="20"/>
              <w:jc w:val="right"/>
              <w:rPr>
                <w:noProof/>
                <w:sz w:val="20"/>
              </w:rPr>
            </w:pPr>
            <w:r>
              <w:rPr>
                <w:noProof/>
                <w:color w:val="000000"/>
                <w:sz w:val="20"/>
                <w:szCs w:val="20"/>
              </w:rPr>
              <w:t>274,883</w:t>
            </w:r>
          </w:p>
        </w:tc>
        <w:tc>
          <w:tcPr>
            <w:tcW w:w="990" w:type="dxa"/>
            <w:vAlign w:val="center"/>
          </w:tcPr>
          <w:p>
            <w:pPr>
              <w:spacing w:before="20" w:after="20"/>
              <w:jc w:val="right"/>
              <w:rPr>
                <w:noProof/>
                <w:sz w:val="20"/>
              </w:rPr>
            </w:pPr>
            <w:r>
              <w:rPr>
                <w:noProof/>
                <w:color w:val="000000"/>
                <w:sz w:val="20"/>
                <w:szCs w:val="20"/>
              </w:rPr>
              <w:t>243,145</w:t>
            </w:r>
          </w:p>
        </w:tc>
        <w:tc>
          <w:tcPr>
            <w:tcW w:w="976" w:type="dxa"/>
            <w:vAlign w:val="center"/>
          </w:tcPr>
          <w:p>
            <w:pPr>
              <w:spacing w:before="20" w:after="20"/>
              <w:jc w:val="right"/>
              <w:rPr>
                <w:noProof/>
                <w:sz w:val="20"/>
              </w:rPr>
            </w:pPr>
            <w:r>
              <w:rPr>
                <w:noProof/>
                <w:color w:val="000000"/>
                <w:sz w:val="20"/>
                <w:szCs w:val="20"/>
              </w:rPr>
              <w:t>474,048</w:t>
            </w:r>
          </w:p>
        </w:tc>
        <w:tc>
          <w:tcPr>
            <w:tcW w:w="1004" w:type="dxa"/>
            <w:vAlign w:val="center"/>
          </w:tcPr>
          <w:p>
            <w:pPr>
              <w:spacing w:before="20" w:after="20"/>
              <w:jc w:val="right"/>
              <w:rPr>
                <w:noProof/>
                <w:sz w:val="20"/>
              </w:rPr>
            </w:pPr>
            <w:r>
              <w:rPr>
                <w:noProof/>
                <w:color w:val="000000"/>
                <w:sz w:val="20"/>
                <w:szCs w:val="20"/>
              </w:rPr>
              <w:t>484,140</w:t>
            </w:r>
          </w:p>
        </w:tc>
        <w:tc>
          <w:tcPr>
            <w:tcW w:w="990" w:type="dxa"/>
            <w:vAlign w:val="center"/>
          </w:tcPr>
          <w:p>
            <w:pPr>
              <w:spacing w:before="20" w:after="20"/>
              <w:jc w:val="right"/>
              <w:rPr>
                <w:noProof/>
                <w:sz w:val="20"/>
              </w:rPr>
            </w:pPr>
            <w:r>
              <w:rPr>
                <w:noProof/>
                <w:color w:val="000000"/>
                <w:sz w:val="20"/>
                <w:szCs w:val="20"/>
              </w:rPr>
              <w:t>492,488</w:t>
            </w:r>
          </w:p>
        </w:tc>
        <w:tc>
          <w:tcPr>
            <w:tcW w:w="990" w:type="dxa"/>
            <w:vAlign w:val="center"/>
          </w:tcPr>
          <w:p>
            <w:pPr>
              <w:spacing w:before="20" w:after="20"/>
              <w:jc w:val="right"/>
              <w:rPr>
                <w:b/>
                <w:noProof/>
                <w:sz w:val="20"/>
              </w:rPr>
            </w:pPr>
            <w:r>
              <w:rPr>
                <w:noProof/>
                <w:color w:val="000000"/>
                <w:sz w:val="20"/>
                <w:szCs w:val="20"/>
              </w:rPr>
              <w:t>826,514</w:t>
            </w:r>
          </w:p>
        </w:tc>
        <w:tc>
          <w:tcPr>
            <w:tcW w:w="1033" w:type="dxa"/>
            <w:vAlign w:val="center"/>
          </w:tcPr>
          <w:p>
            <w:pPr>
              <w:spacing w:before="20" w:after="20"/>
              <w:jc w:val="right"/>
              <w:rPr>
                <w:b/>
                <w:noProof/>
                <w:sz w:val="20"/>
              </w:rPr>
            </w:pPr>
            <w:r>
              <w:rPr>
                <w:noProof/>
                <w:color w:val="000000"/>
                <w:sz w:val="20"/>
                <w:szCs w:val="20"/>
              </w:rPr>
              <w:t>0,000</w:t>
            </w:r>
          </w:p>
        </w:tc>
        <w:tc>
          <w:tcPr>
            <w:tcW w:w="1127" w:type="dxa"/>
            <w:vAlign w:val="center"/>
          </w:tcPr>
          <w:p>
            <w:pPr>
              <w:spacing w:before="20" w:after="20"/>
              <w:jc w:val="right"/>
              <w:rPr>
                <w:b/>
                <w:noProof/>
                <w:sz w:val="20"/>
              </w:rPr>
            </w:pPr>
            <w:r>
              <w:rPr>
                <w:b/>
                <w:bCs/>
                <w:noProof/>
                <w:color w:val="000000"/>
                <w:sz w:val="20"/>
                <w:szCs w:val="20"/>
              </w:rPr>
              <w:t>2 795,218</w:t>
            </w:r>
          </w:p>
        </w:tc>
      </w:tr>
      <w:tr>
        <w:tc>
          <w:tcPr>
            <w:tcW w:w="3780" w:type="dxa"/>
            <w:gridSpan w:val="2"/>
            <w:vMerge/>
          </w:tcPr>
          <w:p>
            <w:pPr>
              <w:rPr>
                <w:noProof/>
                <w:sz w:val="20"/>
              </w:rPr>
            </w:pPr>
          </w:p>
        </w:tc>
        <w:tc>
          <w:tcPr>
            <w:tcW w:w="1260" w:type="dxa"/>
            <w:vAlign w:val="center"/>
          </w:tcPr>
          <w:p>
            <w:pPr>
              <w:rPr>
                <w:noProof/>
                <w:sz w:val="18"/>
              </w:rPr>
            </w:pPr>
            <w:r>
              <w:rPr>
                <w:noProof/>
                <w:sz w:val="18"/>
              </w:rPr>
              <w:t>Paiements</w:t>
            </w:r>
          </w:p>
        </w:tc>
        <w:tc>
          <w:tcPr>
            <w:tcW w:w="540" w:type="dxa"/>
            <w:vAlign w:val="center"/>
          </w:tcPr>
          <w:p>
            <w:pPr>
              <w:jc w:val="center"/>
              <w:rPr>
                <w:noProof/>
                <w:sz w:val="14"/>
              </w:rPr>
            </w:pPr>
            <w:r>
              <w:rPr>
                <w:noProof/>
                <w:sz w:val="14"/>
              </w:rPr>
              <w:t>=2+2a</w:t>
            </w:r>
          </w:p>
          <w:p>
            <w:pPr>
              <w:jc w:val="center"/>
              <w:rPr>
                <w:noProof/>
                <w:sz w:val="14"/>
              </w:rPr>
            </w:pPr>
            <w:r>
              <w:rPr>
                <w:noProof/>
                <w:sz w:val="14"/>
              </w:rPr>
              <w:t>+3</w:t>
            </w:r>
          </w:p>
        </w:tc>
        <w:tc>
          <w:tcPr>
            <w:tcW w:w="990" w:type="dxa"/>
            <w:vAlign w:val="center"/>
          </w:tcPr>
          <w:p>
            <w:pPr>
              <w:spacing w:before="20" w:after="20"/>
              <w:jc w:val="right"/>
              <w:rPr>
                <w:noProof/>
                <w:sz w:val="20"/>
              </w:rPr>
            </w:pPr>
          </w:p>
        </w:tc>
        <w:tc>
          <w:tcPr>
            <w:tcW w:w="990" w:type="dxa"/>
            <w:vAlign w:val="center"/>
          </w:tcPr>
          <w:p>
            <w:pPr>
              <w:spacing w:before="20" w:after="20"/>
              <w:jc w:val="right"/>
              <w:rPr>
                <w:noProof/>
                <w:sz w:val="20"/>
              </w:rPr>
            </w:pPr>
            <w:r>
              <w:rPr>
                <w:noProof/>
                <w:color w:val="000000"/>
                <w:sz w:val="20"/>
                <w:szCs w:val="20"/>
              </w:rPr>
              <w:t>82,465</w:t>
            </w:r>
          </w:p>
        </w:tc>
        <w:tc>
          <w:tcPr>
            <w:tcW w:w="990" w:type="dxa"/>
            <w:vAlign w:val="center"/>
          </w:tcPr>
          <w:p>
            <w:pPr>
              <w:spacing w:before="20" w:after="20"/>
              <w:jc w:val="right"/>
              <w:rPr>
                <w:noProof/>
                <w:sz w:val="20"/>
              </w:rPr>
            </w:pPr>
            <w:r>
              <w:rPr>
                <w:noProof/>
                <w:color w:val="000000"/>
                <w:sz w:val="20"/>
                <w:szCs w:val="20"/>
              </w:rPr>
              <w:t>155,409</w:t>
            </w:r>
          </w:p>
        </w:tc>
        <w:tc>
          <w:tcPr>
            <w:tcW w:w="976" w:type="dxa"/>
            <w:vAlign w:val="center"/>
          </w:tcPr>
          <w:p>
            <w:pPr>
              <w:spacing w:before="20" w:after="20"/>
              <w:jc w:val="right"/>
              <w:rPr>
                <w:noProof/>
                <w:sz w:val="20"/>
              </w:rPr>
            </w:pPr>
            <w:r>
              <w:rPr>
                <w:noProof/>
                <w:color w:val="000000"/>
                <w:sz w:val="20"/>
                <w:szCs w:val="20"/>
              </w:rPr>
              <w:t>325,111</w:t>
            </w:r>
          </w:p>
        </w:tc>
        <w:tc>
          <w:tcPr>
            <w:tcW w:w="1004" w:type="dxa"/>
            <w:vAlign w:val="center"/>
          </w:tcPr>
          <w:p>
            <w:pPr>
              <w:spacing w:before="20" w:after="20"/>
              <w:jc w:val="right"/>
              <w:rPr>
                <w:noProof/>
                <w:sz w:val="20"/>
              </w:rPr>
            </w:pPr>
            <w:r>
              <w:rPr>
                <w:noProof/>
                <w:color w:val="000000"/>
                <w:sz w:val="20"/>
                <w:szCs w:val="20"/>
              </w:rPr>
              <w:t>384,714</w:t>
            </w:r>
          </w:p>
        </w:tc>
        <w:tc>
          <w:tcPr>
            <w:tcW w:w="990" w:type="dxa"/>
            <w:vAlign w:val="center"/>
          </w:tcPr>
          <w:p>
            <w:pPr>
              <w:spacing w:before="20" w:after="20"/>
              <w:jc w:val="right"/>
              <w:rPr>
                <w:noProof/>
                <w:sz w:val="20"/>
              </w:rPr>
            </w:pPr>
            <w:r>
              <w:rPr>
                <w:noProof/>
                <w:color w:val="000000"/>
                <w:sz w:val="20"/>
                <w:szCs w:val="20"/>
              </w:rPr>
              <w:t>482,608</w:t>
            </w:r>
          </w:p>
        </w:tc>
        <w:tc>
          <w:tcPr>
            <w:tcW w:w="990" w:type="dxa"/>
            <w:vAlign w:val="center"/>
          </w:tcPr>
          <w:p>
            <w:pPr>
              <w:spacing w:before="20" w:after="20"/>
              <w:jc w:val="right"/>
              <w:rPr>
                <w:b/>
                <w:noProof/>
                <w:sz w:val="20"/>
              </w:rPr>
            </w:pPr>
            <w:r>
              <w:rPr>
                <w:noProof/>
                <w:color w:val="000000"/>
                <w:sz w:val="20"/>
                <w:szCs w:val="20"/>
              </w:rPr>
              <w:t>589,357</w:t>
            </w:r>
          </w:p>
        </w:tc>
        <w:tc>
          <w:tcPr>
            <w:tcW w:w="1033" w:type="dxa"/>
            <w:vAlign w:val="center"/>
          </w:tcPr>
          <w:p>
            <w:pPr>
              <w:spacing w:before="20" w:after="20"/>
              <w:jc w:val="right"/>
              <w:rPr>
                <w:b/>
                <w:noProof/>
                <w:sz w:val="20"/>
              </w:rPr>
            </w:pPr>
            <w:r>
              <w:rPr>
                <w:noProof/>
                <w:color w:val="000000"/>
                <w:sz w:val="20"/>
                <w:szCs w:val="20"/>
              </w:rPr>
              <w:t>775,555</w:t>
            </w:r>
          </w:p>
        </w:tc>
        <w:tc>
          <w:tcPr>
            <w:tcW w:w="1127" w:type="dxa"/>
            <w:vAlign w:val="center"/>
          </w:tcPr>
          <w:p>
            <w:pPr>
              <w:spacing w:before="20" w:after="20"/>
              <w:jc w:val="right"/>
              <w:rPr>
                <w:b/>
                <w:noProof/>
                <w:sz w:val="20"/>
              </w:rPr>
            </w:pPr>
            <w:r>
              <w:rPr>
                <w:b/>
                <w:bCs/>
                <w:noProof/>
                <w:color w:val="000000"/>
                <w:sz w:val="20"/>
                <w:szCs w:val="20"/>
              </w:rPr>
              <w:t>2 795,218</w:t>
            </w:r>
          </w:p>
        </w:tc>
      </w:tr>
    </w:tbl>
    <w:p>
      <w:pPr>
        <w:jc w:val="right"/>
        <w:rPr>
          <w:noProof/>
        </w:rPr>
      </w:pPr>
    </w:p>
    <w:p>
      <w:pPr>
        <w:jc w:val="right"/>
        <w:rPr>
          <w:i/>
          <w:noProof/>
        </w:rPr>
      </w:pPr>
    </w:p>
    <w:p>
      <w:pPr>
        <w:jc w:val="right"/>
        <w:rPr>
          <w:i/>
          <w:noProof/>
        </w:rPr>
      </w:pPr>
    </w:p>
    <w:p>
      <w:pPr>
        <w:jc w:val="right"/>
        <w:rPr>
          <w:i/>
          <w:noProof/>
        </w:rPr>
      </w:pPr>
    </w:p>
    <w:p>
      <w:pPr>
        <w:jc w:val="right"/>
        <w:rPr>
          <w:i/>
          <w:noProof/>
        </w:rPr>
      </w:pPr>
    </w:p>
    <w:p>
      <w:pPr>
        <w:jc w:val="right"/>
        <w:rPr>
          <w:i/>
          <w:noProof/>
        </w:rPr>
      </w:pPr>
    </w:p>
    <w:p>
      <w:pPr>
        <w:jc w:val="right"/>
        <w:rPr>
          <w:i/>
          <w:noProof/>
        </w:rPr>
      </w:pPr>
      <w:r>
        <w:rPr>
          <w:i/>
          <w:noProof/>
        </w:rPr>
        <w:t>En Mio EUR (à la 3</w:t>
      </w:r>
      <w:r>
        <w:rPr>
          <w:i/>
          <w:noProof/>
          <w:vertAlign w:val="superscript"/>
        </w:rPr>
        <w:t>e</w:t>
      </w:r>
      <w:r>
        <w:rPr>
          <w:i/>
          <w:noProof/>
        </w:rPr>
        <w:t xml:space="preserve">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Rubrique du cadre financier</w:t>
            </w:r>
            <w:r>
              <w:rPr>
                <w:noProof/>
              </w:rPr>
              <w:t xml:space="preserve"> </w:t>
            </w:r>
            <w:r>
              <w:rPr>
                <w:noProof/>
              </w:rPr>
              <w:br/>
            </w:r>
            <w:r>
              <w:rPr>
                <w:b/>
                <w:noProof/>
                <w:sz w:val="22"/>
              </w:rPr>
              <w:t xml:space="preserve">pluriannuel </w:t>
            </w:r>
          </w:p>
        </w:tc>
        <w:tc>
          <w:tcPr>
            <w:tcW w:w="1080" w:type="dxa"/>
            <w:vAlign w:val="center"/>
          </w:tcPr>
          <w:p>
            <w:pPr>
              <w:spacing w:before="60" w:after="60"/>
              <w:jc w:val="center"/>
              <w:rPr>
                <w:b/>
                <w:noProof/>
                <w:sz w:val="22"/>
              </w:rPr>
            </w:pPr>
            <w:r>
              <w:rPr>
                <w:b/>
                <w:noProof/>
                <w:sz w:val="22"/>
              </w:rPr>
              <w:t>2b</w:t>
            </w:r>
          </w:p>
        </w:tc>
        <w:tc>
          <w:tcPr>
            <w:tcW w:w="7817" w:type="dxa"/>
            <w:vAlign w:val="center"/>
          </w:tcPr>
          <w:p>
            <w:pPr>
              <w:spacing w:before="60" w:after="60"/>
              <w:rPr>
                <w:b/>
                <w:noProof/>
                <w:sz w:val="22"/>
              </w:rPr>
            </w:pPr>
            <w:r>
              <w:rPr>
                <w:b/>
                <w:noProof/>
                <w:sz w:val="22"/>
              </w:rPr>
              <w:t>Résilience et valeurs</w:t>
            </w:r>
          </w:p>
        </w:tc>
      </w:tr>
    </w:tbl>
    <w:p>
      <w:pPr>
        <w:rPr>
          <w:noProof/>
        </w:rPr>
      </w:pPr>
    </w:p>
    <w:tbl>
      <w:tblPr>
        <w:tblW w:w="146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0"/>
        <w:gridCol w:w="60"/>
        <w:gridCol w:w="1260"/>
        <w:gridCol w:w="540"/>
        <w:gridCol w:w="990"/>
        <w:gridCol w:w="990"/>
        <w:gridCol w:w="990"/>
        <w:gridCol w:w="976"/>
        <w:gridCol w:w="1004"/>
        <w:gridCol w:w="990"/>
        <w:gridCol w:w="990"/>
        <w:gridCol w:w="1033"/>
        <w:gridCol w:w="1127"/>
      </w:tblGrid>
      <w:tr>
        <w:tc>
          <w:tcPr>
            <w:tcW w:w="3780" w:type="dxa"/>
            <w:gridSpan w:val="2"/>
            <w:vAlign w:val="center"/>
          </w:tcPr>
          <w:p>
            <w:pPr>
              <w:jc w:val="center"/>
              <w:rPr>
                <w:noProof/>
              </w:rPr>
            </w:pPr>
            <w:r>
              <w:rPr>
                <w:noProof/>
                <w:sz w:val="22"/>
              </w:rPr>
              <w:t>DG: ECHO</w:t>
            </w:r>
          </w:p>
        </w:tc>
        <w:tc>
          <w:tcPr>
            <w:tcW w:w="1260" w:type="dxa"/>
          </w:tcPr>
          <w:p>
            <w:pPr>
              <w:rPr>
                <w:noProof/>
                <w:sz w:val="20"/>
              </w:rPr>
            </w:pPr>
          </w:p>
        </w:tc>
        <w:tc>
          <w:tcPr>
            <w:tcW w:w="540" w:type="dxa"/>
          </w:tcPr>
          <w:p>
            <w:pPr>
              <w:jc w:val="center"/>
              <w:rPr>
                <w:noProof/>
                <w:sz w:val="20"/>
              </w:rPr>
            </w:pPr>
          </w:p>
        </w:tc>
        <w:tc>
          <w:tcPr>
            <w:tcW w:w="990" w:type="dxa"/>
            <w:vAlign w:val="center"/>
          </w:tcPr>
          <w:p>
            <w:pPr>
              <w:jc w:val="center"/>
              <w:rPr>
                <w:noProof/>
                <w:sz w:val="20"/>
              </w:rPr>
            </w:pPr>
            <w:r>
              <w:rPr>
                <w:b/>
                <w:noProof/>
                <w:sz w:val="20"/>
              </w:rPr>
              <w:t>2021</w:t>
            </w:r>
          </w:p>
        </w:tc>
        <w:tc>
          <w:tcPr>
            <w:tcW w:w="990" w:type="dxa"/>
            <w:vAlign w:val="center"/>
          </w:tcPr>
          <w:p>
            <w:pPr>
              <w:jc w:val="center"/>
              <w:rPr>
                <w:noProof/>
                <w:sz w:val="20"/>
              </w:rPr>
            </w:pPr>
            <w:r>
              <w:rPr>
                <w:b/>
                <w:noProof/>
                <w:sz w:val="20"/>
              </w:rPr>
              <w:t>2022</w:t>
            </w:r>
          </w:p>
        </w:tc>
        <w:tc>
          <w:tcPr>
            <w:tcW w:w="990" w:type="dxa"/>
            <w:vAlign w:val="center"/>
          </w:tcPr>
          <w:p>
            <w:pPr>
              <w:jc w:val="center"/>
              <w:rPr>
                <w:noProof/>
                <w:sz w:val="20"/>
              </w:rPr>
            </w:pPr>
            <w:r>
              <w:rPr>
                <w:b/>
                <w:noProof/>
                <w:sz w:val="20"/>
              </w:rPr>
              <w:t>2023</w:t>
            </w:r>
          </w:p>
        </w:tc>
        <w:tc>
          <w:tcPr>
            <w:tcW w:w="976" w:type="dxa"/>
            <w:vAlign w:val="center"/>
          </w:tcPr>
          <w:p>
            <w:pPr>
              <w:jc w:val="center"/>
              <w:rPr>
                <w:noProof/>
                <w:sz w:val="20"/>
              </w:rPr>
            </w:pPr>
            <w:r>
              <w:rPr>
                <w:b/>
                <w:noProof/>
                <w:sz w:val="20"/>
              </w:rPr>
              <w:t>2024</w:t>
            </w:r>
          </w:p>
        </w:tc>
        <w:tc>
          <w:tcPr>
            <w:tcW w:w="1004" w:type="dxa"/>
            <w:vAlign w:val="center"/>
          </w:tcPr>
          <w:p>
            <w:pPr>
              <w:jc w:val="center"/>
              <w:rPr>
                <w:b/>
                <w:noProof/>
                <w:sz w:val="18"/>
              </w:rPr>
            </w:pPr>
            <w:r>
              <w:rPr>
                <w:b/>
                <w:noProof/>
                <w:sz w:val="18"/>
              </w:rPr>
              <w:t>2025</w:t>
            </w:r>
          </w:p>
        </w:tc>
        <w:tc>
          <w:tcPr>
            <w:tcW w:w="990" w:type="dxa"/>
            <w:vAlign w:val="center"/>
          </w:tcPr>
          <w:p>
            <w:pPr>
              <w:jc w:val="center"/>
              <w:rPr>
                <w:b/>
                <w:noProof/>
                <w:sz w:val="18"/>
              </w:rPr>
            </w:pPr>
            <w:r>
              <w:rPr>
                <w:b/>
                <w:noProof/>
                <w:sz w:val="18"/>
              </w:rPr>
              <w:t>2026</w:t>
            </w:r>
          </w:p>
        </w:tc>
        <w:tc>
          <w:tcPr>
            <w:tcW w:w="990" w:type="dxa"/>
            <w:vAlign w:val="center"/>
          </w:tcPr>
          <w:p>
            <w:pPr>
              <w:jc w:val="center"/>
              <w:rPr>
                <w:b/>
                <w:noProof/>
                <w:sz w:val="18"/>
              </w:rPr>
            </w:pPr>
            <w:r>
              <w:rPr>
                <w:b/>
                <w:noProof/>
                <w:sz w:val="18"/>
              </w:rPr>
              <w:t>2027</w:t>
            </w:r>
          </w:p>
        </w:tc>
        <w:tc>
          <w:tcPr>
            <w:tcW w:w="1033" w:type="dxa"/>
          </w:tcPr>
          <w:p>
            <w:pPr>
              <w:jc w:val="center"/>
              <w:rPr>
                <w:b/>
                <w:noProof/>
                <w:sz w:val="20"/>
              </w:rPr>
            </w:pPr>
            <w:r>
              <w:rPr>
                <w:b/>
                <w:i/>
                <w:noProof/>
                <w:sz w:val="20"/>
              </w:rPr>
              <w:t>Après 2027</w:t>
            </w:r>
          </w:p>
        </w:tc>
        <w:tc>
          <w:tcPr>
            <w:tcW w:w="1127" w:type="dxa"/>
            <w:vAlign w:val="center"/>
          </w:tcPr>
          <w:p>
            <w:pPr>
              <w:jc w:val="center"/>
              <w:rPr>
                <w:b/>
                <w:noProof/>
                <w:sz w:val="20"/>
              </w:rPr>
            </w:pPr>
            <w:r>
              <w:rPr>
                <w:b/>
                <w:noProof/>
                <w:sz w:val="20"/>
              </w:rPr>
              <w:t>TOTAL</w:t>
            </w:r>
          </w:p>
        </w:tc>
      </w:tr>
      <w:tr>
        <w:trPr>
          <w:trHeight w:val="213"/>
        </w:trPr>
        <w:tc>
          <w:tcPr>
            <w:tcW w:w="5580" w:type="dxa"/>
            <w:gridSpan w:val="4"/>
            <w:vAlign w:val="center"/>
          </w:tcPr>
          <w:p>
            <w:pPr>
              <w:spacing w:before="20" w:after="20"/>
              <w:rPr>
                <w:noProof/>
                <w:sz w:val="21"/>
              </w:rPr>
            </w:pPr>
            <w:r>
              <w:rPr>
                <w:noProof/>
                <w:sz w:val="21"/>
              </w:rPr>
              <w:sym w:font="Wingdings" w:char="F09F"/>
            </w:r>
            <w:r>
              <w:rPr>
                <w:noProof/>
                <w:sz w:val="21"/>
              </w:rPr>
              <w:t xml:space="preserve"> Crédits opérationnels (crédits NGEU)</w:t>
            </w:r>
          </w:p>
        </w:tc>
        <w:tc>
          <w:tcPr>
            <w:tcW w:w="990" w:type="dxa"/>
            <w:vAlign w:val="center"/>
          </w:tcPr>
          <w:p>
            <w:pPr>
              <w:rPr>
                <w:noProof/>
                <w:sz w:val="20"/>
              </w:rPr>
            </w:pPr>
          </w:p>
        </w:tc>
        <w:tc>
          <w:tcPr>
            <w:tcW w:w="990" w:type="dxa"/>
            <w:vAlign w:val="center"/>
          </w:tcPr>
          <w:p>
            <w:pPr>
              <w:rPr>
                <w:noProof/>
                <w:sz w:val="20"/>
              </w:rPr>
            </w:pPr>
          </w:p>
        </w:tc>
        <w:tc>
          <w:tcPr>
            <w:tcW w:w="990" w:type="dxa"/>
            <w:vAlign w:val="center"/>
          </w:tcPr>
          <w:p>
            <w:pPr>
              <w:rPr>
                <w:noProof/>
                <w:sz w:val="20"/>
              </w:rPr>
            </w:pPr>
          </w:p>
        </w:tc>
        <w:tc>
          <w:tcPr>
            <w:tcW w:w="976" w:type="dxa"/>
            <w:vAlign w:val="center"/>
          </w:tcPr>
          <w:p>
            <w:pPr>
              <w:rPr>
                <w:noProof/>
                <w:sz w:val="20"/>
              </w:rPr>
            </w:pPr>
          </w:p>
        </w:tc>
        <w:tc>
          <w:tcPr>
            <w:tcW w:w="1004" w:type="dxa"/>
            <w:vAlign w:val="center"/>
          </w:tcPr>
          <w:p>
            <w:pPr>
              <w:rPr>
                <w:noProof/>
                <w:sz w:val="20"/>
              </w:rPr>
            </w:pPr>
          </w:p>
        </w:tc>
        <w:tc>
          <w:tcPr>
            <w:tcW w:w="990" w:type="dxa"/>
            <w:vAlign w:val="center"/>
          </w:tcPr>
          <w:p>
            <w:pPr>
              <w:rPr>
                <w:noProof/>
                <w:sz w:val="20"/>
              </w:rPr>
            </w:pPr>
          </w:p>
        </w:tc>
        <w:tc>
          <w:tcPr>
            <w:tcW w:w="990" w:type="dxa"/>
            <w:vAlign w:val="center"/>
          </w:tcPr>
          <w:p>
            <w:pPr>
              <w:rPr>
                <w:b/>
                <w:noProof/>
                <w:sz w:val="20"/>
              </w:rPr>
            </w:pPr>
          </w:p>
        </w:tc>
        <w:tc>
          <w:tcPr>
            <w:tcW w:w="1033" w:type="dxa"/>
          </w:tcPr>
          <w:p>
            <w:pPr>
              <w:rPr>
                <w:b/>
                <w:noProof/>
                <w:sz w:val="20"/>
              </w:rPr>
            </w:pPr>
          </w:p>
        </w:tc>
        <w:tc>
          <w:tcPr>
            <w:tcW w:w="1127" w:type="dxa"/>
            <w:vAlign w:val="center"/>
          </w:tcPr>
          <w:p>
            <w:pPr>
              <w:rPr>
                <w:b/>
                <w:noProof/>
                <w:sz w:val="20"/>
              </w:rPr>
            </w:pPr>
          </w:p>
        </w:tc>
      </w:tr>
      <w:tr>
        <w:trPr>
          <w:trHeight w:val="277"/>
        </w:trPr>
        <w:tc>
          <w:tcPr>
            <w:tcW w:w="3780" w:type="dxa"/>
            <w:gridSpan w:val="2"/>
            <w:vMerge w:val="restart"/>
            <w:vAlign w:val="center"/>
          </w:tcPr>
          <w:p>
            <w:pPr>
              <w:rPr>
                <w:noProof/>
              </w:rPr>
            </w:pPr>
            <w:r>
              <w:rPr>
                <w:noProof/>
                <w:sz w:val="20"/>
              </w:rPr>
              <w:t>06 05 01 — Mécanisme de protection civile de l’Union/RescEU</w:t>
            </w:r>
            <w:r>
              <w:rPr>
                <w:rStyle w:val="FootnoteReference"/>
                <w:noProof/>
                <w:sz w:val="20"/>
              </w:rPr>
              <w:footnoteReference w:id="39"/>
            </w:r>
          </w:p>
        </w:tc>
        <w:tc>
          <w:tcPr>
            <w:tcW w:w="1260" w:type="dxa"/>
            <w:vAlign w:val="center"/>
          </w:tcPr>
          <w:p>
            <w:pPr>
              <w:spacing w:before="20" w:after="20"/>
              <w:rPr>
                <w:noProof/>
                <w:sz w:val="18"/>
              </w:rPr>
            </w:pPr>
            <w:r>
              <w:rPr>
                <w:noProof/>
                <w:sz w:val="18"/>
              </w:rPr>
              <w:t>Engagements</w:t>
            </w:r>
          </w:p>
        </w:tc>
        <w:tc>
          <w:tcPr>
            <w:tcW w:w="540" w:type="dxa"/>
            <w:vAlign w:val="center"/>
          </w:tcPr>
          <w:p>
            <w:pPr>
              <w:spacing w:before="20" w:after="20"/>
              <w:jc w:val="center"/>
              <w:rPr>
                <w:noProof/>
                <w:sz w:val="14"/>
              </w:rPr>
            </w:pPr>
            <w:r>
              <w:rPr>
                <w:noProof/>
                <w:sz w:val="14"/>
              </w:rPr>
              <w:t>(1)</w:t>
            </w:r>
          </w:p>
        </w:tc>
        <w:tc>
          <w:tcPr>
            <w:tcW w:w="990" w:type="dxa"/>
            <w:vAlign w:val="center"/>
          </w:tcPr>
          <w:p>
            <w:pPr>
              <w:spacing w:before="20" w:after="20"/>
              <w:jc w:val="right"/>
              <w:rPr>
                <w:noProof/>
                <w:sz w:val="20"/>
              </w:rPr>
            </w:pPr>
          </w:p>
        </w:tc>
        <w:tc>
          <w:tcPr>
            <w:tcW w:w="990" w:type="dxa"/>
            <w:vAlign w:val="center"/>
          </w:tcPr>
          <w:p>
            <w:pPr>
              <w:spacing w:before="20" w:after="20"/>
              <w:jc w:val="right"/>
              <w:rPr>
                <w:noProof/>
                <w:sz w:val="20"/>
              </w:rPr>
            </w:pPr>
            <w:r>
              <w:rPr>
                <w:noProof/>
                <w:color w:val="000000"/>
                <w:sz w:val="20"/>
                <w:szCs w:val="20"/>
              </w:rPr>
              <w:t>630,000</w:t>
            </w:r>
          </w:p>
        </w:tc>
        <w:tc>
          <w:tcPr>
            <w:tcW w:w="990" w:type="dxa"/>
            <w:vAlign w:val="center"/>
          </w:tcPr>
          <w:p>
            <w:pPr>
              <w:spacing w:before="20" w:after="20"/>
              <w:jc w:val="right"/>
              <w:rPr>
                <w:noProof/>
                <w:sz w:val="20"/>
              </w:rPr>
            </w:pPr>
            <w:r>
              <w:rPr>
                <w:noProof/>
                <w:color w:val="000000"/>
                <w:sz w:val="20"/>
                <w:szCs w:val="20"/>
              </w:rPr>
              <w:t>636,000</w:t>
            </w:r>
          </w:p>
        </w:tc>
        <w:tc>
          <w:tcPr>
            <w:tcW w:w="976" w:type="dxa"/>
            <w:vAlign w:val="center"/>
          </w:tcPr>
          <w:p>
            <w:pPr>
              <w:spacing w:before="20" w:after="20"/>
              <w:jc w:val="right"/>
              <w:rPr>
                <w:noProof/>
                <w:sz w:val="20"/>
              </w:rPr>
            </w:pPr>
            <w:r>
              <w:rPr>
                <w:noProof/>
                <w:sz w:val="20"/>
              </w:rPr>
              <w:t>p.m.</w:t>
            </w:r>
          </w:p>
        </w:tc>
        <w:tc>
          <w:tcPr>
            <w:tcW w:w="1004" w:type="dxa"/>
            <w:vAlign w:val="center"/>
          </w:tcPr>
          <w:p>
            <w:pPr>
              <w:spacing w:before="20" w:after="20"/>
              <w:jc w:val="right"/>
              <w:rPr>
                <w:noProof/>
                <w:sz w:val="20"/>
              </w:rPr>
            </w:pPr>
            <w:r>
              <w:rPr>
                <w:noProof/>
                <w:sz w:val="20"/>
              </w:rPr>
              <w:t>p.m.</w:t>
            </w:r>
          </w:p>
        </w:tc>
        <w:tc>
          <w:tcPr>
            <w:tcW w:w="990" w:type="dxa"/>
            <w:vAlign w:val="center"/>
          </w:tcPr>
          <w:p>
            <w:pPr>
              <w:spacing w:before="20" w:after="20"/>
              <w:jc w:val="right"/>
              <w:rPr>
                <w:noProof/>
                <w:sz w:val="20"/>
              </w:rPr>
            </w:pPr>
            <w:r>
              <w:rPr>
                <w:noProof/>
                <w:sz w:val="20"/>
              </w:rPr>
              <w:t>p.m.</w:t>
            </w:r>
          </w:p>
        </w:tc>
        <w:tc>
          <w:tcPr>
            <w:tcW w:w="990" w:type="dxa"/>
            <w:vAlign w:val="center"/>
          </w:tcPr>
          <w:p>
            <w:pPr>
              <w:spacing w:before="20" w:after="20"/>
              <w:jc w:val="right"/>
              <w:rPr>
                <w:noProof/>
                <w:sz w:val="20"/>
              </w:rPr>
            </w:pPr>
            <w:r>
              <w:rPr>
                <w:noProof/>
                <w:sz w:val="20"/>
              </w:rPr>
              <w:t>p.m.</w:t>
            </w:r>
          </w:p>
        </w:tc>
        <w:tc>
          <w:tcPr>
            <w:tcW w:w="1033" w:type="dxa"/>
            <w:vAlign w:val="center"/>
          </w:tcPr>
          <w:p>
            <w:pPr>
              <w:spacing w:before="20" w:after="20"/>
              <w:jc w:val="right"/>
              <w:rPr>
                <w:b/>
                <w:noProof/>
                <w:sz w:val="20"/>
              </w:rPr>
            </w:pPr>
          </w:p>
        </w:tc>
        <w:tc>
          <w:tcPr>
            <w:tcW w:w="1127" w:type="dxa"/>
            <w:vAlign w:val="center"/>
          </w:tcPr>
          <w:p>
            <w:pPr>
              <w:spacing w:before="0" w:after="0"/>
              <w:jc w:val="right"/>
              <w:rPr>
                <w:b/>
                <w:bCs/>
                <w:noProof/>
                <w:color w:val="000000"/>
                <w:sz w:val="20"/>
                <w:szCs w:val="20"/>
              </w:rPr>
            </w:pPr>
            <w:r>
              <w:rPr>
                <w:b/>
                <w:bCs/>
                <w:noProof/>
                <w:color w:val="000000"/>
                <w:sz w:val="20"/>
                <w:szCs w:val="20"/>
              </w:rPr>
              <w:t>1 266,000</w:t>
            </w:r>
          </w:p>
        </w:tc>
      </w:tr>
      <w:tr>
        <w:tc>
          <w:tcPr>
            <w:tcW w:w="3780" w:type="dxa"/>
            <w:gridSpan w:val="2"/>
            <w:vMerge/>
          </w:tcPr>
          <w:p>
            <w:pPr>
              <w:jc w:val="center"/>
              <w:rPr>
                <w:noProof/>
                <w:sz w:val="20"/>
              </w:rPr>
            </w:pPr>
          </w:p>
        </w:tc>
        <w:tc>
          <w:tcPr>
            <w:tcW w:w="1260" w:type="dxa"/>
            <w:vAlign w:val="center"/>
          </w:tcPr>
          <w:p>
            <w:pPr>
              <w:spacing w:before="20" w:after="20"/>
              <w:rPr>
                <w:noProof/>
                <w:sz w:val="18"/>
              </w:rPr>
            </w:pPr>
            <w:r>
              <w:rPr>
                <w:noProof/>
                <w:sz w:val="18"/>
              </w:rPr>
              <w:t>Paiements</w:t>
            </w:r>
          </w:p>
        </w:tc>
        <w:tc>
          <w:tcPr>
            <w:tcW w:w="540" w:type="dxa"/>
            <w:vAlign w:val="center"/>
          </w:tcPr>
          <w:p>
            <w:pPr>
              <w:spacing w:before="20" w:after="20"/>
              <w:jc w:val="center"/>
              <w:rPr>
                <w:noProof/>
                <w:sz w:val="14"/>
              </w:rPr>
            </w:pPr>
            <w:r>
              <w:rPr>
                <w:noProof/>
                <w:sz w:val="14"/>
              </w:rPr>
              <w:t>(2)</w:t>
            </w:r>
          </w:p>
        </w:tc>
        <w:tc>
          <w:tcPr>
            <w:tcW w:w="990" w:type="dxa"/>
            <w:vAlign w:val="center"/>
          </w:tcPr>
          <w:p>
            <w:pPr>
              <w:spacing w:before="20" w:after="20"/>
              <w:jc w:val="right"/>
              <w:rPr>
                <w:noProof/>
                <w:sz w:val="20"/>
              </w:rPr>
            </w:pPr>
          </w:p>
        </w:tc>
        <w:tc>
          <w:tcPr>
            <w:tcW w:w="990" w:type="dxa"/>
            <w:vAlign w:val="center"/>
          </w:tcPr>
          <w:p>
            <w:pPr>
              <w:spacing w:before="20" w:after="20"/>
              <w:jc w:val="right"/>
              <w:rPr>
                <w:noProof/>
                <w:sz w:val="20"/>
              </w:rPr>
            </w:pPr>
            <w:r>
              <w:rPr>
                <w:noProof/>
                <w:color w:val="000000"/>
                <w:sz w:val="20"/>
                <w:szCs w:val="20"/>
              </w:rPr>
              <w:t>189,000</w:t>
            </w:r>
          </w:p>
        </w:tc>
        <w:tc>
          <w:tcPr>
            <w:tcW w:w="990" w:type="dxa"/>
            <w:vAlign w:val="center"/>
          </w:tcPr>
          <w:p>
            <w:pPr>
              <w:spacing w:before="20" w:after="20"/>
              <w:jc w:val="right"/>
              <w:rPr>
                <w:noProof/>
                <w:sz w:val="20"/>
              </w:rPr>
            </w:pPr>
            <w:r>
              <w:rPr>
                <w:noProof/>
                <w:color w:val="000000"/>
                <w:sz w:val="20"/>
                <w:szCs w:val="20"/>
              </w:rPr>
              <w:t>379,800</w:t>
            </w:r>
          </w:p>
        </w:tc>
        <w:tc>
          <w:tcPr>
            <w:tcW w:w="976" w:type="dxa"/>
            <w:vAlign w:val="center"/>
          </w:tcPr>
          <w:p>
            <w:pPr>
              <w:spacing w:before="20" w:after="20"/>
              <w:jc w:val="right"/>
              <w:rPr>
                <w:noProof/>
                <w:sz w:val="20"/>
              </w:rPr>
            </w:pPr>
            <w:r>
              <w:rPr>
                <w:noProof/>
                <w:color w:val="000000"/>
                <w:sz w:val="20"/>
                <w:szCs w:val="20"/>
              </w:rPr>
              <w:t>442,800</w:t>
            </w:r>
          </w:p>
        </w:tc>
        <w:tc>
          <w:tcPr>
            <w:tcW w:w="1004" w:type="dxa"/>
            <w:vAlign w:val="center"/>
          </w:tcPr>
          <w:p>
            <w:pPr>
              <w:spacing w:before="20" w:after="20"/>
              <w:jc w:val="right"/>
              <w:rPr>
                <w:noProof/>
                <w:sz w:val="20"/>
              </w:rPr>
            </w:pPr>
            <w:r>
              <w:rPr>
                <w:noProof/>
                <w:color w:val="000000"/>
                <w:sz w:val="20"/>
                <w:szCs w:val="20"/>
              </w:rPr>
              <w:t>254,400</w:t>
            </w:r>
          </w:p>
        </w:tc>
        <w:tc>
          <w:tcPr>
            <w:tcW w:w="990" w:type="dxa"/>
            <w:vAlign w:val="center"/>
          </w:tcPr>
          <w:p>
            <w:pPr>
              <w:spacing w:before="20" w:after="20"/>
              <w:jc w:val="right"/>
              <w:rPr>
                <w:noProof/>
                <w:sz w:val="20"/>
              </w:rPr>
            </w:pPr>
            <w:r>
              <w:rPr>
                <w:noProof/>
                <w:color w:val="000000"/>
                <w:sz w:val="20"/>
                <w:szCs w:val="20"/>
              </w:rPr>
              <w:t>0,000</w:t>
            </w:r>
          </w:p>
        </w:tc>
        <w:tc>
          <w:tcPr>
            <w:tcW w:w="990" w:type="dxa"/>
            <w:vAlign w:val="center"/>
          </w:tcPr>
          <w:p>
            <w:pPr>
              <w:spacing w:before="20" w:after="20"/>
              <w:jc w:val="right"/>
              <w:rPr>
                <w:b/>
                <w:noProof/>
                <w:sz w:val="20"/>
              </w:rPr>
            </w:pPr>
            <w:r>
              <w:rPr>
                <w:noProof/>
                <w:color w:val="000000"/>
                <w:sz w:val="20"/>
                <w:szCs w:val="20"/>
              </w:rPr>
              <w:t>0,000</w:t>
            </w:r>
          </w:p>
        </w:tc>
        <w:tc>
          <w:tcPr>
            <w:tcW w:w="1033" w:type="dxa"/>
            <w:vAlign w:val="center"/>
          </w:tcPr>
          <w:p>
            <w:pPr>
              <w:spacing w:before="20" w:after="20"/>
              <w:jc w:val="right"/>
              <w:rPr>
                <w:b/>
                <w:noProof/>
                <w:sz w:val="20"/>
              </w:rPr>
            </w:pPr>
          </w:p>
        </w:tc>
        <w:tc>
          <w:tcPr>
            <w:tcW w:w="1127" w:type="dxa"/>
            <w:vAlign w:val="center"/>
          </w:tcPr>
          <w:p>
            <w:pPr>
              <w:spacing w:before="20" w:after="20"/>
              <w:jc w:val="right"/>
              <w:rPr>
                <w:b/>
                <w:noProof/>
                <w:sz w:val="20"/>
              </w:rPr>
            </w:pPr>
            <w:r>
              <w:rPr>
                <w:b/>
                <w:bCs/>
                <w:noProof/>
                <w:color w:val="000000"/>
                <w:sz w:val="20"/>
                <w:szCs w:val="20"/>
              </w:rPr>
              <w:t>1 266,000</w:t>
            </w:r>
          </w:p>
        </w:tc>
      </w:tr>
      <w:tr>
        <w:trPr>
          <w:trHeight w:val="231"/>
        </w:trPr>
        <w:tc>
          <w:tcPr>
            <w:tcW w:w="3720" w:type="dxa"/>
            <w:vAlign w:val="center"/>
          </w:tcPr>
          <w:p>
            <w:pPr>
              <w:spacing w:before="20" w:after="20"/>
              <w:rPr>
                <w:noProof/>
              </w:rPr>
            </w:pPr>
            <w:r>
              <w:rPr>
                <w:noProof/>
                <w:sz w:val="21"/>
              </w:rPr>
              <w:sym w:font="Wingdings" w:char="F09F"/>
            </w:r>
            <w:r>
              <w:rPr>
                <w:noProof/>
                <w:sz w:val="21"/>
              </w:rPr>
              <w:t>Crédits de nature administrative financés par l’enveloppe de certains programmes spécifiques</w:t>
            </w:r>
          </w:p>
        </w:tc>
        <w:tc>
          <w:tcPr>
            <w:tcW w:w="1320" w:type="dxa"/>
            <w:gridSpan w:val="2"/>
            <w:vAlign w:val="center"/>
          </w:tcPr>
          <w:p>
            <w:pPr>
              <w:spacing w:before="0" w:after="0"/>
              <w:rPr>
                <w:noProof/>
              </w:rPr>
            </w:pPr>
          </w:p>
        </w:tc>
        <w:tc>
          <w:tcPr>
            <w:tcW w:w="540" w:type="dxa"/>
            <w:vAlign w:val="center"/>
          </w:tcPr>
          <w:p>
            <w:pPr>
              <w:spacing w:before="20" w:after="20"/>
              <w:jc w:val="center"/>
              <w:rPr>
                <w:noProof/>
              </w:rPr>
            </w:pPr>
          </w:p>
        </w:tc>
        <w:tc>
          <w:tcPr>
            <w:tcW w:w="990" w:type="dxa"/>
            <w:vAlign w:val="center"/>
          </w:tcPr>
          <w:p>
            <w:pPr>
              <w:rPr>
                <w:b/>
                <w:noProof/>
                <w:sz w:val="20"/>
              </w:rPr>
            </w:pPr>
          </w:p>
        </w:tc>
        <w:tc>
          <w:tcPr>
            <w:tcW w:w="990" w:type="dxa"/>
            <w:vAlign w:val="center"/>
          </w:tcPr>
          <w:p>
            <w:pPr>
              <w:rPr>
                <w:b/>
                <w:noProof/>
                <w:sz w:val="20"/>
              </w:rPr>
            </w:pPr>
            <w:r>
              <w:rPr>
                <w:b/>
                <w:bCs/>
                <w:noProof/>
                <w:color w:val="000000"/>
                <w:sz w:val="20"/>
              </w:rPr>
              <w:t xml:space="preserve"> </w:t>
            </w:r>
          </w:p>
        </w:tc>
        <w:tc>
          <w:tcPr>
            <w:tcW w:w="990" w:type="dxa"/>
            <w:vAlign w:val="center"/>
          </w:tcPr>
          <w:p>
            <w:pPr>
              <w:rPr>
                <w:b/>
                <w:noProof/>
                <w:sz w:val="20"/>
              </w:rPr>
            </w:pPr>
            <w:r>
              <w:rPr>
                <w:b/>
                <w:bCs/>
                <w:noProof/>
                <w:color w:val="000000"/>
                <w:sz w:val="20"/>
              </w:rPr>
              <w:t xml:space="preserve"> </w:t>
            </w:r>
          </w:p>
        </w:tc>
        <w:tc>
          <w:tcPr>
            <w:tcW w:w="976" w:type="dxa"/>
            <w:vAlign w:val="center"/>
          </w:tcPr>
          <w:p>
            <w:pPr>
              <w:rPr>
                <w:b/>
                <w:noProof/>
                <w:sz w:val="20"/>
              </w:rPr>
            </w:pPr>
            <w:r>
              <w:rPr>
                <w:b/>
                <w:bCs/>
                <w:noProof/>
                <w:color w:val="000000"/>
                <w:sz w:val="20"/>
              </w:rPr>
              <w:t xml:space="preserve"> </w:t>
            </w:r>
          </w:p>
        </w:tc>
        <w:tc>
          <w:tcPr>
            <w:tcW w:w="1004" w:type="dxa"/>
            <w:vAlign w:val="center"/>
          </w:tcPr>
          <w:p>
            <w:pPr>
              <w:rPr>
                <w:b/>
                <w:noProof/>
                <w:sz w:val="20"/>
              </w:rPr>
            </w:pPr>
            <w:r>
              <w:rPr>
                <w:b/>
                <w:bCs/>
                <w:noProof/>
                <w:color w:val="000000"/>
                <w:sz w:val="20"/>
              </w:rPr>
              <w:t xml:space="preserve"> </w:t>
            </w:r>
          </w:p>
        </w:tc>
        <w:tc>
          <w:tcPr>
            <w:tcW w:w="990" w:type="dxa"/>
            <w:vAlign w:val="center"/>
          </w:tcPr>
          <w:p>
            <w:pPr>
              <w:rPr>
                <w:b/>
                <w:noProof/>
                <w:sz w:val="20"/>
              </w:rPr>
            </w:pPr>
            <w:r>
              <w:rPr>
                <w:b/>
                <w:bCs/>
                <w:noProof/>
                <w:color w:val="000000"/>
                <w:sz w:val="20"/>
              </w:rPr>
              <w:t xml:space="preserve"> </w:t>
            </w:r>
          </w:p>
        </w:tc>
        <w:tc>
          <w:tcPr>
            <w:tcW w:w="990" w:type="dxa"/>
            <w:vAlign w:val="center"/>
          </w:tcPr>
          <w:p>
            <w:pPr>
              <w:rPr>
                <w:b/>
                <w:noProof/>
                <w:sz w:val="20"/>
              </w:rPr>
            </w:pPr>
            <w:r>
              <w:rPr>
                <w:b/>
                <w:bCs/>
                <w:noProof/>
                <w:color w:val="000000"/>
                <w:sz w:val="20"/>
              </w:rPr>
              <w:t xml:space="preserve"> </w:t>
            </w:r>
          </w:p>
        </w:tc>
        <w:tc>
          <w:tcPr>
            <w:tcW w:w="1033" w:type="dxa"/>
            <w:vAlign w:val="center"/>
          </w:tcPr>
          <w:p>
            <w:pPr>
              <w:rPr>
                <w:b/>
                <w:noProof/>
                <w:sz w:val="20"/>
              </w:rPr>
            </w:pPr>
            <w:r>
              <w:rPr>
                <w:b/>
                <w:bCs/>
                <w:noProof/>
                <w:color w:val="000000"/>
                <w:sz w:val="20"/>
              </w:rPr>
              <w:t xml:space="preserve"> </w:t>
            </w:r>
          </w:p>
        </w:tc>
        <w:tc>
          <w:tcPr>
            <w:tcW w:w="1127" w:type="dxa"/>
            <w:vAlign w:val="center"/>
          </w:tcPr>
          <w:p>
            <w:pPr>
              <w:spacing w:before="0" w:after="0"/>
              <w:jc w:val="right"/>
              <w:rPr>
                <w:b/>
                <w:noProof/>
                <w:sz w:val="20"/>
              </w:rPr>
            </w:pPr>
            <w:r>
              <w:rPr>
                <w:b/>
                <w:bCs/>
                <w:noProof/>
                <w:color w:val="000000"/>
                <w:sz w:val="20"/>
              </w:rPr>
              <w:t xml:space="preserve"> </w:t>
            </w:r>
          </w:p>
        </w:tc>
      </w:tr>
      <w:tr>
        <w:trPr>
          <w:trHeight w:val="319"/>
        </w:trPr>
        <w:tc>
          <w:tcPr>
            <w:tcW w:w="3780" w:type="dxa"/>
            <w:gridSpan w:val="2"/>
            <w:vAlign w:val="center"/>
          </w:tcPr>
          <w:p>
            <w:pPr>
              <w:spacing w:before="60" w:after="60"/>
              <w:rPr>
                <w:noProof/>
              </w:rPr>
            </w:pPr>
            <w:r>
              <w:rPr>
                <w:rFonts w:ascii="Tahoma" w:hAnsi="Tahoma"/>
                <w:noProof/>
                <w:color w:val="000000"/>
                <w:sz w:val="16"/>
                <w:szCs w:val="16"/>
              </w:rPr>
              <w:t>06 01 04 — Appui</w:t>
            </w:r>
          </w:p>
        </w:tc>
        <w:tc>
          <w:tcPr>
            <w:tcW w:w="1260" w:type="dxa"/>
            <w:vAlign w:val="center"/>
          </w:tcPr>
          <w:p>
            <w:pPr>
              <w:spacing w:before="40" w:after="40"/>
              <w:jc w:val="right"/>
              <w:rPr>
                <w:noProof/>
                <w:sz w:val="18"/>
              </w:rPr>
            </w:pPr>
            <w:r>
              <w:rPr>
                <w:noProof/>
                <w:sz w:val="18"/>
              </w:rPr>
              <w:t>Engagements = Paiements</w:t>
            </w:r>
          </w:p>
        </w:tc>
        <w:tc>
          <w:tcPr>
            <w:tcW w:w="540" w:type="dxa"/>
            <w:vAlign w:val="center"/>
          </w:tcPr>
          <w:p>
            <w:pPr>
              <w:spacing w:before="40" w:after="40"/>
              <w:jc w:val="center"/>
              <w:rPr>
                <w:noProof/>
                <w:sz w:val="14"/>
              </w:rPr>
            </w:pPr>
            <w:r>
              <w:rPr>
                <w:noProof/>
                <w:sz w:val="14"/>
              </w:rPr>
              <w:t>(3)</w:t>
            </w:r>
          </w:p>
        </w:tc>
        <w:tc>
          <w:tcPr>
            <w:tcW w:w="990" w:type="dxa"/>
            <w:vAlign w:val="center"/>
          </w:tcPr>
          <w:p>
            <w:pPr>
              <w:spacing w:before="40" w:after="40"/>
              <w:jc w:val="right"/>
              <w:rPr>
                <w:b/>
                <w:noProof/>
                <w:sz w:val="20"/>
              </w:rPr>
            </w:pPr>
          </w:p>
        </w:tc>
        <w:tc>
          <w:tcPr>
            <w:tcW w:w="990" w:type="dxa"/>
            <w:vAlign w:val="center"/>
          </w:tcPr>
          <w:p>
            <w:pPr>
              <w:spacing w:before="40" w:after="40"/>
              <w:jc w:val="center"/>
              <w:rPr>
                <w:b/>
                <w:noProof/>
                <w:sz w:val="20"/>
              </w:rPr>
            </w:pPr>
            <w:r>
              <w:rPr>
                <w:noProof/>
                <w:sz w:val="20"/>
              </w:rPr>
              <w:t>p.m.</w:t>
            </w:r>
          </w:p>
        </w:tc>
        <w:tc>
          <w:tcPr>
            <w:tcW w:w="990" w:type="dxa"/>
            <w:vAlign w:val="center"/>
          </w:tcPr>
          <w:p>
            <w:pPr>
              <w:spacing w:before="40" w:after="40"/>
              <w:jc w:val="center"/>
              <w:rPr>
                <w:b/>
                <w:noProof/>
                <w:sz w:val="20"/>
              </w:rPr>
            </w:pPr>
            <w:r>
              <w:rPr>
                <w:noProof/>
                <w:sz w:val="20"/>
              </w:rPr>
              <w:t>p.m.</w:t>
            </w:r>
          </w:p>
        </w:tc>
        <w:tc>
          <w:tcPr>
            <w:tcW w:w="976" w:type="dxa"/>
            <w:vAlign w:val="center"/>
          </w:tcPr>
          <w:p>
            <w:pPr>
              <w:spacing w:before="40" w:after="40"/>
              <w:jc w:val="center"/>
              <w:rPr>
                <w:b/>
                <w:noProof/>
                <w:sz w:val="20"/>
              </w:rPr>
            </w:pPr>
            <w:r>
              <w:rPr>
                <w:noProof/>
                <w:sz w:val="20"/>
              </w:rPr>
              <w:t>p.m.</w:t>
            </w:r>
          </w:p>
        </w:tc>
        <w:tc>
          <w:tcPr>
            <w:tcW w:w="1004" w:type="dxa"/>
            <w:vAlign w:val="center"/>
          </w:tcPr>
          <w:p>
            <w:pPr>
              <w:spacing w:before="40" w:after="40"/>
              <w:jc w:val="center"/>
              <w:rPr>
                <w:b/>
                <w:noProof/>
                <w:sz w:val="20"/>
              </w:rPr>
            </w:pPr>
            <w:r>
              <w:rPr>
                <w:noProof/>
                <w:sz w:val="20"/>
              </w:rPr>
              <w:t>p.m.</w:t>
            </w:r>
          </w:p>
        </w:tc>
        <w:tc>
          <w:tcPr>
            <w:tcW w:w="990" w:type="dxa"/>
            <w:vAlign w:val="center"/>
          </w:tcPr>
          <w:p>
            <w:pPr>
              <w:spacing w:before="40" w:after="40"/>
              <w:jc w:val="center"/>
              <w:rPr>
                <w:b/>
                <w:noProof/>
                <w:sz w:val="20"/>
              </w:rPr>
            </w:pPr>
            <w:r>
              <w:rPr>
                <w:noProof/>
                <w:sz w:val="20"/>
              </w:rPr>
              <w:t>p.m.</w:t>
            </w:r>
          </w:p>
        </w:tc>
        <w:tc>
          <w:tcPr>
            <w:tcW w:w="990" w:type="dxa"/>
            <w:vAlign w:val="center"/>
          </w:tcPr>
          <w:p>
            <w:pPr>
              <w:spacing w:before="40" w:after="40"/>
              <w:jc w:val="center"/>
              <w:rPr>
                <w:b/>
                <w:noProof/>
                <w:sz w:val="20"/>
              </w:rPr>
            </w:pPr>
            <w:r>
              <w:rPr>
                <w:noProof/>
                <w:sz w:val="20"/>
              </w:rPr>
              <w:t>p.m.</w:t>
            </w:r>
          </w:p>
        </w:tc>
        <w:tc>
          <w:tcPr>
            <w:tcW w:w="1033" w:type="dxa"/>
            <w:vAlign w:val="center"/>
          </w:tcPr>
          <w:p>
            <w:pPr>
              <w:spacing w:before="40" w:after="40"/>
              <w:jc w:val="center"/>
              <w:rPr>
                <w:b/>
                <w:noProof/>
                <w:sz w:val="20"/>
              </w:rPr>
            </w:pPr>
          </w:p>
        </w:tc>
        <w:tc>
          <w:tcPr>
            <w:tcW w:w="1127" w:type="dxa"/>
            <w:vAlign w:val="center"/>
          </w:tcPr>
          <w:p>
            <w:pPr>
              <w:spacing w:before="40" w:after="40"/>
              <w:jc w:val="center"/>
              <w:rPr>
                <w:b/>
                <w:noProof/>
                <w:sz w:val="20"/>
              </w:rPr>
            </w:pPr>
            <w:r>
              <w:rPr>
                <w:b/>
                <w:noProof/>
                <w:sz w:val="20"/>
              </w:rPr>
              <w:t>p.m.</w:t>
            </w:r>
          </w:p>
        </w:tc>
      </w:tr>
      <w:tr>
        <w:tc>
          <w:tcPr>
            <w:tcW w:w="3780" w:type="dxa"/>
            <w:gridSpan w:val="2"/>
            <w:vMerge w:val="restart"/>
            <w:vAlign w:val="center"/>
          </w:tcPr>
          <w:p>
            <w:pPr>
              <w:jc w:val="center"/>
              <w:rPr>
                <w:b/>
                <w:noProof/>
              </w:rPr>
            </w:pPr>
            <w:r>
              <w:rPr>
                <w:b/>
                <w:noProof/>
                <w:sz w:val="22"/>
              </w:rPr>
              <w:t>TOTAL des crédits</w:t>
            </w:r>
            <w:r>
              <w:rPr>
                <w:noProof/>
              </w:rPr>
              <w:t xml:space="preserve"> </w:t>
            </w:r>
            <w:r>
              <w:rPr>
                <w:noProof/>
              </w:rPr>
              <w:br/>
            </w:r>
            <w:r>
              <w:rPr>
                <w:b/>
                <w:noProof/>
                <w:sz w:val="22"/>
              </w:rPr>
              <w:t>des procédures budgétaires pour l’enveloppe du programme</w:t>
            </w:r>
          </w:p>
        </w:tc>
        <w:tc>
          <w:tcPr>
            <w:tcW w:w="1260" w:type="dxa"/>
            <w:vAlign w:val="center"/>
          </w:tcPr>
          <w:p>
            <w:pPr>
              <w:rPr>
                <w:noProof/>
                <w:sz w:val="18"/>
              </w:rPr>
            </w:pPr>
            <w:r>
              <w:rPr>
                <w:noProof/>
                <w:sz w:val="18"/>
              </w:rPr>
              <w:t>Engagements</w:t>
            </w:r>
          </w:p>
        </w:tc>
        <w:tc>
          <w:tcPr>
            <w:tcW w:w="540" w:type="dxa"/>
            <w:vAlign w:val="center"/>
          </w:tcPr>
          <w:p>
            <w:pPr>
              <w:jc w:val="center"/>
              <w:rPr>
                <w:noProof/>
                <w:sz w:val="14"/>
              </w:rPr>
            </w:pPr>
            <w:r>
              <w:rPr>
                <w:noProof/>
                <w:sz w:val="14"/>
              </w:rPr>
              <w:t>=1+1a +3</w:t>
            </w:r>
          </w:p>
        </w:tc>
        <w:tc>
          <w:tcPr>
            <w:tcW w:w="990" w:type="dxa"/>
            <w:vAlign w:val="center"/>
          </w:tcPr>
          <w:p>
            <w:pPr>
              <w:spacing w:before="20" w:after="20"/>
              <w:jc w:val="right"/>
              <w:rPr>
                <w:noProof/>
                <w:sz w:val="20"/>
              </w:rPr>
            </w:pPr>
          </w:p>
        </w:tc>
        <w:tc>
          <w:tcPr>
            <w:tcW w:w="990" w:type="dxa"/>
            <w:vAlign w:val="center"/>
          </w:tcPr>
          <w:p>
            <w:pPr>
              <w:spacing w:before="20" w:after="20"/>
              <w:jc w:val="right"/>
              <w:rPr>
                <w:noProof/>
                <w:sz w:val="20"/>
              </w:rPr>
            </w:pPr>
            <w:r>
              <w:rPr>
                <w:noProof/>
                <w:color w:val="000000"/>
                <w:sz w:val="20"/>
                <w:szCs w:val="20"/>
              </w:rPr>
              <w:t>630,000</w:t>
            </w:r>
          </w:p>
        </w:tc>
        <w:tc>
          <w:tcPr>
            <w:tcW w:w="990" w:type="dxa"/>
            <w:vAlign w:val="center"/>
          </w:tcPr>
          <w:p>
            <w:pPr>
              <w:spacing w:before="20" w:after="20"/>
              <w:jc w:val="right"/>
              <w:rPr>
                <w:noProof/>
                <w:sz w:val="20"/>
              </w:rPr>
            </w:pPr>
            <w:r>
              <w:rPr>
                <w:noProof/>
                <w:color w:val="000000"/>
                <w:sz w:val="20"/>
                <w:szCs w:val="20"/>
              </w:rPr>
              <w:t>636,000</w:t>
            </w:r>
          </w:p>
        </w:tc>
        <w:tc>
          <w:tcPr>
            <w:tcW w:w="976" w:type="dxa"/>
            <w:vAlign w:val="center"/>
          </w:tcPr>
          <w:p>
            <w:pPr>
              <w:spacing w:before="20" w:after="20"/>
              <w:jc w:val="right"/>
              <w:rPr>
                <w:noProof/>
                <w:sz w:val="20"/>
              </w:rPr>
            </w:pPr>
            <w:r>
              <w:rPr>
                <w:noProof/>
                <w:color w:val="000000"/>
                <w:sz w:val="20"/>
                <w:szCs w:val="20"/>
              </w:rPr>
              <w:t>0,000</w:t>
            </w:r>
          </w:p>
        </w:tc>
        <w:tc>
          <w:tcPr>
            <w:tcW w:w="1004" w:type="dxa"/>
            <w:vAlign w:val="center"/>
          </w:tcPr>
          <w:p>
            <w:pPr>
              <w:spacing w:before="20" w:after="20"/>
              <w:jc w:val="right"/>
              <w:rPr>
                <w:noProof/>
                <w:sz w:val="20"/>
              </w:rPr>
            </w:pPr>
            <w:r>
              <w:rPr>
                <w:noProof/>
                <w:color w:val="000000"/>
                <w:sz w:val="20"/>
                <w:szCs w:val="20"/>
              </w:rPr>
              <w:t>0,000</w:t>
            </w:r>
          </w:p>
        </w:tc>
        <w:tc>
          <w:tcPr>
            <w:tcW w:w="990" w:type="dxa"/>
            <w:vAlign w:val="center"/>
          </w:tcPr>
          <w:p>
            <w:pPr>
              <w:spacing w:before="20" w:after="20"/>
              <w:jc w:val="right"/>
              <w:rPr>
                <w:noProof/>
                <w:sz w:val="20"/>
              </w:rPr>
            </w:pPr>
            <w:r>
              <w:rPr>
                <w:noProof/>
                <w:color w:val="000000"/>
                <w:sz w:val="20"/>
                <w:szCs w:val="20"/>
              </w:rPr>
              <w:t>0,000</w:t>
            </w:r>
          </w:p>
        </w:tc>
        <w:tc>
          <w:tcPr>
            <w:tcW w:w="990" w:type="dxa"/>
            <w:vAlign w:val="center"/>
          </w:tcPr>
          <w:p>
            <w:pPr>
              <w:spacing w:before="20" w:after="20"/>
              <w:jc w:val="right"/>
              <w:rPr>
                <w:b/>
                <w:noProof/>
                <w:sz w:val="20"/>
              </w:rPr>
            </w:pPr>
            <w:r>
              <w:rPr>
                <w:noProof/>
                <w:color w:val="000000"/>
                <w:sz w:val="20"/>
                <w:szCs w:val="20"/>
              </w:rPr>
              <w:t>0,000</w:t>
            </w:r>
          </w:p>
        </w:tc>
        <w:tc>
          <w:tcPr>
            <w:tcW w:w="1033" w:type="dxa"/>
            <w:vAlign w:val="center"/>
          </w:tcPr>
          <w:p>
            <w:pPr>
              <w:spacing w:before="20" w:after="20"/>
              <w:jc w:val="right"/>
              <w:rPr>
                <w:b/>
                <w:noProof/>
                <w:sz w:val="20"/>
              </w:rPr>
            </w:pPr>
          </w:p>
        </w:tc>
        <w:tc>
          <w:tcPr>
            <w:tcW w:w="1127" w:type="dxa"/>
            <w:vAlign w:val="center"/>
          </w:tcPr>
          <w:p>
            <w:pPr>
              <w:spacing w:before="20" w:after="20"/>
              <w:jc w:val="right"/>
              <w:rPr>
                <w:b/>
                <w:noProof/>
                <w:sz w:val="20"/>
              </w:rPr>
            </w:pPr>
            <w:r>
              <w:rPr>
                <w:b/>
                <w:bCs/>
                <w:noProof/>
                <w:color w:val="000000"/>
                <w:sz w:val="20"/>
                <w:szCs w:val="20"/>
              </w:rPr>
              <w:t>1 266,000</w:t>
            </w:r>
          </w:p>
        </w:tc>
      </w:tr>
      <w:tr>
        <w:tc>
          <w:tcPr>
            <w:tcW w:w="3780" w:type="dxa"/>
            <w:gridSpan w:val="2"/>
            <w:vMerge/>
          </w:tcPr>
          <w:p>
            <w:pPr>
              <w:rPr>
                <w:noProof/>
                <w:sz w:val="20"/>
              </w:rPr>
            </w:pPr>
          </w:p>
        </w:tc>
        <w:tc>
          <w:tcPr>
            <w:tcW w:w="1260" w:type="dxa"/>
            <w:vAlign w:val="center"/>
          </w:tcPr>
          <w:p>
            <w:pPr>
              <w:rPr>
                <w:noProof/>
                <w:sz w:val="18"/>
              </w:rPr>
            </w:pPr>
            <w:r>
              <w:rPr>
                <w:noProof/>
                <w:sz w:val="18"/>
              </w:rPr>
              <w:t>Paiements</w:t>
            </w:r>
          </w:p>
        </w:tc>
        <w:tc>
          <w:tcPr>
            <w:tcW w:w="540" w:type="dxa"/>
            <w:vAlign w:val="center"/>
          </w:tcPr>
          <w:p>
            <w:pPr>
              <w:jc w:val="center"/>
              <w:rPr>
                <w:noProof/>
                <w:sz w:val="14"/>
              </w:rPr>
            </w:pPr>
            <w:r>
              <w:rPr>
                <w:noProof/>
                <w:sz w:val="14"/>
              </w:rPr>
              <w:t>=2+2a</w:t>
            </w:r>
          </w:p>
          <w:p>
            <w:pPr>
              <w:jc w:val="center"/>
              <w:rPr>
                <w:noProof/>
                <w:sz w:val="14"/>
              </w:rPr>
            </w:pPr>
            <w:r>
              <w:rPr>
                <w:noProof/>
                <w:sz w:val="14"/>
              </w:rPr>
              <w:t>+3</w:t>
            </w:r>
          </w:p>
        </w:tc>
        <w:tc>
          <w:tcPr>
            <w:tcW w:w="990" w:type="dxa"/>
            <w:vAlign w:val="center"/>
          </w:tcPr>
          <w:p>
            <w:pPr>
              <w:spacing w:before="20" w:after="20"/>
              <w:jc w:val="right"/>
              <w:rPr>
                <w:noProof/>
                <w:sz w:val="20"/>
              </w:rPr>
            </w:pPr>
          </w:p>
        </w:tc>
        <w:tc>
          <w:tcPr>
            <w:tcW w:w="990" w:type="dxa"/>
            <w:vAlign w:val="center"/>
          </w:tcPr>
          <w:p>
            <w:pPr>
              <w:spacing w:before="20" w:after="20"/>
              <w:jc w:val="right"/>
              <w:rPr>
                <w:noProof/>
                <w:sz w:val="20"/>
              </w:rPr>
            </w:pPr>
            <w:r>
              <w:rPr>
                <w:noProof/>
                <w:color w:val="000000"/>
                <w:sz w:val="20"/>
                <w:szCs w:val="20"/>
              </w:rPr>
              <w:t>189,000</w:t>
            </w:r>
          </w:p>
        </w:tc>
        <w:tc>
          <w:tcPr>
            <w:tcW w:w="990" w:type="dxa"/>
            <w:vAlign w:val="center"/>
          </w:tcPr>
          <w:p>
            <w:pPr>
              <w:spacing w:before="20" w:after="20"/>
              <w:jc w:val="right"/>
              <w:rPr>
                <w:noProof/>
                <w:sz w:val="20"/>
              </w:rPr>
            </w:pPr>
            <w:r>
              <w:rPr>
                <w:noProof/>
                <w:color w:val="000000"/>
                <w:sz w:val="20"/>
                <w:szCs w:val="20"/>
              </w:rPr>
              <w:t>379,800</w:t>
            </w:r>
          </w:p>
        </w:tc>
        <w:tc>
          <w:tcPr>
            <w:tcW w:w="976" w:type="dxa"/>
            <w:vAlign w:val="center"/>
          </w:tcPr>
          <w:p>
            <w:pPr>
              <w:spacing w:before="20" w:after="20"/>
              <w:jc w:val="right"/>
              <w:rPr>
                <w:noProof/>
                <w:sz w:val="20"/>
              </w:rPr>
            </w:pPr>
            <w:r>
              <w:rPr>
                <w:noProof/>
                <w:color w:val="000000"/>
                <w:sz w:val="20"/>
                <w:szCs w:val="20"/>
              </w:rPr>
              <w:t>442,800</w:t>
            </w:r>
          </w:p>
        </w:tc>
        <w:tc>
          <w:tcPr>
            <w:tcW w:w="1004" w:type="dxa"/>
            <w:vAlign w:val="center"/>
          </w:tcPr>
          <w:p>
            <w:pPr>
              <w:spacing w:before="20" w:after="20"/>
              <w:jc w:val="right"/>
              <w:rPr>
                <w:noProof/>
                <w:sz w:val="20"/>
              </w:rPr>
            </w:pPr>
            <w:r>
              <w:rPr>
                <w:noProof/>
                <w:color w:val="000000"/>
                <w:sz w:val="20"/>
                <w:szCs w:val="20"/>
              </w:rPr>
              <w:t>254,400</w:t>
            </w:r>
          </w:p>
        </w:tc>
        <w:tc>
          <w:tcPr>
            <w:tcW w:w="990" w:type="dxa"/>
            <w:vAlign w:val="center"/>
          </w:tcPr>
          <w:p>
            <w:pPr>
              <w:spacing w:before="20" w:after="20"/>
              <w:jc w:val="right"/>
              <w:rPr>
                <w:noProof/>
                <w:sz w:val="20"/>
              </w:rPr>
            </w:pPr>
            <w:r>
              <w:rPr>
                <w:noProof/>
                <w:color w:val="000000"/>
                <w:sz w:val="20"/>
                <w:szCs w:val="20"/>
              </w:rPr>
              <w:t>0,000</w:t>
            </w:r>
          </w:p>
        </w:tc>
        <w:tc>
          <w:tcPr>
            <w:tcW w:w="990" w:type="dxa"/>
            <w:vAlign w:val="center"/>
          </w:tcPr>
          <w:p>
            <w:pPr>
              <w:spacing w:before="20" w:after="20"/>
              <w:jc w:val="right"/>
              <w:rPr>
                <w:b/>
                <w:noProof/>
                <w:sz w:val="20"/>
              </w:rPr>
            </w:pPr>
            <w:r>
              <w:rPr>
                <w:noProof/>
                <w:color w:val="000000"/>
                <w:sz w:val="20"/>
                <w:szCs w:val="20"/>
              </w:rPr>
              <w:t>0,000</w:t>
            </w:r>
          </w:p>
        </w:tc>
        <w:tc>
          <w:tcPr>
            <w:tcW w:w="1033" w:type="dxa"/>
            <w:vAlign w:val="center"/>
          </w:tcPr>
          <w:p>
            <w:pPr>
              <w:spacing w:before="20" w:after="20"/>
              <w:jc w:val="right"/>
              <w:rPr>
                <w:b/>
                <w:noProof/>
                <w:sz w:val="20"/>
              </w:rPr>
            </w:pPr>
          </w:p>
        </w:tc>
        <w:tc>
          <w:tcPr>
            <w:tcW w:w="1127" w:type="dxa"/>
            <w:vAlign w:val="center"/>
          </w:tcPr>
          <w:p>
            <w:pPr>
              <w:spacing w:before="20" w:after="20"/>
              <w:jc w:val="right"/>
              <w:rPr>
                <w:b/>
                <w:noProof/>
                <w:sz w:val="20"/>
              </w:rPr>
            </w:pPr>
            <w:r>
              <w:rPr>
                <w:b/>
                <w:bCs/>
                <w:noProof/>
                <w:color w:val="000000"/>
                <w:sz w:val="20"/>
                <w:szCs w:val="20"/>
              </w:rPr>
              <w:t>1 266,000</w:t>
            </w:r>
          </w:p>
        </w:tc>
      </w:tr>
    </w:tbl>
    <w:p>
      <w:pPr>
        <w:spacing w:before="0" w:after="200" w:line="276" w:lineRule="auto"/>
        <w:jc w:val="lef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Rubrique du cadre financier</w:t>
            </w:r>
            <w:r>
              <w:rPr>
                <w:noProof/>
              </w:rPr>
              <w:t xml:space="preserve"> </w:t>
            </w:r>
            <w:r>
              <w:rPr>
                <w:noProof/>
              </w:rPr>
              <w:br/>
            </w:r>
            <w:r>
              <w:rPr>
                <w:b/>
                <w:noProof/>
                <w:sz w:val="22"/>
              </w:rPr>
              <w:t xml:space="preserve">pluriannuel </w:t>
            </w:r>
          </w:p>
        </w:tc>
        <w:tc>
          <w:tcPr>
            <w:tcW w:w="1080" w:type="dxa"/>
            <w:vAlign w:val="center"/>
          </w:tcPr>
          <w:p>
            <w:pPr>
              <w:spacing w:before="60" w:after="60"/>
              <w:jc w:val="center"/>
              <w:rPr>
                <w:b/>
                <w:noProof/>
                <w:sz w:val="22"/>
              </w:rPr>
            </w:pPr>
            <w:r>
              <w:rPr>
                <w:b/>
                <w:noProof/>
                <w:sz w:val="22"/>
              </w:rPr>
              <w:t>2b</w:t>
            </w:r>
          </w:p>
        </w:tc>
        <w:tc>
          <w:tcPr>
            <w:tcW w:w="7817" w:type="dxa"/>
            <w:vAlign w:val="center"/>
          </w:tcPr>
          <w:p>
            <w:pPr>
              <w:spacing w:before="60" w:after="60"/>
              <w:rPr>
                <w:b/>
                <w:noProof/>
                <w:sz w:val="22"/>
              </w:rPr>
            </w:pPr>
            <w:r>
              <w:rPr>
                <w:b/>
                <w:noProof/>
                <w:sz w:val="22"/>
              </w:rPr>
              <w:t>Résilience et valeurs</w:t>
            </w:r>
          </w:p>
        </w:tc>
      </w:tr>
    </w:tbl>
    <w:p>
      <w:pPr>
        <w:spacing w:before="0" w:after="200" w:line="276" w:lineRule="auto"/>
        <w:jc w:val="left"/>
        <w:rPr>
          <w:noProof/>
        </w:rPr>
      </w:pPr>
    </w:p>
    <w:tbl>
      <w:tblPr>
        <w:tblW w:w="146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540"/>
        <w:gridCol w:w="990"/>
        <w:gridCol w:w="990"/>
        <w:gridCol w:w="990"/>
        <w:gridCol w:w="976"/>
        <w:gridCol w:w="1004"/>
        <w:gridCol w:w="990"/>
        <w:gridCol w:w="990"/>
        <w:gridCol w:w="1033"/>
        <w:gridCol w:w="1127"/>
      </w:tblGrid>
      <w:tr>
        <w:tc>
          <w:tcPr>
            <w:tcW w:w="3780" w:type="dxa"/>
            <w:vAlign w:val="center"/>
          </w:tcPr>
          <w:p>
            <w:pPr>
              <w:jc w:val="center"/>
              <w:rPr>
                <w:noProof/>
              </w:rPr>
            </w:pPr>
            <w:r>
              <w:rPr>
                <w:noProof/>
                <w:sz w:val="22"/>
              </w:rPr>
              <w:t>DG</w:t>
            </w:r>
          </w:p>
        </w:tc>
        <w:tc>
          <w:tcPr>
            <w:tcW w:w="1260" w:type="dxa"/>
          </w:tcPr>
          <w:p>
            <w:pPr>
              <w:rPr>
                <w:noProof/>
                <w:sz w:val="20"/>
              </w:rPr>
            </w:pPr>
          </w:p>
        </w:tc>
        <w:tc>
          <w:tcPr>
            <w:tcW w:w="540" w:type="dxa"/>
          </w:tcPr>
          <w:p>
            <w:pPr>
              <w:jc w:val="center"/>
              <w:rPr>
                <w:noProof/>
                <w:sz w:val="20"/>
              </w:rPr>
            </w:pPr>
          </w:p>
        </w:tc>
        <w:tc>
          <w:tcPr>
            <w:tcW w:w="990" w:type="dxa"/>
            <w:vAlign w:val="center"/>
          </w:tcPr>
          <w:p>
            <w:pPr>
              <w:jc w:val="center"/>
              <w:rPr>
                <w:noProof/>
                <w:sz w:val="20"/>
              </w:rPr>
            </w:pPr>
            <w:r>
              <w:rPr>
                <w:b/>
                <w:noProof/>
                <w:sz w:val="20"/>
              </w:rPr>
              <w:t>2021</w:t>
            </w:r>
          </w:p>
        </w:tc>
        <w:tc>
          <w:tcPr>
            <w:tcW w:w="990" w:type="dxa"/>
            <w:vAlign w:val="center"/>
          </w:tcPr>
          <w:p>
            <w:pPr>
              <w:jc w:val="center"/>
              <w:rPr>
                <w:noProof/>
                <w:sz w:val="20"/>
              </w:rPr>
            </w:pPr>
            <w:r>
              <w:rPr>
                <w:b/>
                <w:noProof/>
                <w:sz w:val="20"/>
              </w:rPr>
              <w:t>2022</w:t>
            </w:r>
          </w:p>
        </w:tc>
        <w:tc>
          <w:tcPr>
            <w:tcW w:w="990" w:type="dxa"/>
            <w:vAlign w:val="center"/>
          </w:tcPr>
          <w:p>
            <w:pPr>
              <w:jc w:val="center"/>
              <w:rPr>
                <w:noProof/>
                <w:sz w:val="20"/>
              </w:rPr>
            </w:pPr>
            <w:r>
              <w:rPr>
                <w:b/>
                <w:noProof/>
                <w:sz w:val="20"/>
              </w:rPr>
              <w:t>2023</w:t>
            </w:r>
          </w:p>
        </w:tc>
        <w:tc>
          <w:tcPr>
            <w:tcW w:w="976" w:type="dxa"/>
            <w:vAlign w:val="center"/>
          </w:tcPr>
          <w:p>
            <w:pPr>
              <w:jc w:val="center"/>
              <w:rPr>
                <w:noProof/>
                <w:sz w:val="20"/>
              </w:rPr>
            </w:pPr>
            <w:r>
              <w:rPr>
                <w:b/>
                <w:noProof/>
                <w:sz w:val="20"/>
              </w:rPr>
              <w:t>2024</w:t>
            </w:r>
          </w:p>
        </w:tc>
        <w:tc>
          <w:tcPr>
            <w:tcW w:w="1004" w:type="dxa"/>
            <w:vAlign w:val="center"/>
          </w:tcPr>
          <w:p>
            <w:pPr>
              <w:jc w:val="center"/>
              <w:rPr>
                <w:b/>
                <w:noProof/>
                <w:sz w:val="18"/>
              </w:rPr>
            </w:pPr>
            <w:r>
              <w:rPr>
                <w:b/>
                <w:noProof/>
                <w:sz w:val="18"/>
              </w:rPr>
              <w:t>2025</w:t>
            </w:r>
          </w:p>
        </w:tc>
        <w:tc>
          <w:tcPr>
            <w:tcW w:w="990" w:type="dxa"/>
            <w:vAlign w:val="center"/>
          </w:tcPr>
          <w:p>
            <w:pPr>
              <w:jc w:val="center"/>
              <w:rPr>
                <w:b/>
                <w:noProof/>
                <w:sz w:val="18"/>
              </w:rPr>
            </w:pPr>
            <w:r>
              <w:rPr>
                <w:b/>
                <w:noProof/>
                <w:sz w:val="18"/>
              </w:rPr>
              <w:t>2026</w:t>
            </w:r>
          </w:p>
        </w:tc>
        <w:tc>
          <w:tcPr>
            <w:tcW w:w="990" w:type="dxa"/>
            <w:vAlign w:val="center"/>
          </w:tcPr>
          <w:p>
            <w:pPr>
              <w:jc w:val="center"/>
              <w:rPr>
                <w:b/>
                <w:noProof/>
                <w:sz w:val="18"/>
              </w:rPr>
            </w:pPr>
            <w:r>
              <w:rPr>
                <w:b/>
                <w:noProof/>
                <w:sz w:val="18"/>
              </w:rPr>
              <w:t>2027</w:t>
            </w:r>
          </w:p>
        </w:tc>
        <w:tc>
          <w:tcPr>
            <w:tcW w:w="1033" w:type="dxa"/>
          </w:tcPr>
          <w:p>
            <w:pPr>
              <w:jc w:val="center"/>
              <w:rPr>
                <w:b/>
                <w:noProof/>
                <w:sz w:val="20"/>
              </w:rPr>
            </w:pPr>
            <w:r>
              <w:rPr>
                <w:b/>
                <w:i/>
                <w:noProof/>
                <w:sz w:val="20"/>
              </w:rPr>
              <w:t>Après 2027</w:t>
            </w:r>
          </w:p>
        </w:tc>
        <w:tc>
          <w:tcPr>
            <w:tcW w:w="1127" w:type="dxa"/>
            <w:vAlign w:val="center"/>
          </w:tcPr>
          <w:p>
            <w:pPr>
              <w:jc w:val="center"/>
              <w:rPr>
                <w:b/>
                <w:noProof/>
                <w:sz w:val="20"/>
              </w:rPr>
            </w:pPr>
            <w:r>
              <w:rPr>
                <w:b/>
                <w:noProof/>
                <w:sz w:val="20"/>
              </w:rPr>
              <w:t>TOTAL</w:t>
            </w:r>
          </w:p>
        </w:tc>
      </w:tr>
      <w:tr>
        <w:trPr>
          <w:trHeight w:val="213"/>
        </w:trPr>
        <w:tc>
          <w:tcPr>
            <w:tcW w:w="5580" w:type="dxa"/>
            <w:gridSpan w:val="3"/>
            <w:vAlign w:val="center"/>
          </w:tcPr>
          <w:p>
            <w:pPr>
              <w:spacing w:before="20" w:after="20"/>
              <w:rPr>
                <w:noProof/>
                <w:sz w:val="21"/>
              </w:rPr>
            </w:pPr>
            <w:r>
              <w:rPr>
                <w:noProof/>
                <w:sz w:val="21"/>
              </w:rPr>
              <w:sym w:font="Wingdings" w:char="F09F"/>
            </w:r>
            <w:r>
              <w:rPr>
                <w:noProof/>
                <w:sz w:val="21"/>
              </w:rPr>
              <w:t xml:space="preserve"> Crédits opérationnels</w:t>
            </w:r>
          </w:p>
        </w:tc>
        <w:tc>
          <w:tcPr>
            <w:tcW w:w="990" w:type="dxa"/>
            <w:vAlign w:val="center"/>
          </w:tcPr>
          <w:p>
            <w:pPr>
              <w:rPr>
                <w:noProof/>
                <w:sz w:val="20"/>
              </w:rPr>
            </w:pPr>
          </w:p>
        </w:tc>
        <w:tc>
          <w:tcPr>
            <w:tcW w:w="990" w:type="dxa"/>
            <w:vAlign w:val="center"/>
          </w:tcPr>
          <w:p>
            <w:pPr>
              <w:rPr>
                <w:noProof/>
                <w:sz w:val="20"/>
              </w:rPr>
            </w:pPr>
          </w:p>
        </w:tc>
        <w:tc>
          <w:tcPr>
            <w:tcW w:w="990" w:type="dxa"/>
            <w:vAlign w:val="center"/>
          </w:tcPr>
          <w:p>
            <w:pPr>
              <w:rPr>
                <w:noProof/>
                <w:sz w:val="20"/>
              </w:rPr>
            </w:pPr>
          </w:p>
        </w:tc>
        <w:tc>
          <w:tcPr>
            <w:tcW w:w="976" w:type="dxa"/>
            <w:vAlign w:val="center"/>
          </w:tcPr>
          <w:p>
            <w:pPr>
              <w:rPr>
                <w:noProof/>
                <w:sz w:val="20"/>
              </w:rPr>
            </w:pPr>
          </w:p>
        </w:tc>
        <w:tc>
          <w:tcPr>
            <w:tcW w:w="1004" w:type="dxa"/>
            <w:vAlign w:val="center"/>
          </w:tcPr>
          <w:p>
            <w:pPr>
              <w:rPr>
                <w:noProof/>
                <w:sz w:val="20"/>
              </w:rPr>
            </w:pPr>
          </w:p>
        </w:tc>
        <w:tc>
          <w:tcPr>
            <w:tcW w:w="990" w:type="dxa"/>
            <w:vAlign w:val="center"/>
          </w:tcPr>
          <w:p>
            <w:pPr>
              <w:rPr>
                <w:noProof/>
                <w:sz w:val="20"/>
              </w:rPr>
            </w:pPr>
          </w:p>
        </w:tc>
        <w:tc>
          <w:tcPr>
            <w:tcW w:w="990" w:type="dxa"/>
            <w:vAlign w:val="center"/>
          </w:tcPr>
          <w:p>
            <w:pPr>
              <w:rPr>
                <w:b/>
                <w:noProof/>
                <w:sz w:val="20"/>
              </w:rPr>
            </w:pPr>
          </w:p>
        </w:tc>
        <w:tc>
          <w:tcPr>
            <w:tcW w:w="1033" w:type="dxa"/>
          </w:tcPr>
          <w:p>
            <w:pPr>
              <w:rPr>
                <w:b/>
                <w:noProof/>
                <w:sz w:val="20"/>
              </w:rPr>
            </w:pPr>
          </w:p>
        </w:tc>
        <w:tc>
          <w:tcPr>
            <w:tcW w:w="1127" w:type="dxa"/>
            <w:vAlign w:val="center"/>
          </w:tcPr>
          <w:p>
            <w:pPr>
              <w:rPr>
                <w:b/>
                <w:noProof/>
                <w:sz w:val="20"/>
              </w:rPr>
            </w:pPr>
          </w:p>
        </w:tc>
      </w:tr>
      <w:tr>
        <w:trPr>
          <w:trHeight w:val="277"/>
        </w:trPr>
        <w:tc>
          <w:tcPr>
            <w:tcW w:w="3780" w:type="dxa"/>
            <w:vMerge w:val="restart"/>
            <w:vAlign w:val="center"/>
          </w:tcPr>
          <w:p>
            <w:pPr>
              <w:rPr>
                <w:noProof/>
              </w:rPr>
            </w:pPr>
            <w:r>
              <w:rPr>
                <w:noProof/>
                <w:sz w:val="20"/>
              </w:rPr>
              <w:t>06 07 01 — Instrument d’aide d’urgence</w:t>
            </w:r>
          </w:p>
        </w:tc>
        <w:tc>
          <w:tcPr>
            <w:tcW w:w="1260" w:type="dxa"/>
            <w:vAlign w:val="center"/>
          </w:tcPr>
          <w:p>
            <w:pPr>
              <w:spacing w:before="20" w:after="20"/>
              <w:rPr>
                <w:noProof/>
                <w:sz w:val="18"/>
              </w:rPr>
            </w:pPr>
            <w:r>
              <w:rPr>
                <w:noProof/>
                <w:sz w:val="18"/>
              </w:rPr>
              <w:t>Engagements</w:t>
            </w:r>
          </w:p>
        </w:tc>
        <w:tc>
          <w:tcPr>
            <w:tcW w:w="540" w:type="dxa"/>
            <w:vAlign w:val="center"/>
          </w:tcPr>
          <w:p>
            <w:pPr>
              <w:spacing w:before="20" w:after="20"/>
              <w:jc w:val="center"/>
              <w:rPr>
                <w:noProof/>
                <w:sz w:val="14"/>
              </w:rPr>
            </w:pPr>
            <w:r>
              <w:rPr>
                <w:noProof/>
                <w:sz w:val="14"/>
              </w:rPr>
              <w:t>(1)</w:t>
            </w:r>
          </w:p>
        </w:tc>
        <w:tc>
          <w:tcPr>
            <w:tcW w:w="990" w:type="dxa"/>
            <w:vAlign w:val="center"/>
          </w:tcPr>
          <w:p>
            <w:pPr>
              <w:spacing w:before="20" w:after="20"/>
              <w:jc w:val="right"/>
              <w:rPr>
                <w:noProof/>
                <w:sz w:val="20"/>
              </w:rPr>
            </w:pPr>
          </w:p>
        </w:tc>
        <w:tc>
          <w:tcPr>
            <w:tcW w:w="990" w:type="dxa"/>
            <w:vAlign w:val="center"/>
          </w:tcPr>
          <w:p>
            <w:pPr>
              <w:spacing w:before="20" w:after="20"/>
              <w:jc w:val="center"/>
              <w:rPr>
                <w:noProof/>
                <w:sz w:val="20"/>
              </w:rPr>
            </w:pPr>
            <w:r>
              <w:rPr>
                <w:noProof/>
                <w:sz w:val="20"/>
              </w:rPr>
              <w:t>p.m.</w:t>
            </w:r>
          </w:p>
        </w:tc>
        <w:tc>
          <w:tcPr>
            <w:tcW w:w="990" w:type="dxa"/>
            <w:vAlign w:val="center"/>
          </w:tcPr>
          <w:p>
            <w:pPr>
              <w:spacing w:before="20" w:after="20"/>
              <w:jc w:val="center"/>
              <w:rPr>
                <w:noProof/>
                <w:sz w:val="20"/>
              </w:rPr>
            </w:pPr>
            <w:r>
              <w:rPr>
                <w:noProof/>
                <w:sz w:val="20"/>
              </w:rPr>
              <w:t>p.m.</w:t>
            </w:r>
          </w:p>
        </w:tc>
        <w:tc>
          <w:tcPr>
            <w:tcW w:w="976" w:type="dxa"/>
            <w:vAlign w:val="center"/>
          </w:tcPr>
          <w:p>
            <w:pPr>
              <w:spacing w:before="20" w:after="20"/>
              <w:jc w:val="center"/>
              <w:rPr>
                <w:noProof/>
                <w:sz w:val="20"/>
              </w:rPr>
            </w:pPr>
            <w:r>
              <w:rPr>
                <w:noProof/>
                <w:sz w:val="20"/>
              </w:rPr>
              <w:t>p.m.</w:t>
            </w:r>
          </w:p>
        </w:tc>
        <w:tc>
          <w:tcPr>
            <w:tcW w:w="1004" w:type="dxa"/>
            <w:vAlign w:val="center"/>
          </w:tcPr>
          <w:p>
            <w:pPr>
              <w:spacing w:before="20" w:after="20"/>
              <w:jc w:val="center"/>
              <w:rPr>
                <w:noProof/>
                <w:sz w:val="20"/>
              </w:rPr>
            </w:pPr>
            <w:r>
              <w:rPr>
                <w:noProof/>
                <w:sz w:val="20"/>
              </w:rPr>
              <w:t>p.m.</w:t>
            </w:r>
          </w:p>
        </w:tc>
        <w:tc>
          <w:tcPr>
            <w:tcW w:w="990" w:type="dxa"/>
            <w:vAlign w:val="center"/>
          </w:tcPr>
          <w:p>
            <w:pPr>
              <w:spacing w:before="20" w:after="20"/>
              <w:jc w:val="center"/>
              <w:rPr>
                <w:noProof/>
                <w:sz w:val="20"/>
              </w:rPr>
            </w:pPr>
            <w:r>
              <w:rPr>
                <w:noProof/>
                <w:sz w:val="20"/>
              </w:rPr>
              <w:t>p.m.</w:t>
            </w:r>
          </w:p>
        </w:tc>
        <w:tc>
          <w:tcPr>
            <w:tcW w:w="990" w:type="dxa"/>
            <w:vAlign w:val="center"/>
          </w:tcPr>
          <w:p>
            <w:pPr>
              <w:spacing w:before="20" w:after="20"/>
              <w:jc w:val="center"/>
              <w:rPr>
                <w:noProof/>
                <w:sz w:val="20"/>
              </w:rPr>
            </w:pPr>
            <w:r>
              <w:rPr>
                <w:noProof/>
                <w:sz w:val="20"/>
              </w:rPr>
              <w:t>p.m.</w:t>
            </w:r>
          </w:p>
        </w:tc>
        <w:tc>
          <w:tcPr>
            <w:tcW w:w="1033" w:type="dxa"/>
            <w:vAlign w:val="center"/>
          </w:tcPr>
          <w:p>
            <w:pPr>
              <w:spacing w:before="20" w:after="20"/>
              <w:jc w:val="center"/>
              <w:rPr>
                <w:b/>
                <w:noProof/>
                <w:sz w:val="20"/>
              </w:rPr>
            </w:pPr>
          </w:p>
        </w:tc>
        <w:tc>
          <w:tcPr>
            <w:tcW w:w="1127" w:type="dxa"/>
            <w:vAlign w:val="center"/>
          </w:tcPr>
          <w:p>
            <w:pPr>
              <w:spacing w:before="0" w:after="0"/>
              <w:jc w:val="center"/>
              <w:rPr>
                <w:b/>
                <w:bCs/>
                <w:noProof/>
                <w:color w:val="000000"/>
                <w:sz w:val="20"/>
                <w:szCs w:val="20"/>
              </w:rPr>
            </w:pPr>
            <w:r>
              <w:rPr>
                <w:b/>
                <w:bCs/>
                <w:noProof/>
                <w:color w:val="000000"/>
                <w:sz w:val="20"/>
                <w:szCs w:val="20"/>
              </w:rPr>
              <w:t>p.m.</w:t>
            </w:r>
          </w:p>
        </w:tc>
      </w:tr>
      <w:tr>
        <w:tc>
          <w:tcPr>
            <w:tcW w:w="3780" w:type="dxa"/>
            <w:vMerge/>
          </w:tcPr>
          <w:p>
            <w:pPr>
              <w:jc w:val="center"/>
              <w:rPr>
                <w:noProof/>
                <w:sz w:val="20"/>
              </w:rPr>
            </w:pPr>
          </w:p>
        </w:tc>
        <w:tc>
          <w:tcPr>
            <w:tcW w:w="1260" w:type="dxa"/>
            <w:vAlign w:val="center"/>
          </w:tcPr>
          <w:p>
            <w:pPr>
              <w:spacing w:before="20" w:after="20"/>
              <w:rPr>
                <w:noProof/>
                <w:sz w:val="18"/>
              </w:rPr>
            </w:pPr>
            <w:r>
              <w:rPr>
                <w:noProof/>
                <w:sz w:val="18"/>
              </w:rPr>
              <w:t>Paiements</w:t>
            </w:r>
          </w:p>
        </w:tc>
        <w:tc>
          <w:tcPr>
            <w:tcW w:w="540" w:type="dxa"/>
            <w:vAlign w:val="center"/>
          </w:tcPr>
          <w:p>
            <w:pPr>
              <w:spacing w:before="20" w:after="20"/>
              <w:jc w:val="center"/>
              <w:rPr>
                <w:noProof/>
                <w:sz w:val="14"/>
              </w:rPr>
            </w:pPr>
            <w:r>
              <w:rPr>
                <w:noProof/>
                <w:sz w:val="14"/>
              </w:rPr>
              <w:t>(2)</w:t>
            </w:r>
          </w:p>
        </w:tc>
        <w:tc>
          <w:tcPr>
            <w:tcW w:w="990" w:type="dxa"/>
            <w:vAlign w:val="center"/>
          </w:tcPr>
          <w:p>
            <w:pPr>
              <w:spacing w:before="20" w:after="20"/>
              <w:jc w:val="right"/>
              <w:rPr>
                <w:noProof/>
                <w:sz w:val="20"/>
              </w:rPr>
            </w:pPr>
          </w:p>
        </w:tc>
        <w:tc>
          <w:tcPr>
            <w:tcW w:w="990" w:type="dxa"/>
            <w:vAlign w:val="center"/>
          </w:tcPr>
          <w:p>
            <w:pPr>
              <w:spacing w:before="20" w:after="20"/>
              <w:jc w:val="center"/>
              <w:rPr>
                <w:noProof/>
                <w:sz w:val="20"/>
              </w:rPr>
            </w:pPr>
            <w:r>
              <w:rPr>
                <w:noProof/>
                <w:sz w:val="20"/>
              </w:rPr>
              <w:t>p.m.</w:t>
            </w:r>
          </w:p>
        </w:tc>
        <w:tc>
          <w:tcPr>
            <w:tcW w:w="990" w:type="dxa"/>
            <w:vAlign w:val="center"/>
          </w:tcPr>
          <w:p>
            <w:pPr>
              <w:spacing w:before="20" w:after="20"/>
              <w:jc w:val="center"/>
              <w:rPr>
                <w:noProof/>
                <w:sz w:val="20"/>
              </w:rPr>
            </w:pPr>
            <w:r>
              <w:rPr>
                <w:noProof/>
                <w:sz w:val="20"/>
              </w:rPr>
              <w:t>p.m.</w:t>
            </w:r>
          </w:p>
        </w:tc>
        <w:tc>
          <w:tcPr>
            <w:tcW w:w="976" w:type="dxa"/>
            <w:vAlign w:val="center"/>
          </w:tcPr>
          <w:p>
            <w:pPr>
              <w:spacing w:before="20" w:after="20"/>
              <w:jc w:val="center"/>
              <w:rPr>
                <w:noProof/>
                <w:sz w:val="20"/>
              </w:rPr>
            </w:pPr>
            <w:r>
              <w:rPr>
                <w:noProof/>
                <w:sz w:val="20"/>
              </w:rPr>
              <w:t>p.m.</w:t>
            </w:r>
          </w:p>
        </w:tc>
        <w:tc>
          <w:tcPr>
            <w:tcW w:w="1004" w:type="dxa"/>
            <w:vAlign w:val="center"/>
          </w:tcPr>
          <w:p>
            <w:pPr>
              <w:spacing w:before="20" w:after="20"/>
              <w:jc w:val="center"/>
              <w:rPr>
                <w:noProof/>
                <w:sz w:val="20"/>
              </w:rPr>
            </w:pPr>
            <w:r>
              <w:rPr>
                <w:noProof/>
                <w:sz w:val="20"/>
              </w:rPr>
              <w:t>p.m.</w:t>
            </w:r>
          </w:p>
        </w:tc>
        <w:tc>
          <w:tcPr>
            <w:tcW w:w="990" w:type="dxa"/>
            <w:vAlign w:val="center"/>
          </w:tcPr>
          <w:p>
            <w:pPr>
              <w:spacing w:before="20" w:after="20"/>
              <w:jc w:val="center"/>
              <w:rPr>
                <w:noProof/>
                <w:sz w:val="20"/>
              </w:rPr>
            </w:pPr>
            <w:r>
              <w:rPr>
                <w:noProof/>
                <w:sz w:val="20"/>
              </w:rPr>
              <w:t>p.m.</w:t>
            </w:r>
          </w:p>
        </w:tc>
        <w:tc>
          <w:tcPr>
            <w:tcW w:w="990" w:type="dxa"/>
            <w:vAlign w:val="center"/>
          </w:tcPr>
          <w:p>
            <w:pPr>
              <w:spacing w:before="20" w:after="20"/>
              <w:jc w:val="center"/>
              <w:rPr>
                <w:b/>
                <w:noProof/>
                <w:sz w:val="20"/>
              </w:rPr>
            </w:pPr>
            <w:r>
              <w:rPr>
                <w:noProof/>
                <w:sz w:val="20"/>
              </w:rPr>
              <w:t>p.m.</w:t>
            </w:r>
          </w:p>
        </w:tc>
        <w:tc>
          <w:tcPr>
            <w:tcW w:w="1033" w:type="dxa"/>
            <w:vAlign w:val="center"/>
          </w:tcPr>
          <w:p>
            <w:pPr>
              <w:spacing w:before="20" w:after="20"/>
              <w:jc w:val="center"/>
              <w:rPr>
                <w:b/>
                <w:noProof/>
                <w:sz w:val="20"/>
              </w:rPr>
            </w:pPr>
          </w:p>
        </w:tc>
        <w:tc>
          <w:tcPr>
            <w:tcW w:w="1127" w:type="dxa"/>
            <w:vAlign w:val="center"/>
          </w:tcPr>
          <w:p>
            <w:pPr>
              <w:spacing w:before="20" w:after="20"/>
              <w:jc w:val="center"/>
              <w:rPr>
                <w:b/>
                <w:noProof/>
                <w:sz w:val="20"/>
              </w:rPr>
            </w:pPr>
            <w:r>
              <w:rPr>
                <w:b/>
                <w:bCs/>
                <w:noProof/>
                <w:color w:val="000000"/>
                <w:sz w:val="20"/>
                <w:szCs w:val="20"/>
              </w:rPr>
              <w:t>p.m.</w:t>
            </w:r>
          </w:p>
        </w:tc>
      </w:tr>
      <w:tr>
        <w:tc>
          <w:tcPr>
            <w:tcW w:w="3780" w:type="dxa"/>
          </w:tcPr>
          <w:p>
            <w:pPr>
              <w:jc w:val="center"/>
              <w:rPr>
                <w:noProof/>
                <w:sz w:val="20"/>
              </w:rPr>
            </w:pPr>
            <w:r>
              <w:rPr>
                <w:noProof/>
                <w:sz w:val="20"/>
              </w:rPr>
              <w:t>Crédits de nature administrative financés par l’enveloppe de certains programmes spécifiques</w:t>
            </w:r>
          </w:p>
        </w:tc>
        <w:tc>
          <w:tcPr>
            <w:tcW w:w="1260" w:type="dxa"/>
            <w:vAlign w:val="center"/>
          </w:tcPr>
          <w:p>
            <w:pPr>
              <w:spacing w:before="20" w:after="20"/>
              <w:rPr>
                <w:noProof/>
                <w:sz w:val="18"/>
              </w:rPr>
            </w:pPr>
          </w:p>
        </w:tc>
        <w:tc>
          <w:tcPr>
            <w:tcW w:w="540" w:type="dxa"/>
            <w:vAlign w:val="center"/>
          </w:tcPr>
          <w:p>
            <w:pPr>
              <w:spacing w:before="20" w:after="20"/>
              <w:jc w:val="center"/>
              <w:rPr>
                <w:noProof/>
                <w:sz w:val="14"/>
              </w:rPr>
            </w:pPr>
          </w:p>
        </w:tc>
        <w:tc>
          <w:tcPr>
            <w:tcW w:w="990" w:type="dxa"/>
            <w:vAlign w:val="center"/>
          </w:tcPr>
          <w:p>
            <w:pPr>
              <w:spacing w:before="20" w:after="20"/>
              <w:jc w:val="right"/>
              <w:rPr>
                <w:noProof/>
                <w:sz w:val="20"/>
              </w:rPr>
            </w:pPr>
          </w:p>
        </w:tc>
        <w:tc>
          <w:tcPr>
            <w:tcW w:w="990" w:type="dxa"/>
            <w:vAlign w:val="center"/>
          </w:tcPr>
          <w:p>
            <w:pPr>
              <w:spacing w:before="20" w:after="20"/>
              <w:jc w:val="center"/>
              <w:rPr>
                <w:noProof/>
                <w:sz w:val="20"/>
              </w:rPr>
            </w:pPr>
          </w:p>
        </w:tc>
        <w:tc>
          <w:tcPr>
            <w:tcW w:w="990" w:type="dxa"/>
            <w:vAlign w:val="center"/>
          </w:tcPr>
          <w:p>
            <w:pPr>
              <w:spacing w:before="20" w:after="20"/>
              <w:jc w:val="center"/>
              <w:rPr>
                <w:noProof/>
                <w:sz w:val="20"/>
              </w:rPr>
            </w:pPr>
          </w:p>
        </w:tc>
        <w:tc>
          <w:tcPr>
            <w:tcW w:w="976" w:type="dxa"/>
            <w:vAlign w:val="center"/>
          </w:tcPr>
          <w:p>
            <w:pPr>
              <w:spacing w:before="20" w:after="20"/>
              <w:jc w:val="center"/>
              <w:rPr>
                <w:noProof/>
                <w:sz w:val="20"/>
              </w:rPr>
            </w:pPr>
          </w:p>
        </w:tc>
        <w:tc>
          <w:tcPr>
            <w:tcW w:w="1004" w:type="dxa"/>
            <w:vAlign w:val="center"/>
          </w:tcPr>
          <w:p>
            <w:pPr>
              <w:spacing w:before="20" w:after="20"/>
              <w:jc w:val="center"/>
              <w:rPr>
                <w:noProof/>
                <w:sz w:val="20"/>
              </w:rPr>
            </w:pPr>
          </w:p>
        </w:tc>
        <w:tc>
          <w:tcPr>
            <w:tcW w:w="990" w:type="dxa"/>
            <w:vAlign w:val="center"/>
          </w:tcPr>
          <w:p>
            <w:pPr>
              <w:spacing w:before="20" w:after="20"/>
              <w:jc w:val="center"/>
              <w:rPr>
                <w:noProof/>
                <w:sz w:val="20"/>
              </w:rPr>
            </w:pPr>
          </w:p>
        </w:tc>
        <w:tc>
          <w:tcPr>
            <w:tcW w:w="990" w:type="dxa"/>
            <w:vAlign w:val="center"/>
          </w:tcPr>
          <w:p>
            <w:pPr>
              <w:spacing w:before="20" w:after="20"/>
              <w:jc w:val="center"/>
              <w:rPr>
                <w:noProof/>
                <w:sz w:val="20"/>
              </w:rPr>
            </w:pPr>
          </w:p>
        </w:tc>
        <w:tc>
          <w:tcPr>
            <w:tcW w:w="1033" w:type="dxa"/>
            <w:vAlign w:val="center"/>
          </w:tcPr>
          <w:p>
            <w:pPr>
              <w:spacing w:before="20" w:after="20"/>
              <w:jc w:val="center"/>
              <w:rPr>
                <w:b/>
                <w:noProof/>
                <w:sz w:val="20"/>
              </w:rPr>
            </w:pPr>
          </w:p>
        </w:tc>
        <w:tc>
          <w:tcPr>
            <w:tcW w:w="1127" w:type="dxa"/>
            <w:vAlign w:val="center"/>
          </w:tcPr>
          <w:p>
            <w:pPr>
              <w:spacing w:before="20" w:after="20"/>
              <w:jc w:val="center"/>
              <w:rPr>
                <w:b/>
                <w:bCs/>
                <w:noProof/>
                <w:color w:val="000000"/>
                <w:sz w:val="20"/>
                <w:szCs w:val="20"/>
              </w:rPr>
            </w:pPr>
          </w:p>
        </w:tc>
      </w:tr>
      <w:tr>
        <w:trPr>
          <w:trHeight w:val="319"/>
        </w:trPr>
        <w:tc>
          <w:tcPr>
            <w:tcW w:w="3780" w:type="dxa"/>
            <w:vAlign w:val="center"/>
          </w:tcPr>
          <w:p>
            <w:pPr>
              <w:spacing w:before="60" w:after="60"/>
              <w:rPr>
                <w:noProof/>
              </w:rPr>
            </w:pPr>
            <w:r>
              <w:rPr>
                <w:rFonts w:ascii="Tahoma" w:hAnsi="Tahoma"/>
                <w:noProof/>
                <w:color w:val="000000"/>
                <w:sz w:val="16"/>
                <w:szCs w:val="16"/>
              </w:rPr>
              <w:t>06 01 03 — Appui</w:t>
            </w:r>
          </w:p>
        </w:tc>
        <w:tc>
          <w:tcPr>
            <w:tcW w:w="1260" w:type="dxa"/>
            <w:vAlign w:val="center"/>
          </w:tcPr>
          <w:p>
            <w:pPr>
              <w:spacing w:before="40" w:after="40"/>
              <w:jc w:val="right"/>
              <w:rPr>
                <w:noProof/>
                <w:sz w:val="18"/>
              </w:rPr>
            </w:pPr>
            <w:r>
              <w:rPr>
                <w:noProof/>
                <w:sz w:val="18"/>
              </w:rPr>
              <w:t>Engagements = Paiements</w:t>
            </w:r>
          </w:p>
        </w:tc>
        <w:tc>
          <w:tcPr>
            <w:tcW w:w="540" w:type="dxa"/>
            <w:vAlign w:val="center"/>
          </w:tcPr>
          <w:p>
            <w:pPr>
              <w:spacing w:before="40" w:after="40"/>
              <w:jc w:val="center"/>
              <w:rPr>
                <w:noProof/>
                <w:sz w:val="14"/>
              </w:rPr>
            </w:pPr>
            <w:r>
              <w:rPr>
                <w:noProof/>
                <w:sz w:val="14"/>
              </w:rPr>
              <w:t>(3)</w:t>
            </w:r>
          </w:p>
        </w:tc>
        <w:tc>
          <w:tcPr>
            <w:tcW w:w="990" w:type="dxa"/>
            <w:vAlign w:val="center"/>
          </w:tcPr>
          <w:p>
            <w:pPr>
              <w:spacing w:before="40" w:after="40"/>
              <w:jc w:val="right"/>
              <w:rPr>
                <w:b/>
                <w:noProof/>
                <w:sz w:val="20"/>
              </w:rPr>
            </w:pPr>
          </w:p>
        </w:tc>
        <w:tc>
          <w:tcPr>
            <w:tcW w:w="990" w:type="dxa"/>
            <w:vAlign w:val="center"/>
          </w:tcPr>
          <w:p>
            <w:pPr>
              <w:spacing w:before="40" w:after="40"/>
              <w:jc w:val="center"/>
              <w:rPr>
                <w:b/>
                <w:noProof/>
                <w:sz w:val="20"/>
              </w:rPr>
            </w:pPr>
            <w:r>
              <w:rPr>
                <w:noProof/>
                <w:sz w:val="20"/>
              </w:rPr>
              <w:t>p.m.</w:t>
            </w:r>
          </w:p>
        </w:tc>
        <w:tc>
          <w:tcPr>
            <w:tcW w:w="990" w:type="dxa"/>
            <w:vAlign w:val="center"/>
          </w:tcPr>
          <w:p>
            <w:pPr>
              <w:spacing w:before="40" w:after="40"/>
              <w:jc w:val="center"/>
              <w:rPr>
                <w:b/>
                <w:noProof/>
                <w:sz w:val="20"/>
              </w:rPr>
            </w:pPr>
            <w:r>
              <w:rPr>
                <w:noProof/>
                <w:sz w:val="20"/>
              </w:rPr>
              <w:t>p.m.</w:t>
            </w:r>
          </w:p>
        </w:tc>
        <w:tc>
          <w:tcPr>
            <w:tcW w:w="976" w:type="dxa"/>
            <w:vAlign w:val="center"/>
          </w:tcPr>
          <w:p>
            <w:pPr>
              <w:spacing w:before="40" w:after="40"/>
              <w:jc w:val="center"/>
              <w:rPr>
                <w:b/>
                <w:noProof/>
                <w:sz w:val="20"/>
              </w:rPr>
            </w:pPr>
            <w:r>
              <w:rPr>
                <w:noProof/>
                <w:sz w:val="20"/>
              </w:rPr>
              <w:t>p.m.</w:t>
            </w:r>
          </w:p>
        </w:tc>
        <w:tc>
          <w:tcPr>
            <w:tcW w:w="1004" w:type="dxa"/>
            <w:vAlign w:val="center"/>
          </w:tcPr>
          <w:p>
            <w:pPr>
              <w:spacing w:before="40" w:after="40"/>
              <w:jc w:val="center"/>
              <w:rPr>
                <w:b/>
                <w:noProof/>
                <w:sz w:val="20"/>
              </w:rPr>
            </w:pPr>
            <w:r>
              <w:rPr>
                <w:noProof/>
                <w:sz w:val="20"/>
              </w:rPr>
              <w:t>p.m.</w:t>
            </w:r>
          </w:p>
        </w:tc>
        <w:tc>
          <w:tcPr>
            <w:tcW w:w="990" w:type="dxa"/>
            <w:vAlign w:val="center"/>
          </w:tcPr>
          <w:p>
            <w:pPr>
              <w:spacing w:before="40" w:after="40"/>
              <w:jc w:val="center"/>
              <w:rPr>
                <w:b/>
                <w:noProof/>
                <w:sz w:val="20"/>
              </w:rPr>
            </w:pPr>
            <w:r>
              <w:rPr>
                <w:noProof/>
                <w:sz w:val="20"/>
              </w:rPr>
              <w:t>p.m.</w:t>
            </w:r>
          </w:p>
        </w:tc>
        <w:tc>
          <w:tcPr>
            <w:tcW w:w="990" w:type="dxa"/>
            <w:vAlign w:val="center"/>
          </w:tcPr>
          <w:p>
            <w:pPr>
              <w:spacing w:before="40" w:after="40"/>
              <w:jc w:val="center"/>
              <w:rPr>
                <w:b/>
                <w:noProof/>
                <w:sz w:val="20"/>
              </w:rPr>
            </w:pPr>
            <w:r>
              <w:rPr>
                <w:noProof/>
                <w:sz w:val="20"/>
              </w:rPr>
              <w:t>p.m.</w:t>
            </w:r>
          </w:p>
        </w:tc>
        <w:tc>
          <w:tcPr>
            <w:tcW w:w="1033" w:type="dxa"/>
            <w:vAlign w:val="center"/>
          </w:tcPr>
          <w:p>
            <w:pPr>
              <w:spacing w:before="40" w:after="40"/>
              <w:jc w:val="center"/>
              <w:rPr>
                <w:b/>
                <w:noProof/>
                <w:sz w:val="20"/>
              </w:rPr>
            </w:pPr>
          </w:p>
        </w:tc>
        <w:tc>
          <w:tcPr>
            <w:tcW w:w="1127" w:type="dxa"/>
            <w:vAlign w:val="center"/>
          </w:tcPr>
          <w:p>
            <w:pPr>
              <w:spacing w:before="40" w:after="40"/>
              <w:jc w:val="center"/>
              <w:rPr>
                <w:b/>
                <w:noProof/>
                <w:sz w:val="20"/>
              </w:rPr>
            </w:pPr>
            <w:r>
              <w:rPr>
                <w:b/>
                <w:noProof/>
                <w:sz w:val="20"/>
              </w:rPr>
              <w:t>p.m.</w:t>
            </w:r>
          </w:p>
        </w:tc>
      </w:tr>
      <w:tr>
        <w:tc>
          <w:tcPr>
            <w:tcW w:w="3780" w:type="dxa"/>
            <w:vMerge w:val="restart"/>
            <w:vAlign w:val="center"/>
          </w:tcPr>
          <w:p>
            <w:pPr>
              <w:jc w:val="center"/>
              <w:rPr>
                <w:b/>
                <w:noProof/>
              </w:rPr>
            </w:pPr>
            <w:r>
              <w:rPr>
                <w:b/>
                <w:noProof/>
                <w:sz w:val="22"/>
              </w:rPr>
              <w:t>TOTAL des crédits</w:t>
            </w:r>
            <w:r>
              <w:rPr>
                <w:noProof/>
              </w:rPr>
              <w:t xml:space="preserve"> </w:t>
            </w:r>
            <w:r>
              <w:rPr>
                <w:noProof/>
              </w:rPr>
              <w:br/>
            </w:r>
            <w:r>
              <w:rPr>
                <w:b/>
                <w:noProof/>
                <w:sz w:val="22"/>
              </w:rPr>
              <w:t>des procédures budgétaires pour l’enveloppe du programme</w:t>
            </w:r>
          </w:p>
        </w:tc>
        <w:tc>
          <w:tcPr>
            <w:tcW w:w="1260" w:type="dxa"/>
            <w:vAlign w:val="center"/>
          </w:tcPr>
          <w:p>
            <w:pPr>
              <w:rPr>
                <w:noProof/>
                <w:sz w:val="18"/>
              </w:rPr>
            </w:pPr>
            <w:r>
              <w:rPr>
                <w:noProof/>
                <w:sz w:val="18"/>
              </w:rPr>
              <w:t>Engagements</w:t>
            </w:r>
          </w:p>
        </w:tc>
        <w:tc>
          <w:tcPr>
            <w:tcW w:w="540" w:type="dxa"/>
            <w:vAlign w:val="center"/>
          </w:tcPr>
          <w:p>
            <w:pPr>
              <w:jc w:val="center"/>
              <w:rPr>
                <w:noProof/>
                <w:sz w:val="14"/>
              </w:rPr>
            </w:pPr>
            <w:r>
              <w:rPr>
                <w:noProof/>
                <w:sz w:val="14"/>
              </w:rPr>
              <w:t>=1+1a +3</w:t>
            </w:r>
          </w:p>
        </w:tc>
        <w:tc>
          <w:tcPr>
            <w:tcW w:w="990" w:type="dxa"/>
            <w:vAlign w:val="center"/>
          </w:tcPr>
          <w:p>
            <w:pPr>
              <w:spacing w:before="20" w:after="20"/>
              <w:jc w:val="right"/>
              <w:rPr>
                <w:noProof/>
                <w:sz w:val="20"/>
              </w:rPr>
            </w:pPr>
          </w:p>
        </w:tc>
        <w:tc>
          <w:tcPr>
            <w:tcW w:w="990" w:type="dxa"/>
            <w:vAlign w:val="center"/>
          </w:tcPr>
          <w:p>
            <w:pPr>
              <w:spacing w:before="20" w:after="20"/>
              <w:jc w:val="center"/>
              <w:rPr>
                <w:noProof/>
                <w:sz w:val="20"/>
              </w:rPr>
            </w:pPr>
            <w:r>
              <w:rPr>
                <w:noProof/>
                <w:sz w:val="20"/>
              </w:rPr>
              <w:t>p.m.</w:t>
            </w:r>
          </w:p>
        </w:tc>
        <w:tc>
          <w:tcPr>
            <w:tcW w:w="990" w:type="dxa"/>
            <w:vAlign w:val="center"/>
          </w:tcPr>
          <w:p>
            <w:pPr>
              <w:spacing w:before="20" w:after="20"/>
              <w:jc w:val="center"/>
              <w:rPr>
                <w:noProof/>
                <w:sz w:val="20"/>
              </w:rPr>
            </w:pPr>
            <w:r>
              <w:rPr>
                <w:noProof/>
                <w:sz w:val="20"/>
              </w:rPr>
              <w:t>p.m.</w:t>
            </w:r>
          </w:p>
        </w:tc>
        <w:tc>
          <w:tcPr>
            <w:tcW w:w="976" w:type="dxa"/>
            <w:vAlign w:val="center"/>
          </w:tcPr>
          <w:p>
            <w:pPr>
              <w:spacing w:before="20" w:after="20"/>
              <w:jc w:val="center"/>
              <w:rPr>
                <w:noProof/>
                <w:sz w:val="20"/>
              </w:rPr>
            </w:pPr>
            <w:r>
              <w:rPr>
                <w:noProof/>
                <w:sz w:val="20"/>
              </w:rPr>
              <w:t>p.m.</w:t>
            </w:r>
          </w:p>
        </w:tc>
        <w:tc>
          <w:tcPr>
            <w:tcW w:w="1004" w:type="dxa"/>
            <w:vAlign w:val="center"/>
          </w:tcPr>
          <w:p>
            <w:pPr>
              <w:spacing w:before="20" w:after="20"/>
              <w:jc w:val="center"/>
              <w:rPr>
                <w:noProof/>
                <w:sz w:val="20"/>
              </w:rPr>
            </w:pPr>
            <w:r>
              <w:rPr>
                <w:noProof/>
                <w:sz w:val="20"/>
              </w:rPr>
              <w:t>p.m.</w:t>
            </w:r>
          </w:p>
        </w:tc>
        <w:tc>
          <w:tcPr>
            <w:tcW w:w="990" w:type="dxa"/>
            <w:vAlign w:val="center"/>
          </w:tcPr>
          <w:p>
            <w:pPr>
              <w:spacing w:before="20" w:after="20"/>
              <w:jc w:val="center"/>
              <w:rPr>
                <w:noProof/>
                <w:sz w:val="20"/>
              </w:rPr>
            </w:pPr>
            <w:r>
              <w:rPr>
                <w:noProof/>
                <w:sz w:val="20"/>
              </w:rPr>
              <w:t>p.m.</w:t>
            </w:r>
          </w:p>
        </w:tc>
        <w:tc>
          <w:tcPr>
            <w:tcW w:w="990" w:type="dxa"/>
            <w:vAlign w:val="center"/>
          </w:tcPr>
          <w:p>
            <w:pPr>
              <w:spacing w:before="20" w:after="20"/>
              <w:jc w:val="center"/>
              <w:rPr>
                <w:b/>
                <w:noProof/>
                <w:sz w:val="20"/>
              </w:rPr>
            </w:pPr>
            <w:r>
              <w:rPr>
                <w:noProof/>
                <w:sz w:val="20"/>
              </w:rPr>
              <w:t>p.m.</w:t>
            </w:r>
          </w:p>
        </w:tc>
        <w:tc>
          <w:tcPr>
            <w:tcW w:w="1033" w:type="dxa"/>
            <w:vAlign w:val="center"/>
          </w:tcPr>
          <w:p>
            <w:pPr>
              <w:spacing w:before="20" w:after="20"/>
              <w:jc w:val="center"/>
              <w:rPr>
                <w:b/>
                <w:noProof/>
                <w:sz w:val="20"/>
              </w:rPr>
            </w:pPr>
          </w:p>
        </w:tc>
        <w:tc>
          <w:tcPr>
            <w:tcW w:w="1127" w:type="dxa"/>
            <w:vAlign w:val="center"/>
          </w:tcPr>
          <w:p>
            <w:pPr>
              <w:spacing w:before="20" w:after="20"/>
              <w:jc w:val="center"/>
              <w:rPr>
                <w:b/>
                <w:noProof/>
                <w:sz w:val="20"/>
              </w:rPr>
            </w:pPr>
            <w:r>
              <w:rPr>
                <w:b/>
                <w:bCs/>
                <w:noProof/>
                <w:color w:val="000000"/>
                <w:sz w:val="20"/>
                <w:szCs w:val="20"/>
              </w:rPr>
              <w:t>p.m.</w:t>
            </w:r>
          </w:p>
        </w:tc>
      </w:tr>
      <w:tr>
        <w:tc>
          <w:tcPr>
            <w:tcW w:w="3780" w:type="dxa"/>
            <w:vMerge/>
          </w:tcPr>
          <w:p>
            <w:pPr>
              <w:rPr>
                <w:noProof/>
                <w:sz w:val="20"/>
              </w:rPr>
            </w:pPr>
          </w:p>
        </w:tc>
        <w:tc>
          <w:tcPr>
            <w:tcW w:w="1260" w:type="dxa"/>
            <w:vAlign w:val="center"/>
          </w:tcPr>
          <w:p>
            <w:pPr>
              <w:rPr>
                <w:noProof/>
                <w:sz w:val="18"/>
              </w:rPr>
            </w:pPr>
            <w:r>
              <w:rPr>
                <w:noProof/>
                <w:sz w:val="18"/>
              </w:rPr>
              <w:t>Paiements</w:t>
            </w:r>
          </w:p>
        </w:tc>
        <w:tc>
          <w:tcPr>
            <w:tcW w:w="540" w:type="dxa"/>
            <w:vAlign w:val="center"/>
          </w:tcPr>
          <w:p>
            <w:pPr>
              <w:jc w:val="center"/>
              <w:rPr>
                <w:noProof/>
                <w:sz w:val="14"/>
              </w:rPr>
            </w:pPr>
            <w:r>
              <w:rPr>
                <w:noProof/>
                <w:sz w:val="14"/>
              </w:rPr>
              <w:t>=2+2a</w:t>
            </w:r>
          </w:p>
          <w:p>
            <w:pPr>
              <w:jc w:val="center"/>
              <w:rPr>
                <w:noProof/>
                <w:sz w:val="14"/>
              </w:rPr>
            </w:pPr>
            <w:r>
              <w:rPr>
                <w:noProof/>
                <w:sz w:val="14"/>
              </w:rPr>
              <w:t>+3</w:t>
            </w:r>
          </w:p>
        </w:tc>
        <w:tc>
          <w:tcPr>
            <w:tcW w:w="990" w:type="dxa"/>
            <w:vAlign w:val="center"/>
          </w:tcPr>
          <w:p>
            <w:pPr>
              <w:spacing w:before="20" w:after="20"/>
              <w:jc w:val="right"/>
              <w:rPr>
                <w:noProof/>
                <w:sz w:val="20"/>
              </w:rPr>
            </w:pPr>
          </w:p>
        </w:tc>
        <w:tc>
          <w:tcPr>
            <w:tcW w:w="990" w:type="dxa"/>
            <w:vAlign w:val="center"/>
          </w:tcPr>
          <w:p>
            <w:pPr>
              <w:spacing w:before="20" w:after="20"/>
              <w:jc w:val="center"/>
              <w:rPr>
                <w:noProof/>
                <w:sz w:val="20"/>
              </w:rPr>
            </w:pPr>
            <w:r>
              <w:rPr>
                <w:noProof/>
                <w:sz w:val="20"/>
              </w:rPr>
              <w:t>p.m.</w:t>
            </w:r>
          </w:p>
        </w:tc>
        <w:tc>
          <w:tcPr>
            <w:tcW w:w="990" w:type="dxa"/>
            <w:vAlign w:val="center"/>
          </w:tcPr>
          <w:p>
            <w:pPr>
              <w:spacing w:before="20" w:after="20"/>
              <w:jc w:val="center"/>
              <w:rPr>
                <w:noProof/>
                <w:sz w:val="20"/>
              </w:rPr>
            </w:pPr>
            <w:r>
              <w:rPr>
                <w:noProof/>
                <w:sz w:val="20"/>
              </w:rPr>
              <w:t>p.m.</w:t>
            </w:r>
          </w:p>
        </w:tc>
        <w:tc>
          <w:tcPr>
            <w:tcW w:w="976" w:type="dxa"/>
            <w:vAlign w:val="center"/>
          </w:tcPr>
          <w:p>
            <w:pPr>
              <w:spacing w:before="20" w:after="20"/>
              <w:jc w:val="center"/>
              <w:rPr>
                <w:noProof/>
                <w:sz w:val="20"/>
              </w:rPr>
            </w:pPr>
            <w:r>
              <w:rPr>
                <w:noProof/>
                <w:sz w:val="20"/>
              </w:rPr>
              <w:t>p.m.</w:t>
            </w:r>
          </w:p>
        </w:tc>
        <w:tc>
          <w:tcPr>
            <w:tcW w:w="1004" w:type="dxa"/>
            <w:vAlign w:val="center"/>
          </w:tcPr>
          <w:p>
            <w:pPr>
              <w:spacing w:before="20" w:after="20"/>
              <w:jc w:val="center"/>
              <w:rPr>
                <w:noProof/>
                <w:sz w:val="20"/>
              </w:rPr>
            </w:pPr>
            <w:r>
              <w:rPr>
                <w:noProof/>
                <w:sz w:val="20"/>
              </w:rPr>
              <w:t>p.m.</w:t>
            </w:r>
          </w:p>
        </w:tc>
        <w:tc>
          <w:tcPr>
            <w:tcW w:w="990" w:type="dxa"/>
            <w:vAlign w:val="center"/>
          </w:tcPr>
          <w:p>
            <w:pPr>
              <w:spacing w:before="20" w:after="20"/>
              <w:jc w:val="center"/>
              <w:rPr>
                <w:noProof/>
                <w:sz w:val="20"/>
              </w:rPr>
            </w:pPr>
            <w:r>
              <w:rPr>
                <w:noProof/>
                <w:sz w:val="20"/>
              </w:rPr>
              <w:t>p.m.</w:t>
            </w:r>
          </w:p>
        </w:tc>
        <w:tc>
          <w:tcPr>
            <w:tcW w:w="990" w:type="dxa"/>
            <w:vAlign w:val="center"/>
          </w:tcPr>
          <w:p>
            <w:pPr>
              <w:spacing w:before="20" w:after="20"/>
              <w:jc w:val="center"/>
              <w:rPr>
                <w:b/>
                <w:noProof/>
                <w:sz w:val="20"/>
              </w:rPr>
            </w:pPr>
            <w:r>
              <w:rPr>
                <w:noProof/>
                <w:sz w:val="20"/>
              </w:rPr>
              <w:t>p.m.</w:t>
            </w:r>
          </w:p>
        </w:tc>
        <w:tc>
          <w:tcPr>
            <w:tcW w:w="1033" w:type="dxa"/>
            <w:vAlign w:val="center"/>
          </w:tcPr>
          <w:p>
            <w:pPr>
              <w:spacing w:before="20" w:after="20"/>
              <w:jc w:val="center"/>
              <w:rPr>
                <w:b/>
                <w:noProof/>
                <w:sz w:val="20"/>
              </w:rPr>
            </w:pPr>
          </w:p>
        </w:tc>
        <w:tc>
          <w:tcPr>
            <w:tcW w:w="1127" w:type="dxa"/>
            <w:vAlign w:val="center"/>
          </w:tcPr>
          <w:p>
            <w:pPr>
              <w:spacing w:before="20" w:after="20"/>
              <w:jc w:val="center"/>
              <w:rPr>
                <w:b/>
                <w:noProof/>
                <w:sz w:val="20"/>
              </w:rPr>
            </w:pPr>
            <w:r>
              <w:rPr>
                <w:b/>
                <w:bCs/>
                <w:noProof/>
                <w:color w:val="000000"/>
                <w:sz w:val="20"/>
                <w:szCs w:val="20"/>
              </w:rPr>
              <w:t>p.m.</w:t>
            </w:r>
          </w:p>
        </w:tc>
      </w:tr>
    </w:tbl>
    <w:p>
      <w:pPr>
        <w:spacing w:before="0" w:after="200" w:line="276" w:lineRule="auto"/>
        <w:jc w:val="left"/>
        <w:rPr>
          <w:noProof/>
        </w:rPr>
      </w:pPr>
      <w:r>
        <w:rPr>
          <w:noProof/>
        </w:rPr>
        <w:br w:type="page"/>
      </w:r>
    </w:p>
    <w:tbl>
      <w:tblPr>
        <w:tblW w:w="1496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62"/>
        <w:gridCol w:w="1278"/>
        <w:gridCol w:w="540"/>
        <w:gridCol w:w="734"/>
        <w:gridCol w:w="1080"/>
        <w:gridCol w:w="1081"/>
        <w:gridCol w:w="1081"/>
        <w:gridCol w:w="1081"/>
        <w:gridCol w:w="1081"/>
        <w:gridCol w:w="1081"/>
        <w:gridCol w:w="1081"/>
        <w:gridCol w:w="1081"/>
      </w:tblGrid>
      <w:tr>
        <w:tc>
          <w:tcPr>
            <w:tcW w:w="3762" w:type="dxa"/>
            <w:vAlign w:val="center"/>
          </w:tcPr>
          <w:p>
            <w:pPr>
              <w:jc w:val="center"/>
              <w:rPr>
                <w:noProof/>
              </w:rPr>
            </w:pPr>
          </w:p>
        </w:tc>
        <w:tc>
          <w:tcPr>
            <w:tcW w:w="1278" w:type="dxa"/>
          </w:tcPr>
          <w:p>
            <w:pPr>
              <w:rPr>
                <w:noProof/>
                <w:sz w:val="20"/>
              </w:rPr>
            </w:pPr>
          </w:p>
        </w:tc>
        <w:tc>
          <w:tcPr>
            <w:tcW w:w="540" w:type="dxa"/>
          </w:tcPr>
          <w:p>
            <w:pPr>
              <w:jc w:val="center"/>
              <w:rPr>
                <w:noProof/>
                <w:sz w:val="20"/>
              </w:rPr>
            </w:pPr>
          </w:p>
        </w:tc>
        <w:tc>
          <w:tcPr>
            <w:tcW w:w="734" w:type="dxa"/>
            <w:vAlign w:val="center"/>
          </w:tcPr>
          <w:p>
            <w:pPr>
              <w:jc w:val="center"/>
              <w:rPr>
                <w:noProof/>
                <w:sz w:val="20"/>
              </w:rPr>
            </w:pPr>
            <w:r>
              <w:rPr>
                <w:b/>
                <w:noProof/>
                <w:sz w:val="20"/>
              </w:rPr>
              <w:t>2021</w:t>
            </w:r>
          </w:p>
        </w:tc>
        <w:tc>
          <w:tcPr>
            <w:tcW w:w="1080" w:type="dxa"/>
            <w:vAlign w:val="center"/>
          </w:tcPr>
          <w:p>
            <w:pPr>
              <w:jc w:val="center"/>
              <w:rPr>
                <w:noProof/>
                <w:sz w:val="20"/>
              </w:rPr>
            </w:pPr>
            <w:r>
              <w:rPr>
                <w:b/>
                <w:noProof/>
                <w:sz w:val="20"/>
              </w:rPr>
              <w:t>2022</w:t>
            </w:r>
          </w:p>
        </w:tc>
        <w:tc>
          <w:tcPr>
            <w:tcW w:w="1081" w:type="dxa"/>
            <w:vAlign w:val="center"/>
          </w:tcPr>
          <w:p>
            <w:pPr>
              <w:jc w:val="center"/>
              <w:rPr>
                <w:noProof/>
                <w:sz w:val="20"/>
              </w:rPr>
            </w:pPr>
            <w:r>
              <w:rPr>
                <w:b/>
                <w:noProof/>
                <w:sz w:val="20"/>
              </w:rPr>
              <w:t>2023</w:t>
            </w:r>
          </w:p>
        </w:tc>
        <w:tc>
          <w:tcPr>
            <w:tcW w:w="1081" w:type="dxa"/>
            <w:vAlign w:val="center"/>
          </w:tcPr>
          <w:p>
            <w:pPr>
              <w:jc w:val="center"/>
              <w:rPr>
                <w:noProof/>
                <w:sz w:val="20"/>
              </w:rPr>
            </w:pPr>
            <w:r>
              <w:rPr>
                <w:b/>
                <w:noProof/>
                <w:sz w:val="20"/>
              </w:rPr>
              <w:t>2024</w:t>
            </w:r>
          </w:p>
        </w:tc>
        <w:tc>
          <w:tcPr>
            <w:tcW w:w="1081" w:type="dxa"/>
            <w:vAlign w:val="center"/>
          </w:tcPr>
          <w:p>
            <w:pPr>
              <w:jc w:val="center"/>
              <w:rPr>
                <w:b/>
                <w:noProof/>
                <w:sz w:val="18"/>
              </w:rPr>
            </w:pPr>
            <w:r>
              <w:rPr>
                <w:b/>
                <w:noProof/>
                <w:sz w:val="18"/>
              </w:rPr>
              <w:t>2025</w:t>
            </w:r>
          </w:p>
        </w:tc>
        <w:tc>
          <w:tcPr>
            <w:tcW w:w="1081" w:type="dxa"/>
            <w:vAlign w:val="center"/>
          </w:tcPr>
          <w:p>
            <w:pPr>
              <w:jc w:val="center"/>
              <w:rPr>
                <w:b/>
                <w:noProof/>
                <w:sz w:val="18"/>
              </w:rPr>
            </w:pPr>
            <w:r>
              <w:rPr>
                <w:b/>
                <w:noProof/>
                <w:sz w:val="18"/>
              </w:rPr>
              <w:t>2026</w:t>
            </w:r>
          </w:p>
        </w:tc>
        <w:tc>
          <w:tcPr>
            <w:tcW w:w="1081" w:type="dxa"/>
            <w:vAlign w:val="center"/>
          </w:tcPr>
          <w:p>
            <w:pPr>
              <w:jc w:val="center"/>
              <w:rPr>
                <w:b/>
                <w:noProof/>
                <w:sz w:val="18"/>
              </w:rPr>
            </w:pPr>
            <w:r>
              <w:rPr>
                <w:b/>
                <w:noProof/>
                <w:sz w:val="18"/>
              </w:rPr>
              <w:t>2027</w:t>
            </w:r>
          </w:p>
        </w:tc>
        <w:tc>
          <w:tcPr>
            <w:tcW w:w="1081" w:type="dxa"/>
          </w:tcPr>
          <w:p>
            <w:pPr>
              <w:jc w:val="center"/>
              <w:rPr>
                <w:b/>
                <w:noProof/>
                <w:sz w:val="20"/>
              </w:rPr>
            </w:pPr>
            <w:r>
              <w:rPr>
                <w:b/>
                <w:i/>
                <w:noProof/>
                <w:sz w:val="20"/>
              </w:rPr>
              <w:t>Après 2027</w:t>
            </w:r>
          </w:p>
        </w:tc>
        <w:tc>
          <w:tcPr>
            <w:tcW w:w="1081" w:type="dxa"/>
            <w:vAlign w:val="center"/>
          </w:tcPr>
          <w:p>
            <w:pPr>
              <w:jc w:val="center"/>
              <w:rPr>
                <w:b/>
                <w:noProof/>
                <w:sz w:val="20"/>
              </w:rPr>
            </w:pPr>
            <w:r>
              <w:rPr>
                <w:b/>
                <w:noProof/>
                <w:sz w:val="20"/>
              </w:rPr>
              <w:t>TOTAL</w:t>
            </w:r>
          </w:p>
        </w:tc>
      </w:tr>
      <w:tr>
        <w:trPr>
          <w:trHeight w:val="213"/>
        </w:trPr>
        <w:tc>
          <w:tcPr>
            <w:tcW w:w="5580" w:type="dxa"/>
            <w:gridSpan w:val="3"/>
            <w:vAlign w:val="center"/>
          </w:tcPr>
          <w:p>
            <w:pPr>
              <w:spacing w:before="20" w:after="20"/>
              <w:rPr>
                <w:noProof/>
                <w:sz w:val="21"/>
              </w:rPr>
            </w:pPr>
            <w:r>
              <w:rPr>
                <w:noProof/>
                <w:sz w:val="21"/>
              </w:rPr>
              <w:sym w:font="Wingdings" w:char="F09F"/>
            </w:r>
            <w:r>
              <w:rPr>
                <w:noProof/>
                <w:sz w:val="21"/>
              </w:rPr>
              <w:t>Crédits opérationnels (crédits C1)</w:t>
            </w:r>
          </w:p>
        </w:tc>
        <w:tc>
          <w:tcPr>
            <w:tcW w:w="734" w:type="dxa"/>
            <w:vAlign w:val="center"/>
          </w:tcPr>
          <w:p>
            <w:pPr>
              <w:rPr>
                <w:noProof/>
                <w:sz w:val="20"/>
              </w:rPr>
            </w:pPr>
          </w:p>
        </w:tc>
        <w:tc>
          <w:tcPr>
            <w:tcW w:w="1080" w:type="dxa"/>
            <w:vAlign w:val="center"/>
          </w:tcPr>
          <w:p>
            <w:pPr>
              <w:rPr>
                <w:noProof/>
                <w:sz w:val="20"/>
              </w:rPr>
            </w:pPr>
          </w:p>
        </w:tc>
        <w:tc>
          <w:tcPr>
            <w:tcW w:w="1081" w:type="dxa"/>
            <w:vAlign w:val="center"/>
          </w:tcPr>
          <w:p>
            <w:pPr>
              <w:rPr>
                <w:noProof/>
                <w:sz w:val="20"/>
              </w:rPr>
            </w:pPr>
          </w:p>
        </w:tc>
        <w:tc>
          <w:tcPr>
            <w:tcW w:w="1081" w:type="dxa"/>
            <w:vAlign w:val="center"/>
          </w:tcPr>
          <w:p>
            <w:pPr>
              <w:rPr>
                <w:noProof/>
                <w:sz w:val="20"/>
              </w:rPr>
            </w:pPr>
          </w:p>
        </w:tc>
        <w:tc>
          <w:tcPr>
            <w:tcW w:w="1081" w:type="dxa"/>
            <w:vAlign w:val="center"/>
          </w:tcPr>
          <w:p>
            <w:pPr>
              <w:rPr>
                <w:noProof/>
                <w:sz w:val="20"/>
              </w:rPr>
            </w:pPr>
          </w:p>
        </w:tc>
        <w:tc>
          <w:tcPr>
            <w:tcW w:w="1081" w:type="dxa"/>
            <w:vAlign w:val="center"/>
          </w:tcPr>
          <w:p>
            <w:pPr>
              <w:rPr>
                <w:noProof/>
                <w:sz w:val="20"/>
              </w:rPr>
            </w:pPr>
          </w:p>
        </w:tc>
        <w:tc>
          <w:tcPr>
            <w:tcW w:w="1081" w:type="dxa"/>
            <w:vAlign w:val="center"/>
          </w:tcPr>
          <w:p>
            <w:pPr>
              <w:rPr>
                <w:b/>
                <w:noProof/>
                <w:sz w:val="20"/>
              </w:rPr>
            </w:pPr>
          </w:p>
        </w:tc>
        <w:tc>
          <w:tcPr>
            <w:tcW w:w="1081" w:type="dxa"/>
          </w:tcPr>
          <w:p>
            <w:pPr>
              <w:rPr>
                <w:b/>
                <w:noProof/>
                <w:sz w:val="20"/>
              </w:rPr>
            </w:pPr>
          </w:p>
        </w:tc>
        <w:tc>
          <w:tcPr>
            <w:tcW w:w="1081" w:type="dxa"/>
            <w:vAlign w:val="center"/>
          </w:tcPr>
          <w:p>
            <w:pPr>
              <w:rPr>
                <w:b/>
                <w:noProof/>
                <w:sz w:val="20"/>
              </w:rPr>
            </w:pPr>
          </w:p>
        </w:tc>
      </w:tr>
      <w:tr>
        <w:trPr>
          <w:trHeight w:val="277"/>
        </w:trPr>
        <w:tc>
          <w:tcPr>
            <w:tcW w:w="3762" w:type="dxa"/>
            <w:vMerge w:val="restart"/>
            <w:vAlign w:val="center"/>
          </w:tcPr>
          <w:p>
            <w:pPr>
              <w:rPr>
                <w:noProof/>
              </w:rPr>
            </w:pPr>
            <w:r>
              <w:rPr>
                <w:noProof/>
                <w:sz w:val="20"/>
              </w:rPr>
              <w:t>Autres programmes détaillés dans la communication (lignes budgétaires à préciser)</w:t>
            </w:r>
          </w:p>
        </w:tc>
        <w:tc>
          <w:tcPr>
            <w:tcW w:w="1278" w:type="dxa"/>
            <w:vAlign w:val="center"/>
          </w:tcPr>
          <w:p>
            <w:pPr>
              <w:spacing w:before="20" w:after="20"/>
              <w:rPr>
                <w:noProof/>
                <w:sz w:val="18"/>
              </w:rPr>
            </w:pPr>
            <w:r>
              <w:rPr>
                <w:noProof/>
                <w:sz w:val="18"/>
              </w:rPr>
              <w:t>Engagements</w:t>
            </w:r>
          </w:p>
        </w:tc>
        <w:tc>
          <w:tcPr>
            <w:tcW w:w="540" w:type="dxa"/>
            <w:vAlign w:val="center"/>
          </w:tcPr>
          <w:p>
            <w:pPr>
              <w:spacing w:before="20" w:after="20"/>
              <w:jc w:val="center"/>
              <w:rPr>
                <w:noProof/>
                <w:sz w:val="14"/>
              </w:rPr>
            </w:pPr>
            <w:r>
              <w:rPr>
                <w:noProof/>
                <w:sz w:val="14"/>
              </w:rPr>
              <w:t>(1)</w:t>
            </w:r>
          </w:p>
        </w:tc>
        <w:tc>
          <w:tcPr>
            <w:tcW w:w="734" w:type="dxa"/>
            <w:vAlign w:val="center"/>
          </w:tcPr>
          <w:p>
            <w:pPr>
              <w:spacing w:before="20" w:after="20"/>
              <w:jc w:val="right"/>
              <w:rPr>
                <w:noProof/>
                <w:sz w:val="20"/>
              </w:rPr>
            </w:pPr>
          </w:p>
        </w:tc>
        <w:tc>
          <w:tcPr>
            <w:tcW w:w="1080"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b/>
                <w:bCs/>
                <w:noProof/>
                <w:color w:val="000000"/>
                <w:sz w:val="20"/>
                <w:szCs w:val="20"/>
              </w:rPr>
              <w:t>41,167</w:t>
            </w:r>
          </w:p>
        </w:tc>
        <w:tc>
          <w:tcPr>
            <w:tcW w:w="1081" w:type="dxa"/>
            <w:vAlign w:val="center"/>
          </w:tcPr>
          <w:p>
            <w:pPr>
              <w:spacing w:before="20" w:after="20"/>
              <w:jc w:val="right"/>
              <w:rPr>
                <w:b/>
                <w:noProof/>
                <w:sz w:val="20"/>
              </w:rPr>
            </w:pPr>
          </w:p>
        </w:tc>
        <w:tc>
          <w:tcPr>
            <w:tcW w:w="1081" w:type="dxa"/>
            <w:vAlign w:val="center"/>
          </w:tcPr>
          <w:p>
            <w:pPr>
              <w:spacing w:before="0" w:after="0"/>
              <w:jc w:val="right"/>
              <w:rPr>
                <w:b/>
                <w:bCs/>
                <w:noProof/>
                <w:color w:val="000000"/>
                <w:sz w:val="20"/>
                <w:szCs w:val="20"/>
              </w:rPr>
            </w:pPr>
            <w:r>
              <w:rPr>
                <w:b/>
                <w:bCs/>
                <w:noProof/>
                <w:color w:val="000000"/>
                <w:sz w:val="20"/>
                <w:szCs w:val="20"/>
              </w:rPr>
              <w:t>247,000</w:t>
            </w:r>
          </w:p>
        </w:tc>
      </w:tr>
      <w:tr>
        <w:tc>
          <w:tcPr>
            <w:tcW w:w="3762" w:type="dxa"/>
            <w:vMerge/>
          </w:tcPr>
          <w:p>
            <w:pPr>
              <w:jc w:val="center"/>
              <w:rPr>
                <w:noProof/>
                <w:sz w:val="20"/>
              </w:rPr>
            </w:pPr>
          </w:p>
        </w:tc>
        <w:tc>
          <w:tcPr>
            <w:tcW w:w="1278" w:type="dxa"/>
            <w:vAlign w:val="center"/>
          </w:tcPr>
          <w:p>
            <w:pPr>
              <w:spacing w:before="20" w:after="20"/>
              <w:rPr>
                <w:noProof/>
                <w:sz w:val="18"/>
              </w:rPr>
            </w:pPr>
            <w:r>
              <w:rPr>
                <w:noProof/>
                <w:sz w:val="18"/>
              </w:rPr>
              <w:t>Paiements</w:t>
            </w:r>
          </w:p>
        </w:tc>
        <w:tc>
          <w:tcPr>
            <w:tcW w:w="540" w:type="dxa"/>
            <w:vAlign w:val="center"/>
          </w:tcPr>
          <w:p>
            <w:pPr>
              <w:spacing w:before="20" w:after="20"/>
              <w:jc w:val="center"/>
              <w:rPr>
                <w:noProof/>
                <w:sz w:val="14"/>
              </w:rPr>
            </w:pPr>
            <w:r>
              <w:rPr>
                <w:noProof/>
                <w:sz w:val="14"/>
              </w:rPr>
              <w:t>(2)</w:t>
            </w:r>
          </w:p>
        </w:tc>
        <w:tc>
          <w:tcPr>
            <w:tcW w:w="734" w:type="dxa"/>
            <w:vAlign w:val="center"/>
          </w:tcPr>
          <w:p>
            <w:pPr>
              <w:spacing w:before="20" w:after="20"/>
              <w:jc w:val="right"/>
              <w:rPr>
                <w:noProof/>
                <w:sz w:val="20"/>
              </w:rPr>
            </w:pPr>
          </w:p>
        </w:tc>
        <w:tc>
          <w:tcPr>
            <w:tcW w:w="1080" w:type="dxa"/>
            <w:vAlign w:val="center"/>
          </w:tcPr>
          <w:p>
            <w:pPr>
              <w:spacing w:before="20" w:after="20"/>
              <w:jc w:val="right"/>
              <w:rPr>
                <w:noProof/>
                <w:sz w:val="20"/>
              </w:rPr>
            </w:pPr>
            <w:r>
              <w:rPr>
                <w:noProof/>
                <w:color w:val="000000"/>
                <w:sz w:val="20"/>
                <w:szCs w:val="20"/>
              </w:rPr>
              <w:t>12,350</w:t>
            </w:r>
          </w:p>
        </w:tc>
        <w:tc>
          <w:tcPr>
            <w:tcW w:w="1081" w:type="dxa"/>
            <w:vAlign w:val="center"/>
          </w:tcPr>
          <w:p>
            <w:pPr>
              <w:spacing w:before="20" w:after="20"/>
              <w:jc w:val="right"/>
              <w:rPr>
                <w:noProof/>
                <w:sz w:val="20"/>
              </w:rPr>
            </w:pPr>
            <w:r>
              <w:rPr>
                <w:noProof/>
                <w:color w:val="000000"/>
                <w:sz w:val="20"/>
                <w:szCs w:val="20"/>
              </w:rPr>
              <w:t>24,700</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b/>
                <w:noProof/>
                <w:sz w:val="20"/>
              </w:rPr>
            </w:pPr>
            <w:r>
              <w:rPr>
                <w:noProof/>
                <w:color w:val="000000"/>
                <w:sz w:val="20"/>
                <w:szCs w:val="20"/>
              </w:rPr>
              <w:t>41,167</w:t>
            </w:r>
          </w:p>
        </w:tc>
        <w:tc>
          <w:tcPr>
            <w:tcW w:w="1081" w:type="dxa"/>
            <w:vAlign w:val="center"/>
          </w:tcPr>
          <w:p>
            <w:pPr>
              <w:spacing w:before="20" w:after="20"/>
              <w:jc w:val="right"/>
              <w:rPr>
                <w:b/>
                <w:noProof/>
                <w:sz w:val="20"/>
              </w:rPr>
            </w:pPr>
            <w:r>
              <w:rPr>
                <w:noProof/>
                <w:color w:val="000000"/>
                <w:sz w:val="20"/>
                <w:szCs w:val="20"/>
              </w:rPr>
              <w:t>45,283</w:t>
            </w:r>
          </w:p>
        </w:tc>
        <w:tc>
          <w:tcPr>
            <w:tcW w:w="1081" w:type="dxa"/>
            <w:vAlign w:val="center"/>
          </w:tcPr>
          <w:p>
            <w:pPr>
              <w:spacing w:before="20" w:after="20"/>
              <w:jc w:val="right"/>
              <w:rPr>
                <w:b/>
                <w:noProof/>
                <w:sz w:val="20"/>
              </w:rPr>
            </w:pPr>
            <w:r>
              <w:rPr>
                <w:b/>
                <w:bCs/>
                <w:noProof/>
                <w:color w:val="000000"/>
                <w:sz w:val="20"/>
                <w:szCs w:val="20"/>
              </w:rPr>
              <w:t>247,000</w:t>
            </w:r>
          </w:p>
        </w:tc>
      </w:tr>
      <w:tr>
        <w:trPr>
          <w:trHeight w:val="231"/>
        </w:trPr>
        <w:tc>
          <w:tcPr>
            <w:tcW w:w="3762" w:type="dxa"/>
            <w:vAlign w:val="center"/>
          </w:tcPr>
          <w:p>
            <w:pPr>
              <w:spacing w:before="20" w:after="20"/>
              <w:rPr>
                <w:noProof/>
              </w:rPr>
            </w:pPr>
            <w:r>
              <w:rPr>
                <w:noProof/>
                <w:sz w:val="21"/>
              </w:rPr>
              <w:sym w:font="Wingdings" w:char="F09F"/>
            </w:r>
            <w:r>
              <w:rPr>
                <w:noProof/>
                <w:sz w:val="21"/>
              </w:rPr>
              <w:t xml:space="preserve"> Crédits de nature administrative financés par l’enveloppe de certains programmes spécifiques</w:t>
            </w:r>
            <w:r>
              <w:rPr>
                <w:rStyle w:val="FootnoteReference"/>
                <w:noProof/>
                <w:sz w:val="21"/>
              </w:rPr>
              <w:footnoteReference w:id="40"/>
            </w:r>
            <w:r>
              <w:rPr>
                <w:noProof/>
                <w:sz w:val="21"/>
              </w:rPr>
              <w:t xml:space="preserve"> </w:t>
            </w:r>
          </w:p>
        </w:tc>
        <w:tc>
          <w:tcPr>
            <w:tcW w:w="1278" w:type="dxa"/>
            <w:vAlign w:val="center"/>
          </w:tcPr>
          <w:p>
            <w:pPr>
              <w:spacing w:before="0" w:after="0"/>
              <w:rPr>
                <w:noProof/>
              </w:rPr>
            </w:pPr>
          </w:p>
        </w:tc>
        <w:tc>
          <w:tcPr>
            <w:tcW w:w="540" w:type="dxa"/>
            <w:vAlign w:val="center"/>
          </w:tcPr>
          <w:p>
            <w:pPr>
              <w:spacing w:before="20" w:after="20"/>
              <w:jc w:val="center"/>
              <w:rPr>
                <w:noProof/>
              </w:rPr>
            </w:pPr>
          </w:p>
        </w:tc>
        <w:tc>
          <w:tcPr>
            <w:tcW w:w="734" w:type="dxa"/>
            <w:vAlign w:val="center"/>
          </w:tcPr>
          <w:p>
            <w:pPr>
              <w:rPr>
                <w:b/>
                <w:noProof/>
                <w:sz w:val="20"/>
              </w:rPr>
            </w:pPr>
          </w:p>
        </w:tc>
        <w:tc>
          <w:tcPr>
            <w:tcW w:w="1080" w:type="dxa"/>
            <w:vAlign w:val="center"/>
          </w:tcPr>
          <w:p>
            <w:pPr>
              <w:rPr>
                <w:b/>
                <w:noProof/>
                <w:sz w:val="20"/>
              </w:rPr>
            </w:pPr>
            <w:r>
              <w:rPr>
                <w:b/>
                <w:bCs/>
                <w:noProof/>
                <w:color w:val="000000"/>
                <w:sz w:val="20"/>
              </w:rPr>
              <w:t xml:space="preserve"> </w:t>
            </w:r>
          </w:p>
        </w:tc>
        <w:tc>
          <w:tcPr>
            <w:tcW w:w="1081" w:type="dxa"/>
            <w:vAlign w:val="center"/>
          </w:tcPr>
          <w:p>
            <w:pPr>
              <w:rPr>
                <w:b/>
                <w:noProof/>
                <w:sz w:val="20"/>
              </w:rPr>
            </w:pPr>
            <w:r>
              <w:rPr>
                <w:b/>
                <w:bCs/>
                <w:noProof/>
                <w:color w:val="000000"/>
                <w:sz w:val="20"/>
              </w:rPr>
              <w:t xml:space="preserve"> </w:t>
            </w:r>
          </w:p>
        </w:tc>
        <w:tc>
          <w:tcPr>
            <w:tcW w:w="1081" w:type="dxa"/>
            <w:vAlign w:val="center"/>
          </w:tcPr>
          <w:p>
            <w:pPr>
              <w:rPr>
                <w:b/>
                <w:noProof/>
                <w:sz w:val="20"/>
              </w:rPr>
            </w:pPr>
            <w:r>
              <w:rPr>
                <w:b/>
                <w:bCs/>
                <w:noProof/>
                <w:color w:val="000000"/>
                <w:sz w:val="20"/>
              </w:rPr>
              <w:t xml:space="preserve"> </w:t>
            </w:r>
          </w:p>
        </w:tc>
        <w:tc>
          <w:tcPr>
            <w:tcW w:w="1081" w:type="dxa"/>
            <w:vAlign w:val="center"/>
          </w:tcPr>
          <w:p>
            <w:pPr>
              <w:rPr>
                <w:b/>
                <w:noProof/>
                <w:sz w:val="20"/>
              </w:rPr>
            </w:pPr>
            <w:r>
              <w:rPr>
                <w:b/>
                <w:bCs/>
                <w:noProof/>
                <w:color w:val="000000"/>
                <w:sz w:val="20"/>
              </w:rPr>
              <w:t xml:space="preserve"> </w:t>
            </w:r>
          </w:p>
        </w:tc>
        <w:tc>
          <w:tcPr>
            <w:tcW w:w="1081" w:type="dxa"/>
            <w:vAlign w:val="center"/>
          </w:tcPr>
          <w:p>
            <w:pPr>
              <w:rPr>
                <w:b/>
                <w:noProof/>
                <w:sz w:val="20"/>
              </w:rPr>
            </w:pPr>
            <w:r>
              <w:rPr>
                <w:b/>
                <w:bCs/>
                <w:noProof/>
                <w:color w:val="000000"/>
                <w:sz w:val="20"/>
              </w:rPr>
              <w:t xml:space="preserve"> </w:t>
            </w:r>
          </w:p>
        </w:tc>
        <w:tc>
          <w:tcPr>
            <w:tcW w:w="1081" w:type="dxa"/>
            <w:vAlign w:val="center"/>
          </w:tcPr>
          <w:p>
            <w:pPr>
              <w:rPr>
                <w:b/>
                <w:noProof/>
                <w:sz w:val="20"/>
              </w:rPr>
            </w:pPr>
            <w:r>
              <w:rPr>
                <w:b/>
                <w:bCs/>
                <w:noProof/>
                <w:color w:val="000000"/>
                <w:sz w:val="20"/>
              </w:rPr>
              <w:t xml:space="preserve"> </w:t>
            </w:r>
          </w:p>
        </w:tc>
        <w:tc>
          <w:tcPr>
            <w:tcW w:w="1081" w:type="dxa"/>
            <w:vAlign w:val="center"/>
          </w:tcPr>
          <w:p>
            <w:pPr>
              <w:rPr>
                <w:b/>
                <w:noProof/>
                <w:sz w:val="20"/>
              </w:rPr>
            </w:pPr>
            <w:r>
              <w:rPr>
                <w:b/>
                <w:bCs/>
                <w:noProof/>
                <w:color w:val="000000"/>
                <w:sz w:val="20"/>
              </w:rPr>
              <w:t xml:space="preserve"> </w:t>
            </w:r>
          </w:p>
        </w:tc>
        <w:tc>
          <w:tcPr>
            <w:tcW w:w="1081" w:type="dxa"/>
            <w:vAlign w:val="center"/>
          </w:tcPr>
          <w:p>
            <w:pPr>
              <w:spacing w:before="0" w:after="0"/>
              <w:jc w:val="right"/>
              <w:rPr>
                <w:b/>
                <w:noProof/>
                <w:sz w:val="20"/>
              </w:rPr>
            </w:pPr>
            <w:r>
              <w:rPr>
                <w:b/>
                <w:bCs/>
                <w:noProof/>
                <w:color w:val="000000"/>
                <w:sz w:val="20"/>
              </w:rPr>
              <w:t xml:space="preserve"> </w:t>
            </w:r>
          </w:p>
        </w:tc>
      </w:tr>
      <w:tr>
        <w:trPr>
          <w:trHeight w:val="319"/>
        </w:trPr>
        <w:tc>
          <w:tcPr>
            <w:tcW w:w="3762" w:type="dxa"/>
            <w:vAlign w:val="center"/>
          </w:tcPr>
          <w:p>
            <w:pPr>
              <w:spacing w:before="60" w:after="60"/>
              <w:rPr>
                <w:noProof/>
              </w:rPr>
            </w:pPr>
          </w:p>
        </w:tc>
        <w:tc>
          <w:tcPr>
            <w:tcW w:w="1278" w:type="dxa"/>
            <w:vAlign w:val="center"/>
          </w:tcPr>
          <w:p>
            <w:pPr>
              <w:spacing w:before="40" w:after="40"/>
              <w:jc w:val="right"/>
              <w:rPr>
                <w:noProof/>
                <w:sz w:val="18"/>
              </w:rPr>
            </w:pPr>
            <w:r>
              <w:rPr>
                <w:noProof/>
                <w:sz w:val="18"/>
              </w:rPr>
              <w:t>Engagements = Paiements</w:t>
            </w:r>
          </w:p>
        </w:tc>
        <w:tc>
          <w:tcPr>
            <w:tcW w:w="540" w:type="dxa"/>
            <w:vAlign w:val="center"/>
          </w:tcPr>
          <w:p>
            <w:pPr>
              <w:spacing w:before="40" w:after="40"/>
              <w:jc w:val="center"/>
              <w:rPr>
                <w:noProof/>
                <w:sz w:val="14"/>
              </w:rPr>
            </w:pPr>
            <w:r>
              <w:rPr>
                <w:noProof/>
                <w:sz w:val="14"/>
              </w:rPr>
              <w:t>(3)</w:t>
            </w:r>
          </w:p>
        </w:tc>
        <w:tc>
          <w:tcPr>
            <w:tcW w:w="734" w:type="dxa"/>
            <w:vAlign w:val="center"/>
          </w:tcPr>
          <w:p>
            <w:pPr>
              <w:spacing w:before="40" w:after="40"/>
              <w:jc w:val="right"/>
              <w:rPr>
                <w:b/>
                <w:noProof/>
                <w:sz w:val="20"/>
              </w:rPr>
            </w:pPr>
          </w:p>
        </w:tc>
        <w:tc>
          <w:tcPr>
            <w:tcW w:w="1080" w:type="dxa"/>
            <w:vAlign w:val="center"/>
          </w:tcPr>
          <w:p>
            <w:pPr>
              <w:spacing w:before="40" w:after="40"/>
              <w:jc w:val="right"/>
              <w:rPr>
                <w:b/>
                <w:noProof/>
                <w:sz w:val="20"/>
              </w:rPr>
            </w:pPr>
            <w:r>
              <w:rPr>
                <w:noProof/>
                <w:sz w:val="20"/>
              </w:rPr>
              <w:t>p.m.</w:t>
            </w:r>
          </w:p>
        </w:tc>
        <w:tc>
          <w:tcPr>
            <w:tcW w:w="1081" w:type="dxa"/>
            <w:vAlign w:val="center"/>
          </w:tcPr>
          <w:p>
            <w:pPr>
              <w:spacing w:before="40" w:after="40"/>
              <w:jc w:val="right"/>
              <w:rPr>
                <w:b/>
                <w:noProof/>
                <w:sz w:val="20"/>
              </w:rPr>
            </w:pPr>
            <w:r>
              <w:rPr>
                <w:noProof/>
                <w:sz w:val="20"/>
              </w:rPr>
              <w:t>p.m.</w:t>
            </w:r>
          </w:p>
        </w:tc>
        <w:tc>
          <w:tcPr>
            <w:tcW w:w="1081" w:type="dxa"/>
            <w:vAlign w:val="center"/>
          </w:tcPr>
          <w:p>
            <w:pPr>
              <w:spacing w:before="40" w:after="40"/>
              <w:jc w:val="right"/>
              <w:rPr>
                <w:b/>
                <w:noProof/>
                <w:sz w:val="20"/>
              </w:rPr>
            </w:pPr>
            <w:r>
              <w:rPr>
                <w:noProof/>
                <w:sz w:val="20"/>
              </w:rPr>
              <w:t>p.m.</w:t>
            </w:r>
          </w:p>
        </w:tc>
        <w:tc>
          <w:tcPr>
            <w:tcW w:w="1081" w:type="dxa"/>
            <w:vAlign w:val="center"/>
          </w:tcPr>
          <w:p>
            <w:pPr>
              <w:spacing w:before="40" w:after="40"/>
              <w:jc w:val="right"/>
              <w:rPr>
                <w:b/>
                <w:noProof/>
                <w:sz w:val="20"/>
              </w:rPr>
            </w:pPr>
            <w:r>
              <w:rPr>
                <w:noProof/>
                <w:sz w:val="20"/>
              </w:rPr>
              <w:t>p.m.</w:t>
            </w:r>
          </w:p>
        </w:tc>
        <w:tc>
          <w:tcPr>
            <w:tcW w:w="1081" w:type="dxa"/>
            <w:vAlign w:val="center"/>
          </w:tcPr>
          <w:p>
            <w:pPr>
              <w:spacing w:before="40" w:after="40"/>
              <w:jc w:val="right"/>
              <w:rPr>
                <w:b/>
                <w:noProof/>
                <w:sz w:val="20"/>
              </w:rPr>
            </w:pPr>
            <w:r>
              <w:rPr>
                <w:noProof/>
                <w:sz w:val="20"/>
              </w:rPr>
              <w:t>p.m.</w:t>
            </w:r>
          </w:p>
        </w:tc>
        <w:tc>
          <w:tcPr>
            <w:tcW w:w="1081" w:type="dxa"/>
            <w:vAlign w:val="center"/>
          </w:tcPr>
          <w:p>
            <w:pPr>
              <w:spacing w:before="40" w:after="40"/>
              <w:jc w:val="right"/>
              <w:rPr>
                <w:b/>
                <w:noProof/>
                <w:sz w:val="20"/>
              </w:rPr>
            </w:pPr>
            <w:r>
              <w:rPr>
                <w:noProof/>
                <w:sz w:val="20"/>
              </w:rPr>
              <w:t>p.m.</w:t>
            </w:r>
          </w:p>
        </w:tc>
        <w:tc>
          <w:tcPr>
            <w:tcW w:w="1081" w:type="dxa"/>
            <w:vAlign w:val="center"/>
          </w:tcPr>
          <w:p>
            <w:pPr>
              <w:spacing w:before="40" w:after="40"/>
              <w:jc w:val="right"/>
              <w:rPr>
                <w:b/>
                <w:noProof/>
                <w:sz w:val="20"/>
              </w:rPr>
            </w:pPr>
          </w:p>
        </w:tc>
        <w:tc>
          <w:tcPr>
            <w:tcW w:w="1081" w:type="dxa"/>
            <w:vAlign w:val="center"/>
          </w:tcPr>
          <w:p>
            <w:pPr>
              <w:spacing w:before="40" w:after="40"/>
              <w:jc w:val="right"/>
              <w:rPr>
                <w:b/>
                <w:noProof/>
                <w:sz w:val="20"/>
              </w:rPr>
            </w:pPr>
            <w:r>
              <w:rPr>
                <w:b/>
                <w:bCs/>
                <w:noProof/>
                <w:color w:val="000000"/>
                <w:sz w:val="20"/>
                <w:szCs w:val="20"/>
              </w:rPr>
              <w:t>p.m.</w:t>
            </w:r>
          </w:p>
        </w:tc>
      </w:tr>
      <w:tr>
        <w:tc>
          <w:tcPr>
            <w:tcW w:w="3762" w:type="dxa"/>
            <w:vMerge w:val="restart"/>
            <w:vAlign w:val="center"/>
          </w:tcPr>
          <w:p>
            <w:pPr>
              <w:jc w:val="center"/>
              <w:rPr>
                <w:b/>
                <w:noProof/>
              </w:rPr>
            </w:pPr>
            <w:r>
              <w:rPr>
                <w:b/>
                <w:noProof/>
                <w:sz w:val="22"/>
              </w:rPr>
              <w:t>TOTAL des crédits</w:t>
            </w:r>
            <w:r>
              <w:rPr>
                <w:noProof/>
              </w:rPr>
              <w:t xml:space="preserve"> </w:t>
            </w:r>
            <w:r>
              <w:rPr>
                <w:noProof/>
              </w:rPr>
              <w:br/>
            </w:r>
            <w:r>
              <w:rPr>
                <w:b/>
                <w:noProof/>
                <w:sz w:val="22"/>
              </w:rPr>
              <w:t>des procédures budgétaires pour l’enveloppe du programme</w:t>
            </w:r>
          </w:p>
        </w:tc>
        <w:tc>
          <w:tcPr>
            <w:tcW w:w="1278" w:type="dxa"/>
            <w:vAlign w:val="center"/>
          </w:tcPr>
          <w:p>
            <w:pPr>
              <w:rPr>
                <w:noProof/>
                <w:sz w:val="18"/>
              </w:rPr>
            </w:pPr>
            <w:r>
              <w:rPr>
                <w:noProof/>
                <w:sz w:val="18"/>
              </w:rPr>
              <w:t>Engagements</w:t>
            </w:r>
          </w:p>
        </w:tc>
        <w:tc>
          <w:tcPr>
            <w:tcW w:w="540" w:type="dxa"/>
            <w:vAlign w:val="center"/>
          </w:tcPr>
          <w:p>
            <w:pPr>
              <w:jc w:val="center"/>
              <w:rPr>
                <w:noProof/>
                <w:sz w:val="14"/>
              </w:rPr>
            </w:pPr>
            <w:r>
              <w:rPr>
                <w:noProof/>
                <w:sz w:val="14"/>
              </w:rPr>
              <w:t>=1+1a +3</w:t>
            </w:r>
          </w:p>
        </w:tc>
        <w:tc>
          <w:tcPr>
            <w:tcW w:w="734" w:type="dxa"/>
            <w:vAlign w:val="center"/>
          </w:tcPr>
          <w:p>
            <w:pPr>
              <w:spacing w:before="20" w:after="20"/>
              <w:jc w:val="right"/>
              <w:rPr>
                <w:noProof/>
                <w:sz w:val="20"/>
              </w:rPr>
            </w:pPr>
          </w:p>
        </w:tc>
        <w:tc>
          <w:tcPr>
            <w:tcW w:w="1080"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b/>
                <w:noProof/>
                <w:sz w:val="20"/>
              </w:rPr>
            </w:pPr>
            <w:r>
              <w:rPr>
                <w:noProof/>
                <w:color w:val="000000"/>
                <w:sz w:val="20"/>
                <w:szCs w:val="20"/>
              </w:rPr>
              <w:t>41,167</w:t>
            </w:r>
          </w:p>
        </w:tc>
        <w:tc>
          <w:tcPr>
            <w:tcW w:w="1081" w:type="dxa"/>
            <w:vAlign w:val="center"/>
          </w:tcPr>
          <w:p>
            <w:pPr>
              <w:spacing w:before="20" w:after="20"/>
              <w:jc w:val="right"/>
              <w:rPr>
                <w:b/>
                <w:noProof/>
                <w:sz w:val="20"/>
              </w:rPr>
            </w:pPr>
            <w:r>
              <w:rPr>
                <w:noProof/>
                <w:color w:val="000000"/>
                <w:sz w:val="20"/>
                <w:szCs w:val="20"/>
              </w:rPr>
              <w:t>0,000</w:t>
            </w:r>
          </w:p>
        </w:tc>
        <w:tc>
          <w:tcPr>
            <w:tcW w:w="1081" w:type="dxa"/>
            <w:vAlign w:val="center"/>
          </w:tcPr>
          <w:p>
            <w:pPr>
              <w:spacing w:before="20" w:after="20"/>
              <w:jc w:val="right"/>
              <w:rPr>
                <w:b/>
                <w:noProof/>
                <w:sz w:val="20"/>
              </w:rPr>
            </w:pPr>
            <w:r>
              <w:rPr>
                <w:b/>
                <w:bCs/>
                <w:noProof/>
                <w:color w:val="000000"/>
                <w:sz w:val="20"/>
                <w:szCs w:val="20"/>
              </w:rPr>
              <w:t>247,000</w:t>
            </w:r>
          </w:p>
        </w:tc>
      </w:tr>
      <w:tr>
        <w:tc>
          <w:tcPr>
            <w:tcW w:w="3762" w:type="dxa"/>
            <w:vMerge/>
          </w:tcPr>
          <w:p>
            <w:pPr>
              <w:rPr>
                <w:noProof/>
                <w:sz w:val="20"/>
              </w:rPr>
            </w:pPr>
          </w:p>
        </w:tc>
        <w:tc>
          <w:tcPr>
            <w:tcW w:w="1278" w:type="dxa"/>
            <w:vAlign w:val="center"/>
          </w:tcPr>
          <w:p>
            <w:pPr>
              <w:rPr>
                <w:noProof/>
                <w:sz w:val="18"/>
              </w:rPr>
            </w:pPr>
            <w:r>
              <w:rPr>
                <w:noProof/>
                <w:sz w:val="18"/>
              </w:rPr>
              <w:t>Paiements</w:t>
            </w:r>
          </w:p>
        </w:tc>
        <w:tc>
          <w:tcPr>
            <w:tcW w:w="540" w:type="dxa"/>
            <w:vAlign w:val="center"/>
          </w:tcPr>
          <w:p>
            <w:pPr>
              <w:jc w:val="center"/>
              <w:rPr>
                <w:noProof/>
                <w:sz w:val="14"/>
              </w:rPr>
            </w:pPr>
            <w:r>
              <w:rPr>
                <w:noProof/>
                <w:sz w:val="14"/>
              </w:rPr>
              <w:t>=2+2a</w:t>
            </w:r>
          </w:p>
          <w:p>
            <w:pPr>
              <w:jc w:val="center"/>
              <w:rPr>
                <w:noProof/>
                <w:sz w:val="14"/>
              </w:rPr>
            </w:pPr>
            <w:r>
              <w:rPr>
                <w:noProof/>
                <w:sz w:val="14"/>
              </w:rPr>
              <w:t>+3</w:t>
            </w:r>
          </w:p>
        </w:tc>
        <w:tc>
          <w:tcPr>
            <w:tcW w:w="734" w:type="dxa"/>
            <w:vAlign w:val="center"/>
          </w:tcPr>
          <w:p>
            <w:pPr>
              <w:spacing w:before="20" w:after="20"/>
              <w:jc w:val="right"/>
              <w:rPr>
                <w:noProof/>
                <w:sz w:val="20"/>
              </w:rPr>
            </w:pPr>
          </w:p>
        </w:tc>
        <w:tc>
          <w:tcPr>
            <w:tcW w:w="1080" w:type="dxa"/>
            <w:vAlign w:val="center"/>
          </w:tcPr>
          <w:p>
            <w:pPr>
              <w:spacing w:before="20" w:after="20"/>
              <w:jc w:val="right"/>
              <w:rPr>
                <w:noProof/>
                <w:sz w:val="20"/>
              </w:rPr>
            </w:pPr>
            <w:r>
              <w:rPr>
                <w:noProof/>
                <w:color w:val="000000"/>
                <w:sz w:val="20"/>
                <w:szCs w:val="20"/>
              </w:rPr>
              <w:t>12,350</w:t>
            </w:r>
          </w:p>
        </w:tc>
        <w:tc>
          <w:tcPr>
            <w:tcW w:w="1081" w:type="dxa"/>
            <w:vAlign w:val="center"/>
          </w:tcPr>
          <w:p>
            <w:pPr>
              <w:spacing w:before="20" w:after="20"/>
              <w:jc w:val="right"/>
              <w:rPr>
                <w:noProof/>
                <w:sz w:val="20"/>
              </w:rPr>
            </w:pPr>
            <w:r>
              <w:rPr>
                <w:noProof/>
                <w:color w:val="000000"/>
                <w:sz w:val="20"/>
                <w:szCs w:val="20"/>
              </w:rPr>
              <w:t>24,700</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noProof/>
                <w:sz w:val="20"/>
              </w:rPr>
            </w:pPr>
            <w:r>
              <w:rPr>
                <w:noProof/>
                <w:color w:val="000000"/>
                <w:sz w:val="20"/>
                <w:szCs w:val="20"/>
              </w:rPr>
              <w:t>41,167</w:t>
            </w:r>
          </w:p>
        </w:tc>
        <w:tc>
          <w:tcPr>
            <w:tcW w:w="1081" w:type="dxa"/>
            <w:vAlign w:val="center"/>
          </w:tcPr>
          <w:p>
            <w:pPr>
              <w:spacing w:before="20" w:after="20"/>
              <w:jc w:val="right"/>
              <w:rPr>
                <w:b/>
                <w:noProof/>
                <w:sz w:val="20"/>
              </w:rPr>
            </w:pPr>
            <w:r>
              <w:rPr>
                <w:noProof/>
                <w:color w:val="000000"/>
                <w:sz w:val="20"/>
                <w:szCs w:val="20"/>
              </w:rPr>
              <w:t>41,167</w:t>
            </w:r>
          </w:p>
        </w:tc>
        <w:tc>
          <w:tcPr>
            <w:tcW w:w="1081" w:type="dxa"/>
            <w:vAlign w:val="center"/>
          </w:tcPr>
          <w:p>
            <w:pPr>
              <w:spacing w:before="20" w:after="20"/>
              <w:jc w:val="right"/>
              <w:rPr>
                <w:b/>
                <w:noProof/>
                <w:sz w:val="20"/>
              </w:rPr>
            </w:pPr>
            <w:r>
              <w:rPr>
                <w:noProof/>
                <w:color w:val="000000"/>
                <w:sz w:val="20"/>
                <w:szCs w:val="20"/>
              </w:rPr>
              <w:t>45,283</w:t>
            </w:r>
          </w:p>
        </w:tc>
        <w:tc>
          <w:tcPr>
            <w:tcW w:w="1081" w:type="dxa"/>
            <w:vAlign w:val="center"/>
          </w:tcPr>
          <w:p>
            <w:pPr>
              <w:spacing w:before="20" w:after="20"/>
              <w:jc w:val="right"/>
              <w:rPr>
                <w:b/>
                <w:noProof/>
                <w:sz w:val="20"/>
              </w:rPr>
            </w:pPr>
            <w:r>
              <w:rPr>
                <w:b/>
                <w:bCs/>
                <w:noProof/>
                <w:color w:val="000000"/>
                <w:sz w:val="20"/>
                <w:szCs w:val="20"/>
              </w:rPr>
              <w:t>247,000</w:t>
            </w:r>
          </w:p>
        </w:tc>
      </w:tr>
    </w:tbl>
    <w:p>
      <w:pPr>
        <w:spacing w:after="40"/>
        <w:rPr>
          <w:b/>
          <w:noProof/>
          <w:sz w:val="22"/>
          <w:u w:val="single"/>
        </w:rPr>
      </w:pPr>
    </w:p>
    <w:tbl>
      <w:tblPr>
        <w:tblW w:w="14961" w:type="dxa"/>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780"/>
        <w:gridCol w:w="1260"/>
        <w:gridCol w:w="540"/>
        <w:gridCol w:w="734"/>
        <w:gridCol w:w="1080"/>
        <w:gridCol w:w="1081"/>
        <w:gridCol w:w="1081"/>
        <w:gridCol w:w="1081"/>
        <w:gridCol w:w="1081"/>
        <w:gridCol w:w="1081"/>
        <w:gridCol w:w="1081"/>
        <w:gridCol w:w="1081"/>
      </w:tblGrid>
      <w:tr>
        <w:trPr>
          <w:trHeight w:val="277"/>
        </w:trPr>
        <w:tc>
          <w:tcPr>
            <w:tcW w:w="3780" w:type="dxa"/>
            <w:vMerge w:val="restart"/>
            <w:tcBorders>
              <w:top w:val="single" w:sz="4" w:space="0" w:color="auto"/>
              <w:left w:val="single" w:sz="4" w:space="0" w:color="auto"/>
              <w:bottom w:val="single" w:sz="4" w:space="0" w:color="FF0000"/>
            </w:tcBorders>
            <w:vAlign w:val="center"/>
          </w:tcPr>
          <w:p>
            <w:pPr>
              <w:spacing w:before="20" w:after="20"/>
              <w:rPr>
                <w:noProof/>
              </w:rPr>
            </w:pPr>
            <w:r>
              <w:rPr>
                <w:noProof/>
                <w:sz w:val="21"/>
              </w:rPr>
              <w:sym w:font="Wingdings" w:char="F09F"/>
            </w:r>
            <w:r>
              <w:rPr>
                <w:noProof/>
                <w:sz w:val="21"/>
              </w:rPr>
              <w:t xml:space="preserve"> TOTAL des crédits opérationnels (toutes les rubriques opérationnelles)</w:t>
            </w:r>
          </w:p>
        </w:tc>
        <w:tc>
          <w:tcPr>
            <w:tcW w:w="1260" w:type="dxa"/>
            <w:tcBorders>
              <w:top w:val="single" w:sz="4" w:space="0" w:color="auto"/>
            </w:tcBorders>
            <w:vAlign w:val="center"/>
          </w:tcPr>
          <w:p>
            <w:pPr>
              <w:spacing w:beforeLines="20" w:before="48" w:afterLines="20" w:after="48"/>
              <w:rPr>
                <w:noProof/>
                <w:sz w:val="18"/>
              </w:rPr>
            </w:pPr>
            <w:r>
              <w:rPr>
                <w:noProof/>
                <w:sz w:val="18"/>
              </w:rPr>
              <w:t>Engagements</w:t>
            </w:r>
          </w:p>
        </w:tc>
        <w:tc>
          <w:tcPr>
            <w:tcW w:w="540" w:type="dxa"/>
            <w:tcBorders>
              <w:top w:val="single" w:sz="4" w:space="0" w:color="auto"/>
            </w:tcBorders>
            <w:vAlign w:val="center"/>
          </w:tcPr>
          <w:p>
            <w:pPr>
              <w:spacing w:beforeLines="20" w:before="48" w:afterLines="20" w:after="48"/>
              <w:jc w:val="center"/>
              <w:rPr>
                <w:noProof/>
                <w:sz w:val="14"/>
              </w:rPr>
            </w:pPr>
            <w:r>
              <w:rPr>
                <w:noProof/>
                <w:sz w:val="14"/>
              </w:rPr>
              <w:t>(4)</w:t>
            </w:r>
          </w:p>
        </w:tc>
        <w:tc>
          <w:tcPr>
            <w:tcW w:w="734" w:type="dxa"/>
            <w:tcBorders>
              <w:top w:val="single" w:sz="4" w:space="0" w:color="auto"/>
            </w:tcBorders>
            <w:vAlign w:val="center"/>
          </w:tcPr>
          <w:p>
            <w:pPr>
              <w:spacing w:before="20" w:after="20"/>
              <w:jc w:val="right"/>
              <w:rPr>
                <w:noProof/>
                <w:sz w:val="20"/>
              </w:rPr>
            </w:pPr>
          </w:p>
        </w:tc>
        <w:tc>
          <w:tcPr>
            <w:tcW w:w="1080" w:type="dxa"/>
            <w:tcBorders>
              <w:top w:val="single" w:sz="4" w:space="0" w:color="auto"/>
            </w:tcBorders>
          </w:tcPr>
          <w:p>
            <w:pPr>
              <w:spacing w:before="20" w:after="20"/>
              <w:jc w:val="right"/>
              <w:rPr>
                <w:noProof/>
                <w:color w:val="000000"/>
                <w:sz w:val="20"/>
                <w:szCs w:val="20"/>
              </w:rPr>
            </w:pPr>
            <w:r>
              <w:rPr>
                <w:noProof/>
                <w:color w:val="000000"/>
                <w:sz w:val="20"/>
                <w:szCs w:val="20"/>
              </w:rPr>
              <w:t>1 340,603</w:t>
            </w:r>
          </w:p>
        </w:tc>
        <w:tc>
          <w:tcPr>
            <w:tcW w:w="1081" w:type="dxa"/>
            <w:tcBorders>
              <w:top w:val="single" w:sz="4" w:space="0" w:color="auto"/>
            </w:tcBorders>
          </w:tcPr>
          <w:p>
            <w:pPr>
              <w:spacing w:before="20" w:after="20"/>
              <w:jc w:val="right"/>
              <w:rPr>
                <w:noProof/>
                <w:color w:val="000000"/>
                <w:sz w:val="20"/>
                <w:szCs w:val="20"/>
              </w:rPr>
            </w:pPr>
            <w:r>
              <w:rPr>
                <w:noProof/>
                <w:color w:val="000000"/>
                <w:sz w:val="20"/>
                <w:szCs w:val="20"/>
              </w:rPr>
              <w:t>1 338,447</w:t>
            </w:r>
          </w:p>
        </w:tc>
        <w:tc>
          <w:tcPr>
            <w:tcW w:w="1081" w:type="dxa"/>
            <w:tcBorders>
              <w:top w:val="single" w:sz="4" w:space="0" w:color="auto"/>
            </w:tcBorders>
          </w:tcPr>
          <w:p>
            <w:pPr>
              <w:spacing w:before="20" w:after="20"/>
              <w:jc w:val="right"/>
              <w:rPr>
                <w:noProof/>
                <w:color w:val="000000"/>
                <w:sz w:val="20"/>
                <w:szCs w:val="20"/>
              </w:rPr>
            </w:pPr>
            <w:r>
              <w:rPr>
                <w:noProof/>
                <w:color w:val="000000"/>
                <w:sz w:val="20"/>
                <w:szCs w:val="20"/>
              </w:rPr>
              <w:t>728,152</w:t>
            </w:r>
          </w:p>
        </w:tc>
        <w:tc>
          <w:tcPr>
            <w:tcW w:w="1081" w:type="dxa"/>
            <w:tcBorders>
              <w:top w:val="single" w:sz="4" w:space="0" w:color="auto"/>
            </w:tcBorders>
          </w:tcPr>
          <w:p>
            <w:pPr>
              <w:spacing w:before="20" w:after="20"/>
              <w:jc w:val="right"/>
              <w:rPr>
                <w:noProof/>
                <w:color w:val="000000"/>
                <w:sz w:val="20"/>
                <w:szCs w:val="20"/>
              </w:rPr>
            </w:pPr>
            <w:r>
              <w:rPr>
                <w:noProof/>
                <w:color w:val="000000"/>
                <w:sz w:val="20"/>
                <w:szCs w:val="20"/>
              </w:rPr>
              <w:t>747,926</w:t>
            </w:r>
          </w:p>
        </w:tc>
        <w:tc>
          <w:tcPr>
            <w:tcW w:w="1081" w:type="dxa"/>
            <w:tcBorders>
              <w:top w:val="single" w:sz="4" w:space="0" w:color="auto"/>
            </w:tcBorders>
          </w:tcPr>
          <w:p>
            <w:pPr>
              <w:spacing w:before="20" w:after="20"/>
              <w:jc w:val="right"/>
              <w:rPr>
                <w:noProof/>
                <w:color w:val="000000"/>
                <w:sz w:val="20"/>
                <w:szCs w:val="20"/>
              </w:rPr>
            </w:pPr>
            <w:r>
              <w:rPr>
                <w:noProof/>
                <w:color w:val="000000"/>
                <w:sz w:val="20"/>
                <w:szCs w:val="20"/>
              </w:rPr>
              <w:t>763,167</w:t>
            </w:r>
          </w:p>
        </w:tc>
        <w:tc>
          <w:tcPr>
            <w:tcW w:w="1081" w:type="dxa"/>
            <w:tcBorders>
              <w:top w:val="single" w:sz="4" w:space="0" w:color="auto"/>
            </w:tcBorders>
          </w:tcPr>
          <w:p>
            <w:pPr>
              <w:spacing w:before="20" w:after="20"/>
              <w:jc w:val="right"/>
              <w:rPr>
                <w:noProof/>
                <w:color w:val="000000"/>
                <w:sz w:val="20"/>
                <w:szCs w:val="20"/>
              </w:rPr>
            </w:pPr>
            <w:r>
              <w:rPr>
                <w:noProof/>
                <w:color w:val="000000"/>
                <w:sz w:val="20"/>
                <w:szCs w:val="20"/>
              </w:rPr>
              <w:t>1 098,953</w:t>
            </w:r>
          </w:p>
        </w:tc>
        <w:tc>
          <w:tcPr>
            <w:tcW w:w="1081" w:type="dxa"/>
            <w:tcBorders>
              <w:top w:val="single" w:sz="4" w:space="0" w:color="auto"/>
            </w:tcBorders>
          </w:tcPr>
          <w:p>
            <w:pPr>
              <w:spacing w:before="20" w:after="20"/>
              <w:jc w:val="right"/>
              <w:rPr>
                <w:noProof/>
                <w:color w:val="000000"/>
                <w:sz w:val="20"/>
                <w:szCs w:val="20"/>
              </w:rPr>
            </w:pPr>
            <w:r>
              <w:rPr>
                <w:noProof/>
                <w:color w:val="000000"/>
                <w:sz w:val="20"/>
                <w:szCs w:val="20"/>
              </w:rPr>
              <w:t>0</w:t>
            </w:r>
          </w:p>
        </w:tc>
        <w:tc>
          <w:tcPr>
            <w:tcW w:w="1081" w:type="dxa"/>
            <w:tcBorders>
              <w:top w:val="single" w:sz="4" w:space="0" w:color="auto"/>
              <w:right w:val="single" w:sz="4" w:space="0" w:color="auto"/>
            </w:tcBorders>
          </w:tcPr>
          <w:p>
            <w:pPr>
              <w:spacing w:before="20" w:after="20"/>
              <w:jc w:val="right"/>
              <w:rPr>
                <w:noProof/>
                <w:color w:val="000000"/>
                <w:sz w:val="20"/>
                <w:szCs w:val="20"/>
              </w:rPr>
            </w:pPr>
            <w:r>
              <w:rPr>
                <w:noProof/>
                <w:color w:val="000000"/>
                <w:sz w:val="20"/>
                <w:szCs w:val="20"/>
              </w:rPr>
              <w:t>6 017,245</w:t>
            </w:r>
          </w:p>
        </w:tc>
      </w:tr>
      <w:tr>
        <w:tc>
          <w:tcPr>
            <w:tcW w:w="3780" w:type="dxa"/>
            <w:vMerge/>
            <w:tcBorders>
              <w:top w:val="single" w:sz="4" w:space="0" w:color="FF0000"/>
              <w:left w:val="single" w:sz="4" w:space="0" w:color="auto"/>
              <w:bottom w:val="single" w:sz="4" w:space="0" w:color="FF0000"/>
            </w:tcBorders>
          </w:tcPr>
          <w:p>
            <w:pPr>
              <w:jc w:val="center"/>
              <w:rPr>
                <w:noProof/>
                <w:sz w:val="20"/>
              </w:rPr>
            </w:pPr>
          </w:p>
        </w:tc>
        <w:tc>
          <w:tcPr>
            <w:tcW w:w="1260" w:type="dxa"/>
            <w:vAlign w:val="center"/>
          </w:tcPr>
          <w:p>
            <w:pPr>
              <w:spacing w:beforeLines="20" w:before="48" w:afterLines="20" w:after="48"/>
              <w:rPr>
                <w:noProof/>
                <w:sz w:val="18"/>
              </w:rPr>
            </w:pPr>
            <w:r>
              <w:rPr>
                <w:noProof/>
                <w:sz w:val="18"/>
              </w:rPr>
              <w:t>Paiements</w:t>
            </w:r>
          </w:p>
        </w:tc>
        <w:tc>
          <w:tcPr>
            <w:tcW w:w="540" w:type="dxa"/>
            <w:vAlign w:val="center"/>
          </w:tcPr>
          <w:p>
            <w:pPr>
              <w:spacing w:beforeLines="20" w:before="48" w:afterLines="20" w:after="48"/>
              <w:jc w:val="center"/>
              <w:rPr>
                <w:noProof/>
                <w:sz w:val="14"/>
              </w:rPr>
            </w:pPr>
            <w:r>
              <w:rPr>
                <w:noProof/>
                <w:sz w:val="14"/>
              </w:rPr>
              <w:t>(5)</w:t>
            </w:r>
          </w:p>
        </w:tc>
        <w:tc>
          <w:tcPr>
            <w:tcW w:w="734" w:type="dxa"/>
            <w:vAlign w:val="center"/>
          </w:tcPr>
          <w:p>
            <w:pPr>
              <w:spacing w:before="20" w:after="20"/>
              <w:jc w:val="right"/>
              <w:rPr>
                <w:noProof/>
                <w:sz w:val="20"/>
              </w:rPr>
            </w:pPr>
          </w:p>
        </w:tc>
        <w:tc>
          <w:tcPr>
            <w:tcW w:w="1080" w:type="dxa"/>
          </w:tcPr>
          <w:p>
            <w:pPr>
              <w:spacing w:before="20" w:after="20"/>
              <w:jc w:val="right"/>
              <w:rPr>
                <w:noProof/>
                <w:color w:val="000000"/>
                <w:sz w:val="20"/>
                <w:szCs w:val="20"/>
              </w:rPr>
            </w:pPr>
            <w:r>
              <w:rPr>
                <w:noProof/>
                <w:color w:val="000000"/>
                <w:sz w:val="20"/>
                <w:szCs w:val="20"/>
              </w:rPr>
              <w:t>441,636</w:t>
            </w:r>
          </w:p>
        </w:tc>
        <w:tc>
          <w:tcPr>
            <w:tcW w:w="1081" w:type="dxa"/>
          </w:tcPr>
          <w:p>
            <w:pPr>
              <w:spacing w:before="20" w:after="20"/>
              <w:jc w:val="right"/>
              <w:rPr>
                <w:noProof/>
                <w:color w:val="000000"/>
                <w:sz w:val="20"/>
                <w:szCs w:val="20"/>
              </w:rPr>
            </w:pPr>
            <w:r>
              <w:rPr>
                <w:noProof/>
                <w:color w:val="000000"/>
                <w:sz w:val="20"/>
                <w:szCs w:val="20"/>
              </w:rPr>
              <w:t>845,529</w:t>
            </w:r>
          </w:p>
        </w:tc>
        <w:tc>
          <w:tcPr>
            <w:tcW w:w="1081" w:type="dxa"/>
          </w:tcPr>
          <w:p>
            <w:pPr>
              <w:spacing w:before="20" w:after="20"/>
              <w:jc w:val="right"/>
              <w:rPr>
                <w:noProof/>
                <w:color w:val="000000"/>
                <w:sz w:val="20"/>
                <w:szCs w:val="20"/>
              </w:rPr>
            </w:pPr>
            <w:r>
              <w:rPr>
                <w:noProof/>
                <w:color w:val="000000"/>
                <w:sz w:val="20"/>
                <w:szCs w:val="20"/>
              </w:rPr>
              <w:t>1 138,059</w:t>
            </w:r>
          </w:p>
        </w:tc>
        <w:tc>
          <w:tcPr>
            <w:tcW w:w="1081" w:type="dxa"/>
          </w:tcPr>
          <w:p>
            <w:pPr>
              <w:spacing w:before="20" w:after="20"/>
              <w:jc w:val="right"/>
              <w:rPr>
                <w:noProof/>
                <w:color w:val="000000"/>
                <w:sz w:val="20"/>
                <w:szCs w:val="20"/>
              </w:rPr>
            </w:pPr>
            <w:r>
              <w:rPr>
                <w:noProof/>
                <w:color w:val="000000"/>
                <w:sz w:val="20"/>
                <w:szCs w:val="20"/>
              </w:rPr>
              <w:t>958,650</w:t>
            </w:r>
          </w:p>
        </w:tc>
        <w:tc>
          <w:tcPr>
            <w:tcW w:w="1081" w:type="dxa"/>
          </w:tcPr>
          <w:p>
            <w:pPr>
              <w:spacing w:before="20" w:after="20"/>
              <w:jc w:val="right"/>
              <w:rPr>
                <w:noProof/>
                <w:color w:val="000000"/>
                <w:sz w:val="20"/>
                <w:szCs w:val="20"/>
              </w:rPr>
            </w:pPr>
            <w:r>
              <w:rPr>
                <w:noProof/>
                <w:color w:val="000000"/>
                <w:sz w:val="20"/>
                <w:szCs w:val="20"/>
              </w:rPr>
              <w:t>746,246</w:t>
            </w:r>
          </w:p>
        </w:tc>
        <w:tc>
          <w:tcPr>
            <w:tcW w:w="1081" w:type="dxa"/>
          </w:tcPr>
          <w:p>
            <w:pPr>
              <w:spacing w:before="20" w:after="20"/>
              <w:jc w:val="right"/>
              <w:rPr>
                <w:noProof/>
                <w:color w:val="000000"/>
                <w:sz w:val="20"/>
                <w:szCs w:val="20"/>
              </w:rPr>
            </w:pPr>
            <w:r>
              <w:rPr>
                <w:noProof/>
                <w:color w:val="000000"/>
                <w:sz w:val="20"/>
                <w:szCs w:val="20"/>
              </w:rPr>
              <w:t>858,672</w:t>
            </w:r>
          </w:p>
        </w:tc>
        <w:tc>
          <w:tcPr>
            <w:tcW w:w="1081" w:type="dxa"/>
          </w:tcPr>
          <w:p>
            <w:pPr>
              <w:spacing w:before="20" w:after="20"/>
              <w:jc w:val="right"/>
              <w:rPr>
                <w:noProof/>
                <w:color w:val="000000"/>
                <w:sz w:val="20"/>
                <w:szCs w:val="20"/>
              </w:rPr>
            </w:pPr>
            <w:r>
              <w:rPr>
                <w:noProof/>
                <w:color w:val="000000"/>
                <w:sz w:val="20"/>
                <w:szCs w:val="20"/>
              </w:rPr>
              <w:t>1 028,454</w:t>
            </w:r>
          </w:p>
        </w:tc>
        <w:tc>
          <w:tcPr>
            <w:tcW w:w="1081" w:type="dxa"/>
            <w:tcBorders>
              <w:right w:val="single" w:sz="4" w:space="0" w:color="auto"/>
            </w:tcBorders>
          </w:tcPr>
          <w:p>
            <w:pPr>
              <w:spacing w:before="20" w:after="20"/>
              <w:jc w:val="right"/>
              <w:rPr>
                <w:noProof/>
                <w:color w:val="000000"/>
                <w:sz w:val="20"/>
                <w:szCs w:val="20"/>
              </w:rPr>
            </w:pPr>
            <w:r>
              <w:rPr>
                <w:noProof/>
                <w:color w:val="000000"/>
                <w:sz w:val="20"/>
                <w:szCs w:val="20"/>
              </w:rPr>
              <w:t>6 017,245</w:t>
            </w:r>
          </w:p>
        </w:tc>
      </w:tr>
      <w:tr>
        <w:tblPrEx>
          <w:tblBorders>
            <w:top w:val="single" w:sz="4" w:space="0" w:color="auto"/>
            <w:left w:val="single" w:sz="4" w:space="0" w:color="auto"/>
            <w:bottom w:val="single" w:sz="4" w:space="0" w:color="auto"/>
            <w:right w:val="single" w:sz="4" w:space="0" w:color="auto"/>
          </w:tblBorders>
        </w:tblPrEx>
        <w:trPr>
          <w:trHeight w:val="533"/>
        </w:trPr>
        <w:tc>
          <w:tcPr>
            <w:tcW w:w="5040" w:type="dxa"/>
            <w:gridSpan w:val="2"/>
            <w:vAlign w:val="center"/>
          </w:tcPr>
          <w:p>
            <w:pPr>
              <w:spacing w:beforeLines="20" w:before="48" w:afterLines="20" w:after="48"/>
              <w:rPr>
                <w:noProof/>
              </w:rPr>
            </w:pPr>
            <w:r>
              <w:rPr>
                <w:noProof/>
                <w:sz w:val="21"/>
              </w:rPr>
              <w:t xml:space="preserve"> TOTAL des crédits de nature administrative financés par l’enveloppe de certains programmes spécifiques (toutes les rubriques opérationnelles)</w:t>
            </w:r>
          </w:p>
        </w:tc>
        <w:tc>
          <w:tcPr>
            <w:tcW w:w="540" w:type="dxa"/>
            <w:vAlign w:val="center"/>
          </w:tcPr>
          <w:p>
            <w:pPr>
              <w:rPr>
                <w:noProof/>
              </w:rPr>
            </w:pPr>
          </w:p>
          <w:p>
            <w:pPr>
              <w:spacing w:beforeLines="20" w:before="48" w:afterLines="20" w:after="48"/>
              <w:jc w:val="center"/>
              <w:rPr>
                <w:noProof/>
                <w:sz w:val="14"/>
              </w:rPr>
            </w:pPr>
            <w:r>
              <w:rPr>
                <w:noProof/>
                <w:sz w:val="14"/>
              </w:rPr>
              <w:t>(6)</w:t>
            </w:r>
          </w:p>
        </w:tc>
        <w:tc>
          <w:tcPr>
            <w:tcW w:w="734" w:type="dxa"/>
            <w:vAlign w:val="center"/>
          </w:tcPr>
          <w:p>
            <w:pPr>
              <w:spacing w:before="20" w:after="20"/>
              <w:jc w:val="right"/>
              <w:rPr>
                <w:b/>
                <w:noProof/>
                <w:sz w:val="20"/>
              </w:rPr>
            </w:pPr>
          </w:p>
        </w:tc>
        <w:tc>
          <w:tcPr>
            <w:tcW w:w="1080" w:type="dxa"/>
            <w:vAlign w:val="center"/>
          </w:tcPr>
          <w:p>
            <w:pPr>
              <w:spacing w:before="20" w:after="20"/>
              <w:jc w:val="right"/>
              <w:rPr>
                <w:b/>
                <w:noProof/>
                <w:sz w:val="20"/>
              </w:rPr>
            </w:pPr>
            <w:r>
              <w:rPr>
                <w:noProof/>
                <w:sz w:val="20"/>
              </w:rPr>
              <w:t>p.m.</w:t>
            </w:r>
          </w:p>
        </w:tc>
        <w:tc>
          <w:tcPr>
            <w:tcW w:w="1081" w:type="dxa"/>
            <w:vAlign w:val="center"/>
          </w:tcPr>
          <w:p>
            <w:pPr>
              <w:spacing w:before="20" w:after="20"/>
              <w:jc w:val="right"/>
              <w:rPr>
                <w:b/>
                <w:noProof/>
                <w:sz w:val="20"/>
              </w:rPr>
            </w:pPr>
            <w:r>
              <w:rPr>
                <w:noProof/>
                <w:sz w:val="20"/>
              </w:rPr>
              <w:t>p.m.</w:t>
            </w:r>
          </w:p>
        </w:tc>
        <w:tc>
          <w:tcPr>
            <w:tcW w:w="1081" w:type="dxa"/>
            <w:vAlign w:val="center"/>
          </w:tcPr>
          <w:p>
            <w:pPr>
              <w:spacing w:before="20" w:after="20"/>
              <w:jc w:val="right"/>
              <w:rPr>
                <w:b/>
                <w:noProof/>
                <w:sz w:val="20"/>
              </w:rPr>
            </w:pPr>
            <w:r>
              <w:rPr>
                <w:noProof/>
                <w:sz w:val="20"/>
              </w:rPr>
              <w:t>p.m.</w:t>
            </w:r>
          </w:p>
        </w:tc>
        <w:tc>
          <w:tcPr>
            <w:tcW w:w="1081" w:type="dxa"/>
            <w:vAlign w:val="center"/>
          </w:tcPr>
          <w:p>
            <w:pPr>
              <w:spacing w:before="20" w:after="20"/>
              <w:jc w:val="right"/>
              <w:rPr>
                <w:b/>
                <w:noProof/>
                <w:sz w:val="20"/>
              </w:rPr>
            </w:pPr>
            <w:r>
              <w:rPr>
                <w:noProof/>
                <w:sz w:val="20"/>
              </w:rPr>
              <w:t>p.m.</w:t>
            </w:r>
          </w:p>
        </w:tc>
        <w:tc>
          <w:tcPr>
            <w:tcW w:w="1081" w:type="dxa"/>
            <w:vAlign w:val="center"/>
          </w:tcPr>
          <w:p>
            <w:pPr>
              <w:spacing w:before="20" w:after="20"/>
              <w:jc w:val="right"/>
              <w:rPr>
                <w:b/>
                <w:noProof/>
                <w:sz w:val="20"/>
              </w:rPr>
            </w:pPr>
            <w:r>
              <w:rPr>
                <w:noProof/>
                <w:sz w:val="20"/>
              </w:rPr>
              <w:t>p.m.</w:t>
            </w:r>
          </w:p>
        </w:tc>
        <w:tc>
          <w:tcPr>
            <w:tcW w:w="1081" w:type="dxa"/>
            <w:vAlign w:val="center"/>
          </w:tcPr>
          <w:p>
            <w:pPr>
              <w:spacing w:before="20" w:after="20"/>
              <w:jc w:val="right"/>
              <w:rPr>
                <w:noProof/>
                <w:color w:val="000000"/>
                <w:sz w:val="20"/>
                <w:szCs w:val="20"/>
              </w:rPr>
            </w:pPr>
            <w:r>
              <w:rPr>
                <w:noProof/>
                <w:sz w:val="20"/>
              </w:rPr>
              <w:t>p.m.</w:t>
            </w:r>
          </w:p>
        </w:tc>
        <w:tc>
          <w:tcPr>
            <w:tcW w:w="1081" w:type="dxa"/>
            <w:vAlign w:val="center"/>
          </w:tcPr>
          <w:p>
            <w:pPr>
              <w:spacing w:before="20" w:after="20"/>
              <w:jc w:val="right"/>
              <w:rPr>
                <w:b/>
                <w:noProof/>
                <w:sz w:val="20"/>
              </w:rPr>
            </w:pPr>
          </w:p>
        </w:tc>
        <w:tc>
          <w:tcPr>
            <w:tcW w:w="1081" w:type="dxa"/>
            <w:vAlign w:val="center"/>
          </w:tcPr>
          <w:p>
            <w:pPr>
              <w:spacing w:before="20" w:after="20"/>
              <w:jc w:val="right"/>
              <w:rPr>
                <w:b/>
                <w:noProof/>
                <w:sz w:val="20"/>
              </w:rPr>
            </w:pPr>
            <w:r>
              <w:rPr>
                <w:b/>
                <w:bCs/>
                <w:noProof/>
                <w:color w:val="000000"/>
                <w:sz w:val="20"/>
                <w:szCs w:val="20"/>
              </w:rPr>
              <w:t>p.m.</w:t>
            </w:r>
          </w:p>
        </w:tc>
      </w:tr>
      <w:tr>
        <w:tc>
          <w:tcPr>
            <w:tcW w:w="3780" w:type="dxa"/>
            <w:vMerge w:val="restart"/>
            <w:tcBorders>
              <w:top w:val="single" w:sz="4" w:space="0" w:color="FF0000"/>
              <w:left w:val="single" w:sz="4" w:space="0" w:color="auto"/>
              <w:bottom w:val="single" w:sz="4" w:space="0" w:color="FF0000"/>
            </w:tcBorders>
            <w:shd w:val="thinDiagStripe" w:color="C0C0C0" w:fill="auto"/>
            <w:vAlign w:val="center"/>
          </w:tcPr>
          <w:p>
            <w:pPr>
              <w:jc w:val="center"/>
              <w:rPr>
                <w:b/>
                <w:noProof/>
              </w:rPr>
            </w:pPr>
            <w:r>
              <w:rPr>
                <w:b/>
                <w:noProof/>
                <w:sz w:val="22"/>
              </w:rPr>
              <w:t>TOTAL des crédits</w:t>
            </w:r>
            <w:r>
              <w:rPr>
                <w:noProof/>
              </w:rPr>
              <w:t xml:space="preserve"> </w:t>
            </w:r>
            <w:r>
              <w:rPr>
                <w:noProof/>
              </w:rPr>
              <w:br/>
            </w:r>
            <w:r>
              <w:rPr>
                <w:b/>
                <w:noProof/>
                <w:sz w:val="22"/>
              </w:rPr>
              <w:t>pour les RUBRIQUES 1 à 6</w:t>
            </w:r>
            <w:r>
              <w:rPr>
                <w:noProof/>
              </w:rPr>
              <w:t xml:space="preserve"> </w:t>
            </w:r>
            <w:r>
              <w:rPr>
                <w:noProof/>
              </w:rPr>
              <w:br/>
            </w:r>
            <w:r>
              <w:rPr>
                <w:noProof/>
                <w:sz w:val="22"/>
              </w:rPr>
              <w:t>du cadre financier pluriannuel</w:t>
            </w:r>
            <w:r>
              <w:rPr>
                <w:noProof/>
              </w:rPr>
              <w:t xml:space="preserve"> </w:t>
            </w:r>
            <w:r>
              <w:rPr>
                <w:noProof/>
              </w:rPr>
              <w:br/>
            </w:r>
            <w:r>
              <w:rPr>
                <w:noProof/>
                <w:sz w:val="20"/>
              </w:rPr>
              <w:t>(Montant de référence)</w:t>
            </w:r>
          </w:p>
        </w:tc>
        <w:tc>
          <w:tcPr>
            <w:tcW w:w="1260" w:type="dxa"/>
            <w:vAlign w:val="center"/>
          </w:tcPr>
          <w:p>
            <w:pPr>
              <w:rPr>
                <w:noProof/>
                <w:sz w:val="18"/>
              </w:rPr>
            </w:pPr>
            <w:r>
              <w:rPr>
                <w:noProof/>
                <w:sz w:val="18"/>
              </w:rPr>
              <w:t>Engagements</w:t>
            </w:r>
          </w:p>
        </w:tc>
        <w:tc>
          <w:tcPr>
            <w:tcW w:w="540" w:type="dxa"/>
            <w:vAlign w:val="center"/>
          </w:tcPr>
          <w:p>
            <w:pPr>
              <w:jc w:val="center"/>
              <w:rPr>
                <w:noProof/>
                <w:sz w:val="14"/>
              </w:rPr>
            </w:pPr>
            <w:r>
              <w:rPr>
                <w:noProof/>
                <w:sz w:val="14"/>
              </w:rPr>
              <w:t>=4+ 6</w:t>
            </w:r>
          </w:p>
        </w:tc>
        <w:tc>
          <w:tcPr>
            <w:tcW w:w="734" w:type="dxa"/>
            <w:vAlign w:val="center"/>
          </w:tcPr>
          <w:p>
            <w:pPr>
              <w:spacing w:before="20" w:after="20"/>
              <w:jc w:val="right"/>
              <w:rPr>
                <w:noProof/>
                <w:sz w:val="20"/>
              </w:rPr>
            </w:pPr>
          </w:p>
        </w:tc>
        <w:tc>
          <w:tcPr>
            <w:tcW w:w="1080" w:type="dxa"/>
          </w:tcPr>
          <w:p>
            <w:pPr>
              <w:spacing w:before="20" w:after="20"/>
              <w:jc w:val="right"/>
              <w:rPr>
                <w:noProof/>
                <w:sz w:val="20"/>
              </w:rPr>
            </w:pPr>
            <w:r>
              <w:rPr>
                <w:noProof/>
                <w:color w:val="000000"/>
                <w:sz w:val="20"/>
                <w:szCs w:val="20"/>
              </w:rPr>
              <w:t>1 340,603</w:t>
            </w:r>
          </w:p>
        </w:tc>
        <w:tc>
          <w:tcPr>
            <w:tcW w:w="1081" w:type="dxa"/>
          </w:tcPr>
          <w:p>
            <w:pPr>
              <w:spacing w:before="20" w:after="20"/>
              <w:jc w:val="right"/>
              <w:rPr>
                <w:noProof/>
                <w:sz w:val="20"/>
              </w:rPr>
            </w:pPr>
            <w:r>
              <w:rPr>
                <w:noProof/>
                <w:color w:val="000000"/>
                <w:sz w:val="20"/>
                <w:szCs w:val="20"/>
              </w:rPr>
              <w:t>1 338,447</w:t>
            </w:r>
          </w:p>
        </w:tc>
        <w:tc>
          <w:tcPr>
            <w:tcW w:w="1081" w:type="dxa"/>
          </w:tcPr>
          <w:p>
            <w:pPr>
              <w:spacing w:before="20" w:after="20"/>
              <w:jc w:val="right"/>
              <w:rPr>
                <w:noProof/>
                <w:sz w:val="20"/>
              </w:rPr>
            </w:pPr>
            <w:r>
              <w:rPr>
                <w:noProof/>
                <w:color w:val="000000"/>
                <w:sz w:val="20"/>
                <w:szCs w:val="20"/>
              </w:rPr>
              <w:t>728,152</w:t>
            </w:r>
          </w:p>
        </w:tc>
        <w:tc>
          <w:tcPr>
            <w:tcW w:w="1081" w:type="dxa"/>
          </w:tcPr>
          <w:p>
            <w:pPr>
              <w:spacing w:before="20" w:after="20"/>
              <w:jc w:val="right"/>
              <w:rPr>
                <w:noProof/>
                <w:sz w:val="20"/>
              </w:rPr>
            </w:pPr>
            <w:r>
              <w:rPr>
                <w:noProof/>
                <w:color w:val="000000"/>
                <w:sz w:val="20"/>
                <w:szCs w:val="20"/>
              </w:rPr>
              <w:t>747,926</w:t>
            </w:r>
          </w:p>
        </w:tc>
        <w:tc>
          <w:tcPr>
            <w:tcW w:w="1081" w:type="dxa"/>
          </w:tcPr>
          <w:p>
            <w:pPr>
              <w:spacing w:before="20" w:after="20"/>
              <w:jc w:val="right"/>
              <w:rPr>
                <w:noProof/>
                <w:sz w:val="20"/>
              </w:rPr>
            </w:pPr>
            <w:r>
              <w:rPr>
                <w:noProof/>
                <w:color w:val="000000"/>
                <w:sz w:val="20"/>
                <w:szCs w:val="20"/>
              </w:rPr>
              <w:t>763,167</w:t>
            </w:r>
          </w:p>
        </w:tc>
        <w:tc>
          <w:tcPr>
            <w:tcW w:w="1081" w:type="dxa"/>
          </w:tcPr>
          <w:p>
            <w:pPr>
              <w:spacing w:before="20" w:after="20"/>
              <w:jc w:val="right"/>
              <w:rPr>
                <w:b/>
                <w:noProof/>
                <w:sz w:val="20"/>
              </w:rPr>
            </w:pPr>
            <w:r>
              <w:rPr>
                <w:noProof/>
                <w:color w:val="000000"/>
                <w:sz w:val="20"/>
                <w:szCs w:val="20"/>
              </w:rPr>
              <w:t>1 098,953</w:t>
            </w:r>
          </w:p>
        </w:tc>
        <w:tc>
          <w:tcPr>
            <w:tcW w:w="1081" w:type="dxa"/>
          </w:tcPr>
          <w:p>
            <w:pPr>
              <w:spacing w:before="20" w:after="20"/>
              <w:jc w:val="right"/>
              <w:rPr>
                <w:b/>
                <w:noProof/>
                <w:sz w:val="20"/>
              </w:rPr>
            </w:pPr>
            <w:r>
              <w:rPr>
                <w:noProof/>
                <w:color w:val="000000"/>
                <w:sz w:val="20"/>
                <w:szCs w:val="20"/>
              </w:rPr>
              <w:t>0</w:t>
            </w:r>
          </w:p>
        </w:tc>
        <w:tc>
          <w:tcPr>
            <w:tcW w:w="1081" w:type="dxa"/>
            <w:tcBorders>
              <w:right w:val="single" w:sz="4" w:space="0" w:color="auto"/>
            </w:tcBorders>
          </w:tcPr>
          <w:p>
            <w:pPr>
              <w:spacing w:before="20" w:after="20"/>
              <w:jc w:val="right"/>
              <w:rPr>
                <w:b/>
                <w:noProof/>
                <w:sz w:val="20"/>
              </w:rPr>
            </w:pPr>
            <w:r>
              <w:rPr>
                <w:noProof/>
                <w:color w:val="000000"/>
                <w:sz w:val="20"/>
                <w:szCs w:val="20"/>
              </w:rPr>
              <w:t>6 017,245</w:t>
            </w:r>
          </w:p>
        </w:tc>
      </w:tr>
      <w:tr>
        <w:tc>
          <w:tcPr>
            <w:tcW w:w="3780" w:type="dxa"/>
            <w:vMerge/>
            <w:tcBorders>
              <w:top w:val="single" w:sz="4" w:space="0" w:color="FF0000"/>
              <w:left w:val="single" w:sz="4" w:space="0" w:color="auto"/>
              <w:bottom w:val="single" w:sz="4" w:space="0" w:color="auto"/>
            </w:tcBorders>
            <w:shd w:val="thinDiagStripe" w:color="C0C0C0" w:fill="auto"/>
          </w:tcPr>
          <w:p>
            <w:pPr>
              <w:rPr>
                <w:noProof/>
                <w:sz w:val="20"/>
              </w:rPr>
            </w:pPr>
          </w:p>
        </w:tc>
        <w:tc>
          <w:tcPr>
            <w:tcW w:w="1260" w:type="dxa"/>
            <w:tcBorders>
              <w:bottom w:val="single" w:sz="4" w:space="0" w:color="auto"/>
            </w:tcBorders>
            <w:vAlign w:val="center"/>
          </w:tcPr>
          <w:p>
            <w:pPr>
              <w:rPr>
                <w:noProof/>
                <w:sz w:val="18"/>
              </w:rPr>
            </w:pPr>
            <w:r>
              <w:rPr>
                <w:noProof/>
                <w:sz w:val="18"/>
              </w:rPr>
              <w:t>Paiements</w:t>
            </w:r>
          </w:p>
        </w:tc>
        <w:tc>
          <w:tcPr>
            <w:tcW w:w="540" w:type="dxa"/>
            <w:tcBorders>
              <w:bottom w:val="single" w:sz="4" w:space="0" w:color="auto"/>
            </w:tcBorders>
            <w:vAlign w:val="center"/>
          </w:tcPr>
          <w:p>
            <w:pPr>
              <w:jc w:val="center"/>
              <w:rPr>
                <w:noProof/>
                <w:sz w:val="14"/>
              </w:rPr>
            </w:pPr>
            <w:r>
              <w:rPr>
                <w:noProof/>
                <w:sz w:val="14"/>
              </w:rPr>
              <w:t>=5+ 6</w:t>
            </w:r>
          </w:p>
        </w:tc>
        <w:tc>
          <w:tcPr>
            <w:tcW w:w="734" w:type="dxa"/>
            <w:tcBorders>
              <w:bottom w:val="single" w:sz="4" w:space="0" w:color="auto"/>
            </w:tcBorders>
            <w:vAlign w:val="center"/>
          </w:tcPr>
          <w:p>
            <w:pPr>
              <w:spacing w:before="20" w:after="20"/>
              <w:jc w:val="right"/>
              <w:rPr>
                <w:noProof/>
                <w:sz w:val="20"/>
              </w:rPr>
            </w:pPr>
          </w:p>
        </w:tc>
        <w:tc>
          <w:tcPr>
            <w:tcW w:w="1080" w:type="dxa"/>
            <w:tcBorders>
              <w:bottom w:val="single" w:sz="4" w:space="0" w:color="auto"/>
            </w:tcBorders>
          </w:tcPr>
          <w:p>
            <w:pPr>
              <w:spacing w:before="20" w:after="20"/>
              <w:jc w:val="right"/>
              <w:rPr>
                <w:noProof/>
                <w:sz w:val="20"/>
              </w:rPr>
            </w:pPr>
            <w:r>
              <w:rPr>
                <w:noProof/>
                <w:color w:val="000000"/>
                <w:sz w:val="20"/>
                <w:szCs w:val="20"/>
              </w:rPr>
              <w:t>441,636</w:t>
            </w:r>
          </w:p>
        </w:tc>
        <w:tc>
          <w:tcPr>
            <w:tcW w:w="1081" w:type="dxa"/>
            <w:tcBorders>
              <w:bottom w:val="single" w:sz="4" w:space="0" w:color="auto"/>
            </w:tcBorders>
          </w:tcPr>
          <w:p>
            <w:pPr>
              <w:spacing w:before="20" w:after="20"/>
              <w:jc w:val="right"/>
              <w:rPr>
                <w:noProof/>
                <w:sz w:val="20"/>
              </w:rPr>
            </w:pPr>
            <w:r>
              <w:rPr>
                <w:noProof/>
                <w:color w:val="000000"/>
                <w:sz w:val="20"/>
                <w:szCs w:val="20"/>
              </w:rPr>
              <w:t>845,529</w:t>
            </w:r>
          </w:p>
        </w:tc>
        <w:tc>
          <w:tcPr>
            <w:tcW w:w="1081" w:type="dxa"/>
            <w:tcBorders>
              <w:bottom w:val="single" w:sz="4" w:space="0" w:color="auto"/>
            </w:tcBorders>
          </w:tcPr>
          <w:p>
            <w:pPr>
              <w:spacing w:before="20" w:after="20"/>
              <w:jc w:val="right"/>
              <w:rPr>
                <w:noProof/>
                <w:sz w:val="20"/>
              </w:rPr>
            </w:pPr>
            <w:r>
              <w:rPr>
                <w:noProof/>
                <w:color w:val="000000"/>
                <w:sz w:val="20"/>
                <w:szCs w:val="20"/>
              </w:rPr>
              <w:t>1 138,059</w:t>
            </w:r>
          </w:p>
        </w:tc>
        <w:tc>
          <w:tcPr>
            <w:tcW w:w="1081" w:type="dxa"/>
            <w:tcBorders>
              <w:bottom w:val="single" w:sz="4" w:space="0" w:color="auto"/>
            </w:tcBorders>
          </w:tcPr>
          <w:p>
            <w:pPr>
              <w:spacing w:before="20" w:after="20"/>
              <w:jc w:val="right"/>
              <w:rPr>
                <w:noProof/>
                <w:sz w:val="20"/>
              </w:rPr>
            </w:pPr>
            <w:r>
              <w:rPr>
                <w:noProof/>
                <w:color w:val="000000"/>
                <w:sz w:val="20"/>
                <w:szCs w:val="20"/>
              </w:rPr>
              <w:t>958,650</w:t>
            </w:r>
          </w:p>
        </w:tc>
        <w:tc>
          <w:tcPr>
            <w:tcW w:w="1081" w:type="dxa"/>
            <w:tcBorders>
              <w:bottom w:val="single" w:sz="4" w:space="0" w:color="auto"/>
            </w:tcBorders>
          </w:tcPr>
          <w:p>
            <w:pPr>
              <w:spacing w:before="20" w:after="20"/>
              <w:jc w:val="right"/>
              <w:rPr>
                <w:noProof/>
                <w:sz w:val="20"/>
              </w:rPr>
            </w:pPr>
            <w:r>
              <w:rPr>
                <w:noProof/>
                <w:color w:val="000000"/>
                <w:sz w:val="20"/>
                <w:szCs w:val="20"/>
              </w:rPr>
              <w:t>746,246</w:t>
            </w:r>
          </w:p>
        </w:tc>
        <w:tc>
          <w:tcPr>
            <w:tcW w:w="1081" w:type="dxa"/>
            <w:tcBorders>
              <w:bottom w:val="single" w:sz="4" w:space="0" w:color="auto"/>
            </w:tcBorders>
          </w:tcPr>
          <w:p>
            <w:pPr>
              <w:spacing w:before="20" w:after="20"/>
              <w:jc w:val="right"/>
              <w:rPr>
                <w:b/>
                <w:noProof/>
                <w:sz w:val="20"/>
              </w:rPr>
            </w:pPr>
            <w:r>
              <w:rPr>
                <w:noProof/>
                <w:color w:val="000000"/>
                <w:sz w:val="20"/>
                <w:szCs w:val="20"/>
              </w:rPr>
              <w:t>858,672</w:t>
            </w:r>
          </w:p>
        </w:tc>
        <w:tc>
          <w:tcPr>
            <w:tcW w:w="1081" w:type="dxa"/>
            <w:tcBorders>
              <w:bottom w:val="single" w:sz="4" w:space="0" w:color="auto"/>
            </w:tcBorders>
          </w:tcPr>
          <w:p>
            <w:pPr>
              <w:spacing w:before="20" w:after="20"/>
              <w:jc w:val="right"/>
              <w:rPr>
                <w:b/>
                <w:noProof/>
                <w:sz w:val="20"/>
              </w:rPr>
            </w:pPr>
            <w:r>
              <w:rPr>
                <w:noProof/>
                <w:color w:val="000000"/>
                <w:sz w:val="20"/>
                <w:szCs w:val="20"/>
              </w:rPr>
              <w:t>1 028,454</w:t>
            </w:r>
          </w:p>
        </w:tc>
        <w:tc>
          <w:tcPr>
            <w:tcW w:w="1081" w:type="dxa"/>
            <w:tcBorders>
              <w:bottom w:val="single" w:sz="4" w:space="0" w:color="auto"/>
              <w:right w:val="single" w:sz="4" w:space="0" w:color="auto"/>
            </w:tcBorders>
          </w:tcPr>
          <w:p>
            <w:pPr>
              <w:spacing w:before="20" w:after="20"/>
              <w:jc w:val="right"/>
              <w:rPr>
                <w:b/>
                <w:noProof/>
                <w:sz w:val="20"/>
              </w:rPr>
            </w:pPr>
            <w:r>
              <w:rPr>
                <w:noProof/>
                <w:color w:val="000000"/>
                <w:sz w:val="20"/>
                <w:szCs w:val="20"/>
              </w:rPr>
              <w:t>6 017,245</w:t>
            </w:r>
          </w:p>
        </w:tc>
      </w:tr>
    </w:tbl>
    <w:p>
      <w:pPr>
        <w:rPr>
          <w:noProof/>
        </w:rPr>
      </w:pPr>
    </w:p>
    <w:p>
      <w:pPr>
        <w:spacing w:before="0" w:after="0"/>
        <w:jc w:val="lef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rPr>
              <w:br w:type="page"/>
            </w:r>
            <w:r>
              <w:rPr>
                <w:b/>
                <w:noProof/>
                <w:sz w:val="22"/>
              </w:rPr>
              <w:t>Rubrique du cadre financier</w:t>
            </w:r>
            <w:r>
              <w:rPr>
                <w:noProof/>
              </w:rPr>
              <w:t xml:space="preserve"> </w:t>
            </w:r>
            <w:r>
              <w:rPr>
                <w:noProof/>
              </w:rPr>
              <w:br/>
            </w:r>
            <w:r>
              <w:rPr>
                <w:b/>
                <w:noProof/>
                <w:sz w:val="22"/>
              </w:rPr>
              <w:t xml:space="preserve">pluriannuel </w:t>
            </w:r>
          </w:p>
        </w:tc>
        <w:tc>
          <w:tcPr>
            <w:tcW w:w="1080" w:type="dxa"/>
            <w:shd w:val="thinDiagStripe" w:color="C0C0C0" w:fill="auto"/>
            <w:vAlign w:val="center"/>
          </w:tcPr>
          <w:p>
            <w:pPr>
              <w:spacing w:before="60" w:after="60"/>
              <w:jc w:val="center"/>
              <w:rPr>
                <w:noProof/>
              </w:rPr>
            </w:pPr>
            <w:r>
              <w:rPr>
                <w:b/>
                <w:noProof/>
                <w:sz w:val="22"/>
              </w:rPr>
              <w:t>7</w:t>
            </w:r>
          </w:p>
        </w:tc>
        <w:tc>
          <w:tcPr>
            <w:tcW w:w="7817" w:type="dxa"/>
            <w:vAlign w:val="center"/>
          </w:tcPr>
          <w:p>
            <w:pPr>
              <w:spacing w:before="60" w:after="60"/>
              <w:rPr>
                <w:noProof/>
              </w:rPr>
            </w:pPr>
            <w:r>
              <w:rPr>
                <w:noProof/>
                <w:sz w:val="22"/>
              </w:rPr>
              <w:t>«Dépenses administratives»</w:t>
            </w:r>
          </w:p>
        </w:tc>
      </w:tr>
    </w:tbl>
    <w:p>
      <w:pPr>
        <w:jc w:val="left"/>
        <w:rPr>
          <w:noProof/>
          <w:sz w:val="20"/>
        </w:rPr>
      </w:pPr>
      <w:r>
        <w:rPr>
          <w:noProof/>
        </w:rPr>
        <w:t>Cette partie est à compléter en utilisant les «données budgétaires de nature administrative», à introduire d’abord dans l’</w:t>
      </w:r>
      <w:hyperlink r:id="rId16" w:history="1">
        <w:r>
          <w:rPr>
            <w:rStyle w:val="Hyperlink"/>
            <w:noProof/>
          </w:rPr>
          <w:t>annexe de la fiche financière législative</w:t>
        </w:r>
      </w:hyperlink>
      <w:r>
        <w:rPr>
          <w:noProof/>
        </w:rPr>
        <w:t xml:space="preserve"> (annexe 5 des règles internes), à charger dans DECIDE pour les besoins de la consultation interservices.</w:t>
      </w:r>
    </w:p>
    <w:p>
      <w:pPr>
        <w:jc w:val="right"/>
        <w:rPr>
          <w:noProof/>
          <w:sz w:val="20"/>
        </w:rPr>
      </w:pPr>
      <w:r>
        <w:rPr>
          <w:noProof/>
          <w:sz w:val="20"/>
        </w:rPr>
        <w:t>En Mio EUR (à la 3</w:t>
      </w:r>
      <w:r>
        <w:rPr>
          <w:noProof/>
          <w:sz w:val="20"/>
          <w:vertAlign w:val="superscript"/>
        </w:rPr>
        <w:t>e</w:t>
      </w:r>
      <w:r>
        <w:rPr>
          <w:noProof/>
          <w:sz w:val="20"/>
        </w:rPr>
        <w:t xml:space="preserve">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2370"/>
        <w:gridCol w:w="240"/>
        <w:gridCol w:w="1170"/>
        <w:gridCol w:w="900"/>
        <w:gridCol w:w="900"/>
        <w:gridCol w:w="900"/>
        <w:gridCol w:w="900"/>
        <w:gridCol w:w="900"/>
        <w:gridCol w:w="1080"/>
        <w:gridCol w:w="1397"/>
      </w:tblGrid>
      <w:tr>
        <w:tc>
          <w:tcPr>
            <w:tcW w:w="3150" w:type="dxa"/>
            <w:tcBorders>
              <w:top w:val="nil"/>
              <w:left w:val="nil"/>
              <w:right w:val="nil"/>
            </w:tcBorders>
            <w:vAlign w:val="center"/>
          </w:tcPr>
          <w:p>
            <w:pPr>
              <w:jc w:val="center"/>
              <w:rPr>
                <w:noProof/>
              </w:rPr>
            </w:pPr>
          </w:p>
        </w:tc>
        <w:tc>
          <w:tcPr>
            <w:tcW w:w="2370" w:type="dxa"/>
            <w:tcBorders>
              <w:top w:val="nil"/>
              <w:left w:val="nil"/>
              <w:right w:val="nil"/>
            </w:tcBorders>
          </w:tcPr>
          <w:p>
            <w:pPr>
              <w:rPr>
                <w:noProof/>
                <w:sz w:val="20"/>
              </w:rPr>
            </w:pPr>
          </w:p>
        </w:tc>
        <w:tc>
          <w:tcPr>
            <w:tcW w:w="240" w:type="dxa"/>
            <w:tcBorders>
              <w:top w:val="nil"/>
              <w:left w:val="nil"/>
            </w:tcBorders>
          </w:tcPr>
          <w:p>
            <w:pPr>
              <w:jc w:val="center"/>
              <w:rPr>
                <w:noProof/>
                <w:sz w:val="20"/>
              </w:rPr>
            </w:pPr>
          </w:p>
        </w:tc>
        <w:tc>
          <w:tcPr>
            <w:tcW w:w="1170" w:type="dxa"/>
            <w:vAlign w:val="center"/>
          </w:tcPr>
          <w:p>
            <w:pPr>
              <w:jc w:val="center"/>
              <w:rPr>
                <w:noProof/>
                <w:sz w:val="20"/>
              </w:rPr>
            </w:pPr>
            <w:r>
              <w:rPr>
                <w:b/>
                <w:noProof/>
                <w:sz w:val="20"/>
              </w:rPr>
              <w:t>2021</w:t>
            </w:r>
          </w:p>
        </w:tc>
        <w:tc>
          <w:tcPr>
            <w:tcW w:w="900" w:type="dxa"/>
            <w:vAlign w:val="center"/>
          </w:tcPr>
          <w:p>
            <w:pPr>
              <w:jc w:val="center"/>
              <w:rPr>
                <w:noProof/>
                <w:sz w:val="20"/>
              </w:rPr>
            </w:pPr>
            <w:r>
              <w:rPr>
                <w:b/>
                <w:noProof/>
                <w:sz w:val="20"/>
              </w:rPr>
              <w:t>2022</w:t>
            </w:r>
          </w:p>
        </w:tc>
        <w:tc>
          <w:tcPr>
            <w:tcW w:w="900" w:type="dxa"/>
            <w:vAlign w:val="center"/>
          </w:tcPr>
          <w:p>
            <w:pPr>
              <w:jc w:val="center"/>
              <w:rPr>
                <w:noProof/>
                <w:sz w:val="20"/>
              </w:rPr>
            </w:pPr>
            <w:r>
              <w:rPr>
                <w:b/>
                <w:noProof/>
                <w:sz w:val="20"/>
              </w:rPr>
              <w:t>2023</w:t>
            </w:r>
          </w:p>
        </w:tc>
        <w:tc>
          <w:tcPr>
            <w:tcW w:w="900" w:type="dxa"/>
            <w:vAlign w:val="center"/>
          </w:tcPr>
          <w:p>
            <w:pPr>
              <w:jc w:val="center"/>
              <w:rPr>
                <w:noProof/>
                <w:sz w:val="20"/>
              </w:rPr>
            </w:pPr>
            <w:r>
              <w:rPr>
                <w:b/>
                <w:noProof/>
                <w:sz w:val="20"/>
              </w:rPr>
              <w:t>2024</w:t>
            </w:r>
          </w:p>
        </w:tc>
        <w:tc>
          <w:tcPr>
            <w:tcW w:w="900" w:type="dxa"/>
            <w:vAlign w:val="center"/>
          </w:tcPr>
          <w:p>
            <w:pPr>
              <w:jc w:val="center"/>
              <w:rPr>
                <w:b/>
                <w:noProof/>
                <w:sz w:val="18"/>
              </w:rPr>
            </w:pPr>
            <w:r>
              <w:rPr>
                <w:b/>
                <w:noProof/>
                <w:sz w:val="18"/>
              </w:rPr>
              <w:t>2025</w:t>
            </w:r>
          </w:p>
        </w:tc>
        <w:tc>
          <w:tcPr>
            <w:tcW w:w="900" w:type="dxa"/>
            <w:vAlign w:val="center"/>
          </w:tcPr>
          <w:p>
            <w:pPr>
              <w:jc w:val="center"/>
              <w:rPr>
                <w:b/>
                <w:noProof/>
                <w:sz w:val="18"/>
              </w:rPr>
            </w:pPr>
            <w:r>
              <w:rPr>
                <w:b/>
                <w:noProof/>
                <w:sz w:val="18"/>
              </w:rPr>
              <w:t>2026</w:t>
            </w:r>
          </w:p>
        </w:tc>
        <w:tc>
          <w:tcPr>
            <w:tcW w:w="1080" w:type="dxa"/>
            <w:vAlign w:val="center"/>
          </w:tcPr>
          <w:p>
            <w:pPr>
              <w:jc w:val="center"/>
              <w:rPr>
                <w:b/>
                <w:noProof/>
                <w:sz w:val="18"/>
              </w:rPr>
            </w:pPr>
            <w:r>
              <w:rPr>
                <w:b/>
                <w:noProof/>
                <w:sz w:val="18"/>
              </w:rPr>
              <w:t>2027</w:t>
            </w:r>
          </w:p>
        </w:tc>
        <w:tc>
          <w:tcPr>
            <w:tcW w:w="1397" w:type="dxa"/>
            <w:vAlign w:val="center"/>
          </w:tcPr>
          <w:p>
            <w:pPr>
              <w:jc w:val="center"/>
              <w:rPr>
                <w:b/>
                <w:noProof/>
                <w:sz w:val="20"/>
              </w:rPr>
            </w:pPr>
            <w:r>
              <w:rPr>
                <w:b/>
                <w:noProof/>
                <w:sz w:val="20"/>
              </w:rPr>
              <w:t>TOTAL</w:t>
            </w:r>
          </w:p>
        </w:tc>
      </w:tr>
      <w:tr>
        <w:trPr>
          <w:gridAfter w:val="10"/>
          <w:wAfter w:w="10757" w:type="dxa"/>
        </w:trPr>
        <w:tc>
          <w:tcPr>
            <w:tcW w:w="3150" w:type="dxa"/>
            <w:vAlign w:val="center"/>
          </w:tcPr>
          <w:p>
            <w:pPr>
              <w:spacing w:before="60" w:after="60"/>
              <w:jc w:val="center"/>
              <w:rPr>
                <w:noProof/>
              </w:rPr>
            </w:pPr>
            <w:r>
              <w:rPr>
                <w:b/>
                <w:noProof/>
                <w:sz w:val="28"/>
                <w:szCs w:val="28"/>
              </w:rPr>
              <w:t>HERA</w:t>
            </w:r>
          </w:p>
        </w:tc>
      </w:tr>
      <w:tr>
        <w:trPr>
          <w:trHeight w:val="313"/>
        </w:trPr>
        <w:tc>
          <w:tcPr>
            <w:tcW w:w="5760" w:type="dxa"/>
            <w:gridSpan w:val="3"/>
            <w:vAlign w:val="center"/>
          </w:tcPr>
          <w:p>
            <w:pPr>
              <w:spacing w:before="20" w:after="20"/>
              <w:rPr>
                <w:noProof/>
              </w:rPr>
            </w:pPr>
            <w:r>
              <w:rPr>
                <w:noProof/>
                <w:sz w:val="22"/>
              </w:rPr>
              <w:sym w:font="Wingdings" w:char="F09F"/>
            </w:r>
            <w:r>
              <w:rPr>
                <w:noProof/>
                <w:sz w:val="22"/>
              </w:rPr>
              <w:t xml:space="preserve">Ressources humaines </w:t>
            </w:r>
          </w:p>
        </w:tc>
        <w:tc>
          <w:tcPr>
            <w:tcW w:w="1170" w:type="dxa"/>
            <w:vAlign w:val="bottom"/>
          </w:tcPr>
          <w:p>
            <w:pPr>
              <w:spacing w:before="20" w:after="20"/>
              <w:jc w:val="right"/>
              <w:rPr>
                <w:noProof/>
                <w:sz w:val="20"/>
                <w:szCs w:val="20"/>
              </w:rPr>
            </w:pPr>
            <w:r>
              <w:rPr>
                <w:bCs/>
                <w:noProof/>
                <w:color w:val="000000"/>
                <w:sz w:val="20"/>
                <w:szCs w:val="20"/>
              </w:rPr>
              <w:t>5,776</w:t>
            </w:r>
          </w:p>
        </w:tc>
        <w:tc>
          <w:tcPr>
            <w:tcW w:w="900" w:type="dxa"/>
            <w:vAlign w:val="bottom"/>
          </w:tcPr>
          <w:p>
            <w:pPr>
              <w:spacing w:before="20" w:after="20"/>
              <w:jc w:val="right"/>
              <w:rPr>
                <w:noProof/>
                <w:sz w:val="20"/>
                <w:szCs w:val="20"/>
              </w:rPr>
            </w:pPr>
            <w:r>
              <w:rPr>
                <w:bCs/>
                <w:noProof/>
                <w:color w:val="000000"/>
                <w:sz w:val="20"/>
                <w:szCs w:val="20"/>
              </w:rPr>
              <w:t>11,148</w:t>
            </w:r>
          </w:p>
        </w:tc>
        <w:tc>
          <w:tcPr>
            <w:tcW w:w="900" w:type="dxa"/>
            <w:vAlign w:val="bottom"/>
          </w:tcPr>
          <w:p>
            <w:pPr>
              <w:spacing w:before="20" w:after="20"/>
              <w:jc w:val="right"/>
              <w:rPr>
                <w:noProof/>
                <w:sz w:val="20"/>
                <w:szCs w:val="20"/>
              </w:rPr>
            </w:pPr>
            <w:r>
              <w:rPr>
                <w:bCs/>
                <w:noProof/>
                <w:color w:val="000000"/>
                <w:sz w:val="20"/>
                <w:szCs w:val="20"/>
              </w:rPr>
              <w:t>14,644</w:t>
            </w:r>
          </w:p>
        </w:tc>
        <w:tc>
          <w:tcPr>
            <w:tcW w:w="900" w:type="dxa"/>
            <w:vAlign w:val="bottom"/>
          </w:tcPr>
          <w:p>
            <w:pPr>
              <w:spacing w:before="20" w:after="20"/>
              <w:jc w:val="right"/>
              <w:rPr>
                <w:noProof/>
                <w:sz w:val="20"/>
                <w:szCs w:val="20"/>
              </w:rPr>
            </w:pPr>
            <w:r>
              <w:rPr>
                <w:bCs/>
                <w:noProof/>
                <w:color w:val="000000"/>
                <w:sz w:val="20"/>
                <w:szCs w:val="20"/>
              </w:rPr>
              <w:t>14,644</w:t>
            </w:r>
          </w:p>
        </w:tc>
        <w:tc>
          <w:tcPr>
            <w:tcW w:w="900" w:type="dxa"/>
            <w:vAlign w:val="bottom"/>
          </w:tcPr>
          <w:p>
            <w:pPr>
              <w:spacing w:before="20" w:after="20"/>
              <w:jc w:val="right"/>
              <w:rPr>
                <w:noProof/>
                <w:sz w:val="20"/>
                <w:szCs w:val="20"/>
              </w:rPr>
            </w:pPr>
            <w:r>
              <w:rPr>
                <w:bCs/>
                <w:noProof/>
                <w:color w:val="000000"/>
                <w:sz w:val="20"/>
                <w:szCs w:val="20"/>
              </w:rPr>
              <w:t>14,644</w:t>
            </w:r>
          </w:p>
        </w:tc>
        <w:tc>
          <w:tcPr>
            <w:tcW w:w="900" w:type="dxa"/>
            <w:vAlign w:val="bottom"/>
          </w:tcPr>
          <w:p>
            <w:pPr>
              <w:spacing w:before="20" w:after="20"/>
              <w:jc w:val="right"/>
              <w:rPr>
                <w:noProof/>
                <w:sz w:val="20"/>
                <w:szCs w:val="20"/>
              </w:rPr>
            </w:pPr>
            <w:r>
              <w:rPr>
                <w:bCs/>
                <w:noProof/>
                <w:color w:val="000000"/>
                <w:sz w:val="20"/>
                <w:szCs w:val="20"/>
              </w:rPr>
              <w:t>14,644</w:t>
            </w:r>
          </w:p>
        </w:tc>
        <w:tc>
          <w:tcPr>
            <w:tcW w:w="1080" w:type="dxa"/>
            <w:vAlign w:val="bottom"/>
          </w:tcPr>
          <w:p>
            <w:pPr>
              <w:spacing w:before="20" w:after="20"/>
              <w:jc w:val="right"/>
              <w:rPr>
                <w:noProof/>
                <w:sz w:val="20"/>
                <w:szCs w:val="20"/>
              </w:rPr>
            </w:pPr>
            <w:r>
              <w:rPr>
                <w:bCs/>
                <w:noProof/>
                <w:color w:val="000000"/>
                <w:sz w:val="20"/>
                <w:szCs w:val="20"/>
              </w:rPr>
              <w:t>14,644</w:t>
            </w:r>
          </w:p>
        </w:tc>
        <w:tc>
          <w:tcPr>
            <w:tcW w:w="1397" w:type="dxa"/>
            <w:vAlign w:val="bottom"/>
          </w:tcPr>
          <w:p>
            <w:pPr>
              <w:spacing w:before="0" w:after="0"/>
              <w:jc w:val="right"/>
              <w:rPr>
                <w:bCs/>
                <w:noProof/>
                <w:color w:val="000000"/>
                <w:sz w:val="20"/>
                <w:szCs w:val="20"/>
              </w:rPr>
            </w:pPr>
            <w:r>
              <w:rPr>
                <w:bCs/>
                <w:noProof/>
                <w:color w:val="000000"/>
                <w:sz w:val="20"/>
                <w:szCs w:val="20"/>
              </w:rPr>
              <w:t>90,144</w:t>
            </w:r>
          </w:p>
        </w:tc>
      </w:tr>
      <w:tr>
        <w:trPr>
          <w:trHeight w:val="351"/>
        </w:trPr>
        <w:tc>
          <w:tcPr>
            <w:tcW w:w="5760" w:type="dxa"/>
            <w:gridSpan w:val="3"/>
            <w:vAlign w:val="center"/>
          </w:tcPr>
          <w:p>
            <w:pPr>
              <w:spacing w:before="20" w:after="20"/>
              <w:rPr>
                <w:noProof/>
              </w:rPr>
            </w:pPr>
            <w:r>
              <w:rPr>
                <w:noProof/>
                <w:sz w:val="22"/>
              </w:rPr>
              <w:sym w:font="Wingdings" w:char="F09F"/>
            </w:r>
            <w:r>
              <w:rPr>
                <w:noProof/>
                <w:sz w:val="22"/>
              </w:rPr>
              <w:t xml:space="preserve">Autres dépenses administratives </w:t>
            </w:r>
          </w:p>
        </w:tc>
        <w:tc>
          <w:tcPr>
            <w:tcW w:w="1170" w:type="dxa"/>
            <w:vAlign w:val="center"/>
          </w:tcPr>
          <w:p>
            <w:pPr>
              <w:spacing w:before="20" w:after="20"/>
              <w:jc w:val="right"/>
              <w:rPr>
                <w:b/>
                <w:noProof/>
                <w:sz w:val="20"/>
                <w:szCs w:val="20"/>
              </w:rPr>
            </w:pPr>
          </w:p>
        </w:tc>
        <w:tc>
          <w:tcPr>
            <w:tcW w:w="900" w:type="dxa"/>
            <w:vAlign w:val="bottom"/>
          </w:tcPr>
          <w:p>
            <w:pPr>
              <w:spacing w:before="20" w:after="20"/>
              <w:jc w:val="right"/>
              <w:rPr>
                <w:b/>
                <w:noProof/>
                <w:sz w:val="20"/>
                <w:szCs w:val="20"/>
              </w:rPr>
            </w:pPr>
            <w:r>
              <w:rPr>
                <w:bCs/>
                <w:noProof/>
                <w:color w:val="000000"/>
                <w:sz w:val="20"/>
                <w:szCs w:val="20"/>
              </w:rPr>
              <w:t>0,818</w:t>
            </w:r>
          </w:p>
        </w:tc>
        <w:tc>
          <w:tcPr>
            <w:tcW w:w="900" w:type="dxa"/>
            <w:vAlign w:val="bottom"/>
          </w:tcPr>
          <w:p>
            <w:pPr>
              <w:spacing w:before="20" w:after="20"/>
              <w:jc w:val="right"/>
              <w:rPr>
                <w:b/>
                <w:noProof/>
                <w:sz w:val="20"/>
                <w:szCs w:val="20"/>
              </w:rPr>
            </w:pPr>
            <w:r>
              <w:rPr>
                <w:bCs/>
                <w:noProof/>
                <w:color w:val="000000"/>
                <w:sz w:val="20"/>
                <w:szCs w:val="20"/>
              </w:rPr>
              <w:t>0,864</w:t>
            </w:r>
          </w:p>
        </w:tc>
        <w:tc>
          <w:tcPr>
            <w:tcW w:w="900" w:type="dxa"/>
            <w:vAlign w:val="bottom"/>
          </w:tcPr>
          <w:p>
            <w:pPr>
              <w:spacing w:before="20" w:after="20"/>
              <w:jc w:val="right"/>
              <w:rPr>
                <w:b/>
                <w:noProof/>
                <w:sz w:val="20"/>
                <w:szCs w:val="20"/>
              </w:rPr>
            </w:pPr>
            <w:r>
              <w:rPr>
                <w:bCs/>
                <w:noProof/>
                <w:color w:val="000000"/>
                <w:sz w:val="20"/>
                <w:szCs w:val="20"/>
              </w:rPr>
              <w:t>0,864</w:t>
            </w:r>
          </w:p>
        </w:tc>
        <w:tc>
          <w:tcPr>
            <w:tcW w:w="900" w:type="dxa"/>
            <w:vAlign w:val="bottom"/>
          </w:tcPr>
          <w:p>
            <w:pPr>
              <w:spacing w:before="20" w:after="20"/>
              <w:jc w:val="right"/>
              <w:rPr>
                <w:b/>
                <w:noProof/>
                <w:sz w:val="20"/>
                <w:szCs w:val="20"/>
              </w:rPr>
            </w:pPr>
            <w:r>
              <w:rPr>
                <w:bCs/>
                <w:noProof/>
                <w:color w:val="000000"/>
                <w:sz w:val="20"/>
                <w:szCs w:val="20"/>
              </w:rPr>
              <w:t>0,864</w:t>
            </w:r>
          </w:p>
        </w:tc>
        <w:tc>
          <w:tcPr>
            <w:tcW w:w="900" w:type="dxa"/>
            <w:vAlign w:val="bottom"/>
          </w:tcPr>
          <w:p>
            <w:pPr>
              <w:spacing w:before="20" w:after="20"/>
              <w:jc w:val="right"/>
              <w:rPr>
                <w:b/>
                <w:noProof/>
                <w:sz w:val="20"/>
                <w:szCs w:val="20"/>
              </w:rPr>
            </w:pPr>
            <w:r>
              <w:rPr>
                <w:bCs/>
                <w:noProof/>
                <w:color w:val="000000"/>
                <w:sz w:val="20"/>
                <w:szCs w:val="20"/>
              </w:rPr>
              <w:t>0,864</w:t>
            </w:r>
          </w:p>
        </w:tc>
        <w:tc>
          <w:tcPr>
            <w:tcW w:w="1080" w:type="dxa"/>
            <w:vAlign w:val="bottom"/>
          </w:tcPr>
          <w:p>
            <w:pPr>
              <w:spacing w:before="20" w:after="20"/>
              <w:jc w:val="right"/>
              <w:rPr>
                <w:b/>
                <w:noProof/>
                <w:sz w:val="20"/>
                <w:szCs w:val="20"/>
              </w:rPr>
            </w:pPr>
            <w:r>
              <w:rPr>
                <w:bCs/>
                <w:noProof/>
                <w:color w:val="000000"/>
                <w:sz w:val="20"/>
                <w:szCs w:val="20"/>
              </w:rPr>
              <w:t>0,864</w:t>
            </w:r>
          </w:p>
        </w:tc>
        <w:tc>
          <w:tcPr>
            <w:tcW w:w="1397" w:type="dxa"/>
            <w:vAlign w:val="bottom"/>
          </w:tcPr>
          <w:p>
            <w:pPr>
              <w:spacing w:before="20" w:after="20"/>
              <w:jc w:val="right"/>
              <w:rPr>
                <w:b/>
                <w:noProof/>
                <w:sz w:val="20"/>
                <w:szCs w:val="20"/>
              </w:rPr>
            </w:pPr>
            <w:r>
              <w:rPr>
                <w:bCs/>
                <w:noProof/>
                <w:color w:val="000000"/>
                <w:sz w:val="20"/>
                <w:szCs w:val="20"/>
              </w:rPr>
              <w:t>5,138</w:t>
            </w:r>
          </w:p>
        </w:tc>
      </w:tr>
      <w:tr>
        <w:tc>
          <w:tcPr>
            <w:tcW w:w="3150" w:type="dxa"/>
            <w:vAlign w:val="center"/>
          </w:tcPr>
          <w:p>
            <w:pPr>
              <w:jc w:val="center"/>
              <w:rPr>
                <w:b/>
                <w:noProof/>
              </w:rPr>
            </w:pPr>
            <w:r>
              <w:rPr>
                <w:b/>
                <w:noProof/>
                <w:sz w:val="22"/>
              </w:rPr>
              <w:t>TOTAL des crédits pour la RUBRIQUE 7 – HERA</w:t>
            </w:r>
          </w:p>
        </w:tc>
        <w:tc>
          <w:tcPr>
            <w:tcW w:w="2610" w:type="dxa"/>
            <w:gridSpan w:val="2"/>
            <w:vAlign w:val="center"/>
          </w:tcPr>
          <w:p>
            <w:pPr>
              <w:rPr>
                <w:noProof/>
                <w:sz w:val="14"/>
              </w:rPr>
            </w:pPr>
            <w:r>
              <w:rPr>
                <w:noProof/>
                <w:sz w:val="18"/>
              </w:rPr>
              <w:t xml:space="preserve">Crédits </w:t>
            </w:r>
          </w:p>
        </w:tc>
        <w:tc>
          <w:tcPr>
            <w:tcW w:w="1170" w:type="dxa"/>
            <w:vAlign w:val="bottom"/>
          </w:tcPr>
          <w:p>
            <w:pPr>
              <w:spacing w:before="60" w:after="60"/>
              <w:jc w:val="center"/>
              <w:rPr>
                <w:b/>
                <w:noProof/>
                <w:sz w:val="20"/>
                <w:szCs w:val="20"/>
              </w:rPr>
            </w:pPr>
            <w:r>
              <w:rPr>
                <w:b/>
                <w:bCs/>
                <w:noProof/>
                <w:color w:val="000000"/>
                <w:sz w:val="20"/>
                <w:szCs w:val="20"/>
              </w:rPr>
              <w:t>5,776</w:t>
            </w:r>
          </w:p>
        </w:tc>
        <w:tc>
          <w:tcPr>
            <w:tcW w:w="900" w:type="dxa"/>
            <w:vAlign w:val="bottom"/>
          </w:tcPr>
          <w:p>
            <w:pPr>
              <w:spacing w:before="20" w:after="20"/>
              <w:jc w:val="right"/>
              <w:rPr>
                <w:b/>
                <w:noProof/>
                <w:sz w:val="20"/>
                <w:szCs w:val="20"/>
              </w:rPr>
            </w:pPr>
            <w:r>
              <w:rPr>
                <w:b/>
                <w:bCs/>
                <w:noProof/>
                <w:color w:val="000000"/>
                <w:sz w:val="20"/>
                <w:szCs w:val="20"/>
              </w:rPr>
              <w:t>11,966</w:t>
            </w:r>
          </w:p>
        </w:tc>
        <w:tc>
          <w:tcPr>
            <w:tcW w:w="900" w:type="dxa"/>
            <w:vAlign w:val="bottom"/>
          </w:tcPr>
          <w:p>
            <w:pPr>
              <w:spacing w:before="20" w:after="20"/>
              <w:jc w:val="right"/>
              <w:rPr>
                <w:b/>
                <w:noProof/>
                <w:sz w:val="20"/>
                <w:szCs w:val="20"/>
              </w:rPr>
            </w:pPr>
            <w:r>
              <w:rPr>
                <w:b/>
                <w:bCs/>
                <w:noProof/>
                <w:color w:val="000000"/>
                <w:sz w:val="20"/>
                <w:szCs w:val="20"/>
              </w:rPr>
              <w:t>15,508</w:t>
            </w:r>
          </w:p>
        </w:tc>
        <w:tc>
          <w:tcPr>
            <w:tcW w:w="900" w:type="dxa"/>
            <w:vAlign w:val="bottom"/>
          </w:tcPr>
          <w:p>
            <w:pPr>
              <w:spacing w:before="20" w:after="20"/>
              <w:jc w:val="right"/>
              <w:rPr>
                <w:b/>
                <w:noProof/>
                <w:sz w:val="20"/>
                <w:szCs w:val="20"/>
              </w:rPr>
            </w:pPr>
            <w:r>
              <w:rPr>
                <w:b/>
                <w:bCs/>
                <w:noProof/>
                <w:color w:val="000000"/>
                <w:sz w:val="20"/>
                <w:szCs w:val="20"/>
              </w:rPr>
              <w:t>15,508</w:t>
            </w:r>
          </w:p>
        </w:tc>
        <w:tc>
          <w:tcPr>
            <w:tcW w:w="900" w:type="dxa"/>
            <w:vAlign w:val="bottom"/>
          </w:tcPr>
          <w:p>
            <w:pPr>
              <w:spacing w:before="20" w:after="20"/>
              <w:jc w:val="right"/>
              <w:rPr>
                <w:b/>
                <w:noProof/>
                <w:sz w:val="20"/>
                <w:szCs w:val="20"/>
              </w:rPr>
            </w:pPr>
            <w:r>
              <w:rPr>
                <w:b/>
                <w:bCs/>
                <w:noProof/>
                <w:color w:val="000000"/>
                <w:sz w:val="20"/>
                <w:szCs w:val="20"/>
              </w:rPr>
              <w:t>15,508</w:t>
            </w:r>
          </w:p>
        </w:tc>
        <w:tc>
          <w:tcPr>
            <w:tcW w:w="900" w:type="dxa"/>
            <w:vAlign w:val="bottom"/>
          </w:tcPr>
          <w:p>
            <w:pPr>
              <w:spacing w:before="20" w:after="20"/>
              <w:jc w:val="right"/>
              <w:rPr>
                <w:b/>
                <w:noProof/>
                <w:sz w:val="20"/>
                <w:szCs w:val="20"/>
              </w:rPr>
            </w:pPr>
            <w:r>
              <w:rPr>
                <w:b/>
                <w:bCs/>
                <w:noProof/>
                <w:color w:val="000000"/>
                <w:sz w:val="20"/>
                <w:szCs w:val="20"/>
              </w:rPr>
              <w:t>15,508</w:t>
            </w:r>
          </w:p>
        </w:tc>
        <w:tc>
          <w:tcPr>
            <w:tcW w:w="1080" w:type="dxa"/>
            <w:vAlign w:val="bottom"/>
          </w:tcPr>
          <w:p>
            <w:pPr>
              <w:spacing w:before="20" w:after="20"/>
              <w:jc w:val="right"/>
              <w:rPr>
                <w:b/>
                <w:noProof/>
                <w:sz w:val="20"/>
                <w:szCs w:val="20"/>
              </w:rPr>
            </w:pPr>
            <w:r>
              <w:rPr>
                <w:b/>
                <w:bCs/>
                <w:noProof/>
                <w:color w:val="000000"/>
                <w:sz w:val="20"/>
                <w:szCs w:val="20"/>
              </w:rPr>
              <w:t>15,508</w:t>
            </w:r>
          </w:p>
        </w:tc>
        <w:tc>
          <w:tcPr>
            <w:tcW w:w="1397" w:type="dxa"/>
            <w:vAlign w:val="bottom"/>
          </w:tcPr>
          <w:p>
            <w:pPr>
              <w:spacing w:before="20" w:after="20"/>
              <w:jc w:val="right"/>
              <w:rPr>
                <w:b/>
                <w:noProof/>
                <w:sz w:val="20"/>
                <w:szCs w:val="20"/>
              </w:rPr>
            </w:pPr>
            <w:r>
              <w:rPr>
                <w:b/>
                <w:bCs/>
                <w:noProof/>
                <w:color w:val="000000"/>
                <w:sz w:val="20"/>
                <w:szCs w:val="20"/>
              </w:rPr>
              <w:t>95,282</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2610"/>
        <w:gridCol w:w="1170"/>
        <w:gridCol w:w="900"/>
        <w:gridCol w:w="900"/>
        <w:gridCol w:w="900"/>
        <w:gridCol w:w="900"/>
        <w:gridCol w:w="900"/>
        <w:gridCol w:w="1080"/>
        <w:gridCol w:w="1350"/>
      </w:tblGrid>
      <w:tr>
        <w:tc>
          <w:tcPr>
            <w:tcW w:w="3150" w:type="dxa"/>
            <w:shd w:val="thinDiagStripe" w:color="C0C0C0" w:fill="auto"/>
            <w:vAlign w:val="center"/>
          </w:tcPr>
          <w:p>
            <w:pPr>
              <w:jc w:val="center"/>
              <w:rPr>
                <w:b/>
                <w:noProof/>
              </w:rPr>
            </w:pPr>
            <w:r>
              <w:rPr>
                <w:b/>
                <w:noProof/>
                <w:sz w:val="22"/>
              </w:rPr>
              <w:t>TOTAL des crédits</w:t>
            </w:r>
            <w:r>
              <w:rPr>
                <w:noProof/>
              </w:rPr>
              <w:t xml:space="preserve"> </w:t>
            </w:r>
            <w:r>
              <w:rPr>
                <w:noProof/>
              </w:rPr>
              <w:br/>
            </w:r>
            <w:r>
              <w:rPr>
                <w:b/>
                <w:noProof/>
                <w:sz w:val="22"/>
              </w:rPr>
              <w:t>pour la RUBRIQUE 7</w:t>
            </w:r>
            <w:r>
              <w:rPr>
                <w:noProof/>
              </w:rPr>
              <w:t xml:space="preserve"> </w:t>
            </w:r>
            <w:r>
              <w:rPr>
                <w:noProof/>
              </w:rPr>
              <w:br/>
            </w:r>
            <w:r>
              <w:rPr>
                <w:noProof/>
                <w:sz w:val="22"/>
              </w:rPr>
              <w:t>du cadre financier pluriannuel</w:t>
            </w:r>
            <w:r>
              <w:rPr>
                <w:b/>
                <w:noProof/>
                <w:sz w:val="22"/>
              </w:rPr>
              <w:t xml:space="preserve"> </w:t>
            </w:r>
          </w:p>
        </w:tc>
        <w:tc>
          <w:tcPr>
            <w:tcW w:w="2610" w:type="dxa"/>
            <w:vAlign w:val="center"/>
          </w:tcPr>
          <w:p>
            <w:pPr>
              <w:spacing w:before="40" w:after="40"/>
              <w:rPr>
                <w:noProof/>
              </w:rPr>
            </w:pPr>
            <w:r>
              <w:rPr>
                <w:noProof/>
                <w:sz w:val="18"/>
              </w:rPr>
              <w:t>(Total engagements = Total paiements)</w:t>
            </w:r>
          </w:p>
        </w:tc>
        <w:tc>
          <w:tcPr>
            <w:tcW w:w="1170" w:type="dxa"/>
            <w:vAlign w:val="bottom"/>
          </w:tcPr>
          <w:p>
            <w:pPr>
              <w:spacing w:before="20" w:after="20"/>
              <w:jc w:val="right"/>
              <w:rPr>
                <w:noProof/>
                <w:sz w:val="20"/>
                <w:szCs w:val="20"/>
              </w:rPr>
            </w:pPr>
            <w:r>
              <w:rPr>
                <w:b/>
                <w:bCs/>
                <w:noProof/>
                <w:color w:val="000000"/>
                <w:sz w:val="20"/>
                <w:szCs w:val="20"/>
              </w:rPr>
              <w:t>5,776</w:t>
            </w:r>
          </w:p>
        </w:tc>
        <w:tc>
          <w:tcPr>
            <w:tcW w:w="900" w:type="dxa"/>
            <w:vAlign w:val="bottom"/>
          </w:tcPr>
          <w:p>
            <w:pPr>
              <w:spacing w:before="20" w:after="20"/>
              <w:jc w:val="right"/>
              <w:rPr>
                <w:noProof/>
                <w:sz w:val="20"/>
                <w:szCs w:val="20"/>
              </w:rPr>
            </w:pPr>
            <w:r>
              <w:rPr>
                <w:b/>
                <w:bCs/>
                <w:noProof/>
                <w:color w:val="000000"/>
                <w:sz w:val="20"/>
                <w:szCs w:val="20"/>
              </w:rPr>
              <w:t>11,966</w:t>
            </w:r>
          </w:p>
        </w:tc>
        <w:tc>
          <w:tcPr>
            <w:tcW w:w="900" w:type="dxa"/>
            <w:vAlign w:val="bottom"/>
          </w:tcPr>
          <w:p>
            <w:pPr>
              <w:spacing w:before="20" w:after="20"/>
              <w:jc w:val="right"/>
              <w:rPr>
                <w:noProof/>
                <w:sz w:val="20"/>
                <w:szCs w:val="20"/>
              </w:rPr>
            </w:pPr>
            <w:r>
              <w:rPr>
                <w:b/>
                <w:bCs/>
                <w:noProof/>
                <w:color w:val="000000"/>
                <w:sz w:val="20"/>
                <w:szCs w:val="20"/>
              </w:rPr>
              <w:t>15,508</w:t>
            </w:r>
          </w:p>
        </w:tc>
        <w:tc>
          <w:tcPr>
            <w:tcW w:w="900" w:type="dxa"/>
            <w:vAlign w:val="bottom"/>
          </w:tcPr>
          <w:p>
            <w:pPr>
              <w:spacing w:before="20" w:after="20"/>
              <w:jc w:val="right"/>
              <w:rPr>
                <w:noProof/>
                <w:sz w:val="20"/>
                <w:szCs w:val="20"/>
              </w:rPr>
            </w:pPr>
            <w:r>
              <w:rPr>
                <w:b/>
                <w:bCs/>
                <w:noProof/>
                <w:color w:val="000000"/>
                <w:sz w:val="20"/>
                <w:szCs w:val="20"/>
              </w:rPr>
              <w:t>15,508</w:t>
            </w:r>
          </w:p>
        </w:tc>
        <w:tc>
          <w:tcPr>
            <w:tcW w:w="900" w:type="dxa"/>
            <w:vAlign w:val="bottom"/>
          </w:tcPr>
          <w:p>
            <w:pPr>
              <w:spacing w:before="20" w:after="20"/>
              <w:jc w:val="right"/>
              <w:rPr>
                <w:noProof/>
                <w:sz w:val="20"/>
                <w:szCs w:val="20"/>
              </w:rPr>
            </w:pPr>
            <w:r>
              <w:rPr>
                <w:b/>
                <w:bCs/>
                <w:noProof/>
                <w:color w:val="000000"/>
                <w:sz w:val="20"/>
                <w:szCs w:val="20"/>
              </w:rPr>
              <w:t>15,508</w:t>
            </w:r>
          </w:p>
        </w:tc>
        <w:tc>
          <w:tcPr>
            <w:tcW w:w="900" w:type="dxa"/>
            <w:vAlign w:val="bottom"/>
          </w:tcPr>
          <w:p>
            <w:pPr>
              <w:spacing w:before="20" w:after="20"/>
              <w:jc w:val="right"/>
              <w:rPr>
                <w:noProof/>
                <w:sz w:val="20"/>
                <w:szCs w:val="20"/>
              </w:rPr>
            </w:pPr>
            <w:r>
              <w:rPr>
                <w:b/>
                <w:bCs/>
                <w:noProof/>
                <w:color w:val="000000"/>
                <w:sz w:val="20"/>
                <w:szCs w:val="20"/>
              </w:rPr>
              <w:t>15,508</w:t>
            </w:r>
          </w:p>
        </w:tc>
        <w:tc>
          <w:tcPr>
            <w:tcW w:w="1080" w:type="dxa"/>
            <w:vAlign w:val="bottom"/>
          </w:tcPr>
          <w:p>
            <w:pPr>
              <w:spacing w:before="20" w:after="20"/>
              <w:jc w:val="right"/>
              <w:rPr>
                <w:b/>
                <w:noProof/>
                <w:sz w:val="20"/>
                <w:szCs w:val="20"/>
              </w:rPr>
            </w:pPr>
            <w:r>
              <w:rPr>
                <w:b/>
                <w:bCs/>
                <w:noProof/>
                <w:color w:val="000000"/>
                <w:sz w:val="20"/>
                <w:szCs w:val="20"/>
              </w:rPr>
              <w:t>15,508</w:t>
            </w:r>
          </w:p>
        </w:tc>
        <w:tc>
          <w:tcPr>
            <w:tcW w:w="1350" w:type="dxa"/>
            <w:vAlign w:val="bottom"/>
          </w:tcPr>
          <w:p>
            <w:pPr>
              <w:spacing w:before="20" w:after="20"/>
              <w:jc w:val="right"/>
              <w:rPr>
                <w:b/>
                <w:noProof/>
                <w:sz w:val="20"/>
                <w:szCs w:val="20"/>
              </w:rPr>
            </w:pPr>
            <w:r>
              <w:rPr>
                <w:b/>
                <w:bCs/>
                <w:noProof/>
                <w:color w:val="000000"/>
                <w:sz w:val="20"/>
                <w:szCs w:val="20"/>
              </w:rPr>
              <w:t>95,282</w:t>
            </w:r>
          </w:p>
        </w:tc>
      </w:tr>
    </w:tbl>
    <w:p>
      <w:pPr>
        <w:jc w:val="right"/>
        <w:rPr>
          <w:noProof/>
          <w:sz w:val="20"/>
        </w:rPr>
      </w:pPr>
      <w:r>
        <w:rPr>
          <w:noProof/>
          <w:sz w:val="20"/>
        </w:rPr>
        <w:t>En Mio EUR (à la 3</w:t>
      </w:r>
      <w:r>
        <w:rPr>
          <w:noProof/>
          <w:sz w:val="20"/>
          <w:vertAlign w:val="superscript"/>
        </w:rPr>
        <w:t>e</w:t>
      </w:r>
      <w:r>
        <w:rPr>
          <w:noProof/>
          <w:sz w:val="20"/>
        </w:rPr>
        <w:t xml:space="preserve"> décimale)</w:t>
      </w:r>
    </w:p>
    <w:tbl>
      <w:tblPr>
        <w:tblW w:w="1514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1829"/>
        <w:gridCol w:w="345"/>
        <w:gridCol w:w="889"/>
        <w:gridCol w:w="1040"/>
        <w:gridCol w:w="1029"/>
        <w:gridCol w:w="1080"/>
        <w:gridCol w:w="1080"/>
        <w:gridCol w:w="1170"/>
        <w:gridCol w:w="1080"/>
        <w:gridCol w:w="1170"/>
        <w:gridCol w:w="1284"/>
      </w:tblGrid>
      <w:tr>
        <w:tc>
          <w:tcPr>
            <w:tcW w:w="3148" w:type="dxa"/>
            <w:tcBorders>
              <w:top w:val="nil"/>
              <w:left w:val="nil"/>
              <w:right w:val="nil"/>
            </w:tcBorders>
            <w:vAlign w:val="center"/>
          </w:tcPr>
          <w:p>
            <w:pPr>
              <w:jc w:val="center"/>
              <w:rPr>
                <w:noProof/>
              </w:rPr>
            </w:pPr>
          </w:p>
        </w:tc>
        <w:tc>
          <w:tcPr>
            <w:tcW w:w="1829" w:type="dxa"/>
            <w:tcBorders>
              <w:top w:val="nil"/>
              <w:left w:val="nil"/>
              <w:right w:val="nil"/>
            </w:tcBorders>
          </w:tcPr>
          <w:p>
            <w:pPr>
              <w:rPr>
                <w:noProof/>
                <w:sz w:val="20"/>
              </w:rPr>
            </w:pPr>
          </w:p>
        </w:tc>
        <w:tc>
          <w:tcPr>
            <w:tcW w:w="345" w:type="dxa"/>
            <w:tcBorders>
              <w:top w:val="nil"/>
              <w:left w:val="nil"/>
            </w:tcBorders>
          </w:tcPr>
          <w:p>
            <w:pPr>
              <w:jc w:val="center"/>
              <w:rPr>
                <w:noProof/>
                <w:sz w:val="20"/>
              </w:rPr>
            </w:pPr>
          </w:p>
        </w:tc>
        <w:tc>
          <w:tcPr>
            <w:tcW w:w="889" w:type="dxa"/>
            <w:vAlign w:val="center"/>
          </w:tcPr>
          <w:p>
            <w:pPr>
              <w:jc w:val="center"/>
              <w:rPr>
                <w:noProof/>
                <w:sz w:val="20"/>
              </w:rPr>
            </w:pPr>
            <w:r>
              <w:rPr>
                <w:b/>
                <w:noProof/>
                <w:sz w:val="20"/>
              </w:rPr>
              <w:t>2021</w:t>
            </w:r>
          </w:p>
        </w:tc>
        <w:tc>
          <w:tcPr>
            <w:tcW w:w="1040" w:type="dxa"/>
            <w:vAlign w:val="center"/>
          </w:tcPr>
          <w:p>
            <w:pPr>
              <w:jc w:val="center"/>
              <w:rPr>
                <w:noProof/>
                <w:sz w:val="20"/>
              </w:rPr>
            </w:pPr>
            <w:r>
              <w:rPr>
                <w:b/>
                <w:noProof/>
                <w:sz w:val="20"/>
              </w:rPr>
              <w:t>2022</w:t>
            </w:r>
          </w:p>
        </w:tc>
        <w:tc>
          <w:tcPr>
            <w:tcW w:w="1029" w:type="dxa"/>
            <w:vAlign w:val="center"/>
          </w:tcPr>
          <w:p>
            <w:pPr>
              <w:jc w:val="center"/>
              <w:rPr>
                <w:noProof/>
                <w:sz w:val="20"/>
              </w:rPr>
            </w:pPr>
            <w:r>
              <w:rPr>
                <w:b/>
                <w:noProof/>
                <w:sz w:val="20"/>
              </w:rPr>
              <w:t>2023</w:t>
            </w:r>
          </w:p>
        </w:tc>
        <w:tc>
          <w:tcPr>
            <w:tcW w:w="1080" w:type="dxa"/>
            <w:vAlign w:val="center"/>
          </w:tcPr>
          <w:p>
            <w:pPr>
              <w:jc w:val="center"/>
              <w:rPr>
                <w:noProof/>
                <w:sz w:val="20"/>
              </w:rPr>
            </w:pPr>
            <w:r>
              <w:rPr>
                <w:b/>
                <w:noProof/>
                <w:sz w:val="20"/>
              </w:rPr>
              <w:t>2024</w:t>
            </w:r>
          </w:p>
        </w:tc>
        <w:tc>
          <w:tcPr>
            <w:tcW w:w="1080" w:type="dxa"/>
            <w:vAlign w:val="center"/>
          </w:tcPr>
          <w:p>
            <w:pPr>
              <w:jc w:val="center"/>
              <w:rPr>
                <w:b/>
                <w:noProof/>
                <w:sz w:val="18"/>
              </w:rPr>
            </w:pPr>
            <w:r>
              <w:rPr>
                <w:b/>
                <w:noProof/>
                <w:sz w:val="18"/>
              </w:rPr>
              <w:t>2025</w:t>
            </w:r>
          </w:p>
        </w:tc>
        <w:tc>
          <w:tcPr>
            <w:tcW w:w="1170" w:type="dxa"/>
            <w:vAlign w:val="center"/>
          </w:tcPr>
          <w:p>
            <w:pPr>
              <w:jc w:val="center"/>
              <w:rPr>
                <w:b/>
                <w:noProof/>
                <w:sz w:val="18"/>
              </w:rPr>
            </w:pPr>
            <w:r>
              <w:rPr>
                <w:b/>
                <w:noProof/>
                <w:sz w:val="18"/>
              </w:rPr>
              <w:t>2026</w:t>
            </w:r>
          </w:p>
        </w:tc>
        <w:tc>
          <w:tcPr>
            <w:tcW w:w="1080" w:type="dxa"/>
            <w:vAlign w:val="center"/>
          </w:tcPr>
          <w:p>
            <w:pPr>
              <w:jc w:val="center"/>
              <w:rPr>
                <w:b/>
                <w:noProof/>
                <w:sz w:val="18"/>
              </w:rPr>
            </w:pPr>
            <w:r>
              <w:rPr>
                <w:b/>
                <w:noProof/>
                <w:sz w:val="18"/>
              </w:rPr>
              <w:t>2027</w:t>
            </w:r>
          </w:p>
        </w:tc>
        <w:tc>
          <w:tcPr>
            <w:tcW w:w="1170" w:type="dxa"/>
          </w:tcPr>
          <w:p>
            <w:pPr>
              <w:jc w:val="center"/>
              <w:rPr>
                <w:b/>
                <w:noProof/>
                <w:sz w:val="20"/>
              </w:rPr>
            </w:pPr>
            <w:r>
              <w:rPr>
                <w:b/>
                <w:i/>
                <w:noProof/>
                <w:sz w:val="20"/>
              </w:rPr>
              <w:t>Après 2027</w:t>
            </w:r>
          </w:p>
        </w:tc>
        <w:tc>
          <w:tcPr>
            <w:tcW w:w="1284" w:type="dxa"/>
            <w:vAlign w:val="center"/>
          </w:tcPr>
          <w:p>
            <w:pPr>
              <w:jc w:val="center"/>
              <w:rPr>
                <w:b/>
                <w:noProof/>
                <w:sz w:val="20"/>
              </w:rPr>
            </w:pPr>
            <w:r>
              <w:rPr>
                <w:b/>
                <w:noProof/>
                <w:sz w:val="20"/>
              </w:rPr>
              <w:t>TOTAL</w:t>
            </w:r>
          </w:p>
        </w:tc>
      </w:tr>
      <w:tr>
        <w:tc>
          <w:tcPr>
            <w:tcW w:w="3148" w:type="dxa"/>
            <w:vMerge w:val="restart"/>
            <w:shd w:val="clear" w:color="auto" w:fill="C0C0C0"/>
            <w:vAlign w:val="center"/>
          </w:tcPr>
          <w:p>
            <w:pPr>
              <w:jc w:val="center"/>
              <w:rPr>
                <w:b/>
                <w:noProof/>
              </w:rPr>
            </w:pPr>
            <w:r>
              <w:rPr>
                <w:b/>
                <w:noProof/>
                <w:sz w:val="22"/>
              </w:rPr>
              <w:t>TOTAL des crédits</w:t>
            </w:r>
            <w:r>
              <w:rPr>
                <w:noProof/>
              </w:rPr>
              <w:t xml:space="preserve"> </w:t>
            </w:r>
            <w:r>
              <w:rPr>
                <w:noProof/>
              </w:rPr>
              <w:br/>
            </w:r>
            <w:r>
              <w:rPr>
                <w:b/>
                <w:noProof/>
                <w:sz w:val="22"/>
              </w:rPr>
              <w:t>pour les RUBRIQUES</w:t>
            </w:r>
            <w:r>
              <w:rPr>
                <w:noProof/>
                <w:sz w:val="22"/>
              </w:rPr>
              <w:t xml:space="preserve"> du cadre financier pluriannuel – </w:t>
            </w:r>
            <w:r>
              <w:rPr>
                <w:b/>
                <w:noProof/>
                <w:sz w:val="22"/>
              </w:rPr>
              <w:t>des procédures budgétaires</w:t>
            </w:r>
          </w:p>
        </w:tc>
        <w:tc>
          <w:tcPr>
            <w:tcW w:w="2174" w:type="dxa"/>
            <w:gridSpan w:val="2"/>
            <w:vAlign w:val="center"/>
          </w:tcPr>
          <w:p>
            <w:pPr>
              <w:rPr>
                <w:noProof/>
                <w:sz w:val="14"/>
              </w:rPr>
            </w:pPr>
            <w:r>
              <w:rPr>
                <w:noProof/>
                <w:sz w:val="18"/>
              </w:rPr>
              <w:t>Engagements</w:t>
            </w:r>
          </w:p>
        </w:tc>
        <w:tc>
          <w:tcPr>
            <w:tcW w:w="889" w:type="dxa"/>
          </w:tcPr>
          <w:p>
            <w:pPr>
              <w:spacing w:before="20" w:after="20"/>
              <w:jc w:val="right"/>
              <w:rPr>
                <w:bCs/>
                <w:noProof/>
                <w:color w:val="000000"/>
                <w:sz w:val="20"/>
                <w:szCs w:val="20"/>
              </w:rPr>
            </w:pPr>
            <w:r>
              <w:rPr>
                <w:bCs/>
                <w:noProof/>
                <w:color w:val="000000"/>
                <w:sz w:val="20"/>
                <w:szCs w:val="20"/>
              </w:rPr>
              <w:t>5,776</w:t>
            </w:r>
          </w:p>
        </w:tc>
        <w:tc>
          <w:tcPr>
            <w:tcW w:w="1040" w:type="dxa"/>
          </w:tcPr>
          <w:p>
            <w:pPr>
              <w:spacing w:before="20" w:after="20"/>
              <w:jc w:val="right"/>
              <w:rPr>
                <w:bCs/>
                <w:noProof/>
                <w:color w:val="000000"/>
                <w:sz w:val="20"/>
                <w:szCs w:val="20"/>
              </w:rPr>
            </w:pPr>
            <w:r>
              <w:rPr>
                <w:bCs/>
                <w:noProof/>
                <w:color w:val="000000"/>
                <w:sz w:val="20"/>
                <w:szCs w:val="20"/>
              </w:rPr>
              <w:t>1 352,569</w:t>
            </w:r>
          </w:p>
        </w:tc>
        <w:tc>
          <w:tcPr>
            <w:tcW w:w="1029" w:type="dxa"/>
          </w:tcPr>
          <w:p>
            <w:pPr>
              <w:spacing w:before="20" w:after="20"/>
              <w:jc w:val="right"/>
              <w:rPr>
                <w:bCs/>
                <w:noProof/>
                <w:color w:val="000000"/>
                <w:sz w:val="20"/>
                <w:szCs w:val="20"/>
              </w:rPr>
            </w:pPr>
            <w:r>
              <w:rPr>
                <w:bCs/>
                <w:noProof/>
                <w:color w:val="000000"/>
                <w:sz w:val="20"/>
                <w:szCs w:val="20"/>
              </w:rPr>
              <w:t>1 353,955</w:t>
            </w:r>
          </w:p>
        </w:tc>
        <w:tc>
          <w:tcPr>
            <w:tcW w:w="1080" w:type="dxa"/>
          </w:tcPr>
          <w:p>
            <w:pPr>
              <w:spacing w:before="20" w:after="20"/>
              <w:jc w:val="right"/>
              <w:rPr>
                <w:bCs/>
                <w:noProof/>
                <w:color w:val="000000"/>
                <w:sz w:val="20"/>
                <w:szCs w:val="20"/>
              </w:rPr>
            </w:pPr>
            <w:r>
              <w:rPr>
                <w:bCs/>
                <w:noProof/>
                <w:color w:val="000000"/>
                <w:sz w:val="20"/>
                <w:szCs w:val="20"/>
              </w:rPr>
              <w:t>743,660</w:t>
            </w:r>
          </w:p>
        </w:tc>
        <w:tc>
          <w:tcPr>
            <w:tcW w:w="1080" w:type="dxa"/>
          </w:tcPr>
          <w:p>
            <w:pPr>
              <w:spacing w:before="20" w:after="20"/>
              <w:jc w:val="right"/>
              <w:rPr>
                <w:bCs/>
                <w:noProof/>
                <w:color w:val="000000"/>
                <w:sz w:val="20"/>
                <w:szCs w:val="20"/>
              </w:rPr>
            </w:pPr>
            <w:r>
              <w:rPr>
                <w:bCs/>
                <w:noProof/>
                <w:color w:val="000000"/>
                <w:sz w:val="20"/>
                <w:szCs w:val="20"/>
              </w:rPr>
              <w:t>763,434</w:t>
            </w:r>
          </w:p>
        </w:tc>
        <w:tc>
          <w:tcPr>
            <w:tcW w:w="1170" w:type="dxa"/>
          </w:tcPr>
          <w:p>
            <w:pPr>
              <w:spacing w:before="20" w:after="20"/>
              <w:jc w:val="right"/>
              <w:rPr>
                <w:bCs/>
                <w:noProof/>
                <w:color w:val="000000"/>
                <w:sz w:val="20"/>
                <w:szCs w:val="20"/>
              </w:rPr>
            </w:pPr>
            <w:r>
              <w:rPr>
                <w:bCs/>
                <w:noProof/>
                <w:color w:val="000000"/>
                <w:sz w:val="20"/>
                <w:szCs w:val="20"/>
              </w:rPr>
              <w:t>778,675</w:t>
            </w:r>
          </w:p>
        </w:tc>
        <w:tc>
          <w:tcPr>
            <w:tcW w:w="1080" w:type="dxa"/>
          </w:tcPr>
          <w:p>
            <w:pPr>
              <w:spacing w:before="20" w:after="20"/>
              <w:jc w:val="right"/>
              <w:rPr>
                <w:bCs/>
                <w:noProof/>
                <w:color w:val="000000"/>
                <w:sz w:val="20"/>
                <w:szCs w:val="20"/>
              </w:rPr>
            </w:pPr>
            <w:r>
              <w:rPr>
                <w:bCs/>
                <w:noProof/>
                <w:color w:val="000000"/>
                <w:sz w:val="20"/>
                <w:szCs w:val="20"/>
              </w:rPr>
              <w:t>1 114,461</w:t>
            </w:r>
          </w:p>
        </w:tc>
        <w:tc>
          <w:tcPr>
            <w:tcW w:w="1170" w:type="dxa"/>
          </w:tcPr>
          <w:p>
            <w:pPr>
              <w:spacing w:before="20" w:after="20"/>
              <w:jc w:val="right"/>
              <w:rPr>
                <w:bCs/>
                <w:noProof/>
                <w:color w:val="000000"/>
                <w:sz w:val="20"/>
                <w:szCs w:val="20"/>
              </w:rPr>
            </w:pPr>
            <w:r>
              <w:rPr>
                <w:bCs/>
                <w:noProof/>
                <w:color w:val="000000"/>
                <w:sz w:val="20"/>
                <w:szCs w:val="20"/>
              </w:rPr>
              <w:t>0</w:t>
            </w:r>
          </w:p>
        </w:tc>
        <w:tc>
          <w:tcPr>
            <w:tcW w:w="1284" w:type="dxa"/>
          </w:tcPr>
          <w:p>
            <w:pPr>
              <w:spacing w:before="20" w:after="20"/>
              <w:jc w:val="right"/>
              <w:rPr>
                <w:bCs/>
                <w:noProof/>
                <w:color w:val="000000"/>
                <w:sz w:val="20"/>
                <w:szCs w:val="20"/>
              </w:rPr>
            </w:pPr>
            <w:r>
              <w:rPr>
                <w:bCs/>
                <w:noProof/>
                <w:color w:val="000000"/>
                <w:sz w:val="20"/>
                <w:szCs w:val="20"/>
              </w:rPr>
              <w:t>6 112,527</w:t>
            </w:r>
          </w:p>
        </w:tc>
      </w:tr>
      <w:tr>
        <w:tc>
          <w:tcPr>
            <w:tcW w:w="3148" w:type="dxa"/>
            <w:vMerge/>
            <w:shd w:val="clear" w:color="auto" w:fill="C0C0C0"/>
          </w:tcPr>
          <w:p>
            <w:pPr>
              <w:rPr>
                <w:noProof/>
                <w:sz w:val="20"/>
              </w:rPr>
            </w:pPr>
          </w:p>
        </w:tc>
        <w:tc>
          <w:tcPr>
            <w:tcW w:w="2174" w:type="dxa"/>
            <w:gridSpan w:val="2"/>
            <w:vAlign w:val="center"/>
          </w:tcPr>
          <w:p>
            <w:pPr>
              <w:rPr>
                <w:noProof/>
                <w:sz w:val="14"/>
              </w:rPr>
            </w:pPr>
            <w:r>
              <w:rPr>
                <w:noProof/>
                <w:sz w:val="18"/>
              </w:rPr>
              <w:t>Paiements</w:t>
            </w:r>
          </w:p>
        </w:tc>
        <w:tc>
          <w:tcPr>
            <w:tcW w:w="889" w:type="dxa"/>
          </w:tcPr>
          <w:p>
            <w:pPr>
              <w:spacing w:before="20" w:after="20"/>
              <w:jc w:val="right"/>
              <w:rPr>
                <w:bCs/>
                <w:noProof/>
                <w:color w:val="000000"/>
                <w:sz w:val="20"/>
                <w:szCs w:val="20"/>
              </w:rPr>
            </w:pPr>
            <w:r>
              <w:rPr>
                <w:bCs/>
                <w:noProof/>
                <w:color w:val="000000"/>
                <w:sz w:val="20"/>
                <w:szCs w:val="20"/>
              </w:rPr>
              <w:t>5,776</w:t>
            </w:r>
          </w:p>
        </w:tc>
        <w:tc>
          <w:tcPr>
            <w:tcW w:w="1040" w:type="dxa"/>
          </w:tcPr>
          <w:p>
            <w:pPr>
              <w:spacing w:before="20" w:after="20"/>
              <w:jc w:val="right"/>
              <w:rPr>
                <w:bCs/>
                <w:noProof/>
                <w:color w:val="000000"/>
                <w:sz w:val="20"/>
                <w:szCs w:val="20"/>
              </w:rPr>
            </w:pPr>
            <w:r>
              <w:rPr>
                <w:bCs/>
                <w:noProof/>
                <w:color w:val="000000"/>
                <w:sz w:val="20"/>
                <w:szCs w:val="20"/>
              </w:rPr>
              <w:t>453,602</w:t>
            </w:r>
          </w:p>
        </w:tc>
        <w:tc>
          <w:tcPr>
            <w:tcW w:w="1029" w:type="dxa"/>
          </w:tcPr>
          <w:p>
            <w:pPr>
              <w:spacing w:before="20" w:after="20"/>
              <w:jc w:val="right"/>
              <w:rPr>
                <w:bCs/>
                <w:noProof/>
                <w:color w:val="000000"/>
                <w:sz w:val="20"/>
                <w:szCs w:val="20"/>
              </w:rPr>
            </w:pPr>
            <w:r>
              <w:rPr>
                <w:bCs/>
                <w:noProof/>
                <w:color w:val="000000"/>
                <w:sz w:val="20"/>
                <w:szCs w:val="20"/>
              </w:rPr>
              <w:t>861,037</w:t>
            </w:r>
          </w:p>
        </w:tc>
        <w:tc>
          <w:tcPr>
            <w:tcW w:w="1080" w:type="dxa"/>
          </w:tcPr>
          <w:p>
            <w:pPr>
              <w:spacing w:before="20" w:after="20"/>
              <w:jc w:val="right"/>
              <w:rPr>
                <w:bCs/>
                <w:noProof/>
                <w:color w:val="000000"/>
                <w:sz w:val="20"/>
                <w:szCs w:val="20"/>
              </w:rPr>
            </w:pPr>
            <w:r>
              <w:rPr>
                <w:bCs/>
                <w:noProof/>
                <w:color w:val="000000"/>
                <w:sz w:val="20"/>
                <w:szCs w:val="20"/>
              </w:rPr>
              <w:t>1 153,567</w:t>
            </w:r>
          </w:p>
        </w:tc>
        <w:tc>
          <w:tcPr>
            <w:tcW w:w="1080" w:type="dxa"/>
          </w:tcPr>
          <w:p>
            <w:pPr>
              <w:spacing w:before="20" w:after="20"/>
              <w:jc w:val="right"/>
              <w:rPr>
                <w:bCs/>
                <w:noProof/>
                <w:color w:val="000000"/>
                <w:sz w:val="20"/>
                <w:szCs w:val="20"/>
              </w:rPr>
            </w:pPr>
            <w:r>
              <w:rPr>
                <w:bCs/>
                <w:noProof/>
                <w:color w:val="000000"/>
                <w:sz w:val="20"/>
                <w:szCs w:val="20"/>
              </w:rPr>
              <w:t>974,158</w:t>
            </w:r>
          </w:p>
        </w:tc>
        <w:tc>
          <w:tcPr>
            <w:tcW w:w="1170" w:type="dxa"/>
          </w:tcPr>
          <w:p>
            <w:pPr>
              <w:spacing w:before="20" w:after="20"/>
              <w:jc w:val="right"/>
              <w:rPr>
                <w:bCs/>
                <w:noProof/>
                <w:color w:val="000000"/>
                <w:sz w:val="20"/>
                <w:szCs w:val="20"/>
              </w:rPr>
            </w:pPr>
            <w:r>
              <w:rPr>
                <w:bCs/>
                <w:noProof/>
                <w:color w:val="000000"/>
                <w:sz w:val="20"/>
                <w:szCs w:val="20"/>
              </w:rPr>
              <w:t>761,754</w:t>
            </w:r>
          </w:p>
        </w:tc>
        <w:tc>
          <w:tcPr>
            <w:tcW w:w="1080" w:type="dxa"/>
          </w:tcPr>
          <w:p>
            <w:pPr>
              <w:spacing w:before="20" w:after="20"/>
              <w:jc w:val="right"/>
              <w:rPr>
                <w:bCs/>
                <w:noProof/>
                <w:color w:val="000000"/>
                <w:sz w:val="20"/>
                <w:szCs w:val="20"/>
              </w:rPr>
            </w:pPr>
            <w:r>
              <w:rPr>
                <w:bCs/>
                <w:noProof/>
                <w:color w:val="000000"/>
                <w:sz w:val="20"/>
                <w:szCs w:val="20"/>
              </w:rPr>
              <w:t>874,180</w:t>
            </w:r>
          </w:p>
        </w:tc>
        <w:tc>
          <w:tcPr>
            <w:tcW w:w="1170" w:type="dxa"/>
          </w:tcPr>
          <w:p>
            <w:pPr>
              <w:spacing w:before="20" w:after="20"/>
              <w:jc w:val="right"/>
              <w:rPr>
                <w:bCs/>
                <w:noProof/>
                <w:color w:val="000000"/>
                <w:sz w:val="20"/>
                <w:szCs w:val="20"/>
              </w:rPr>
            </w:pPr>
            <w:r>
              <w:rPr>
                <w:bCs/>
                <w:noProof/>
                <w:color w:val="000000"/>
                <w:sz w:val="20"/>
                <w:szCs w:val="20"/>
              </w:rPr>
              <w:t>1 028,454</w:t>
            </w:r>
          </w:p>
        </w:tc>
        <w:tc>
          <w:tcPr>
            <w:tcW w:w="1284" w:type="dxa"/>
          </w:tcPr>
          <w:p>
            <w:pPr>
              <w:spacing w:before="20" w:after="20"/>
              <w:jc w:val="right"/>
              <w:rPr>
                <w:bCs/>
                <w:noProof/>
                <w:color w:val="000000"/>
                <w:sz w:val="20"/>
                <w:szCs w:val="20"/>
              </w:rPr>
            </w:pPr>
            <w:r>
              <w:rPr>
                <w:bCs/>
                <w:noProof/>
                <w:color w:val="000000"/>
                <w:sz w:val="20"/>
                <w:szCs w:val="20"/>
              </w:rPr>
              <w:t>6 112,527</w:t>
            </w:r>
          </w:p>
        </w:tc>
      </w:tr>
      <w:tr>
        <w:tc>
          <w:tcPr>
            <w:tcW w:w="3148" w:type="dxa"/>
            <w:shd w:val="clear" w:color="auto" w:fill="C0C0C0"/>
          </w:tcPr>
          <w:p>
            <w:pPr>
              <w:rPr>
                <w:noProof/>
                <w:sz w:val="20"/>
              </w:rPr>
            </w:pPr>
          </w:p>
        </w:tc>
        <w:tc>
          <w:tcPr>
            <w:tcW w:w="2174" w:type="dxa"/>
            <w:gridSpan w:val="2"/>
            <w:vAlign w:val="center"/>
          </w:tcPr>
          <w:p>
            <w:pPr>
              <w:rPr>
                <w:noProof/>
                <w:sz w:val="18"/>
              </w:rPr>
            </w:pPr>
          </w:p>
        </w:tc>
        <w:tc>
          <w:tcPr>
            <w:tcW w:w="889" w:type="dxa"/>
            <w:vAlign w:val="center"/>
          </w:tcPr>
          <w:p>
            <w:pPr>
              <w:spacing w:before="60" w:after="60"/>
              <w:jc w:val="right"/>
              <w:rPr>
                <w:noProof/>
                <w:color w:val="000000"/>
                <w:sz w:val="20"/>
                <w:szCs w:val="20"/>
              </w:rPr>
            </w:pPr>
          </w:p>
        </w:tc>
        <w:tc>
          <w:tcPr>
            <w:tcW w:w="1040" w:type="dxa"/>
            <w:vAlign w:val="center"/>
          </w:tcPr>
          <w:p>
            <w:pPr>
              <w:spacing w:before="60" w:after="60"/>
              <w:jc w:val="right"/>
              <w:rPr>
                <w:noProof/>
                <w:color w:val="000000"/>
                <w:sz w:val="20"/>
                <w:szCs w:val="20"/>
              </w:rPr>
            </w:pPr>
          </w:p>
        </w:tc>
        <w:tc>
          <w:tcPr>
            <w:tcW w:w="1029" w:type="dxa"/>
            <w:vAlign w:val="center"/>
          </w:tcPr>
          <w:p>
            <w:pPr>
              <w:spacing w:before="60" w:after="60"/>
              <w:jc w:val="right"/>
              <w:rPr>
                <w:noProof/>
                <w:color w:val="000000"/>
                <w:sz w:val="20"/>
                <w:szCs w:val="20"/>
              </w:rPr>
            </w:pPr>
          </w:p>
        </w:tc>
        <w:tc>
          <w:tcPr>
            <w:tcW w:w="1080" w:type="dxa"/>
            <w:vAlign w:val="center"/>
          </w:tcPr>
          <w:p>
            <w:pPr>
              <w:spacing w:before="60" w:after="60"/>
              <w:jc w:val="right"/>
              <w:rPr>
                <w:noProof/>
                <w:color w:val="000000"/>
                <w:sz w:val="20"/>
                <w:szCs w:val="20"/>
              </w:rPr>
            </w:pPr>
          </w:p>
        </w:tc>
        <w:tc>
          <w:tcPr>
            <w:tcW w:w="1080" w:type="dxa"/>
            <w:vAlign w:val="center"/>
          </w:tcPr>
          <w:p>
            <w:pPr>
              <w:spacing w:before="60" w:after="60"/>
              <w:jc w:val="right"/>
              <w:rPr>
                <w:noProof/>
                <w:color w:val="000000"/>
                <w:sz w:val="20"/>
                <w:szCs w:val="20"/>
              </w:rPr>
            </w:pPr>
          </w:p>
        </w:tc>
        <w:tc>
          <w:tcPr>
            <w:tcW w:w="1170" w:type="dxa"/>
            <w:vAlign w:val="center"/>
          </w:tcPr>
          <w:p>
            <w:pPr>
              <w:spacing w:before="60" w:after="60"/>
              <w:jc w:val="right"/>
              <w:rPr>
                <w:noProof/>
                <w:color w:val="000000"/>
                <w:sz w:val="20"/>
                <w:szCs w:val="20"/>
              </w:rPr>
            </w:pPr>
          </w:p>
        </w:tc>
        <w:tc>
          <w:tcPr>
            <w:tcW w:w="1080" w:type="dxa"/>
            <w:vAlign w:val="center"/>
          </w:tcPr>
          <w:p>
            <w:pPr>
              <w:spacing w:before="60" w:after="60"/>
              <w:jc w:val="right"/>
              <w:rPr>
                <w:noProof/>
                <w:color w:val="000000"/>
                <w:sz w:val="20"/>
                <w:szCs w:val="20"/>
              </w:rPr>
            </w:pPr>
          </w:p>
        </w:tc>
        <w:tc>
          <w:tcPr>
            <w:tcW w:w="1170" w:type="dxa"/>
            <w:vAlign w:val="center"/>
          </w:tcPr>
          <w:p>
            <w:pPr>
              <w:spacing w:before="60" w:after="60"/>
              <w:jc w:val="right"/>
              <w:rPr>
                <w:noProof/>
                <w:color w:val="000000"/>
                <w:sz w:val="20"/>
                <w:szCs w:val="20"/>
              </w:rPr>
            </w:pPr>
          </w:p>
        </w:tc>
        <w:tc>
          <w:tcPr>
            <w:tcW w:w="1284" w:type="dxa"/>
            <w:vAlign w:val="center"/>
          </w:tcPr>
          <w:p>
            <w:pPr>
              <w:spacing w:before="60" w:after="60"/>
              <w:jc w:val="right"/>
              <w:rPr>
                <w:b/>
                <w:bCs/>
                <w:noProof/>
                <w:color w:val="000000"/>
                <w:sz w:val="20"/>
                <w:szCs w:val="20"/>
              </w:rPr>
            </w:pPr>
          </w:p>
        </w:tc>
      </w:tr>
    </w:tbl>
    <w:p>
      <w:pPr>
        <w:rPr>
          <w:noProof/>
        </w:rPr>
      </w:pPr>
    </w:p>
    <w:p>
      <w:pPr>
        <w:pStyle w:val="ManualHeading3"/>
        <w:rPr>
          <w:bCs/>
          <w:noProof/>
          <w:szCs w:val="24"/>
        </w:rPr>
      </w:pPr>
      <w:bookmarkStart w:id="102" w:name="_Toc514938054"/>
      <w:bookmarkStart w:id="103" w:name="_Toc520485053"/>
      <w:bookmarkStart w:id="104" w:name="_Toc83310826"/>
      <w:r>
        <w:t>3.2.2.</w:t>
      </w:r>
      <w:r>
        <w:tab/>
      </w:r>
      <w:r>
        <w:rPr>
          <w:noProof/>
        </w:rPr>
        <w:t>Estimation des réalisations financées avec des crédits opérationnels</w:t>
      </w:r>
      <w:bookmarkEnd w:id="102"/>
      <w:bookmarkEnd w:id="103"/>
      <w:bookmarkEnd w:id="104"/>
      <w:r>
        <w:rPr>
          <w:noProof/>
        </w:rPr>
        <w:t xml:space="preserve"> </w:t>
      </w:r>
    </w:p>
    <w:p>
      <w:pPr>
        <w:jc w:val="right"/>
        <w:rPr>
          <w:noProof/>
          <w:sz w:val="20"/>
        </w:rPr>
      </w:pPr>
      <w:r>
        <w:rPr>
          <w:noProof/>
          <w:sz w:val="20"/>
        </w:rPr>
        <w:t>Crédits d’engagement en Mio EUR (à la 3</w:t>
      </w:r>
      <w:r>
        <w:rPr>
          <w:noProof/>
          <w:sz w:val="20"/>
          <w:vertAlign w:val="superscript"/>
        </w:rPr>
        <w:t>e</w:t>
      </w:r>
      <w:r>
        <w:rPr>
          <w:noProof/>
          <w:sz w:val="20"/>
        </w:rPr>
        <w:t xml:space="preserve">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12"/>
        <w:gridCol w:w="420"/>
        <w:gridCol w:w="720"/>
        <w:gridCol w:w="60"/>
        <w:gridCol w:w="48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Indiquer les objectifs et les réalisations </w:t>
            </w:r>
          </w:p>
          <w:p>
            <w:pPr>
              <w:ind w:right="-29"/>
              <w:jc w:val="center"/>
              <w:rPr>
                <w:b/>
                <w:noProof/>
                <w:sz w:val="18"/>
                <w:szCs w:val="18"/>
              </w:rPr>
            </w:pPr>
          </w:p>
          <w:p>
            <w:pPr>
              <w:ind w:right="-29"/>
              <w:jc w:val="center"/>
              <w:rPr>
                <w:noProof/>
                <w:sz w:val="18"/>
                <w:szCs w:val="18"/>
              </w:rPr>
            </w:pPr>
            <w:r>
              <w:rPr>
                <w:noProof/>
                <w:sz w:val="18"/>
              </w:rPr>
              <w:sym w:font="Wingdings" w:char="F0F2"/>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b/>
                <w:noProof/>
                <w:sz w:val="20"/>
              </w:rPr>
              <w:t>2021</w:t>
            </w:r>
          </w:p>
        </w:tc>
        <w:tc>
          <w:tcPr>
            <w:tcW w:w="1260" w:type="dxa"/>
            <w:gridSpan w:val="2"/>
            <w:vAlign w:val="center"/>
          </w:tcPr>
          <w:p>
            <w:pPr>
              <w:ind w:right="-29"/>
              <w:jc w:val="center"/>
              <w:rPr>
                <w:noProof/>
                <w:sz w:val="18"/>
                <w:szCs w:val="18"/>
              </w:rPr>
            </w:pPr>
            <w:r>
              <w:rPr>
                <w:b/>
                <w:noProof/>
                <w:sz w:val="20"/>
              </w:rPr>
              <w:t>2022</w:t>
            </w:r>
          </w:p>
        </w:tc>
        <w:tc>
          <w:tcPr>
            <w:tcW w:w="1440" w:type="dxa"/>
            <w:gridSpan w:val="2"/>
            <w:vAlign w:val="center"/>
          </w:tcPr>
          <w:p>
            <w:pPr>
              <w:ind w:right="-29"/>
              <w:jc w:val="center"/>
              <w:rPr>
                <w:noProof/>
                <w:sz w:val="18"/>
                <w:szCs w:val="18"/>
              </w:rPr>
            </w:pPr>
            <w:r>
              <w:rPr>
                <w:b/>
                <w:noProof/>
                <w:sz w:val="20"/>
              </w:rPr>
              <w:t>2023</w:t>
            </w:r>
          </w:p>
        </w:tc>
        <w:tc>
          <w:tcPr>
            <w:tcW w:w="1620" w:type="dxa"/>
            <w:gridSpan w:val="3"/>
            <w:vAlign w:val="center"/>
          </w:tcPr>
          <w:p>
            <w:pPr>
              <w:ind w:right="-29"/>
              <w:jc w:val="center"/>
              <w:rPr>
                <w:noProof/>
                <w:sz w:val="18"/>
                <w:szCs w:val="18"/>
              </w:rPr>
            </w:pPr>
            <w:r>
              <w:rPr>
                <w:b/>
                <w:noProof/>
                <w:sz w:val="20"/>
              </w:rPr>
              <w:t>2024</w:t>
            </w:r>
          </w:p>
        </w:tc>
        <w:tc>
          <w:tcPr>
            <w:tcW w:w="1200" w:type="dxa"/>
            <w:gridSpan w:val="3"/>
            <w:vAlign w:val="center"/>
          </w:tcPr>
          <w:p>
            <w:pPr>
              <w:jc w:val="center"/>
              <w:rPr>
                <w:noProof/>
                <w:sz w:val="18"/>
                <w:szCs w:val="18"/>
              </w:rPr>
            </w:pPr>
            <w:r>
              <w:rPr>
                <w:b/>
                <w:noProof/>
                <w:sz w:val="18"/>
              </w:rPr>
              <w:t>2025</w:t>
            </w:r>
          </w:p>
        </w:tc>
        <w:tc>
          <w:tcPr>
            <w:tcW w:w="1200" w:type="dxa"/>
            <w:gridSpan w:val="3"/>
            <w:vAlign w:val="center"/>
          </w:tcPr>
          <w:p>
            <w:pPr>
              <w:jc w:val="center"/>
              <w:rPr>
                <w:noProof/>
                <w:sz w:val="18"/>
                <w:szCs w:val="18"/>
              </w:rPr>
            </w:pPr>
            <w:r>
              <w:rPr>
                <w:b/>
                <w:noProof/>
                <w:sz w:val="18"/>
              </w:rPr>
              <w:t>2026</w:t>
            </w:r>
          </w:p>
        </w:tc>
        <w:tc>
          <w:tcPr>
            <w:tcW w:w="1200" w:type="dxa"/>
            <w:gridSpan w:val="2"/>
            <w:vAlign w:val="center"/>
          </w:tcPr>
          <w:p>
            <w:pPr>
              <w:jc w:val="center"/>
              <w:rPr>
                <w:noProof/>
                <w:sz w:val="18"/>
                <w:szCs w:val="18"/>
              </w:rPr>
            </w:pPr>
            <w:r>
              <w:rPr>
                <w:b/>
                <w:noProof/>
                <w:sz w:val="18"/>
              </w:rPr>
              <w:t>2027</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21"/>
            <w:vAlign w:val="center"/>
          </w:tcPr>
          <w:p>
            <w:pPr>
              <w:spacing w:before="60" w:after="60"/>
              <w:ind w:right="-29"/>
              <w:jc w:val="center"/>
              <w:rPr>
                <w:noProof/>
                <w:sz w:val="18"/>
                <w:szCs w:val="18"/>
              </w:rPr>
            </w:pPr>
            <w:r>
              <w:rPr>
                <w:b/>
                <w:noProof/>
                <w:sz w:val="18"/>
              </w:rPr>
              <w:t>RÉALISATIONS (outputs)</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Type</w:t>
            </w:r>
            <w:r>
              <w:rPr>
                <w:rStyle w:val="FootnoteReference"/>
                <w:noProof/>
                <w:sz w:val="18"/>
              </w:rPr>
              <w:footnoteReference w:id="41"/>
            </w:r>
          </w:p>
          <w:p>
            <w:pPr>
              <w:spacing w:before="0" w:after="0"/>
              <w:jc w:val="center"/>
              <w:rPr>
                <w:noProof/>
                <w:sz w:val="18"/>
                <w:szCs w:val="18"/>
              </w:rPr>
            </w:pPr>
          </w:p>
        </w:tc>
        <w:tc>
          <w:tcPr>
            <w:tcW w:w="701" w:type="dxa"/>
            <w:vAlign w:val="center"/>
          </w:tcPr>
          <w:p>
            <w:pPr>
              <w:jc w:val="center"/>
              <w:rPr>
                <w:noProof/>
                <w:sz w:val="18"/>
                <w:szCs w:val="18"/>
              </w:rPr>
            </w:pPr>
            <w:r>
              <w:rPr>
                <w:noProof/>
                <w:sz w:val="18"/>
              </w:rPr>
              <w:t>Coût moyen</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gridSpan w:val="2"/>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648"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432" w:type="dxa"/>
            <w:gridSpan w:val="2"/>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gridSpan w:val="2"/>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Nbre total</w:t>
            </w:r>
          </w:p>
        </w:tc>
        <w:tc>
          <w:tcPr>
            <w:tcW w:w="900" w:type="dxa"/>
            <w:tcBorders>
              <w:left w:val="dashSmallGap" w:sz="4" w:space="0" w:color="auto"/>
            </w:tcBorders>
            <w:shd w:val="pct10" w:color="auto" w:fill="auto"/>
            <w:vAlign w:val="center"/>
          </w:tcPr>
          <w:p>
            <w:pPr>
              <w:jc w:val="center"/>
              <w:rPr>
                <w:noProof/>
                <w:sz w:val="18"/>
                <w:szCs w:val="18"/>
              </w:rPr>
            </w:pPr>
            <w:r>
              <w:rPr>
                <w:noProof/>
                <w:sz w:val="18"/>
              </w:rPr>
              <w:t>Coût total</w:t>
            </w:r>
          </w:p>
        </w:tc>
      </w:tr>
      <w:tr>
        <w:trPr>
          <w:jc w:val="center"/>
        </w:trPr>
        <w:tc>
          <w:tcPr>
            <w:tcW w:w="2844" w:type="dxa"/>
            <w:gridSpan w:val="3"/>
            <w:vAlign w:val="center"/>
          </w:tcPr>
          <w:p>
            <w:pPr>
              <w:spacing w:before="60" w:after="60"/>
              <w:ind w:right="-29"/>
              <w:jc w:val="center"/>
              <w:rPr>
                <w:noProof/>
                <w:sz w:val="18"/>
                <w:szCs w:val="18"/>
              </w:rPr>
            </w:pPr>
            <w:r>
              <w:rPr>
                <w:noProof/>
                <w:sz w:val="18"/>
              </w:rPr>
              <w:t>OBJECTIF SPÉCIFIQUE nº 1</w:t>
            </w:r>
            <w:r>
              <w:rPr>
                <w:rStyle w:val="FootnoteReference"/>
                <w:noProof/>
                <w:sz w:val="18"/>
              </w:rPr>
              <w:footnoteReference w:id="42"/>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gridSpan w:val="2"/>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gridSpan w:val="2"/>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gridSpan w:val="2"/>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gridSpan w:val="2"/>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gridSpan w:val="2"/>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gridSpan w:val="2"/>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gridSpan w:val="2"/>
          </w:tcPr>
          <w:p>
            <w:pPr>
              <w:ind w:right="-29"/>
              <w:jc w:val="center"/>
              <w:rPr>
                <w:noProof/>
                <w:sz w:val="18"/>
                <w:szCs w:val="18"/>
              </w:rPr>
            </w:pPr>
          </w:p>
        </w:tc>
        <w:tc>
          <w:tcPr>
            <w:tcW w:w="720" w:type="dxa"/>
          </w:tcPr>
          <w:p>
            <w:pPr>
              <w:ind w:right="-29"/>
              <w:jc w:val="center"/>
              <w:rPr>
                <w:noProof/>
                <w:sz w:val="18"/>
                <w:szCs w:val="18"/>
              </w:rPr>
            </w:pPr>
          </w:p>
        </w:tc>
        <w:tc>
          <w:tcPr>
            <w:tcW w:w="540" w:type="dxa"/>
            <w:gridSpan w:val="2"/>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Sous-total objectif spécifique nº 1</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c>
          <w:tcPr>
            <w:tcW w:w="720" w:type="dxa"/>
            <w:gridSpan w:val="2"/>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gridSpan w:val="2"/>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gridSpan w:val="2"/>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OBJECTIF SPÉCIFIQUE nº 2…</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gridSpan w:val="2"/>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gridSpan w:val="2"/>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gridSpan w:val="2"/>
          </w:tcPr>
          <w:p>
            <w:pPr>
              <w:ind w:right="-29"/>
              <w:jc w:val="center"/>
              <w:rPr>
                <w:noProof/>
                <w:sz w:val="18"/>
                <w:szCs w:val="18"/>
              </w:rPr>
            </w:pPr>
          </w:p>
        </w:tc>
        <w:tc>
          <w:tcPr>
            <w:tcW w:w="720" w:type="dxa"/>
          </w:tcPr>
          <w:p>
            <w:pPr>
              <w:ind w:right="-29"/>
              <w:jc w:val="center"/>
              <w:rPr>
                <w:noProof/>
                <w:sz w:val="18"/>
                <w:szCs w:val="18"/>
              </w:rPr>
            </w:pPr>
          </w:p>
        </w:tc>
        <w:tc>
          <w:tcPr>
            <w:tcW w:w="540" w:type="dxa"/>
            <w:gridSpan w:val="2"/>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Sous-total objectif spécifique nº 2</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51" w:type="dxa"/>
            <w:gridSpan w:val="2"/>
            <w:tcBorders>
              <w:bottom w:val="single" w:sz="12" w:space="0" w:color="auto"/>
            </w:tcBorders>
          </w:tcPr>
          <w:p>
            <w:pPr>
              <w:ind w:right="-29"/>
              <w:jc w:val="center"/>
              <w:rPr>
                <w:noProof/>
                <w:sz w:val="18"/>
                <w:szCs w:val="18"/>
              </w:rPr>
            </w:pPr>
          </w:p>
        </w:tc>
        <w:tc>
          <w:tcPr>
            <w:tcW w:w="669"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gridSpan w:val="2"/>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gridSpan w:val="2"/>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TOTAUX</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gridSpan w:val="2"/>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gridSpan w:val="2"/>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17"/>
          <w:footerReference w:type="default" r:id="rId18"/>
          <w:headerReference w:type="first" r:id="rId19"/>
          <w:footerReference w:type="first" r:id="rId20"/>
          <w:pgSz w:w="16840" w:h="11907" w:orient="landscape" w:code="9"/>
          <w:pgMar w:top="1134" w:right="1418" w:bottom="567" w:left="1418" w:header="709" w:footer="709" w:gutter="0"/>
          <w:cols w:space="708"/>
          <w:docGrid w:linePitch="360"/>
        </w:sectPr>
      </w:pPr>
    </w:p>
    <w:p>
      <w:pPr>
        <w:pStyle w:val="ManualHeading3"/>
        <w:rPr>
          <w:bCs/>
          <w:noProof/>
          <w:szCs w:val="24"/>
        </w:rPr>
      </w:pPr>
      <w:bookmarkStart w:id="105" w:name="_Toc514938055"/>
      <w:bookmarkStart w:id="106" w:name="_Toc520485054"/>
      <w:bookmarkStart w:id="107" w:name="_Toc83310827"/>
      <w:r>
        <w:t>3.2.3.</w:t>
      </w:r>
      <w:r>
        <w:tab/>
      </w:r>
      <w:r>
        <w:rPr>
          <w:noProof/>
        </w:rPr>
        <w:t>Synthèse de l’incidence estimée sur les crédits administratifs</w:t>
      </w:r>
      <w:bookmarkEnd w:id="105"/>
      <w:bookmarkEnd w:id="106"/>
      <w:bookmarkEnd w:id="107"/>
      <w:r>
        <w:rPr>
          <w:noProof/>
        </w:rPr>
        <w:t xml:space="preserve"> </w:t>
      </w:r>
    </w:p>
    <w:p>
      <w:pPr>
        <w:pStyle w:val="ListDash1"/>
        <w:numPr>
          <w:ilvl w:val="0"/>
          <w:numId w:val="19"/>
        </w:numPr>
        <w:spacing w:before="120" w:after="120"/>
        <w:rPr>
          <w:noProof/>
          <w:lang w:val="fr-FR"/>
        </w:rPr>
      </w:pPr>
      <w:r>
        <w:rPr>
          <w:noProof/>
          <w:lang w:val="fr-FR"/>
        </w:rPr>
        <w:sym w:font="Wingdings" w:char="F0A8"/>
      </w:r>
      <w:r>
        <w:rPr>
          <w:noProof/>
          <w:lang w:val="fr-FR"/>
        </w:rPr>
        <w:tab/>
        <w:t xml:space="preserve">La proposition/l’initiative n’engendre pas l’utilisation de crédits de nature administrative. </w:t>
      </w:r>
    </w:p>
    <w:p>
      <w:pPr>
        <w:pStyle w:val="ListDash1"/>
        <w:numPr>
          <w:ilvl w:val="0"/>
          <w:numId w:val="19"/>
        </w:numPr>
        <w:spacing w:before="120" w:after="120"/>
        <w:rPr>
          <w:noProof/>
          <w:lang w:val="fr-FR"/>
        </w:rPr>
      </w:pPr>
      <w:r>
        <w:rPr>
          <w:noProof/>
          <w:lang w:val="fr-FR"/>
        </w:rPr>
        <w:t>X</w:t>
      </w:r>
      <w:r>
        <w:rPr>
          <w:noProof/>
          <w:lang w:val="fr-FR"/>
        </w:rPr>
        <w:tab/>
        <w:t>La proposition/l’initiative engendre l’utilisation de crédits de nature administrative, comme expliqué ci-après:</w:t>
      </w:r>
    </w:p>
    <w:p>
      <w:pPr>
        <w:jc w:val="right"/>
        <w:rPr>
          <w:noProof/>
          <w:sz w:val="20"/>
        </w:rPr>
      </w:pPr>
      <w:r>
        <w:rPr>
          <w:noProof/>
          <w:sz w:val="20"/>
        </w:rPr>
        <w:t>En Mio EUR (à la 3</w:t>
      </w:r>
      <w:r>
        <w:rPr>
          <w:noProof/>
          <w:sz w:val="20"/>
          <w:vertAlign w:val="superscript"/>
        </w:rPr>
        <w:t>e</w:t>
      </w:r>
      <w:r>
        <w:rPr>
          <w:noProof/>
          <w:sz w:val="20"/>
        </w:rPr>
        <w:t xml:space="preserve">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b/>
                <w:noProof/>
                <w:sz w:val="20"/>
              </w:rPr>
              <w:t>2021</w:t>
            </w:r>
          </w:p>
        </w:tc>
        <w:tc>
          <w:tcPr>
            <w:tcW w:w="1080" w:type="dxa"/>
            <w:vAlign w:val="center"/>
          </w:tcPr>
          <w:p>
            <w:pPr>
              <w:spacing w:before="60" w:after="60" w:line="200" w:lineRule="exact"/>
              <w:jc w:val="center"/>
              <w:rPr>
                <w:noProof/>
                <w:sz w:val="16"/>
                <w:szCs w:val="16"/>
              </w:rPr>
            </w:pPr>
            <w:r>
              <w:rPr>
                <w:b/>
                <w:noProof/>
                <w:sz w:val="20"/>
              </w:rPr>
              <w:t>2022</w:t>
            </w:r>
          </w:p>
        </w:tc>
        <w:tc>
          <w:tcPr>
            <w:tcW w:w="1080" w:type="dxa"/>
            <w:vAlign w:val="center"/>
          </w:tcPr>
          <w:p>
            <w:pPr>
              <w:spacing w:before="60" w:after="60" w:line="200" w:lineRule="exact"/>
              <w:jc w:val="center"/>
              <w:rPr>
                <w:noProof/>
                <w:sz w:val="16"/>
                <w:szCs w:val="16"/>
              </w:rPr>
            </w:pPr>
            <w:r>
              <w:rPr>
                <w:b/>
                <w:noProof/>
                <w:sz w:val="20"/>
              </w:rPr>
              <w:t>2023</w:t>
            </w:r>
          </w:p>
        </w:tc>
        <w:tc>
          <w:tcPr>
            <w:tcW w:w="1080" w:type="dxa"/>
            <w:vAlign w:val="center"/>
          </w:tcPr>
          <w:p>
            <w:pPr>
              <w:spacing w:before="60" w:after="60" w:line="200" w:lineRule="exact"/>
              <w:jc w:val="center"/>
              <w:rPr>
                <w:noProof/>
                <w:sz w:val="16"/>
                <w:szCs w:val="16"/>
              </w:rPr>
            </w:pPr>
            <w:r>
              <w:rPr>
                <w:b/>
                <w:noProof/>
                <w:sz w:val="20"/>
              </w:rPr>
              <w:t>2024</w:t>
            </w:r>
          </w:p>
        </w:tc>
        <w:tc>
          <w:tcPr>
            <w:tcW w:w="1080" w:type="dxa"/>
            <w:vAlign w:val="center"/>
          </w:tcPr>
          <w:p>
            <w:pPr>
              <w:spacing w:line="200" w:lineRule="exact"/>
              <w:jc w:val="center"/>
              <w:rPr>
                <w:b/>
                <w:noProof/>
                <w:sz w:val="16"/>
                <w:szCs w:val="16"/>
              </w:rPr>
            </w:pPr>
            <w:r>
              <w:rPr>
                <w:b/>
                <w:noProof/>
                <w:sz w:val="18"/>
              </w:rPr>
              <w:t>2025</w:t>
            </w:r>
          </w:p>
        </w:tc>
        <w:tc>
          <w:tcPr>
            <w:tcW w:w="1080" w:type="dxa"/>
            <w:vAlign w:val="center"/>
          </w:tcPr>
          <w:p>
            <w:pPr>
              <w:spacing w:line="200" w:lineRule="exact"/>
              <w:jc w:val="center"/>
              <w:rPr>
                <w:b/>
                <w:noProof/>
                <w:sz w:val="16"/>
                <w:szCs w:val="16"/>
              </w:rPr>
            </w:pPr>
            <w:r>
              <w:rPr>
                <w:b/>
                <w:noProof/>
                <w:sz w:val="16"/>
                <w:szCs w:val="16"/>
              </w:rPr>
              <w:t>2026</w:t>
            </w:r>
          </w:p>
        </w:tc>
        <w:tc>
          <w:tcPr>
            <w:tcW w:w="1080" w:type="dxa"/>
            <w:vAlign w:val="center"/>
          </w:tcPr>
          <w:p>
            <w:pPr>
              <w:spacing w:line="200" w:lineRule="exact"/>
              <w:jc w:val="center"/>
              <w:rPr>
                <w:b/>
                <w:noProof/>
                <w:sz w:val="16"/>
                <w:szCs w:val="16"/>
              </w:rPr>
            </w:pPr>
            <w:r>
              <w:rPr>
                <w:b/>
                <w:noProof/>
                <w:sz w:val="16"/>
                <w:szCs w:val="16"/>
              </w:rPr>
              <w:t>2027</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RUBRIQUE 7</w:t>
            </w:r>
            <w:r>
              <w:rPr>
                <w:noProof/>
              </w:rPr>
              <w:t xml:space="preserve"> </w:t>
            </w:r>
            <w:r>
              <w:rPr>
                <w:noProof/>
              </w:rPr>
              <w:br/>
            </w:r>
            <w:r>
              <w:rPr>
                <w:b/>
                <w:noProof/>
                <w:sz w:val="16"/>
              </w:rPr>
              <w:t>du cadre financier pluriannuel</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Ressources humaines </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5,776</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11,148</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14,644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14,644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14,644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14,644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14,644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90,144</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Autres dépenses administratives </w:t>
            </w:r>
          </w:p>
        </w:tc>
        <w:tc>
          <w:tcPr>
            <w:tcW w:w="1080" w:type="dxa"/>
            <w:vAlign w:val="bottom"/>
          </w:tcPr>
          <w:p>
            <w:pPr>
              <w:spacing w:before="60" w:after="60" w:line="200" w:lineRule="exact"/>
              <w:jc w:val="right"/>
              <w:rPr>
                <w:noProof/>
                <w:sz w:val="16"/>
                <w:szCs w:val="16"/>
              </w:rPr>
            </w:pP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0,818</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0,864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0,864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0,864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0,864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0,864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5,138</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Sous-total RUBRIQUE 7</w:t>
            </w:r>
            <w:r>
              <w:rPr>
                <w:noProof/>
              </w:rPr>
              <w:t xml:space="preserve"> </w:t>
            </w:r>
            <w:r>
              <w:rPr>
                <w:noProof/>
              </w:rPr>
              <w:br/>
            </w:r>
            <w:r>
              <w:rPr>
                <w:b/>
                <w:noProof/>
                <w:sz w:val="16"/>
              </w:rPr>
              <w:t xml:space="preserve">du cadre financier pluriannuel </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5,776</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11,966</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15,508</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15,508</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15,508</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15,508</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15,508</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95,282</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Hors RUBRIQUE 7</w:t>
            </w:r>
            <w:r>
              <w:rPr>
                <w:rStyle w:val="FootnoteReference"/>
                <w:b/>
                <w:noProof/>
                <w:sz w:val="16"/>
              </w:rPr>
              <w:footnoteReference w:id="43"/>
            </w:r>
            <w:r>
              <w:rPr>
                <w:noProof/>
              </w:rPr>
              <w:t xml:space="preserve"> </w:t>
            </w:r>
            <w:r>
              <w:rPr>
                <w:noProof/>
              </w:rPr>
              <w:br/>
            </w:r>
            <w:r>
              <w:rPr>
                <w:b/>
                <w:noProof/>
                <w:sz w:val="16"/>
              </w:rPr>
              <w:t>du cadre financier pluriannuel</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Ressources humaines </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1,240</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1,322</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1,474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1,474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1,474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1,474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1,474</w:t>
            </w:r>
          </w:p>
        </w:tc>
        <w:tc>
          <w:tcPr>
            <w:tcW w:w="1080" w:type="dxa"/>
            <w:vAlign w:val="bottom"/>
          </w:tcPr>
          <w:p>
            <w:pPr>
              <w:spacing w:before="60" w:after="60" w:line="200" w:lineRule="exact"/>
              <w:jc w:val="right"/>
              <w:rPr>
                <w:noProof/>
                <w:sz w:val="16"/>
                <w:szCs w:val="16"/>
              </w:rPr>
            </w:pPr>
            <w:r>
              <w:rPr>
                <w:rFonts w:ascii="Calibri" w:hAnsi="Calibri"/>
                <w:bCs/>
                <w:noProof/>
                <w:color w:val="000000"/>
                <w:sz w:val="22"/>
              </w:rPr>
              <w:t>9,932</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Autres dépenses </w:t>
            </w:r>
            <w:r>
              <w:rPr>
                <w:noProof/>
              </w:rPr>
              <w:t xml:space="preserve"> </w:t>
            </w:r>
            <w:r>
              <w:rPr>
                <w:noProof/>
              </w:rPr>
              <w:br/>
            </w:r>
            <w:r>
              <w:rPr>
                <w:noProof/>
                <w:sz w:val="16"/>
              </w:rPr>
              <w:t>de nature administrative</w:t>
            </w:r>
          </w:p>
        </w:tc>
        <w:tc>
          <w:tcPr>
            <w:tcW w:w="1080" w:type="dxa"/>
            <w:vAlign w:val="bottom"/>
          </w:tcPr>
          <w:p>
            <w:pPr>
              <w:spacing w:before="60" w:after="60" w:line="200" w:lineRule="exact"/>
              <w:jc w:val="right"/>
              <w:rPr>
                <w:noProof/>
                <w:sz w:val="16"/>
                <w:szCs w:val="16"/>
              </w:rPr>
            </w:pPr>
          </w:p>
        </w:tc>
        <w:tc>
          <w:tcPr>
            <w:tcW w:w="1080" w:type="dxa"/>
            <w:vAlign w:val="bottom"/>
          </w:tcPr>
          <w:p>
            <w:pPr>
              <w:spacing w:before="60" w:after="60" w:line="200" w:lineRule="exact"/>
              <w:jc w:val="right"/>
              <w:rPr>
                <w:noProof/>
                <w:sz w:val="16"/>
                <w:szCs w:val="16"/>
              </w:rPr>
            </w:pPr>
            <w:r>
              <w:rPr>
                <w:rFonts w:ascii="Calibri" w:hAnsi="Calibri"/>
                <w:noProof/>
                <w:color w:val="000000"/>
                <w:sz w:val="22"/>
              </w:rPr>
              <w:t>0,022</w:t>
            </w:r>
          </w:p>
        </w:tc>
        <w:tc>
          <w:tcPr>
            <w:tcW w:w="1080" w:type="dxa"/>
            <w:vAlign w:val="bottom"/>
          </w:tcPr>
          <w:p>
            <w:pPr>
              <w:spacing w:before="60" w:after="60" w:line="200" w:lineRule="exact"/>
              <w:jc w:val="right"/>
              <w:rPr>
                <w:noProof/>
                <w:sz w:val="16"/>
                <w:szCs w:val="16"/>
              </w:rPr>
            </w:pPr>
            <w:r>
              <w:rPr>
                <w:rFonts w:ascii="Calibri" w:hAnsi="Calibri"/>
                <w:noProof/>
                <w:color w:val="000000"/>
                <w:sz w:val="22"/>
              </w:rPr>
              <w:t>0,024</w:t>
            </w:r>
          </w:p>
        </w:tc>
        <w:tc>
          <w:tcPr>
            <w:tcW w:w="1080" w:type="dxa"/>
            <w:vAlign w:val="bottom"/>
          </w:tcPr>
          <w:p>
            <w:pPr>
              <w:spacing w:before="60" w:after="60" w:line="200" w:lineRule="exact"/>
              <w:jc w:val="right"/>
              <w:rPr>
                <w:noProof/>
                <w:sz w:val="16"/>
                <w:szCs w:val="16"/>
              </w:rPr>
            </w:pPr>
            <w:r>
              <w:rPr>
                <w:rFonts w:ascii="Calibri" w:hAnsi="Calibri"/>
                <w:noProof/>
                <w:color w:val="000000"/>
                <w:sz w:val="22"/>
              </w:rPr>
              <w:t>0,024</w:t>
            </w:r>
          </w:p>
        </w:tc>
        <w:tc>
          <w:tcPr>
            <w:tcW w:w="1080" w:type="dxa"/>
            <w:vAlign w:val="bottom"/>
          </w:tcPr>
          <w:p>
            <w:pPr>
              <w:spacing w:before="60" w:after="60" w:line="200" w:lineRule="exact"/>
              <w:jc w:val="right"/>
              <w:rPr>
                <w:noProof/>
                <w:sz w:val="16"/>
                <w:szCs w:val="16"/>
              </w:rPr>
            </w:pPr>
            <w:r>
              <w:rPr>
                <w:rFonts w:ascii="Calibri" w:hAnsi="Calibri"/>
                <w:noProof/>
                <w:color w:val="000000"/>
                <w:sz w:val="22"/>
              </w:rPr>
              <w:t>0,024</w:t>
            </w:r>
          </w:p>
        </w:tc>
        <w:tc>
          <w:tcPr>
            <w:tcW w:w="1080" w:type="dxa"/>
            <w:vAlign w:val="bottom"/>
          </w:tcPr>
          <w:p>
            <w:pPr>
              <w:spacing w:before="60" w:after="60" w:line="200" w:lineRule="exact"/>
              <w:jc w:val="right"/>
              <w:rPr>
                <w:noProof/>
                <w:sz w:val="16"/>
                <w:szCs w:val="16"/>
              </w:rPr>
            </w:pPr>
            <w:r>
              <w:rPr>
                <w:rFonts w:ascii="Calibri" w:hAnsi="Calibri"/>
                <w:noProof/>
                <w:color w:val="000000"/>
                <w:sz w:val="22"/>
              </w:rPr>
              <w:t>0,024</w:t>
            </w:r>
          </w:p>
        </w:tc>
        <w:tc>
          <w:tcPr>
            <w:tcW w:w="1080" w:type="dxa"/>
            <w:vAlign w:val="bottom"/>
          </w:tcPr>
          <w:p>
            <w:pPr>
              <w:spacing w:before="60" w:after="60" w:line="200" w:lineRule="exact"/>
              <w:jc w:val="right"/>
              <w:rPr>
                <w:b/>
                <w:noProof/>
                <w:sz w:val="16"/>
                <w:szCs w:val="16"/>
              </w:rPr>
            </w:pPr>
            <w:r>
              <w:rPr>
                <w:rFonts w:ascii="Calibri" w:hAnsi="Calibri"/>
                <w:noProof/>
                <w:color w:val="000000"/>
                <w:sz w:val="22"/>
              </w:rPr>
              <w:t>0,024</w:t>
            </w:r>
          </w:p>
        </w:tc>
        <w:tc>
          <w:tcPr>
            <w:tcW w:w="1080" w:type="dxa"/>
            <w:vAlign w:val="bottom"/>
          </w:tcPr>
          <w:p>
            <w:pPr>
              <w:spacing w:before="60" w:after="60" w:line="200" w:lineRule="exact"/>
              <w:jc w:val="right"/>
              <w:rPr>
                <w:b/>
                <w:noProof/>
                <w:sz w:val="16"/>
                <w:szCs w:val="16"/>
              </w:rPr>
            </w:pPr>
            <w:r>
              <w:rPr>
                <w:rFonts w:ascii="Calibri" w:hAnsi="Calibri"/>
                <w:noProof/>
                <w:color w:val="000000"/>
                <w:sz w:val="22"/>
              </w:rPr>
              <w:t>0,142</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Sous-total </w:t>
            </w:r>
            <w:r>
              <w:rPr>
                <w:noProof/>
              </w:rPr>
              <w:t xml:space="preserve"> </w:t>
            </w:r>
            <w:r>
              <w:rPr>
                <w:noProof/>
              </w:rPr>
              <w:br/>
            </w:r>
            <w:r>
              <w:rPr>
                <w:b/>
                <w:noProof/>
                <w:sz w:val="16"/>
              </w:rPr>
              <w:t>hors RUBRIQUE 7</w:t>
            </w:r>
            <w:r>
              <w:rPr>
                <w:noProof/>
              </w:rPr>
              <w:t xml:space="preserve"> </w:t>
            </w:r>
            <w:r>
              <w:rPr>
                <w:noProof/>
              </w:rPr>
              <w:br/>
            </w:r>
            <w:r>
              <w:rPr>
                <w:b/>
                <w:noProof/>
                <w:sz w:val="16"/>
              </w:rPr>
              <w:t xml:space="preserve">du cadre financier pluriannuel </w:t>
            </w:r>
          </w:p>
        </w:tc>
        <w:tc>
          <w:tcPr>
            <w:tcW w:w="1080" w:type="dxa"/>
            <w:vAlign w:val="bottom"/>
          </w:tcPr>
          <w:p>
            <w:pPr>
              <w:spacing w:before="60" w:after="60" w:line="200" w:lineRule="exact"/>
              <w:jc w:val="right"/>
              <w:rPr>
                <w:noProof/>
                <w:sz w:val="16"/>
                <w:szCs w:val="16"/>
              </w:rPr>
            </w:pPr>
            <w:r>
              <w:rPr>
                <w:rFonts w:ascii="Calibri" w:hAnsi="Calibri"/>
                <w:b/>
                <w:bCs/>
                <w:noProof/>
                <w:color w:val="000000"/>
                <w:sz w:val="22"/>
              </w:rPr>
              <w:t>1,240</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1,344</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1,498</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1,498</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1,498</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1,498</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1,498</w:t>
            </w:r>
          </w:p>
        </w:tc>
        <w:tc>
          <w:tcPr>
            <w:tcW w:w="1080" w:type="dxa"/>
            <w:vAlign w:val="bottom"/>
          </w:tcPr>
          <w:p>
            <w:pPr>
              <w:spacing w:before="60" w:after="60" w:line="200" w:lineRule="exact"/>
              <w:jc w:val="right"/>
              <w:rPr>
                <w:b/>
                <w:noProof/>
                <w:sz w:val="16"/>
                <w:szCs w:val="16"/>
              </w:rPr>
            </w:pPr>
            <w:r>
              <w:rPr>
                <w:rFonts w:ascii="Calibri" w:hAnsi="Calibri"/>
                <w:b/>
                <w:bCs/>
                <w:noProof/>
                <w:color w:val="000000"/>
                <w:sz w:val="22"/>
              </w:rPr>
              <w:t>10,074</w:t>
            </w: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b/>
                <w:noProof/>
                <w:sz w:val="16"/>
                <w:szCs w:val="16"/>
              </w:rPr>
            </w:pPr>
            <w:r>
              <w:rPr>
                <w:rFonts w:ascii="Calibri" w:hAnsi="Calibri"/>
                <w:b/>
                <w:bCs/>
                <w:noProof/>
                <w:color w:val="000000"/>
                <w:sz w:val="22"/>
              </w:rPr>
              <w:t>7,016</w:t>
            </w:r>
          </w:p>
        </w:tc>
        <w:tc>
          <w:tcPr>
            <w:tcW w:w="1080"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b/>
                <w:noProof/>
                <w:sz w:val="16"/>
                <w:szCs w:val="16"/>
              </w:rPr>
            </w:pPr>
            <w:r>
              <w:rPr>
                <w:rFonts w:ascii="Calibri" w:hAnsi="Calibri"/>
                <w:b/>
                <w:bCs/>
                <w:noProof/>
                <w:color w:val="000000"/>
                <w:sz w:val="22"/>
              </w:rPr>
              <w:t>13,310</w:t>
            </w:r>
          </w:p>
        </w:tc>
        <w:tc>
          <w:tcPr>
            <w:tcW w:w="1080"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b/>
                <w:noProof/>
                <w:sz w:val="16"/>
                <w:szCs w:val="16"/>
              </w:rPr>
            </w:pPr>
            <w:r>
              <w:rPr>
                <w:rFonts w:ascii="Calibri" w:hAnsi="Calibri"/>
                <w:b/>
                <w:bCs/>
                <w:noProof/>
                <w:color w:val="000000"/>
                <w:sz w:val="22"/>
              </w:rPr>
              <w:t>17,006</w:t>
            </w:r>
          </w:p>
        </w:tc>
        <w:tc>
          <w:tcPr>
            <w:tcW w:w="1080"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b/>
                <w:noProof/>
                <w:sz w:val="16"/>
                <w:szCs w:val="16"/>
              </w:rPr>
            </w:pPr>
            <w:r>
              <w:rPr>
                <w:rFonts w:ascii="Calibri" w:hAnsi="Calibri"/>
                <w:b/>
                <w:bCs/>
                <w:noProof/>
                <w:color w:val="000000"/>
                <w:sz w:val="22"/>
              </w:rPr>
              <w:t>17,006</w:t>
            </w:r>
          </w:p>
        </w:tc>
        <w:tc>
          <w:tcPr>
            <w:tcW w:w="1080"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b/>
                <w:noProof/>
                <w:sz w:val="16"/>
                <w:szCs w:val="16"/>
              </w:rPr>
            </w:pPr>
            <w:r>
              <w:rPr>
                <w:rFonts w:ascii="Calibri" w:hAnsi="Calibri"/>
                <w:b/>
                <w:bCs/>
                <w:noProof/>
                <w:color w:val="000000"/>
                <w:sz w:val="22"/>
              </w:rPr>
              <w:t>17,006</w:t>
            </w:r>
          </w:p>
        </w:tc>
        <w:tc>
          <w:tcPr>
            <w:tcW w:w="1080"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b/>
                <w:noProof/>
                <w:sz w:val="16"/>
                <w:szCs w:val="16"/>
              </w:rPr>
            </w:pPr>
            <w:r>
              <w:rPr>
                <w:rFonts w:ascii="Calibri" w:hAnsi="Calibri"/>
                <w:b/>
                <w:bCs/>
                <w:noProof/>
                <w:color w:val="000000"/>
                <w:sz w:val="22"/>
              </w:rPr>
              <w:t>17,006</w:t>
            </w:r>
          </w:p>
        </w:tc>
        <w:tc>
          <w:tcPr>
            <w:tcW w:w="1080"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b/>
                <w:noProof/>
                <w:sz w:val="16"/>
                <w:szCs w:val="16"/>
              </w:rPr>
            </w:pPr>
            <w:r>
              <w:rPr>
                <w:rFonts w:ascii="Calibri" w:hAnsi="Calibri"/>
                <w:b/>
                <w:bCs/>
                <w:noProof/>
                <w:color w:val="000000"/>
                <w:sz w:val="22"/>
              </w:rPr>
              <w:t>17,006</w:t>
            </w:r>
          </w:p>
        </w:tc>
        <w:tc>
          <w:tcPr>
            <w:tcW w:w="1080" w:type="dxa"/>
            <w:tcBorders>
              <w:top w:val="single" w:sz="12" w:space="0" w:color="auto"/>
              <w:left w:val="single" w:sz="2" w:space="0" w:color="auto"/>
              <w:bottom w:val="single" w:sz="12" w:space="0" w:color="auto"/>
              <w:right w:val="single" w:sz="12" w:space="0" w:color="auto"/>
            </w:tcBorders>
            <w:vAlign w:val="bottom"/>
          </w:tcPr>
          <w:p>
            <w:pPr>
              <w:spacing w:before="60" w:after="60" w:line="200" w:lineRule="exact"/>
              <w:jc w:val="right"/>
              <w:rPr>
                <w:b/>
                <w:noProof/>
                <w:sz w:val="16"/>
                <w:szCs w:val="16"/>
              </w:rPr>
            </w:pPr>
            <w:r>
              <w:rPr>
                <w:rFonts w:ascii="Calibri" w:hAnsi="Calibri"/>
                <w:b/>
                <w:bCs/>
                <w:noProof/>
                <w:color w:val="000000"/>
                <w:sz w:val="22"/>
              </w:rPr>
              <w:t>105,356</w:t>
            </w:r>
          </w:p>
        </w:tc>
      </w:tr>
    </w:tbl>
    <w:p>
      <w:pPr>
        <w:rPr>
          <w:noProof/>
          <w:sz w:val="18"/>
        </w:rPr>
      </w:pPr>
      <w:r>
        <w:rPr>
          <w:noProof/>
          <w:sz w:val="18"/>
        </w:rPr>
        <w:t>Les besoins en crédits pour les ressources humaines et les autres dépenses de nature administrative seront couverts par les crédits de la Commission déjà affectés à la gestion de l’action et/ou redéployés en interne au sein de la Commission, complétés si nécessaire par toute dotation additionnelle qui pourrait être allouée à la DG gestionnaire dans le cadre de la procédure d’allocation annuelle et compte tenu des contraintes budgétaires existantes.</w:t>
      </w:r>
    </w:p>
    <w:p>
      <w:pPr>
        <w:rPr>
          <w:noProof/>
          <w:sz w:val="18"/>
        </w:rPr>
      </w:pPr>
    </w:p>
    <w:p>
      <w:pPr>
        <w:rPr>
          <w:noProof/>
          <w:sz w:val="18"/>
        </w:rPr>
      </w:pPr>
    </w:p>
    <w:p>
      <w:pPr>
        <w:rPr>
          <w:noProof/>
          <w:sz w:val="18"/>
        </w:rPr>
      </w:pPr>
    </w:p>
    <w:p>
      <w:pPr>
        <w:pStyle w:val="ManualHeading4"/>
        <w:rPr>
          <w:bCs/>
          <w:noProof/>
          <w:szCs w:val="24"/>
        </w:rPr>
      </w:pPr>
      <w:r>
        <w:t>3.2.3.1.</w:t>
      </w:r>
      <w:r>
        <w:tab/>
      </w:r>
      <w:r>
        <w:rPr>
          <w:noProof/>
        </w:rPr>
        <w:t xml:space="preserve">Besoins estimés en ressources humaines </w:t>
      </w:r>
    </w:p>
    <w:p>
      <w:pPr>
        <w:pStyle w:val="ListDash1"/>
        <w:numPr>
          <w:ilvl w:val="0"/>
          <w:numId w:val="19"/>
        </w:numPr>
        <w:spacing w:before="120" w:after="120"/>
        <w:rPr>
          <w:noProof/>
          <w:lang w:val="fr-FR"/>
        </w:rPr>
      </w:pPr>
      <w:r>
        <w:rPr>
          <w:noProof/>
          <w:lang w:val="fr-FR"/>
        </w:rPr>
        <w:sym w:font="Wingdings" w:char="F0A8"/>
      </w:r>
      <w:r>
        <w:rPr>
          <w:noProof/>
          <w:lang w:val="fr-FR"/>
        </w:rPr>
        <w:t xml:space="preserve">La proposition/l’initiative n’engendre pas l’utilisation de ressources humaines. </w:t>
      </w:r>
    </w:p>
    <w:p>
      <w:pPr>
        <w:pStyle w:val="ListDash1"/>
        <w:numPr>
          <w:ilvl w:val="0"/>
          <w:numId w:val="19"/>
        </w:numPr>
        <w:spacing w:before="120" w:after="120"/>
        <w:rPr>
          <w:noProof/>
          <w:lang w:val="fr-FR"/>
        </w:rPr>
      </w:pPr>
      <w:r>
        <w:rPr>
          <w:noProof/>
          <w:lang w:val="fr-FR"/>
        </w:rPr>
        <w:t>X</w:t>
      </w:r>
      <w:r>
        <w:rPr>
          <w:noProof/>
          <w:lang w:val="fr-FR"/>
        </w:rPr>
        <w:tab/>
        <w:t>La proposition/l’initiative engendre l’utilisation de ressources humaines, comme expliqué ci-après:</w:t>
      </w:r>
    </w:p>
    <w:p>
      <w:pPr>
        <w:spacing w:after="60"/>
        <w:jc w:val="right"/>
        <w:rPr>
          <w:i/>
          <w:noProof/>
          <w:sz w:val="20"/>
        </w:rPr>
      </w:pPr>
      <w:r>
        <w:rPr>
          <w:i/>
          <w:noProof/>
          <w:sz w:val="20"/>
        </w:rPr>
        <w:t>Estimation à exprimer en équivalents temps plein</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31"/>
        <w:gridCol w:w="731"/>
        <w:gridCol w:w="731"/>
        <w:gridCol w:w="731"/>
        <w:gridCol w:w="731"/>
      </w:tblGrid>
      <w:tr>
        <w:trPr>
          <w:gridBefore w:val="1"/>
          <w:wBefore w:w="15" w:type="dxa"/>
          <w:trHeight w:val="289"/>
          <w:jc w:val="center"/>
        </w:trPr>
        <w:tc>
          <w:tcPr>
            <w:tcW w:w="4754" w:type="dxa"/>
            <w:gridSpan w:val="2"/>
            <w:shd w:val="clear" w:color="auto" w:fill="auto"/>
          </w:tcPr>
          <w:p>
            <w:pPr>
              <w:pStyle w:val="Text1"/>
              <w:spacing w:before="40" w:after="40"/>
              <w:ind w:left="0"/>
              <w:jc w:val="center"/>
              <w:rPr>
                <w:i/>
                <w:noProof/>
                <w:sz w:val="16"/>
                <w:szCs w:val="16"/>
              </w:rPr>
            </w:pPr>
          </w:p>
        </w:tc>
        <w:tc>
          <w:tcPr>
            <w:tcW w:w="731" w:type="dxa"/>
            <w:shd w:val="clear" w:color="auto" w:fill="auto"/>
            <w:vAlign w:val="center"/>
          </w:tcPr>
          <w:p>
            <w:pPr>
              <w:spacing w:before="20" w:after="20"/>
              <w:jc w:val="center"/>
              <w:rPr>
                <w:noProof/>
                <w:sz w:val="16"/>
                <w:szCs w:val="16"/>
              </w:rPr>
            </w:pPr>
            <w:r>
              <w:rPr>
                <w:b/>
                <w:noProof/>
                <w:sz w:val="20"/>
              </w:rPr>
              <w:t>2021</w:t>
            </w:r>
          </w:p>
        </w:tc>
        <w:tc>
          <w:tcPr>
            <w:tcW w:w="731" w:type="dxa"/>
            <w:shd w:val="clear" w:color="auto" w:fill="auto"/>
            <w:vAlign w:val="center"/>
          </w:tcPr>
          <w:p>
            <w:pPr>
              <w:spacing w:before="20" w:after="20"/>
              <w:jc w:val="center"/>
              <w:rPr>
                <w:noProof/>
                <w:sz w:val="16"/>
                <w:szCs w:val="16"/>
              </w:rPr>
            </w:pPr>
            <w:r>
              <w:rPr>
                <w:b/>
                <w:noProof/>
                <w:sz w:val="20"/>
              </w:rPr>
              <w:t>2022</w:t>
            </w:r>
          </w:p>
        </w:tc>
        <w:tc>
          <w:tcPr>
            <w:tcW w:w="731" w:type="dxa"/>
            <w:shd w:val="clear" w:color="auto" w:fill="auto"/>
            <w:vAlign w:val="center"/>
          </w:tcPr>
          <w:p>
            <w:pPr>
              <w:spacing w:before="20" w:after="20"/>
              <w:jc w:val="center"/>
              <w:rPr>
                <w:noProof/>
                <w:sz w:val="16"/>
                <w:szCs w:val="16"/>
              </w:rPr>
            </w:pPr>
            <w:r>
              <w:rPr>
                <w:b/>
                <w:noProof/>
                <w:sz w:val="20"/>
              </w:rPr>
              <w:t>2023</w:t>
            </w:r>
          </w:p>
        </w:tc>
        <w:tc>
          <w:tcPr>
            <w:tcW w:w="731" w:type="dxa"/>
            <w:shd w:val="clear" w:color="auto" w:fill="auto"/>
            <w:vAlign w:val="center"/>
          </w:tcPr>
          <w:p>
            <w:pPr>
              <w:spacing w:before="20" w:after="20"/>
              <w:jc w:val="center"/>
              <w:rPr>
                <w:noProof/>
                <w:sz w:val="16"/>
                <w:szCs w:val="16"/>
              </w:rPr>
            </w:pPr>
            <w:r>
              <w:rPr>
                <w:b/>
                <w:noProof/>
                <w:sz w:val="20"/>
              </w:rPr>
              <w:t>2024</w:t>
            </w:r>
          </w:p>
        </w:tc>
        <w:tc>
          <w:tcPr>
            <w:tcW w:w="731" w:type="dxa"/>
            <w:shd w:val="clear" w:color="auto" w:fill="auto"/>
            <w:vAlign w:val="center"/>
          </w:tcPr>
          <w:p>
            <w:pPr>
              <w:jc w:val="center"/>
              <w:rPr>
                <w:b/>
                <w:noProof/>
                <w:sz w:val="16"/>
                <w:szCs w:val="16"/>
              </w:rPr>
            </w:pPr>
            <w:r>
              <w:rPr>
                <w:b/>
                <w:noProof/>
                <w:sz w:val="18"/>
              </w:rPr>
              <w:t>2025</w:t>
            </w:r>
          </w:p>
        </w:tc>
        <w:tc>
          <w:tcPr>
            <w:tcW w:w="731" w:type="dxa"/>
            <w:shd w:val="clear" w:color="auto" w:fill="auto"/>
            <w:vAlign w:val="center"/>
          </w:tcPr>
          <w:p>
            <w:pPr>
              <w:jc w:val="center"/>
              <w:rPr>
                <w:b/>
                <w:noProof/>
                <w:sz w:val="16"/>
                <w:szCs w:val="16"/>
              </w:rPr>
            </w:pPr>
            <w:r>
              <w:rPr>
                <w:b/>
                <w:noProof/>
                <w:sz w:val="16"/>
                <w:szCs w:val="16"/>
              </w:rPr>
              <w:t>2026</w:t>
            </w:r>
          </w:p>
        </w:tc>
        <w:tc>
          <w:tcPr>
            <w:tcW w:w="731" w:type="dxa"/>
            <w:shd w:val="clear" w:color="auto" w:fill="auto"/>
            <w:vAlign w:val="center"/>
          </w:tcPr>
          <w:p>
            <w:pPr>
              <w:jc w:val="center"/>
              <w:rPr>
                <w:b/>
                <w:noProof/>
                <w:sz w:val="16"/>
                <w:szCs w:val="16"/>
              </w:rPr>
            </w:pPr>
            <w:r>
              <w:rPr>
                <w:b/>
                <w:noProof/>
                <w:sz w:val="16"/>
                <w:szCs w:val="16"/>
              </w:rPr>
              <w:t>2027</w:t>
            </w:r>
          </w:p>
        </w:tc>
      </w:tr>
      <w:tr>
        <w:trPr>
          <w:gridBefore w:val="1"/>
          <w:wBefore w:w="15" w:type="dxa"/>
          <w:trHeight w:val="289"/>
          <w:jc w:val="center"/>
        </w:trPr>
        <w:tc>
          <w:tcPr>
            <w:tcW w:w="9871" w:type="dxa"/>
            <w:gridSpan w:val="9"/>
            <w:shd w:val="clear" w:color="auto" w:fill="auto"/>
          </w:tcPr>
          <w:p>
            <w:pPr>
              <w:jc w:val="left"/>
              <w:rPr>
                <w:noProof/>
                <w:sz w:val="16"/>
                <w:szCs w:val="16"/>
              </w:rPr>
            </w:pPr>
            <w:r>
              <w:rPr>
                <w:b/>
                <w:noProof/>
                <w:sz w:val="16"/>
              </w:rPr>
              <w:sym w:font="Wingdings" w:char="F09F"/>
            </w:r>
            <w:r>
              <w:rPr>
                <w:b/>
                <w:noProof/>
                <w:sz w:val="16"/>
              </w:rPr>
              <w:t>Emplois du tableau des effectifs (fonctionnaires et agents temporaires)</w:t>
            </w: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4"/>
              <w:jc w:val="left"/>
              <w:rPr>
                <w:b/>
                <w:noProof/>
                <w:sz w:val="16"/>
                <w:szCs w:val="16"/>
              </w:rPr>
            </w:pPr>
            <w:r>
              <w:rPr>
                <w:noProof/>
                <w:sz w:val="16"/>
              </w:rPr>
              <w:t>20 01 02 01</w:t>
            </w:r>
            <w:r>
              <w:rPr>
                <w:rFonts w:ascii="Arial Narrow" w:hAnsi="Arial Narrow"/>
                <w:noProof/>
                <w:color w:val="000000"/>
                <w:sz w:val="20"/>
                <w:szCs w:val="20"/>
              </w:rPr>
              <w:t xml:space="preserve"> </w:t>
            </w:r>
            <w:r>
              <w:rPr>
                <w:noProof/>
                <w:sz w:val="16"/>
              </w:rPr>
              <w:t>(au siège et dans les bureaux de représentation de la Commission)</w:t>
            </w:r>
          </w:p>
        </w:tc>
        <w:tc>
          <w:tcPr>
            <w:tcW w:w="731" w:type="dxa"/>
            <w:shd w:val="clear" w:color="auto" w:fill="auto"/>
            <w:vAlign w:val="center"/>
          </w:tcPr>
          <w:p>
            <w:pPr>
              <w:spacing w:beforeLines="20" w:before="48" w:afterLines="20" w:after="48"/>
              <w:jc w:val="center"/>
              <w:rPr>
                <w:noProof/>
                <w:sz w:val="16"/>
                <w:szCs w:val="16"/>
              </w:rPr>
            </w:pPr>
            <w:r>
              <w:rPr>
                <w:noProof/>
                <w:sz w:val="16"/>
                <w:szCs w:val="16"/>
              </w:rPr>
              <w:t>38</w:t>
            </w:r>
          </w:p>
        </w:tc>
        <w:tc>
          <w:tcPr>
            <w:tcW w:w="731" w:type="dxa"/>
            <w:shd w:val="clear" w:color="auto" w:fill="auto"/>
            <w:vAlign w:val="center"/>
          </w:tcPr>
          <w:p>
            <w:pPr>
              <w:spacing w:beforeLines="20" w:before="48" w:afterLines="20" w:after="48"/>
              <w:jc w:val="center"/>
              <w:rPr>
                <w:noProof/>
                <w:sz w:val="16"/>
                <w:szCs w:val="16"/>
              </w:rPr>
            </w:pPr>
            <w:r>
              <w:rPr>
                <w:noProof/>
                <w:sz w:val="16"/>
                <w:szCs w:val="16"/>
              </w:rPr>
              <w:t>59</w:t>
            </w:r>
          </w:p>
        </w:tc>
        <w:tc>
          <w:tcPr>
            <w:tcW w:w="731" w:type="dxa"/>
            <w:shd w:val="clear" w:color="auto" w:fill="auto"/>
          </w:tcPr>
          <w:p>
            <w:pPr>
              <w:spacing w:beforeLines="20" w:before="48" w:afterLines="20" w:after="48"/>
              <w:jc w:val="center"/>
              <w:rPr>
                <w:noProof/>
                <w:sz w:val="16"/>
                <w:szCs w:val="16"/>
              </w:rPr>
            </w:pPr>
            <w:r>
              <w:rPr>
                <w:noProof/>
                <w:sz w:val="16"/>
                <w:szCs w:val="16"/>
              </w:rPr>
              <w:t>82</w:t>
            </w:r>
          </w:p>
        </w:tc>
        <w:tc>
          <w:tcPr>
            <w:tcW w:w="731" w:type="dxa"/>
            <w:shd w:val="clear" w:color="auto" w:fill="auto"/>
          </w:tcPr>
          <w:p>
            <w:pPr>
              <w:spacing w:beforeLines="20" w:before="48" w:afterLines="20" w:after="48"/>
              <w:jc w:val="center"/>
              <w:rPr>
                <w:noProof/>
                <w:sz w:val="16"/>
                <w:szCs w:val="16"/>
              </w:rPr>
            </w:pPr>
            <w:r>
              <w:rPr>
                <w:noProof/>
                <w:sz w:val="16"/>
                <w:szCs w:val="16"/>
              </w:rPr>
              <w:t>82</w:t>
            </w:r>
          </w:p>
        </w:tc>
        <w:tc>
          <w:tcPr>
            <w:tcW w:w="731" w:type="dxa"/>
            <w:shd w:val="clear" w:color="auto" w:fill="auto"/>
          </w:tcPr>
          <w:p>
            <w:pPr>
              <w:spacing w:beforeLines="20" w:before="48" w:afterLines="20" w:after="48"/>
              <w:jc w:val="center"/>
              <w:rPr>
                <w:noProof/>
                <w:sz w:val="16"/>
                <w:szCs w:val="16"/>
              </w:rPr>
            </w:pPr>
            <w:r>
              <w:rPr>
                <w:noProof/>
                <w:sz w:val="16"/>
                <w:szCs w:val="16"/>
              </w:rPr>
              <w:t>82</w:t>
            </w:r>
          </w:p>
        </w:tc>
        <w:tc>
          <w:tcPr>
            <w:tcW w:w="731" w:type="dxa"/>
            <w:shd w:val="clear" w:color="auto" w:fill="auto"/>
          </w:tcPr>
          <w:p>
            <w:pPr>
              <w:spacing w:beforeLines="20" w:before="48" w:afterLines="20" w:after="48"/>
              <w:jc w:val="center"/>
              <w:rPr>
                <w:noProof/>
                <w:sz w:val="16"/>
                <w:szCs w:val="16"/>
              </w:rPr>
            </w:pPr>
            <w:r>
              <w:rPr>
                <w:noProof/>
                <w:sz w:val="16"/>
                <w:szCs w:val="16"/>
              </w:rPr>
              <w:t>82</w:t>
            </w:r>
          </w:p>
        </w:tc>
        <w:tc>
          <w:tcPr>
            <w:tcW w:w="731" w:type="dxa"/>
            <w:shd w:val="clear" w:color="auto" w:fill="auto"/>
          </w:tcPr>
          <w:p>
            <w:pPr>
              <w:spacing w:beforeLines="20" w:before="48" w:afterLines="20" w:after="48"/>
              <w:jc w:val="center"/>
              <w:rPr>
                <w:noProof/>
                <w:sz w:val="16"/>
                <w:szCs w:val="16"/>
              </w:rPr>
            </w:pPr>
            <w:r>
              <w:rPr>
                <w:noProof/>
                <w:sz w:val="16"/>
                <w:szCs w:val="16"/>
              </w:rPr>
              <w:t>82</w:t>
            </w: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4"/>
              <w:jc w:val="left"/>
              <w:rPr>
                <w:noProof/>
                <w:sz w:val="16"/>
              </w:rPr>
            </w:pPr>
            <w:r>
              <w:rPr>
                <w:noProof/>
                <w:sz w:val="16"/>
              </w:rPr>
              <w:t>20 01 02 03 (en délégation)</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01 01 01 01</w:t>
            </w:r>
            <w:r>
              <w:rPr>
                <w:rFonts w:ascii="Arial Narrow" w:hAnsi="Arial Narrow"/>
                <w:noProof/>
                <w:color w:val="000000"/>
                <w:sz w:val="20"/>
                <w:szCs w:val="20"/>
              </w:rPr>
              <w:t xml:space="preserve"> </w:t>
            </w:r>
            <w:r>
              <w:rPr>
                <w:noProof/>
                <w:sz w:val="16"/>
              </w:rPr>
              <w:t xml:space="preserve"> (recherche indirecte)</w:t>
            </w:r>
          </w:p>
        </w:tc>
        <w:tc>
          <w:tcPr>
            <w:tcW w:w="731" w:type="dxa"/>
            <w:shd w:val="clear" w:color="auto" w:fill="auto"/>
            <w:vAlign w:val="center"/>
          </w:tcPr>
          <w:p>
            <w:pPr>
              <w:spacing w:beforeLines="20" w:before="48" w:afterLines="20" w:after="48"/>
              <w:jc w:val="center"/>
              <w:rPr>
                <w:noProof/>
                <w:sz w:val="16"/>
                <w:szCs w:val="16"/>
              </w:rPr>
            </w:pPr>
            <w:r>
              <w:rPr>
                <w:noProof/>
                <w:sz w:val="16"/>
                <w:szCs w:val="16"/>
              </w:rPr>
              <w:t>6</w:t>
            </w:r>
          </w:p>
        </w:tc>
        <w:tc>
          <w:tcPr>
            <w:tcW w:w="731" w:type="dxa"/>
            <w:shd w:val="clear" w:color="auto" w:fill="auto"/>
            <w:vAlign w:val="center"/>
          </w:tcPr>
          <w:p>
            <w:pPr>
              <w:spacing w:beforeLines="20" w:before="48" w:afterLines="20" w:after="48"/>
              <w:jc w:val="center"/>
              <w:rPr>
                <w:noProof/>
                <w:sz w:val="16"/>
                <w:szCs w:val="16"/>
              </w:rPr>
            </w:pPr>
            <w:r>
              <w:rPr>
                <w:noProof/>
                <w:sz w:val="16"/>
                <w:szCs w:val="16"/>
              </w:rPr>
              <w:t>6</w:t>
            </w:r>
          </w:p>
        </w:tc>
        <w:tc>
          <w:tcPr>
            <w:tcW w:w="731" w:type="dxa"/>
            <w:shd w:val="clear" w:color="auto" w:fill="auto"/>
            <w:vAlign w:val="center"/>
          </w:tcPr>
          <w:p>
            <w:pPr>
              <w:spacing w:beforeLines="20" w:before="48" w:afterLines="20" w:after="48"/>
              <w:jc w:val="center"/>
              <w:rPr>
                <w:noProof/>
                <w:sz w:val="16"/>
                <w:szCs w:val="16"/>
              </w:rPr>
            </w:pPr>
            <w:r>
              <w:rPr>
                <w:noProof/>
                <w:sz w:val="16"/>
                <w:szCs w:val="16"/>
              </w:rPr>
              <w:t>7</w:t>
            </w:r>
          </w:p>
        </w:tc>
        <w:tc>
          <w:tcPr>
            <w:tcW w:w="731" w:type="dxa"/>
            <w:shd w:val="clear" w:color="auto" w:fill="auto"/>
          </w:tcPr>
          <w:p>
            <w:pPr>
              <w:spacing w:beforeLines="20" w:before="48" w:afterLines="20" w:after="48"/>
              <w:jc w:val="center"/>
              <w:rPr>
                <w:noProof/>
                <w:sz w:val="16"/>
                <w:szCs w:val="16"/>
              </w:rPr>
            </w:pPr>
            <w:r>
              <w:rPr>
                <w:noProof/>
                <w:sz w:val="16"/>
                <w:szCs w:val="16"/>
              </w:rPr>
              <w:t>7</w:t>
            </w:r>
          </w:p>
        </w:tc>
        <w:tc>
          <w:tcPr>
            <w:tcW w:w="731" w:type="dxa"/>
            <w:shd w:val="clear" w:color="auto" w:fill="auto"/>
          </w:tcPr>
          <w:p>
            <w:pPr>
              <w:spacing w:beforeLines="20" w:before="48" w:afterLines="20" w:after="48"/>
              <w:jc w:val="center"/>
              <w:rPr>
                <w:noProof/>
                <w:sz w:val="16"/>
                <w:szCs w:val="16"/>
              </w:rPr>
            </w:pPr>
            <w:r>
              <w:rPr>
                <w:noProof/>
                <w:sz w:val="16"/>
                <w:szCs w:val="16"/>
              </w:rPr>
              <w:t>7</w:t>
            </w:r>
          </w:p>
        </w:tc>
        <w:tc>
          <w:tcPr>
            <w:tcW w:w="731" w:type="dxa"/>
            <w:shd w:val="clear" w:color="auto" w:fill="auto"/>
          </w:tcPr>
          <w:p>
            <w:pPr>
              <w:spacing w:beforeLines="20" w:before="48" w:afterLines="20" w:after="48"/>
              <w:jc w:val="center"/>
              <w:rPr>
                <w:noProof/>
                <w:sz w:val="16"/>
                <w:szCs w:val="16"/>
              </w:rPr>
            </w:pPr>
            <w:r>
              <w:rPr>
                <w:noProof/>
                <w:sz w:val="16"/>
                <w:szCs w:val="16"/>
              </w:rPr>
              <w:t>7</w:t>
            </w:r>
          </w:p>
        </w:tc>
        <w:tc>
          <w:tcPr>
            <w:tcW w:w="731" w:type="dxa"/>
            <w:shd w:val="clear" w:color="auto" w:fill="auto"/>
          </w:tcPr>
          <w:p>
            <w:pPr>
              <w:spacing w:beforeLines="20" w:before="48" w:afterLines="20" w:after="48"/>
              <w:jc w:val="center"/>
              <w:rPr>
                <w:noProof/>
                <w:sz w:val="16"/>
                <w:szCs w:val="16"/>
              </w:rPr>
            </w:pPr>
            <w:r>
              <w:rPr>
                <w:noProof/>
                <w:sz w:val="16"/>
                <w:szCs w:val="16"/>
              </w:rPr>
              <w:t>7</w:t>
            </w: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4"/>
              <w:jc w:val="left"/>
              <w:rPr>
                <w:noProof/>
                <w:sz w:val="16"/>
                <w:szCs w:val="16"/>
              </w:rPr>
            </w:pPr>
            <w:r>
              <w:rPr>
                <w:noProof/>
                <w:sz w:val="16"/>
              </w:rPr>
              <w:t xml:space="preserve"> 01 01 01 11 (recherche directe)</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4"/>
              <w:jc w:val="left"/>
              <w:rPr>
                <w:noProof/>
                <w:sz w:val="16"/>
              </w:rPr>
            </w:pPr>
            <w:r>
              <w:rPr>
                <w:noProof/>
                <w:sz w:val="16"/>
              </w:rPr>
              <w:t>Autres lignes budgétaires (à préciser)</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trHeight w:val="248"/>
          <w:jc w:val="center"/>
        </w:trPr>
        <w:tc>
          <w:tcPr>
            <w:tcW w:w="9886" w:type="dxa"/>
            <w:gridSpan w:val="10"/>
            <w:shd w:val="clear" w:color="auto" w:fill="auto"/>
            <w:vAlign w:val="center"/>
          </w:tcPr>
          <w:p>
            <w:pPr>
              <w:pStyle w:val="Text1"/>
              <w:spacing w:before="60" w:after="60"/>
              <w:ind w:left="0"/>
              <w:jc w:val="left"/>
              <w:rPr>
                <w:b/>
                <w:noProof/>
                <w:sz w:val="16"/>
                <w:szCs w:val="16"/>
              </w:rPr>
            </w:pPr>
            <w:r>
              <w:rPr>
                <w:b/>
                <w:noProof/>
                <w:sz w:val="16"/>
              </w:rPr>
              <w:sym w:font="Wingdings" w:char="F09F"/>
            </w:r>
            <w:r>
              <w:rPr>
                <w:b/>
                <w:noProof/>
                <w:sz w:val="16"/>
              </w:rPr>
              <w:t>Personnel externe (en équivalents temps plein: ETP)</w:t>
            </w:r>
            <w:r>
              <w:rPr>
                <w:rStyle w:val="FootnoteReference"/>
                <w:b/>
                <w:noProof/>
                <w:sz w:val="16"/>
              </w:rPr>
              <w:footnoteReference w:id="44"/>
            </w:r>
          </w:p>
          <w:p>
            <w:pPr>
              <w:pStyle w:val="Text1"/>
              <w:spacing w:before="0" w:after="0"/>
              <w:ind w:left="0"/>
              <w:jc w:val="left"/>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6"/>
              <w:jc w:val="left"/>
              <w:rPr>
                <w:b/>
                <w:noProof/>
                <w:sz w:val="16"/>
                <w:szCs w:val="16"/>
              </w:rPr>
            </w:pPr>
            <w:r>
              <w:rPr>
                <w:noProof/>
                <w:sz w:val="16"/>
              </w:rPr>
              <w:t>20 02 01</w:t>
            </w:r>
            <w:r>
              <w:rPr>
                <w:rFonts w:ascii="Arial Narrow" w:hAnsi="Arial Narrow"/>
                <w:noProof/>
                <w:color w:val="000000"/>
                <w:sz w:val="20"/>
                <w:szCs w:val="20"/>
              </w:rPr>
              <w:t xml:space="preserve"> </w:t>
            </w:r>
            <w:r>
              <w:rPr>
                <w:noProof/>
                <w:sz w:val="16"/>
              </w:rPr>
              <w:t>(AC, END, INT de l’enveloppe globale)</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r>
              <w:rPr>
                <w:noProof/>
                <w:sz w:val="16"/>
                <w:szCs w:val="16"/>
              </w:rPr>
              <w:t>26</w:t>
            </w:r>
          </w:p>
        </w:tc>
        <w:tc>
          <w:tcPr>
            <w:tcW w:w="731" w:type="dxa"/>
            <w:shd w:val="clear" w:color="auto" w:fill="auto"/>
          </w:tcPr>
          <w:p>
            <w:pPr>
              <w:spacing w:beforeLines="20" w:before="48" w:afterLines="20" w:after="48"/>
              <w:jc w:val="center"/>
              <w:rPr>
                <w:noProof/>
                <w:sz w:val="16"/>
                <w:szCs w:val="16"/>
              </w:rPr>
            </w:pPr>
            <w:r>
              <w:rPr>
                <w:noProof/>
                <w:sz w:val="16"/>
                <w:szCs w:val="16"/>
              </w:rPr>
              <w:t>26</w:t>
            </w:r>
          </w:p>
        </w:tc>
        <w:tc>
          <w:tcPr>
            <w:tcW w:w="731" w:type="dxa"/>
            <w:shd w:val="clear" w:color="auto" w:fill="auto"/>
          </w:tcPr>
          <w:p>
            <w:pPr>
              <w:spacing w:beforeLines="20" w:before="48" w:afterLines="20" w:after="48"/>
              <w:jc w:val="center"/>
              <w:rPr>
                <w:noProof/>
                <w:sz w:val="16"/>
                <w:szCs w:val="16"/>
              </w:rPr>
            </w:pPr>
            <w:r>
              <w:rPr>
                <w:noProof/>
                <w:sz w:val="16"/>
                <w:szCs w:val="16"/>
              </w:rPr>
              <w:t>26</w:t>
            </w:r>
          </w:p>
        </w:tc>
        <w:tc>
          <w:tcPr>
            <w:tcW w:w="731" w:type="dxa"/>
            <w:shd w:val="clear" w:color="auto" w:fill="auto"/>
          </w:tcPr>
          <w:p>
            <w:pPr>
              <w:spacing w:beforeLines="20" w:before="48" w:afterLines="20" w:after="48"/>
              <w:jc w:val="center"/>
              <w:rPr>
                <w:noProof/>
                <w:sz w:val="16"/>
                <w:szCs w:val="16"/>
              </w:rPr>
            </w:pPr>
            <w:r>
              <w:rPr>
                <w:noProof/>
                <w:sz w:val="16"/>
                <w:szCs w:val="16"/>
              </w:rPr>
              <w:t>26</w:t>
            </w:r>
          </w:p>
        </w:tc>
        <w:tc>
          <w:tcPr>
            <w:tcW w:w="731" w:type="dxa"/>
            <w:shd w:val="clear" w:color="auto" w:fill="auto"/>
          </w:tcPr>
          <w:p>
            <w:pPr>
              <w:spacing w:beforeLines="20" w:before="48" w:afterLines="20" w:after="48"/>
              <w:jc w:val="center"/>
              <w:rPr>
                <w:noProof/>
                <w:sz w:val="16"/>
                <w:szCs w:val="16"/>
              </w:rPr>
            </w:pPr>
            <w:r>
              <w:rPr>
                <w:noProof/>
                <w:sz w:val="16"/>
                <w:szCs w:val="16"/>
              </w:rPr>
              <w:t>26</w:t>
            </w:r>
          </w:p>
        </w:tc>
        <w:tc>
          <w:tcPr>
            <w:tcW w:w="731" w:type="dxa"/>
            <w:shd w:val="clear" w:color="auto" w:fill="auto"/>
          </w:tcPr>
          <w:p>
            <w:pPr>
              <w:spacing w:beforeLines="20" w:before="48" w:afterLines="20" w:after="48"/>
              <w:jc w:val="center"/>
              <w:rPr>
                <w:noProof/>
                <w:sz w:val="16"/>
                <w:szCs w:val="16"/>
              </w:rPr>
            </w:pPr>
            <w:r>
              <w:rPr>
                <w:noProof/>
                <w:sz w:val="16"/>
                <w:szCs w:val="16"/>
              </w:rPr>
              <w:t>26</w:t>
            </w: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6"/>
              <w:jc w:val="left"/>
              <w:rPr>
                <w:noProof/>
                <w:sz w:val="16"/>
              </w:rPr>
            </w:pPr>
            <w:r>
              <w:rPr>
                <w:noProof/>
                <w:sz w:val="16"/>
              </w:rPr>
              <w:t>20 02 03 (AC, AL, END, INT et JPD dans les délégations)</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2376" w:type="dxa"/>
            <w:vMerge w:val="restart"/>
            <w:shd w:val="clear" w:color="auto" w:fill="auto"/>
            <w:vAlign w:val="center"/>
          </w:tcPr>
          <w:p>
            <w:pPr>
              <w:pStyle w:val="Text1"/>
              <w:spacing w:beforeLines="20" w:before="48" w:afterLines="20" w:after="48"/>
              <w:ind w:left="136"/>
              <w:jc w:val="left"/>
              <w:rPr>
                <w:b/>
                <w:noProof/>
                <w:sz w:val="16"/>
                <w:szCs w:val="16"/>
              </w:rPr>
            </w:pPr>
            <w:r>
              <w:rPr>
                <w:b/>
                <w:noProof/>
                <w:sz w:val="16"/>
                <w:szCs w:val="16"/>
              </w:rPr>
              <w:t>XX</w:t>
            </w:r>
            <w:r>
              <w:rPr>
                <w:noProof/>
                <w:sz w:val="16"/>
                <w:szCs w:val="16"/>
              </w:rPr>
              <w:t xml:space="preserve"> 01  xx </w:t>
            </w:r>
            <w:r>
              <w:rPr>
                <w:b/>
                <w:noProof/>
                <w:sz w:val="16"/>
                <w:szCs w:val="16"/>
              </w:rPr>
              <w:t xml:space="preserve">yy zz </w:t>
            </w:r>
            <w:r>
              <w:rPr>
                <w:b/>
                <w:i/>
                <w:noProof/>
                <w:sz w:val="16"/>
              </w:rPr>
              <w:t xml:space="preserve"> </w:t>
            </w:r>
            <w:r>
              <w:rPr>
                <w:rStyle w:val="FootnoteReference"/>
                <w:b/>
                <w:i/>
                <w:noProof/>
                <w:sz w:val="16"/>
              </w:rPr>
              <w:footnoteReference w:id="45"/>
            </w:r>
          </w:p>
          <w:p>
            <w:pPr>
              <w:pStyle w:val="Text1"/>
              <w:spacing w:beforeLines="20" w:before="48" w:afterLines="20" w:after="48"/>
              <w:ind w:left="136"/>
              <w:jc w:val="left"/>
              <w:rPr>
                <w:b/>
                <w:noProof/>
                <w:sz w:val="16"/>
                <w:szCs w:val="16"/>
              </w:rPr>
            </w:pPr>
          </w:p>
        </w:tc>
        <w:tc>
          <w:tcPr>
            <w:tcW w:w="2378" w:type="dxa"/>
            <w:shd w:val="clear" w:color="auto" w:fill="auto"/>
            <w:vAlign w:val="center"/>
          </w:tcPr>
          <w:p>
            <w:pPr>
              <w:pStyle w:val="Text1"/>
              <w:spacing w:beforeLines="20" w:before="48" w:afterLines="20" w:after="48"/>
              <w:ind w:left="136"/>
              <w:jc w:val="left"/>
              <w:rPr>
                <w:b/>
                <w:noProof/>
                <w:sz w:val="16"/>
                <w:szCs w:val="16"/>
              </w:rPr>
            </w:pPr>
            <w:r>
              <w:rPr>
                <w:noProof/>
                <w:sz w:val="16"/>
              </w:rPr>
              <w:t>- au siège</w:t>
            </w:r>
          </w:p>
          <w:p>
            <w:pPr>
              <w:pStyle w:val="Text1"/>
              <w:spacing w:beforeLines="20" w:before="48" w:afterLines="20" w:after="48"/>
              <w:ind w:left="136"/>
              <w:jc w:val="left"/>
              <w:rPr>
                <w:b/>
                <w:noProof/>
                <w:sz w:val="16"/>
                <w:szCs w:val="16"/>
              </w:rPr>
            </w:pPr>
          </w:p>
        </w:tc>
        <w:tc>
          <w:tcPr>
            <w:tcW w:w="731" w:type="dxa"/>
            <w:shd w:val="clear" w:color="auto" w:fill="auto"/>
            <w:vAlign w:val="center"/>
          </w:tcPr>
          <w:p>
            <w:pPr>
              <w:pStyle w:val="Text1"/>
              <w:spacing w:beforeLines="20" w:before="48" w:afterLines="20" w:after="48"/>
              <w:ind w:left="0"/>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2376" w:type="dxa"/>
            <w:vMerge/>
            <w:shd w:val="clear" w:color="auto" w:fill="auto"/>
            <w:vAlign w:val="center"/>
          </w:tcPr>
          <w:p>
            <w:pPr>
              <w:pStyle w:val="Text1"/>
              <w:spacing w:beforeLines="20" w:before="48" w:afterLines="20" w:after="48"/>
              <w:ind w:left="136"/>
              <w:jc w:val="left"/>
              <w:rPr>
                <w:b/>
                <w:noProof/>
                <w:sz w:val="16"/>
                <w:szCs w:val="16"/>
              </w:rPr>
            </w:pPr>
          </w:p>
        </w:tc>
        <w:tc>
          <w:tcPr>
            <w:tcW w:w="2378" w:type="dxa"/>
            <w:shd w:val="clear" w:color="auto" w:fill="auto"/>
            <w:vAlign w:val="center"/>
          </w:tcPr>
          <w:p>
            <w:pPr>
              <w:pStyle w:val="Text1"/>
              <w:spacing w:beforeLines="20" w:before="48" w:afterLines="20" w:after="48"/>
              <w:ind w:left="136"/>
              <w:jc w:val="left"/>
              <w:rPr>
                <w:b/>
                <w:noProof/>
                <w:sz w:val="16"/>
                <w:szCs w:val="16"/>
              </w:rPr>
            </w:pPr>
            <w:r>
              <w:rPr>
                <w:noProof/>
                <w:sz w:val="16"/>
              </w:rPr>
              <w:t xml:space="preserve">- en délégation </w:t>
            </w:r>
          </w:p>
        </w:tc>
        <w:tc>
          <w:tcPr>
            <w:tcW w:w="731" w:type="dxa"/>
            <w:shd w:val="clear" w:color="auto" w:fill="auto"/>
            <w:vAlign w:val="center"/>
          </w:tcPr>
          <w:p>
            <w:pPr>
              <w:pStyle w:val="Text1"/>
              <w:spacing w:beforeLines="20" w:before="48" w:afterLines="20" w:after="48"/>
              <w:ind w:left="0"/>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6"/>
              <w:jc w:val="left"/>
              <w:rPr>
                <w:noProof/>
                <w:sz w:val="16"/>
                <w:szCs w:val="16"/>
              </w:rPr>
            </w:pPr>
            <w:r>
              <w:rPr>
                <w:noProof/>
                <w:sz w:val="16"/>
              </w:rPr>
              <w:t>01 01 01 02</w:t>
            </w:r>
            <w:r>
              <w:rPr>
                <w:rFonts w:ascii="Arial Narrow" w:hAnsi="Arial Narrow"/>
                <w:noProof/>
                <w:color w:val="000000"/>
                <w:sz w:val="20"/>
                <w:szCs w:val="20"/>
              </w:rPr>
              <w:t xml:space="preserve"> </w:t>
            </w:r>
            <w:r>
              <w:rPr>
                <w:noProof/>
                <w:sz w:val="16"/>
                <w:szCs w:val="16"/>
              </w:rPr>
              <w:t>(AC, END, INT — recherche indirecte)</w:t>
            </w:r>
          </w:p>
        </w:tc>
        <w:tc>
          <w:tcPr>
            <w:tcW w:w="731" w:type="dxa"/>
            <w:shd w:val="clear" w:color="auto" w:fill="auto"/>
            <w:vAlign w:val="center"/>
          </w:tcPr>
          <w:p>
            <w:pPr>
              <w:spacing w:beforeLines="20" w:before="48" w:afterLines="20" w:after="48"/>
              <w:jc w:val="center"/>
              <w:rPr>
                <w:noProof/>
                <w:sz w:val="16"/>
                <w:szCs w:val="16"/>
              </w:rPr>
            </w:pPr>
            <w:r>
              <w:rPr>
                <w:noProof/>
                <w:sz w:val="16"/>
                <w:szCs w:val="16"/>
              </w:rPr>
              <w:t>4</w:t>
            </w:r>
          </w:p>
        </w:tc>
        <w:tc>
          <w:tcPr>
            <w:tcW w:w="731" w:type="dxa"/>
            <w:shd w:val="clear" w:color="auto" w:fill="auto"/>
          </w:tcPr>
          <w:p>
            <w:pPr>
              <w:spacing w:beforeLines="20" w:before="48" w:afterLines="20" w:after="48"/>
              <w:jc w:val="center"/>
              <w:rPr>
                <w:noProof/>
                <w:sz w:val="16"/>
                <w:szCs w:val="16"/>
              </w:rPr>
            </w:pPr>
            <w:r>
              <w:rPr>
                <w:noProof/>
                <w:sz w:val="16"/>
                <w:szCs w:val="16"/>
              </w:rPr>
              <w:t>5</w:t>
            </w:r>
          </w:p>
        </w:tc>
        <w:tc>
          <w:tcPr>
            <w:tcW w:w="731" w:type="dxa"/>
            <w:shd w:val="clear" w:color="auto" w:fill="auto"/>
          </w:tcPr>
          <w:p>
            <w:pPr>
              <w:spacing w:beforeLines="20" w:before="48" w:afterLines="20" w:after="48"/>
              <w:jc w:val="center"/>
              <w:rPr>
                <w:noProof/>
                <w:sz w:val="16"/>
                <w:szCs w:val="16"/>
              </w:rPr>
            </w:pPr>
            <w:r>
              <w:rPr>
                <w:noProof/>
                <w:sz w:val="16"/>
                <w:szCs w:val="16"/>
              </w:rPr>
              <w:t>5</w:t>
            </w:r>
          </w:p>
        </w:tc>
        <w:tc>
          <w:tcPr>
            <w:tcW w:w="731" w:type="dxa"/>
            <w:shd w:val="clear" w:color="auto" w:fill="auto"/>
          </w:tcPr>
          <w:p>
            <w:pPr>
              <w:spacing w:beforeLines="20" w:before="48" w:afterLines="20" w:after="48"/>
              <w:jc w:val="center"/>
              <w:rPr>
                <w:noProof/>
                <w:sz w:val="16"/>
                <w:szCs w:val="16"/>
              </w:rPr>
            </w:pPr>
            <w:r>
              <w:rPr>
                <w:noProof/>
                <w:sz w:val="16"/>
                <w:szCs w:val="16"/>
              </w:rPr>
              <w:t>5</w:t>
            </w:r>
          </w:p>
        </w:tc>
        <w:tc>
          <w:tcPr>
            <w:tcW w:w="731" w:type="dxa"/>
            <w:shd w:val="clear" w:color="auto" w:fill="auto"/>
          </w:tcPr>
          <w:p>
            <w:pPr>
              <w:spacing w:beforeLines="20" w:before="48" w:afterLines="20" w:after="48"/>
              <w:jc w:val="center"/>
              <w:rPr>
                <w:noProof/>
                <w:sz w:val="16"/>
                <w:szCs w:val="16"/>
              </w:rPr>
            </w:pPr>
            <w:r>
              <w:rPr>
                <w:noProof/>
                <w:sz w:val="16"/>
                <w:szCs w:val="16"/>
              </w:rPr>
              <w:t>5</w:t>
            </w:r>
          </w:p>
        </w:tc>
        <w:tc>
          <w:tcPr>
            <w:tcW w:w="731" w:type="dxa"/>
            <w:shd w:val="clear" w:color="auto" w:fill="auto"/>
          </w:tcPr>
          <w:p>
            <w:pPr>
              <w:spacing w:beforeLines="20" w:before="48" w:afterLines="20" w:after="48"/>
              <w:jc w:val="center"/>
              <w:rPr>
                <w:noProof/>
                <w:sz w:val="16"/>
                <w:szCs w:val="16"/>
              </w:rPr>
            </w:pPr>
            <w:r>
              <w:rPr>
                <w:noProof/>
                <w:sz w:val="16"/>
                <w:szCs w:val="16"/>
              </w:rPr>
              <w:t>5</w:t>
            </w:r>
          </w:p>
        </w:tc>
        <w:tc>
          <w:tcPr>
            <w:tcW w:w="731" w:type="dxa"/>
            <w:shd w:val="clear" w:color="auto" w:fill="auto"/>
          </w:tcPr>
          <w:p>
            <w:pPr>
              <w:spacing w:beforeLines="20" w:before="48" w:afterLines="20" w:after="48"/>
              <w:jc w:val="center"/>
              <w:rPr>
                <w:noProof/>
                <w:sz w:val="16"/>
                <w:szCs w:val="16"/>
              </w:rPr>
            </w:pPr>
            <w:r>
              <w:rPr>
                <w:noProof/>
                <w:sz w:val="16"/>
                <w:szCs w:val="16"/>
              </w:rPr>
              <w:t>5</w:t>
            </w: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6"/>
              <w:jc w:val="left"/>
              <w:rPr>
                <w:noProof/>
                <w:color w:val="FF0000"/>
                <w:sz w:val="16"/>
                <w:szCs w:val="16"/>
              </w:rPr>
            </w:pPr>
            <w:r>
              <w:rPr>
                <w:noProof/>
                <w:sz w:val="16"/>
              </w:rPr>
              <w:t xml:space="preserve"> 01 01 01 12 (AC, END, INT – recherche directe)</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shd w:val="clear" w:color="auto" w:fill="auto"/>
            <w:vAlign w:val="center"/>
          </w:tcPr>
          <w:p>
            <w:pPr>
              <w:pStyle w:val="Text1"/>
              <w:spacing w:beforeLines="20" w:before="48" w:afterLines="20" w:after="48"/>
              <w:ind w:left="136"/>
              <w:jc w:val="left"/>
              <w:rPr>
                <w:noProof/>
                <w:sz w:val="16"/>
              </w:rPr>
            </w:pPr>
            <w:r>
              <w:rPr>
                <w:noProof/>
                <w:sz w:val="16"/>
              </w:rPr>
              <w:t>Autres lignes budgétaires (à préciser)</w:t>
            </w: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c>
          <w:tcPr>
            <w:tcW w:w="731" w:type="dxa"/>
            <w:shd w:val="clear" w:color="auto" w:fill="auto"/>
            <w:vAlign w:val="center"/>
          </w:tcPr>
          <w:p>
            <w:pPr>
              <w:spacing w:beforeLines="20" w:before="48" w:afterLines="20" w:after="48"/>
              <w:jc w:val="center"/>
              <w:rPr>
                <w:noProof/>
                <w:sz w:val="16"/>
                <w:szCs w:val="16"/>
              </w:rPr>
            </w:pPr>
          </w:p>
        </w:tc>
      </w:tr>
      <w:tr>
        <w:trPr>
          <w:gridBefore w:val="1"/>
          <w:wBefore w:w="15" w:type="dxa"/>
          <w:trHeight w:val="289"/>
          <w:jc w:val="center"/>
        </w:trPr>
        <w:tc>
          <w:tcPr>
            <w:tcW w:w="4754" w:type="dxa"/>
            <w:gridSpan w:val="2"/>
            <w:tcBorders>
              <w:top w:val="double" w:sz="4" w:space="0" w:color="auto"/>
            </w:tcBorders>
            <w:shd w:val="clear" w:color="auto" w:fill="auto"/>
            <w:vAlign w:val="center"/>
          </w:tcPr>
          <w:p>
            <w:pPr>
              <w:pStyle w:val="Text1"/>
              <w:spacing w:beforeLines="20" w:before="48" w:afterLines="20" w:after="48"/>
              <w:ind w:left="136"/>
              <w:jc w:val="left"/>
              <w:rPr>
                <w:noProof/>
                <w:sz w:val="16"/>
                <w:szCs w:val="16"/>
              </w:rPr>
            </w:pPr>
            <w:r>
              <w:rPr>
                <w:b/>
                <w:noProof/>
                <w:sz w:val="16"/>
              </w:rPr>
              <w:t>TOTAL</w:t>
            </w:r>
          </w:p>
        </w:tc>
        <w:tc>
          <w:tcPr>
            <w:tcW w:w="731" w:type="dxa"/>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48</w:t>
            </w:r>
          </w:p>
        </w:tc>
        <w:tc>
          <w:tcPr>
            <w:tcW w:w="731" w:type="dxa"/>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96</w:t>
            </w:r>
          </w:p>
        </w:tc>
        <w:tc>
          <w:tcPr>
            <w:tcW w:w="731" w:type="dxa"/>
            <w:tcBorders>
              <w:top w:val="double" w:sz="4" w:space="0" w:color="auto"/>
            </w:tcBorders>
            <w:shd w:val="clear" w:color="auto" w:fill="auto"/>
          </w:tcPr>
          <w:p>
            <w:pPr>
              <w:spacing w:beforeLines="20" w:before="48" w:afterLines="20" w:after="48"/>
              <w:jc w:val="center"/>
              <w:rPr>
                <w:b/>
                <w:noProof/>
                <w:sz w:val="16"/>
                <w:szCs w:val="16"/>
              </w:rPr>
            </w:pPr>
            <w:r>
              <w:rPr>
                <w:b/>
                <w:noProof/>
                <w:sz w:val="16"/>
                <w:szCs w:val="16"/>
              </w:rPr>
              <w:t>120</w:t>
            </w:r>
          </w:p>
        </w:tc>
        <w:tc>
          <w:tcPr>
            <w:tcW w:w="731" w:type="dxa"/>
            <w:tcBorders>
              <w:top w:val="double" w:sz="4" w:space="0" w:color="auto"/>
            </w:tcBorders>
            <w:shd w:val="clear" w:color="auto" w:fill="auto"/>
          </w:tcPr>
          <w:p>
            <w:pPr>
              <w:spacing w:beforeLines="20" w:before="48" w:afterLines="20" w:after="48"/>
              <w:jc w:val="center"/>
              <w:rPr>
                <w:b/>
                <w:noProof/>
                <w:sz w:val="16"/>
                <w:szCs w:val="16"/>
              </w:rPr>
            </w:pPr>
            <w:r>
              <w:rPr>
                <w:b/>
                <w:noProof/>
                <w:sz w:val="16"/>
                <w:szCs w:val="16"/>
              </w:rPr>
              <w:t>120</w:t>
            </w:r>
          </w:p>
        </w:tc>
        <w:tc>
          <w:tcPr>
            <w:tcW w:w="731" w:type="dxa"/>
            <w:tcBorders>
              <w:top w:val="double" w:sz="4" w:space="0" w:color="auto"/>
            </w:tcBorders>
            <w:shd w:val="clear" w:color="auto" w:fill="auto"/>
          </w:tcPr>
          <w:p>
            <w:pPr>
              <w:spacing w:beforeLines="20" w:before="48" w:afterLines="20" w:after="48"/>
              <w:jc w:val="center"/>
              <w:rPr>
                <w:b/>
                <w:noProof/>
                <w:sz w:val="16"/>
                <w:szCs w:val="16"/>
              </w:rPr>
            </w:pPr>
            <w:r>
              <w:rPr>
                <w:b/>
                <w:noProof/>
                <w:sz w:val="16"/>
                <w:szCs w:val="16"/>
              </w:rPr>
              <w:t>120</w:t>
            </w:r>
          </w:p>
        </w:tc>
        <w:tc>
          <w:tcPr>
            <w:tcW w:w="731" w:type="dxa"/>
            <w:tcBorders>
              <w:top w:val="double" w:sz="4" w:space="0" w:color="auto"/>
            </w:tcBorders>
            <w:shd w:val="clear" w:color="auto" w:fill="auto"/>
          </w:tcPr>
          <w:p>
            <w:pPr>
              <w:spacing w:beforeLines="20" w:before="48" w:afterLines="20" w:after="48"/>
              <w:jc w:val="center"/>
              <w:rPr>
                <w:b/>
                <w:noProof/>
                <w:sz w:val="16"/>
                <w:szCs w:val="16"/>
              </w:rPr>
            </w:pPr>
            <w:r>
              <w:rPr>
                <w:b/>
                <w:noProof/>
                <w:sz w:val="16"/>
                <w:szCs w:val="16"/>
              </w:rPr>
              <w:t>120</w:t>
            </w:r>
          </w:p>
        </w:tc>
        <w:tc>
          <w:tcPr>
            <w:tcW w:w="731" w:type="dxa"/>
            <w:tcBorders>
              <w:top w:val="double" w:sz="4" w:space="0" w:color="auto"/>
            </w:tcBorders>
            <w:shd w:val="clear" w:color="auto" w:fill="auto"/>
          </w:tcPr>
          <w:p>
            <w:pPr>
              <w:spacing w:beforeLines="20" w:before="48" w:afterLines="20" w:after="48"/>
              <w:jc w:val="center"/>
              <w:rPr>
                <w:b/>
                <w:noProof/>
                <w:sz w:val="16"/>
                <w:szCs w:val="16"/>
              </w:rPr>
            </w:pPr>
            <w:r>
              <w:rPr>
                <w:b/>
                <w:noProof/>
                <w:sz w:val="16"/>
                <w:szCs w:val="16"/>
              </w:rPr>
              <w:t>120</w:t>
            </w:r>
          </w:p>
        </w:tc>
      </w:tr>
    </w:tbl>
    <w:p>
      <w:pPr>
        <w:pStyle w:val="Text1"/>
        <w:spacing w:before="60" w:after="60"/>
        <w:ind w:left="851"/>
        <w:rPr>
          <w:noProof/>
          <w:sz w:val="18"/>
          <w:szCs w:val="18"/>
        </w:rPr>
      </w:pPr>
      <w:r>
        <w:rPr>
          <w:b/>
          <w:noProof/>
          <w:sz w:val="18"/>
          <w:szCs w:val="18"/>
        </w:rPr>
        <w:t>XX</w:t>
      </w:r>
      <w:r>
        <w:rPr>
          <w:noProof/>
          <w:sz w:val="18"/>
          <w:szCs w:val="18"/>
        </w:rPr>
        <w:t xml:space="preserve"> est le domaine d’action ou le titre concerné.</w:t>
      </w:r>
    </w:p>
    <w:p>
      <w:pPr>
        <w:pStyle w:val="Text1"/>
        <w:rPr>
          <w:noProof/>
          <w:sz w:val="18"/>
        </w:rPr>
      </w:pPr>
      <w:r>
        <w:rPr>
          <w:noProof/>
          <w:sz w:val="18"/>
        </w:rPr>
        <w:t>Les besoins en crédits pour les ressources humaines et les autres dépenses de nature administrative seront couverts par les crédits de la Commission déjà affectés à la gestion de l’action et/ou redéployés en interne au sein de la Commission, complétés si nécessaire par toute dotation additionnelle qui pourrait être allouée à la DG gestionnaire dans le cadre de la procédure d’allocation annuelle et compte tenu des contraintes budgétaires existantes.</w:t>
      </w:r>
    </w:p>
    <w:p>
      <w:pPr>
        <w:pStyle w:val="Text1"/>
        <w:rPr>
          <w:noProof/>
          <w:sz w:val="18"/>
        </w:rPr>
      </w:pPr>
    </w:p>
    <w:p>
      <w:pPr>
        <w:jc w:val="left"/>
        <w:rPr>
          <w:noProof/>
          <w:sz w:val="18"/>
        </w:rPr>
        <w:sectPr>
          <w:headerReference w:type="default" r:id="rId21"/>
          <w:footerReference w:type="default" r:id="rId22"/>
          <w:headerReference w:type="first" r:id="rId23"/>
          <w:footerReference w:type="first" r:id="rId24"/>
          <w:pgSz w:w="11907" w:h="16840"/>
          <w:pgMar w:top="1134" w:right="1418" w:bottom="1134" w:left="1418" w:header="709" w:footer="709" w:gutter="0"/>
          <w:cols w:space="708"/>
          <w:docGrid w:linePitch="360"/>
        </w:sectPr>
      </w:pPr>
      <w:r>
        <w:rPr>
          <w:noProof/>
        </w:rPr>
        <w:tab/>
      </w:r>
      <w:r>
        <w:rPr>
          <w:noProof/>
          <w:sz w:val="18"/>
        </w:rPr>
        <w:t xml:space="preserve">Un protocole d’accord sera signé entre l’HERA et la DG SANTE pour ce qui concerne les tâches </w:t>
      </w:r>
      <w:r>
        <w:rPr>
          <w:noProof/>
        </w:rPr>
        <w:tab/>
      </w:r>
      <w:r>
        <w:rPr>
          <w:noProof/>
          <w:sz w:val="18"/>
        </w:rPr>
        <w:t xml:space="preserve">d’appui administratif de l’HERA. Pour ce faire, 10 postes seront prévus au sein de la DG SANTE (en plus des 120 postes au sein de l’HERA) pour </w:t>
      </w:r>
      <w:r>
        <w:rPr>
          <w:noProof/>
        </w:rPr>
        <w:tab/>
      </w:r>
      <w:r>
        <w:rPr>
          <w:noProof/>
          <w:sz w:val="18"/>
        </w:rPr>
        <w:t xml:space="preserve">des tâches à définir ultérieurement dans les domaines de la gestion budgétaire et financière, de la gestion des documents, de l’informatique, </w:t>
      </w:r>
      <w:r>
        <w:rPr>
          <w:noProof/>
        </w:rPr>
        <w:tab/>
      </w:r>
      <w:r>
        <w:rPr>
          <w:noProof/>
          <w:sz w:val="18"/>
        </w:rPr>
        <w:t>des services, de la protection des données et/ou dans d’autres domaines.</w:t>
      </w:r>
    </w:p>
    <w:p>
      <w:pPr>
        <w:pStyle w:val="Text1"/>
        <w:rPr>
          <w:noProof/>
          <w:sz w:val="18"/>
        </w:rPr>
      </w:pPr>
    </w:p>
    <w:p>
      <w:pPr>
        <w:pStyle w:val="Text1"/>
        <w:rPr>
          <w:noProof/>
          <w:sz w:val="18"/>
        </w:rPr>
      </w:pPr>
    </w:p>
    <w:p>
      <w:pPr>
        <w:pStyle w:val="Text1"/>
        <w:rPr>
          <w:noProof/>
          <w:sz w:val="18"/>
        </w:rPr>
      </w:pPr>
    </w:p>
    <w:p>
      <w:pPr>
        <w:pStyle w:val="Text1"/>
        <w:rPr>
          <w:noProof/>
          <w:sz w:val="18"/>
          <w:szCs w:val="18"/>
        </w:rPr>
      </w:pPr>
    </w:p>
    <w:p>
      <w:pPr>
        <w:rPr>
          <w:noProof/>
          <w:sz w:val="20"/>
        </w:rPr>
      </w:pPr>
      <w:r>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Fonctionnaires et agents temporaires</w:t>
            </w:r>
          </w:p>
        </w:tc>
        <w:tc>
          <w:tcPr>
            <w:tcW w:w="7200" w:type="dxa"/>
          </w:tcPr>
          <w:p>
            <w:pPr>
              <w:pStyle w:val="NormalWeb"/>
              <w:jc w:val="both"/>
              <w:rPr>
                <w:noProof/>
                <w:sz w:val="20"/>
                <w:szCs w:val="20"/>
                <w:lang w:val="fr-FR"/>
              </w:rPr>
            </w:pPr>
            <w:r>
              <w:rPr>
                <w:noProof/>
                <w:sz w:val="20"/>
                <w:szCs w:val="20"/>
                <w:lang w:val="fr-FR"/>
              </w:rPr>
              <w:t>Le personnel de l’HERA sera principalement composé d’experts (niveau AD) dans les domaines suivants: des scientifiques cliniques, des experts en maladies infectieuses, des experts en virologie, des experts en épidémiologie, des spécialistes des données, des ingénieurs, des spécialistes de la réglementation et de la qualité, des experts en matière de fabrication, de logistique et de gestion de la chaîne d’approvisionnement, des experts juridiques (par exemple, en matière de marchés publics, de droit pharmaceutique de l’UE, etc.), des gestionnaires de projets, des experts en urgences sanitaires, des experts en santé publique, des experts en politiques de la santé au niveau mondial, des experts en systèmes de soins de santé et des experts en communication.</w:t>
            </w:r>
          </w:p>
          <w:p>
            <w:pPr>
              <w:pStyle w:val="NormalWeb"/>
              <w:jc w:val="both"/>
              <w:rPr>
                <w:noProof/>
                <w:sz w:val="20"/>
                <w:szCs w:val="20"/>
                <w:lang w:val="fr-FR"/>
              </w:rPr>
            </w:pPr>
            <w:r>
              <w:rPr>
                <w:noProof/>
                <w:sz w:val="20"/>
                <w:szCs w:val="20"/>
                <w:lang w:val="fr-FR"/>
              </w:rPr>
              <w:t>Une procédure de concours spécialisé est en cours pour le recrutement d’experts en santé qui proposera des lauréats en 2022. Si le nombre de fonctionnaires n’est pas suffisant pour pourvoir les postes, une sélection d’agents temporaires pourrait être lancée et/ou des agents temporaires 2b pourraient être engagés sur les postes permanents.</w:t>
            </w:r>
          </w:p>
        </w:tc>
      </w:tr>
      <w:tr>
        <w:tc>
          <w:tcPr>
            <w:tcW w:w="3240" w:type="dxa"/>
          </w:tcPr>
          <w:p>
            <w:pPr>
              <w:spacing w:before="60" w:after="60"/>
              <w:rPr>
                <w:noProof/>
                <w:sz w:val="20"/>
              </w:rPr>
            </w:pPr>
            <w:r>
              <w:rPr>
                <w:noProof/>
                <w:sz w:val="20"/>
              </w:rPr>
              <w:t>Personnel externe</w:t>
            </w:r>
          </w:p>
        </w:tc>
        <w:tc>
          <w:tcPr>
            <w:tcW w:w="7200" w:type="dxa"/>
          </w:tcPr>
          <w:p>
            <w:pPr>
              <w:rPr>
                <w:rFonts w:ascii="Calibri" w:hAnsi="Calibri" w:cs="Calibri"/>
                <w:noProof/>
                <w:color w:val="1F497D"/>
                <w:sz w:val="22"/>
              </w:rPr>
            </w:pPr>
            <w:r>
              <w:rPr>
                <w:noProof/>
                <w:sz w:val="20"/>
                <w:szCs w:val="20"/>
              </w:rPr>
              <w:t>L’HERA devra travailler en étroite collaboration avec les États membres. La création de 12 postes END contribuera au succès de cette collaboration en permettant de bénéficier de l’apport d’experts des administrations nationales. En outre, 20 agents contractuels seront chargés des opérations d’appui administratif et technique.</w:t>
            </w:r>
          </w:p>
        </w:tc>
      </w:tr>
    </w:tbl>
    <w:p>
      <w:pPr>
        <w:rPr>
          <w:noProof/>
        </w:rPr>
        <w:sectPr>
          <w:pgSz w:w="11907" w:h="16840"/>
          <w:pgMar w:top="1134" w:right="1418" w:bottom="1134" w:left="1418" w:header="709" w:footer="709" w:gutter="0"/>
          <w:cols w:space="708"/>
          <w:docGrid w:linePitch="360"/>
        </w:sectPr>
      </w:pPr>
    </w:p>
    <w:p>
      <w:pPr>
        <w:pStyle w:val="ManualHeading3"/>
        <w:rPr>
          <w:noProof/>
        </w:rPr>
      </w:pPr>
      <w:bookmarkStart w:id="108" w:name="_Toc514938056"/>
      <w:bookmarkStart w:id="109" w:name="_Toc520485055"/>
      <w:bookmarkStart w:id="110" w:name="_Toc83310828"/>
      <w:r>
        <w:t>3.2.4.</w:t>
      </w:r>
      <w:r>
        <w:tab/>
      </w:r>
      <w:r>
        <w:rPr>
          <w:noProof/>
        </w:rPr>
        <w:t>Compatibilité avec le cadre financier pluriannuel actuel</w:t>
      </w:r>
      <w:bookmarkEnd w:id="108"/>
      <w:bookmarkEnd w:id="109"/>
      <w:bookmarkEnd w:id="110"/>
      <w:r>
        <w:rPr>
          <w:noProof/>
        </w:rPr>
        <w:t xml:space="preserve"> </w:t>
      </w:r>
    </w:p>
    <w:p>
      <w:pPr>
        <w:pStyle w:val="Text1"/>
        <w:rPr>
          <w:noProof/>
        </w:rPr>
      </w:pPr>
      <w:r>
        <w:rPr>
          <w:noProof/>
        </w:rPr>
        <w:t>La proposition/l’initiative:</w:t>
      </w:r>
    </w:p>
    <w:p>
      <w:pPr>
        <w:pStyle w:val="ListDash1"/>
        <w:numPr>
          <w:ilvl w:val="0"/>
          <w:numId w:val="19"/>
        </w:numPr>
        <w:spacing w:before="120" w:after="120"/>
        <w:rPr>
          <w:noProof/>
          <w:lang w:val="fr-FR"/>
        </w:rPr>
      </w:pPr>
      <w:r>
        <w:rPr>
          <w:noProof/>
          <w:lang w:val="fr-FR"/>
        </w:rPr>
        <w:t>X</w:t>
      </w:r>
      <w:r>
        <w:rPr>
          <w:noProof/>
          <w:lang w:val="fr-FR"/>
        </w:rPr>
        <w:tab/>
        <w:t>peut être intégralement financée par voie de redéploiement au sein de la rubrique concernée du cadre financier pluriannuel (CFP).</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Redéploiement de crédits au titre du pôle Santé d’Horizon Europe, du mécanisme de protection civile de l’Union et du programme L’UE pour la santé; en outre, des redéploiements d’une ampleur plus restreinte au titre d’autres programmes (à définir plus avant mais qui pourraient inclure le programme pour une Europe numérique, le programme du marché unique, etc.).</w:t>
      </w:r>
    </w:p>
    <w:p>
      <w:pPr>
        <w:pStyle w:val="ListDash1"/>
        <w:numPr>
          <w:ilvl w:val="0"/>
          <w:numId w:val="19"/>
        </w:numPr>
        <w:spacing w:before="120" w:after="120"/>
        <w:rPr>
          <w:noProof/>
          <w:lang w:val="fr-FR"/>
        </w:rPr>
      </w:pPr>
      <w:r>
        <w:rPr>
          <w:noProof/>
          <w:lang w:val="fr-FR"/>
        </w:rPr>
        <w:t>et/ou aura recours aux instruments spéciaux comme le prévoit le règlement CFP.</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En phase de crise, l’instrument d’aide d’urgence pourrait être mobilisé et financé, entre autres, par la marge non allouée sous la rubrique ou les instruments spéciaux concernés.</w:t>
      </w:r>
    </w:p>
    <w:p>
      <w:pPr>
        <w:pStyle w:val="ListDash1"/>
        <w:numPr>
          <w:ilvl w:val="0"/>
          <w:numId w:val="19"/>
        </w:numPr>
        <w:spacing w:before="120" w:after="120"/>
        <w:rPr>
          <w:noProof/>
          <w:lang w:val="fr-FR"/>
        </w:rPr>
      </w:pPr>
      <w:r>
        <w:rPr>
          <w:noProof/>
          <w:lang w:val="fr-FR"/>
        </w:rPr>
        <w:sym w:font="Wingdings" w:char="F0A8"/>
      </w:r>
      <w:r>
        <w:rPr>
          <w:noProof/>
          <w:lang w:val="fr-FR"/>
        </w:rPr>
        <w:tab/>
        <w:t>nécessite une révision du CFP.</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Expliquez le besoin, en précisant les rubriques et lignes budgétaires concernées et les montants correspondants.</w:t>
      </w:r>
    </w:p>
    <w:p>
      <w:pPr>
        <w:pStyle w:val="ManualHeading3"/>
        <w:rPr>
          <w:bCs/>
          <w:noProof/>
          <w:szCs w:val="24"/>
        </w:rPr>
      </w:pPr>
      <w:bookmarkStart w:id="111" w:name="_Toc514938058"/>
      <w:bookmarkStart w:id="112" w:name="_Toc520485056"/>
      <w:bookmarkStart w:id="113" w:name="_Toc83310829"/>
      <w:r>
        <w:t>3.2.5.</w:t>
      </w:r>
      <w:r>
        <w:tab/>
      </w:r>
      <w:r>
        <w:rPr>
          <w:noProof/>
        </w:rPr>
        <w:t>Participation de tiers au financement</w:t>
      </w:r>
      <w:bookmarkEnd w:id="111"/>
      <w:bookmarkEnd w:id="112"/>
      <w:bookmarkEnd w:id="113"/>
      <w:r>
        <w:rPr>
          <w:noProof/>
        </w:rPr>
        <w:t xml:space="preserve"> </w:t>
      </w:r>
    </w:p>
    <w:p>
      <w:pPr>
        <w:pStyle w:val="Text1"/>
        <w:rPr>
          <w:noProof/>
        </w:rPr>
      </w:pPr>
      <w:r>
        <w:rPr>
          <w:noProof/>
        </w:rPr>
        <w:t>La proposition/l’initiative:</w:t>
      </w:r>
    </w:p>
    <w:p>
      <w:pPr>
        <w:pStyle w:val="ListDash1"/>
        <w:numPr>
          <w:ilvl w:val="0"/>
          <w:numId w:val="19"/>
        </w:numPr>
        <w:spacing w:before="120" w:after="120"/>
        <w:rPr>
          <w:noProof/>
          <w:lang w:val="fr-FR"/>
        </w:rPr>
      </w:pPr>
      <w:r>
        <w:rPr>
          <w:noProof/>
          <w:lang w:val="fr-FR"/>
        </w:rPr>
        <w:sym w:font="Wingdings" w:char="F0FE"/>
      </w:r>
      <w:r>
        <w:rPr>
          <w:noProof/>
          <w:lang w:val="fr-FR"/>
        </w:rPr>
        <w:tab/>
        <w:t>ne prévoit pas de cofinancement par des tierces parties</w:t>
      </w:r>
    </w:p>
    <w:p>
      <w:pPr>
        <w:pStyle w:val="ListDash1"/>
        <w:numPr>
          <w:ilvl w:val="0"/>
          <w:numId w:val="19"/>
        </w:numPr>
        <w:spacing w:before="120" w:after="120"/>
        <w:rPr>
          <w:noProof/>
          <w:lang w:val="fr-FR"/>
        </w:rPr>
      </w:pPr>
      <w:r>
        <w:rPr>
          <w:noProof/>
          <w:lang w:val="fr-FR"/>
        </w:rPr>
        <w:sym w:font="Wingdings" w:char="F0A8"/>
      </w:r>
      <w:r>
        <w:rPr>
          <w:noProof/>
          <w:lang w:val="fr-FR"/>
        </w:rPr>
        <w:tab/>
        <w:t>prévoit le cofinancement par des tierces parties estimé ci‑après:</w:t>
      </w:r>
    </w:p>
    <w:p>
      <w:pPr>
        <w:jc w:val="right"/>
        <w:rPr>
          <w:noProof/>
          <w:sz w:val="20"/>
        </w:rPr>
      </w:pPr>
      <w:r>
        <w:rPr>
          <w:noProof/>
          <w:sz w:val="20"/>
        </w:rPr>
        <w:t>Crédits en Mio EUR (à la 3</w:t>
      </w:r>
      <w:r>
        <w:rPr>
          <w:noProof/>
          <w:sz w:val="20"/>
          <w:vertAlign w:val="superscript"/>
        </w:rPr>
        <w:t>e</w:t>
      </w:r>
      <w:r>
        <w:rPr>
          <w:noProof/>
          <w:sz w:val="20"/>
        </w:rPr>
        <w:t xml:space="preserve">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b/>
                <w:noProof/>
                <w:sz w:val="20"/>
              </w:rPr>
              <w:t>2021</w:t>
            </w:r>
          </w:p>
        </w:tc>
        <w:tc>
          <w:tcPr>
            <w:tcW w:w="964" w:type="dxa"/>
            <w:vAlign w:val="center"/>
          </w:tcPr>
          <w:p>
            <w:pPr>
              <w:jc w:val="center"/>
              <w:rPr>
                <w:noProof/>
                <w:sz w:val="20"/>
              </w:rPr>
            </w:pPr>
            <w:r>
              <w:rPr>
                <w:b/>
                <w:noProof/>
                <w:sz w:val="20"/>
              </w:rPr>
              <w:t>2022</w:t>
            </w:r>
          </w:p>
        </w:tc>
        <w:tc>
          <w:tcPr>
            <w:tcW w:w="964" w:type="dxa"/>
            <w:vAlign w:val="center"/>
          </w:tcPr>
          <w:p>
            <w:pPr>
              <w:jc w:val="center"/>
              <w:rPr>
                <w:noProof/>
                <w:sz w:val="20"/>
              </w:rPr>
            </w:pPr>
            <w:r>
              <w:rPr>
                <w:b/>
                <w:noProof/>
                <w:sz w:val="20"/>
              </w:rPr>
              <w:t>2023</w:t>
            </w:r>
          </w:p>
        </w:tc>
        <w:tc>
          <w:tcPr>
            <w:tcW w:w="964" w:type="dxa"/>
            <w:vAlign w:val="center"/>
          </w:tcPr>
          <w:p>
            <w:pPr>
              <w:jc w:val="center"/>
              <w:rPr>
                <w:noProof/>
                <w:sz w:val="20"/>
              </w:rPr>
            </w:pPr>
            <w:r>
              <w:rPr>
                <w:b/>
                <w:noProof/>
                <w:sz w:val="20"/>
              </w:rPr>
              <w:t>2024</w:t>
            </w:r>
          </w:p>
        </w:tc>
        <w:tc>
          <w:tcPr>
            <w:tcW w:w="964" w:type="dxa"/>
            <w:vAlign w:val="center"/>
          </w:tcPr>
          <w:p>
            <w:pPr>
              <w:jc w:val="center"/>
              <w:rPr>
                <w:b/>
                <w:noProof/>
                <w:sz w:val="20"/>
              </w:rPr>
            </w:pPr>
            <w:r>
              <w:rPr>
                <w:b/>
                <w:noProof/>
                <w:sz w:val="18"/>
              </w:rPr>
              <w:t>2025</w:t>
            </w:r>
          </w:p>
        </w:tc>
        <w:tc>
          <w:tcPr>
            <w:tcW w:w="964" w:type="dxa"/>
            <w:vAlign w:val="center"/>
          </w:tcPr>
          <w:p>
            <w:pPr>
              <w:jc w:val="center"/>
              <w:rPr>
                <w:b/>
                <w:noProof/>
                <w:sz w:val="20"/>
              </w:rPr>
            </w:pPr>
            <w:r>
              <w:rPr>
                <w:b/>
                <w:noProof/>
                <w:sz w:val="20"/>
              </w:rPr>
              <w:t>2026</w:t>
            </w:r>
          </w:p>
        </w:tc>
        <w:tc>
          <w:tcPr>
            <w:tcW w:w="964" w:type="dxa"/>
            <w:vAlign w:val="center"/>
          </w:tcPr>
          <w:p>
            <w:pPr>
              <w:jc w:val="center"/>
              <w:rPr>
                <w:b/>
                <w:noProof/>
                <w:sz w:val="20"/>
              </w:rPr>
            </w:pPr>
            <w:r>
              <w:rPr>
                <w:b/>
                <w:noProof/>
                <w:sz w:val="20"/>
              </w:rPr>
              <w:t>2027</w:t>
            </w:r>
          </w:p>
        </w:tc>
        <w:tc>
          <w:tcPr>
            <w:tcW w:w="1158" w:type="dxa"/>
            <w:vAlign w:val="center"/>
          </w:tcPr>
          <w:p>
            <w:pPr>
              <w:spacing w:before="60" w:after="60"/>
              <w:jc w:val="center"/>
              <w:rPr>
                <w:noProof/>
                <w:sz w:val="20"/>
              </w:rPr>
            </w:pPr>
            <w:r>
              <w:rPr>
                <w:noProof/>
                <w:sz w:val="20"/>
              </w:rPr>
              <w:t>Total</w:t>
            </w:r>
          </w:p>
        </w:tc>
      </w:tr>
      <w:tr>
        <w:trPr>
          <w:cantSplit/>
        </w:trPr>
        <w:tc>
          <w:tcPr>
            <w:tcW w:w="2340" w:type="dxa"/>
          </w:tcPr>
          <w:p>
            <w:pPr>
              <w:rPr>
                <w:noProof/>
              </w:rPr>
            </w:pPr>
            <w:r>
              <w:rPr>
                <w:noProof/>
                <w:sz w:val="20"/>
              </w:rPr>
              <w:t>Préciser l’organisme de cofinancement</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TOTAL crédits cofinancés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r>
        <w:rPr>
          <w:noProof/>
        </w:rPr>
        <w:t xml:space="preserve"> </w:t>
      </w:r>
      <w:r>
        <w:rPr>
          <w:noProof/>
        </w:rPr>
        <w:br/>
      </w:r>
    </w:p>
    <w:p>
      <w:pPr>
        <w:pStyle w:val="ManualHeading2"/>
        <w:rPr>
          <w:bCs/>
          <w:noProof/>
          <w:szCs w:val="24"/>
        </w:rPr>
      </w:pPr>
      <w:r>
        <w:rPr>
          <w:noProof/>
        </w:rPr>
        <w:br w:type="page"/>
      </w:r>
      <w:bookmarkStart w:id="114" w:name="_Toc514938059"/>
      <w:bookmarkStart w:id="115" w:name="_Toc520485057"/>
      <w:bookmarkStart w:id="116" w:name="_Toc83310830"/>
      <w:r>
        <w:t>3.3.</w:t>
      </w:r>
      <w:r>
        <w:tab/>
      </w:r>
      <w:r>
        <w:rPr>
          <w:noProof/>
        </w:rPr>
        <w:t>Incidence estimée sur les recettes</w:t>
      </w:r>
      <w:bookmarkEnd w:id="114"/>
      <w:bookmarkEnd w:id="115"/>
      <w:bookmarkEnd w:id="116"/>
      <w:r>
        <w:rPr>
          <w:noProof/>
        </w:rPr>
        <w:t xml:space="preserve"> </w:t>
      </w:r>
    </w:p>
    <w:p>
      <w:pPr>
        <w:pStyle w:val="ListDash1"/>
        <w:numPr>
          <w:ilvl w:val="0"/>
          <w:numId w:val="19"/>
        </w:numPr>
        <w:spacing w:before="120" w:after="120"/>
        <w:rPr>
          <w:noProof/>
          <w:lang w:val="fr-FR"/>
        </w:rPr>
      </w:pPr>
      <w:r>
        <w:rPr>
          <w:noProof/>
          <w:lang w:val="fr-FR"/>
        </w:rPr>
        <w:t>X</w:t>
      </w:r>
      <w:r>
        <w:rPr>
          <w:noProof/>
          <w:lang w:val="fr-FR"/>
        </w:rPr>
        <w:tab/>
        <w:t>La proposition/l’initiative est sans incidence financière sur les recettes.</w:t>
      </w:r>
    </w:p>
    <w:p>
      <w:pPr>
        <w:pStyle w:val="ListDash1"/>
        <w:numPr>
          <w:ilvl w:val="0"/>
          <w:numId w:val="19"/>
        </w:numPr>
        <w:spacing w:before="120" w:after="120"/>
        <w:rPr>
          <w:noProof/>
          <w:lang w:val="fr-FR"/>
        </w:rPr>
      </w:pPr>
      <w:r>
        <w:rPr>
          <w:noProof/>
          <w:lang w:val="fr-FR"/>
        </w:rPr>
        <w:sym w:font="Wingdings" w:char="F0A8"/>
      </w:r>
      <w:r>
        <w:rPr>
          <w:noProof/>
          <w:lang w:val="fr-FR"/>
        </w:rPr>
        <w:tab/>
        <w:t>La proposition/l’initiative a une incidence financière décrite ci‑après:</w:t>
      </w:r>
    </w:p>
    <w:p>
      <w:pPr>
        <w:pStyle w:val="Tiret2"/>
        <w:numPr>
          <w:ilvl w:val="0"/>
          <w:numId w:val="21"/>
        </w:numPr>
        <w:rPr>
          <w:noProof/>
        </w:rPr>
      </w:pPr>
      <w:r>
        <w:rPr>
          <w:noProof/>
        </w:rPr>
        <w:sym w:font="Wingdings" w:char="F0A8"/>
      </w:r>
      <w:r>
        <w:rPr>
          <w:noProof/>
        </w:rPr>
        <w:tab/>
        <w:t xml:space="preserve">sur les ressources propres </w:t>
      </w:r>
    </w:p>
    <w:p>
      <w:pPr>
        <w:pStyle w:val="Tiret2"/>
        <w:rPr>
          <w:noProof/>
        </w:rPr>
      </w:pPr>
      <w:r>
        <w:rPr>
          <w:noProof/>
        </w:rPr>
        <w:sym w:font="Wingdings" w:char="F0A8"/>
      </w:r>
      <w:r>
        <w:rPr>
          <w:noProof/>
        </w:rPr>
        <w:tab/>
        <w:t>sur les autres recettes</w:t>
      </w:r>
    </w:p>
    <w:p>
      <w:pPr>
        <w:pStyle w:val="Tiret2"/>
        <w:rPr>
          <w:noProof/>
        </w:rPr>
      </w:pPr>
      <w:r>
        <w:rPr>
          <w:noProof/>
        </w:rPr>
        <w:t xml:space="preserve">veuillez indiquer si les recettes sont affectées à des lignes de dépenses </w:t>
      </w:r>
      <w:r>
        <w:rPr>
          <w:noProof/>
        </w:rPr>
        <w:sym w:font="Wingdings" w:char="F0A8"/>
      </w:r>
      <w:r>
        <w:rPr>
          <w:noProof/>
        </w:rPr>
        <w:tab/>
      </w:r>
    </w:p>
    <w:p>
      <w:pPr>
        <w:ind w:left="4320"/>
        <w:rPr>
          <w:i/>
          <w:noProof/>
          <w:sz w:val="20"/>
        </w:rPr>
      </w:pPr>
      <w:r>
        <w:rPr>
          <w:noProof/>
        </w:rPr>
        <w:t xml:space="preserve">     En Mio EUR (à la 3</w:t>
      </w:r>
      <w:r>
        <w:rPr>
          <w:noProof/>
          <w:vertAlign w:val="superscript"/>
        </w:rPr>
        <w:t>e</w:t>
      </w:r>
      <w:r>
        <w:rPr>
          <w:noProof/>
        </w:rPr>
        <w:t xml:space="preserve">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325"/>
        <w:gridCol w:w="1031"/>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Ligne budgétaire de recettes:</w:t>
            </w:r>
          </w:p>
        </w:tc>
        <w:tc>
          <w:tcPr>
            <w:tcW w:w="1325" w:type="dxa"/>
            <w:vMerge w:val="restart"/>
            <w:vAlign w:val="center"/>
          </w:tcPr>
          <w:p>
            <w:pPr>
              <w:jc w:val="center"/>
              <w:rPr>
                <w:noProof/>
                <w:sz w:val="18"/>
              </w:rPr>
            </w:pPr>
            <w:r>
              <w:rPr>
                <w:noProof/>
                <w:sz w:val="18"/>
              </w:rPr>
              <w:t>Montants inscrits pour l’exercice en cours</w:t>
            </w:r>
          </w:p>
        </w:tc>
        <w:tc>
          <w:tcPr>
            <w:tcW w:w="7151" w:type="dxa"/>
            <w:gridSpan w:val="7"/>
            <w:vAlign w:val="center"/>
          </w:tcPr>
          <w:p>
            <w:pPr>
              <w:jc w:val="center"/>
              <w:rPr>
                <w:noProof/>
                <w:sz w:val="18"/>
              </w:rPr>
            </w:pPr>
            <w:r>
              <w:rPr>
                <w:noProof/>
                <w:sz w:val="18"/>
              </w:rPr>
              <w:t>Incidence de la proposition/de l’initiative</w:t>
            </w:r>
            <w:r>
              <w:rPr>
                <w:rStyle w:val="FootnoteReference"/>
                <w:noProof/>
                <w:sz w:val="18"/>
              </w:rPr>
              <w:footnoteReference w:id="46"/>
            </w:r>
          </w:p>
        </w:tc>
      </w:tr>
      <w:tr>
        <w:trPr>
          <w:trHeight w:val="388"/>
        </w:trPr>
        <w:tc>
          <w:tcPr>
            <w:tcW w:w="2144" w:type="dxa"/>
            <w:vMerge/>
          </w:tcPr>
          <w:p>
            <w:pPr>
              <w:spacing w:before="40" w:after="40"/>
              <w:rPr>
                <w:noProof/>
                <w:sz w:val="18"/>
              </w:rPr>
            </w:pPr>
          </w:p>
        </w:tc>
        <w:tc>
          <w:tcPr>
            <w:tcW w:w="1325" w:type="dxa"/>
            <w:vMerge/>
          </w:tcPr>
          <w:p>
            <w:pPr>
              <w:spacing w:beforeLines="40" w:before="96" w:afterLines="40" w:after="96"/>
              <w:rPr>
                <w:i/>
                <w:noProof/>
                <w:sz w:val="18"/>
              </w:rPr>
            </w:pPr>
          </w:p>
        </w:tc>
        <w:tc>
          <w:tcPr>
            <w:tcW w:w="1031" w:type="dxa"/>
            <w:vAlign w:val="center"/>
          </w:tcPr>
          <w:p>
            <w:pPr>
              <w:jc w:val="center"/>
              <w:rPr>
                <w:noProof/>
                <w:sz w:val="18"/>
              </w:rPr>
            </w:pPr>
            <w:r>
              <w:rPr>
                <w:b/>
                <w:noProof/>
                <w:sz w:val="20"/>
              </w:rPr>
              <w:t>2021</w:t>
            </w:r>
          </w:p>
        </w:tc>
        <w:tc>
          <w:tcPr>
            <w:tcW w:w="900" w:type="dxa"/>
            <w:vAlign w:val="center"/>
          </w:tcPr>
          <w:p>
            <w:pPr>
              <w:jc w:val="center"/>
              <w:rPr>
                <w:noProof/>
                <w:sz w:val="18"/>
              </w:rPr>
            </w:pPr>
            <w:r>
              <w:rPr>
                <w:b/>
                <w:noProof/>
                <w:sz w:val="20"/>
              </w:rPr>
              <w:t>2022</w:t>
            </w:r>
          </w:p>
        </w:tc>
        <w:tc>
          <w:tcPr>
            <w:tcW w:w="900" w:type="dxa"/>
            <w:vAlign w:val="center"/>
          </w:tcPr>
          <w:p>
            <w:pPr>
              <w:jc w:val="center"/>
              <w:rPr>
                <w:noProof/>
                <w:sz w:val="18"/>
              </w:rPr>
            </w:pPr>
            <w:r>
              <w:rPr>
                <w:b/>
                <w:noProof/>
                <w:sz w:val="20"/>
              </w:rPr>
              <w:t>2023</w:t>
            </w:r>
          </w:p>
        </w:tc>
        <w:tc>
          <w:tcPr>
            <w:tcW w:w="1080" w:type="dxa"/>
            <w:vAlign w:val="center"/>
          </w:tcPr>
          <w:p>
            <w:pPr>
              <w:jc w:val="center"/>
              <w:rPr>
                <w:noProof/>
                <w:sz w:val="18"/>
              </w:rPr>
            </w:pPr>
            <w:r>
              <w:rPr>
                <w:b/>
                <w:noProof/>
                <w:sz w:val="20"/>
              </w:rPr>
              <w:t>2024</w:t>
            </w:r>
          </w:p>
        </w:tc>
        <w:tc>
          <w:tcPr>
            <w:tcW w:w="1080" w:type="dxa"/>
            <w:vAlign w:val="center"/>
          </w:tcPr>
          <w:p>
            <w:pPr>
              <w:jc w:val="center"/>
              <w:rPr>
                <w:b/>
                <w:noProof/>
                <w:sz w:val="18"/>
              </w:rPr>
            </w:pPr>
            <w:r>
              <w:rPr>
                <w:b/>
                <w:noProof/>
                <w:sz w:val="18"/>
              </w:rPr>
              <w:t>2025</w:t>
            </w:r>
          </w:p>
        </w:tc>
        <w:tc>
          <w:tcPr>
            <w:tcW w:w="1080" w:type="dxa"/>
            <w:vAlign w:val="center"/>
          </w:tcPr>
          <w:p>
            <w:pPr>
              <w:jc w:val="center"/>
              <w:rPr>
                <w:b/>
                <w:noProof/>
                <w:sz w:val="18"/>
              </w:rPr>
            </w:pPr>
            <w:r>
              <w:rPr>
                <w:b/>
                <w:noProof/>
                <w:sz w:val="18"/>
              </w:rPr>
              <w:t>2026</w:t>
            </w:r>
          </w:p>
        </w:tc>
        <w:tc>
          <w:tcPr>
            <w:tcW w:w="1080" w:type="dxa"/>
            <w:vAlign w:val="center"/>
          </w:tcPr>
          <w:p>
            <w:pPr>
              <w:jc w:val="center"/>
              <w:rPr>
                <w:b/>
                <w:noProof/>
                <w:sz w:val="18"/>
              </w:rPr>
            </w:pPr>
            <w:r>
              <w:rPr>
                <w:b/>
                <w:noProof/>
                <w:sz w:val="18"/>
              </w:rPr>
              <w:t>2027</w:t>
            </w:r>
          </w:p>
        </w:tc>
      </w:tr>
      <w:tr>
        <w:trPr>
          <w:trHeight w:val="388"/>
        </w:trPr>
        <w:tc>
          <w:tcPr>
            <w:tcW w:w="2144" w:type="dxa"/>
            <w:vAlign w:val="center"/>
          </w:tcPr>
          <w:p>
            <w:pPr>
              <w:spacing w:before="40" w:after="40"/>
              <w:rPr>
                <w:noProof/>
                <w:sz w:val="18"/>
              </w:rPr>
            </w:pPr>
            <w:r>
              <w:rPr>
                <w:noProof/>
                <w:sz w:val="18"/>
              </w:rPr>
              <w:t>Article ….</w:t>
            </w:r>
          </w:p>
        </w:tc>
        <w:tc>
          <w:tcPr>
            <w:tcW w:w="1325" w:type="dxa"/>
          </w:tcPr>
          <w:p>
            <w:pPr>
              <w:spacing w:beforeLines="40" w:before="96" w:afterLines="40" w:after="96"/>
              <w:jc w:val="center"/>
              <w:rPr>
                <w:i/>
                <w:noProof/>
                <w:sz w:val="18"/>
              </w:rPr>
            </w:pPr>
          </w:p>
        </w:tc>
        <w:tc>
          <w:tcPr>
            <w:tcW w:w="1031"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Pour les recettes affectées, préciser la (les) ligne(s) budgétaire(s) de dépenses concernée(s).</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 w:val="20"/>
        </w:rPr>
      </w:pPr>
      <w:r>
        <w:rPr>
          <w:noProof/>
          <w:sz w:val="20"/>
        </w:rPr>
        <w:t>Autres remarques (relatives par exemple à la méthode/formule utilisée pour le calcul de l’incidence sur les recettes ou toute autre information).</w:t>
      </w:r>
    </w:p>
    <w:p>
      <w:pPr>
        <w:pStyle w:val="Text1"/>
        <w:pBdr>
          <w:top w:val="single" w:sz="4" w:space="1" w:color="auto"/>
          <w:left w:val="single" w:sz="4" w:space="4" w:color="auto"/>
          <w:bottom w:val="single" w:sz="4" w:space="1" w:color="auto"/>
          <w:right w:val="single" w:sz="4" w:space="4" w:color="auto"/>
        </w:pBdr>
        <w:rPr>
          <w:noProof/>
        </w:rPr>
      </w:pPr>
    </w:p>
    <w:p>
      <w:pPr>
        <w:jc w:val="center"/>
        <w:rPr>
          <w:noProof/>
        </w:rPr>
      </w:pP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21</w:t>
    </w:r>
    <w:r>
      <w:fldChar w:fldCharType="end"/>
    </w:r>
    <w: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fr-BE"/>
        </w:rPr>
      </w:pPr>
      <w:r>
        <w:rPr>
          <w:rStyle w:val="FootnoteReference"/>
        </w:rPr>
        <w:footnoteRef/>
      </w:r>
      <w:r>
        <w:rPr>
          <w:lang w:val="fr-BE"/>
        </w:rPr>
        <w:tab/>
        <w:t xml:space="preserve">COM(2021) 380. </w:t>
      </w:r>
    </w:p>
  </w:footnote>
  <w:footnote w:id="3">
    <w:p>
      <w:pPr>
        <w:pStyle w:val="FootnoteText"/>
        <w:rPr>
          <w:lang w:val="fr-BE"/>
        </w:rPr>
      </w:pPr>
      <w:r>
        <w:rPr>
          <w:rStyle w:val="FootnoteReference"/>
        </w:rPr>
        <w:footnoteRef/>
      </w:r>
      <w:r>
        <w:rPr>
          <w:lang w:val="fr-BE"/>
        </w:rPr>
        <w:tab/>
        <w:t>Il s’agit de médicaments à usage humain tels que définis dans la directive 2001/83/CE et de dispositifs médicaux tels que définis dans le règlement (UE) 2017/745 ou d’autres biens ou services destinés à la préparation et à la réaction à une menace transfrontière grave.</w:t>
      </w:r>
    </w:p>
  </w:footnote>
  <w:footnote w:id="4">
    <w:p>
      <w:pPr>
        <w:pStyle w:val="FootnoteText"/>
        <w:rPr>
          <w:lang w:val="fr-BE"/>
        </w:rPr>
      </w:pPr>
      <w:r>
        <w:rPr>
          <w:rStyle w:val="FootnoteReference"/>
        </w:rPr>
        <w:footnoteRef/>
      </w:r>
      <w:r>
        <w:rPr>
          <w:lang w:val="fr-BE"/>
        </w:rPr>
        <w:tab/>
        <w:t>Proposition de règlement du Parlement européen et du Conseil concernant les menaces transfrontières graves pour la santé et abrogeant la décision nº 1082/2013/UE [COM(2020) 727 final].</w:t>
      </w:r>
    </w:p>
  </w:footnote>
  <w:footnote w:id="5">
    <w:p>
      <w:pPr>
        <w:pStyle w:val="FootnoteText"/>
        <w:rPr>
          <w:lang w:val="fr-BE"/>
        </w:rPr>
      </w:pPr>
      <w:r>
        <w:rPr>
          <w:rStyle w:val="FootnoteReference"/>
        </w:rPr>
        <w:footnoteRef/>
      </w:r>
      <w:r>
        <w:rPr>
          <w:lang w:val="fr-BE"/>
        </w:rPr>
        <w:tab/>
        <w:t>Proposition de règlement du Parlement européen et du Conseil modifiant le règlement (CE) nº 851/2004 instituant un Centre européen de prévention et de contrôle des maladies [COM(2020) 726 final].</w:t>
      </w:r>
    </w:p>
  </w:footnote>
  <w:footnote w:id="6">
    <w:p>
      <w:pPr>
        <w:pStyle w:val="FootnoteText"/>
        <w:rPr>
          <w:lang w:val="fr-BE"/>
        </w:rPr>
      </w:pPr>
      <w:r>
        <w:rPr>
          <w:rStyle w:val="FootnoteReference"/>
        </w:rPr>
        <w:footnoteRef/>
      </w:r>
      <w:r>
        <w:rPr>
          <w:lang w:val="fr-BE"/>
        </w:rPr>
        <w:tab/>
        <w:t>Proposition de règlement du Parlement européen et du Conseil relatif à un rôle renforcé de l’Agence européenne des médicaments dans la préparation aux crises et la gestion de celles-ci en ce qui concerne les médicaments et les dispositifs médicaux [COM(2020) 725 final].</w:t>
      </w:r>
    </w:p>
  </w:footnote>
  <w:footnote w:id="7">
    <w:p>
      <w:pPr>
        <w:pStyle w:val="FootnoteText"/>
        <w:rPr>
          <w:lang w:val="en-US"/>
        </w:rPr>
      </w:pPr>
      <w:r>
        <w:rPr>
          <w:rStyle w:val="FootnoteReference"/>
        </w:rPr>
        <w:footnoteRef/>
      </w:r>
      <w:r>
        <w:rPr>
          <w:lang w:val="en-US"/>
        </w:rPr>
        <w:tab/>
        <w:t>COM(2020) 725 final.</w:t>
      </w:r>
    </w:p>
  </w:footnote>
  <w:footnote w:id="8">
    <w:p>
      <w:pPr>
        <w:pStyle w:val="FootnoteText"/>
        <w:rPr>
          <w:lang w:val="en-US"/>
        </w:rPr>
      </w:pPr>
      <w:r>
        <w:rPr>
          <w:rStyle w:val="FootnoteReference"/>
        </w:rPr>
        <w:footnoteRef/>
      </w:r>
      <w:r>
        <w:rPr>
          <w:lang w:val="en-US"/>
        </w:rPr>
        <w:tab/>
        <w:t>JO L 107 du 26.3.2021, p. 1.</w:t>
      </w:r>
    </w:p>
  </w:footnote>
  <w:footnote w:id="9">
    <w:p>
      <w:pPr>
        <w:pStyle w:val="FootnoteText"/>
        <w:rPr>
          <w:lang w:val="fr-BE"/>
        </w:rPr>
      </w:pPr>
      <w:r>
        <w:rPr>
          <w:rStyle w:val="FootnoteReference"/>
        </w:rPr>
        <w:footnoteRef/>
      </w:r>
      <w:r>
        <w:rPr>
          <w:lang w:val="fr-BE"/>
        </w:rPr>
        <w:tab/>
        <w:t>JO L 347 du 20.12.2013, p. 924.</w:t>
      </w:r>
    </w:p>
  </w:footnote>
  <w:footnote w:id="10">
    <w:p>
      <w:pPr>
        <w:pStyle w:val="FootnoteText"/>
        <w:rPr>
          <w:lang w:val="fr-BE"/>
        </w:rPr>
      </w:pPr>
      <w:r>
        <w:rPr>
          <w:rStyle w:val="FootnoteReference"/>
        </w:rPr>
        <w:footnoteRef/>
      </w:r>
      <w:r>
        <w:rPr>
          <w:lang w:val="fr-BE"/>
        </w:rPr>
        <w:tab/>
        <w:t>JO L 70 du 16.3.2016, p. 1.</w:t>
      </w:r>
    </w:p>
  </w:footnote>
  <w:footnote w:id="11">
    <w:p>
      <w:pPr>
        <w:pStyle w:val="FootnoteText"/>
        <w:rPr>
          <w:lang w:val="fr-BE"/>
        </w:rPr>
      </w:pPr>
      <w:r>
        <w:rPr>
          <w:rStyle w:val="FootnoteReference"/>
        </w:rPr>
        <w:footnoteRef/>
      </w:r>
      <w:r>
        <w:rPr>
          <w:lang w:val="fr-BE"/>
        </w:rPr>
        <w:tab/>
        <w:t>COM(2020) 761.</w:t>
      </w:r>
    </w:p>
  </w:footnote>
  <w:footnote w:id="12">
    <w:p>
      <w:pPr>
        <w:pStyle w:val="FootnoteText"/>
        <w:rPr>
          <w:lang w:val="fr-BE"/>
        </w:rPr>
      </w:pPr>
      <w:r>
        <w:rPr>
          <w:rStyle w:val="FootnoteReference"/>
        </w:rPr>
        <w:footnoteRef/>
      </w:r>
      <w:r>
        <w:rPr>
          <w:lang w:val="fr-BE"/>
        </w:rPr>
        <w:tab/>
        <w:t>COM(2019) 640 final.</w:t>
      </w:r>
    </w:p>
  </w:footnote>
  <w:footnote w:id="13">
    <w:p>
      <w:pPr>
        <w:pStyle w:val="FootnoteText"/>
        <w:rPr>
          <w:lang w:val="fr-BE"/>
        </w:rPr>
      </w:pPr>
      <w:r>
        <w:rPr>
          <w:rStyle w:val="FootnoteReference"/>
        </w:rPr>
        <w:footnoteRef/>
      </w:r>
      <w:r>
        <w:rPr>
          <w:lang w:val="fr-BE"/>
        </w:rPr>
        <w:tab/>
        <w:t xml:space="preserve">COM(2021) 323 final – Cadre stratégique de l’Union européenne en matière de santé et de sécurité au travail pour la période 2021-2027.  </w:t>
      </w:r>
    </w:p>
    <w:p>
      <w:pPr>
        <w:pStyle w:val="FootnoteText"/>
        <w:ind w:firstLine="0"/>
        <w:rPr>
          <w:lang w:val="fr-BE"/>
        </w:rPr>
      </w:pPr>
      <w:r>
        <w:rPr>
          <w:lang w:val="fr-BE"/>
        </w:rPr>
        <w:t>La santé et la sécurité au travail dans un monde du travail en mutation.</w:t>
      </w:r>
    </w:p>
  </w:footnote>
  <w:footnote w:id="14">
    <w:p>
      <w:pPr>
        <w:pStyle w:val="FootnoteText"/>
        <w:rPr>
          <w:lang w:val="fr-BE"/>
        </w:rPr>
      </w:pPr>
      <w:r>
        <w:rPr>
          <w:rStyle w:val="FootnoteReference"/>
        </w:rPr>
        <w:footnoteRef/>
      </w:r>
      <w:r>
        <w:rPr>
          <w:lang w:val="fr-BE"/>
        </w:rPr>
        <w:tab/>
      </w:r>
      <w:hyperlink r:id="rId1" w:history="1">
        <w:r>
          <w:rPr>
            <w:rStyle w:val="Hyperlink"/>
            <w:lang w:val="fr-BE"/>
          </w:rPr>
          <w:t>https://ec.europa.eu/health/sites/health/files/antimicrobial_resistance/docs/amr_2017_action-plan.pdf</w:t>
        </w:r>
      </w:hyperlink>
      <w:r>
        <w:rPr>
          <w:lang w:val="fr-BE"/>
        </w:rPr>
        <w:t xml:space="preserve">. </w:t>
      </w:r>
    </w:p>
  </w:footnote>
  <w:footnote w:id="15">
    <w:p>
      <w:pPr>
        <w:pStyle w:val="FootnoteText"/>
        <w:rPr>
          <w:lang w:val="fr-BE"/>
        </w:rPr>
      </w:pPr>
      <w:r>
        <w:rPr>
          <w:rStyle w:val="FootnoteReference"/>
        </w:rPr>
        <w:footnoteRef/>
      </w:r>
      <w:r>
        <w:rPr>
          <w:lang w:val="fr-BE"/>
        </w:rPr>
        <w:tab/>
        <w:t>COM(2017) 610 final.</w:t>
      </w:r>
    </w:p>
  </w:footnote>
  <w:footnote w:id="16">
    <w:p>
      <w:pPr>
        <w:pStyle w:val="FootnoteText"/>
      </w:pPr>
      <w:r>
        <w:rPr>
          <w:rStyle w:val="FootnoteReference"/>
        </w:rPr>
        <w:footnoteRef/>
      </w:r>
      <w:r>
        <w:rPr>
          <w:lang w:val="fr-BE"/>
        </w:rPr>
        <w:tab/>
        <w:t xml:space="preserve">Rapport de synthèse sur la consultation publique relative à l’Autorité européenne de préparation et de réaction en cas d’urgence sanitaire (HERA). </w:t>
      </w:r>
      <w:hyperlink r:id="rId2" w:history="1">
        <w:r>
          <w:rPr>
            <w:rStyle w:val="Hyperlink"/>
          </w:rPr>
          <w:t>https://ec.europa.eu/info/law/better-regulation/have-your-say/initiatives/12870-European-Health-Emergency-Preparedness-and-Response-Authority-HERA-/public-consultation_fr</w:t>
        </w:r>
      </w:hyperlink>
      <w:r>
        <w:t xml:space="preserve">. </w:t>
      </w:r>
    </w:p>
  </w:footnote>
  <w:footnote w:id="17">
    <w:p>
      <w:pPr>
        <w:pStyle w:val="FootnoteText"/>
        <w:rPr>
          <w:lang w:val="fr-BE"/>
        </w:rPr>
      </w:pPr>
      <w:r>
        <w:rPr>
          <w:rStyle w:val="FootnoteReference"/>
        </w:rPr>
        <w:footnoteRef/>
      </w:r>
      <w:r>
        <w:rPr>
          <w:lang w:val="fr-BE"/>
        </w:rPr>
        <w:tab/>
      </w:r>
      <w:r>
        <w:rPr>
          <w:shd w:val="clear" w:color="auto" w:fill="FFFFFF"/>
          <w:lang w:val="fr-BE"/>
        </w:rPr>
        <w:t>Règlement (UE) 2017/745 du Parlement européen et du Conseil du 5 avril 2017 relatif aux dispositifs médicaux, modifiant la directive 2001/83/CE, le règlement (CE) nº 178/2002 et le règlement (CE) nº 1223/2009 et abrogeant les directives 90/385/CEE et 93/42/CEE du Conseil</w:t>
      </w:r>
      <w:r>
        <w:rPr>
          <w:lang w:val="fr-BE"/>
        </w:rPr>
        <w:t xml:space="preserve"> (JO L 295 du 21.11.2018, p. 39).</w:t>
      </w:r>
    </w:p>
  </w:footnote>
  <w:footnote w:id="18">
    <w:p>
      <w:pPr>
        <w:pStyle w:val="FootnoteText"/>
        <w:rPr>
          <w:lang w:val="fr-BE"/>
        </w:rPr>
      </w:pPr>
      <w:r>
        <w:rPr>
          <w:rStyle w:val="FootnoteReference"/>
        </w:rPr>
        <w:footnoteRef/>
      </w:r>
      <w:r>
        <w:rPr>
          <w:lang w:val="fr-BE"/>
        </w:rPr>
        <w:tab/>
      </w:r>
      <w:r>
        <w:rPr>
          <w:sz w:val="21"/>
          <w:szCs w:val="21"/>
          <w:shd w:val="clear" w:color="auto" w:fill="FFFFFF"/>
          <w:lang w:val="fr-BE"/>
        </w:rPr>
        <w:t>Règlement (UE) 2017/746 du Parlement européen et du Conseil du 5 avril 2017 relatif aux dispositifs médicaux de diagnostic in vitro et abrogeant la directive 98/79/CE et la décision 2010/227/UE de la Commission</w:t>
      </w:r>
      <w:r>
        <w:rPr>
          <w:lang w:val="fr-BE"/>
        </w:rPr>
        <w:t xml:space="preserve"> (JO L 119 du 4.5.2016, p. 1).</w:t>
      </w:r>
    </w:p>
  </w:footnote>
  <w:footnote w:id="19">
    <w:p>
      <w:pPr>
        <w:pStyle w:val="FootnoteText"/>
        <w:rPr>
          <w:lang w:val="fr-BE"/>
        </w:rPr>
      </w:pPr>
      <w:r>
        <w:rPr>
          <w:rStyle w:val="FootnoteReference"/>
        </w:rPr>
        <w:footnoteRef/>
      </w:r>
      <w:r>
        <w:rPr>
          <w:lang w:val="fr-BE"/>
        </w:rPr>
        <w:tab/>
        <w:t>https://op.europa.eu/fr/publication-detail/-/publication/a1016d77-2562-11eb-9d7e-01aa75ed71a1.</w:t>
      </w:r>
    </w:p>
  </w:footnote>
  <w:footnote w:id="20">
    <w:p>
      <w:pPr>
        <w:pStyle w:val="FootnoteText"/>
        <w:rPr>
          <w:lang w:val="fr-BE"/>
        </w:rPr>
      </w:pPr>
      <w:r>
        <w:rPr>
          <w:rStyle w:val="FootnoteReference"/>
        </w:rPr>
        <w:footnoteRef/>
      </w:r>
      <w:r>
        <w:rPr>
          <w:lang w:val="fr-BE"/>
        </w:rPr>
        <w:tab/>
      </w:r>
      <w:r>
        <w:rPr>
          <w:shd w:val="clear" w:color="auto" w:fill="FFFFFF"/>
          <w:lang w:val="fr-BE"/>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21">
    <w:p>
      <w:pPr>
        <w:pStyle w:val="FootnoteText"/>
        <w:rPr>
          <w:lang w:val="fr-BE"/>
        </w:rPr>
      </w:pPr>
      <w:r>
        <w:rPr>
          <w:rStyle w:val="FootnoteReference"/>
        </w:rPr>
        <w:footnoteRef/>
      </w:r>
      <w:r>
        <w:rPr>
          <w:lang w:val="fr-BE"/>
        </w:rPr>
        <w:tab/>
        <w:t xml:space="preserve">Règlement (UE) 2016/769 du Parlement européen et du Conseil du 27 avril 2016 relatif à la protection </w:t>
      </w:r>
      <w:r>
        <w:rPr>
          <w:shd w:val="clear" w:color="auto" w:fill="FFFFFF"/>
          <w:lang w:val="fr-BE"/>
        </w:rPr>
        <w:t>des personnes physiques à l’égard du traitement des données à caractère personnel et à la libre circulation de ces données, et abrogeant la directive 95/46/CE (JO L 119 du 4.5.2016, p. 1).</w:t>
      </w:r>
    </w:p>
  </w:footnote>
  <w:footnote w:id="22">
    <w:p>
      <w:pPr>
        <w:pStyle w:val="FootnoteText"/>
        <w:rPr>
          <w:lang w:val="fr-BE"/>
        </w:rPr>
      </w:pPr>
      <w:r>
        <w:rPr>
          <w:rStyle w:val="FootnoteReference"/>
        </w:rPr>
        <w:footnoteRef/>
      </w:r>
      <w:r>
        <w:rPr>
          <w:lang w:val="fr-BE"/>
        </w:rPr>
        <w:tab/>
        <w:t>Règlement (UE) 2016/369 du Conseil du 15 mars 2016 relatif à la fourniture d’une aide d’urgence au sein de l’Union (JO L 70 du 16.3.2016, p. 1).</w:t>
      </w:r>
    </w:p>
  </w:footnote>
  <w:footnote w:id="23">
    <w:p>
      <w:pPr>
        <w:pStyle w:val="FootnoteText"/>
        <w:rPr>
          <w:lang w:val="fr-BE"/>
        </w:rPr>
      </w:pPr>
      <w:r>
        <w:rPr>
          <w:rStyle w:val="FootnoteReference"/>
        </w:rPr>
        <w:footnoteRef/>
      </w:r>
      <w:r>
        <w:rPr>
          <w:lang w:val="fr-BE"/>
        </w:rPr>
        <w:tab/>
        <w:t>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PE/13/2018/REV/1 (JO L 193 du 30.7.2018, p. 1).</w:t>
      </w:r>
    </w:p>
  </w:footnote>
  <w:footnote w:id="24">
    <w:p>
      <w:pPr>
        <w:pStyle w:val="FootnoteText"/>
        <w:rPr>
          <w:lang w:val="fr-BE"/>
        </w:rPr>
      </w:pPr>
      <w:r>
        <w:rPr>
          <w:rStyle w:val="FootnoteReference"/>
        </w:rPr>
        <w:footnoteRef/>
      </w:r>
      <w:r>
        <w:rPr>
          <w:lang w:val="fr-BE"/>
        </w:rPr>
        <w:tab/>
      </w:r>
      <w:r>
        <w:rPr>
          <w:color w:val="1F497D"/>
          <w:lang w:val="fr-BE"/>
        </w:rPr>
        <w:t>Règlement (UE) .../... du Parlement européen et du Conseil du ... relatif à un rôle renforcé de l’Agence européenne des médicaments dans la préparation aux crises et la gestion de celles-ci en ce qui concerne les médicaments et les dispositifs médicaux [JO: veuillez insérer le numéro, la date et la référence de publication].</w:t>
      </w:r>
    </w:p>
  </w:footnote>
  <w:footnote w:id="25">
    <w:p>
      <w:pPr>
        <w:pStyle w:val="FootnoteText"/>
        <w:rPr>
          <w:lang w:val="fr-BE"/>
        </w:rPr>
      </w:pPr>
      <w:r>
        <w:rPr>
          <w:rStyle w:val="FootnoteReference"/>
        </w:rPr>
        <w:footnoteRef/>
      </w:r>
      <w:r>
        <w:rPr>
          <w:lang w:val="fr-BE"/>
        </w:rPr>
        <w:tab/>
      </w:r>
      <w:r>
        <w:rPr>
          <w:color w:val="1F497D"/>
          <w:lang w:val="fr-BE"/>
        </w:rPr>
        <w:t>Règlement (UE) .../... du Parlement européen et du Conseil du ... concernant les menaces transfrontières graves pour la santé et abrogeant la décision nº 1082/2013/UE [JO: veuillez insérer le numéro, la date et la référence de publication].</w:t>
      </w:r>
    </w:p>
  </w:footnote>
  <w:footnote w:id="26">
    <w:p>
      <w:pPr>
        <w:pStyle w:val="FootnoteText"/>
        <w:rPr>
          <w:lang w:val="fr-BE"/>
        </w:rPr>
      </w:pPr>
      <w:r>
        <w:rPr>
          <w:rStyle w:val="FootnoteReference"/>
        </w:rPr>
        <w:footnoteRef/>
      </w:r>
      <w:r>
        <w:rPr>
          <w:lang w:val="fr-BE"/>
        </w:rPr>
        <w:tab/>
      </w:r>
      <w:r>
        <w:rPr>
          <w:color w:val="1F497D"/>
          <w:lang w:val="fr-BE"/>
        </w:rPr>
        <w:t>Règlement (UE) .../... du Parlement européen et du Conseil du ...</w:t>
      </w:r>
      <w:r>
        <w:rPr>
          <w:color w:val="444444"/>
          <w:sz w:val="21"/>
          <w:szCs w:val="21"/>
          <w:lang w:val="fr-BE"/>
        </w:rPr>
        <w:t xml:space="preserve"> modifiant le règlement (CE) nº 851/2004 instituant un Centre européen de prévention et de contrôle des maladies</w:t>
      </w:r>
      <w:r>
        <w:rPr>
          <w:color w:val="1F497D"/>
          <w:lang w:val="fr-BE"/>
        </w:rPr>
        <w:t xml:space="preserve"> [JO: veuillez insérer le numéro, la date et la référence de publication].</w:t>
      </w:r>
    </w:p>
  </w:footnote>
  <w:footnote w:id="27">
    <w:p>
      <w:pPr>
        <w:pStyle w:val="FootnoteText"/>
        <w:rPr>
          <w:color w:val="444444"/>
          <w:lang w:val="fr-BE"/>
        </w:rPr>
      </w:pPr>
      <w:r>
        <w:rPr>
          <w:rStyle w:val="FootnoteReference"/>
        </w:rPr>
        <w:footnoteRef/>
      </w:r>
      <w:r>
        <w:rPr>
          <w:lang w:val="fr-BE"/>
        </w:rPr>
        <w:tab/>
      </w:r>
      <w:r>
        <w:rPr>
          <w:color w:val="444444"/>
          <w:lang w:val="fr-BE"/>
        </w:rPr>
        <w:t xml:space="preserve">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PE/13/2018/REV/1, </w:t>
      </w:r>
      <w:r>
        <w:rPr>
          <w:rStyle w:val="Emphasis"/>
          <w:i w:val="0"/>
          <w:color w:val="444444"/>
          <w:lang w:val="fr-BE"/>
        </w:rPr>
        <w:t>(JO L 193 du 30.7.2018, p. 1)</w:t>
      </w:r>
      <w:r>
        <w:rPr>
          <w:color w:val="444444"/>
          <w:lang w:val="fr-BE"/>
        </w:rPr>
        <w:t>.</w:t>
      </w:r>
    </w:p>
  </w:footnote>
  <w:footnote w:id="28">
    <w:p>
      <w:pPr>
        <w:pStyle w:val="FootnoteText"/>
        <w:rPr>
          <w:lang w:val="fr-BE"/>
        </w:rPr>
      </w:pPr>
      <w:r>
        <w:rPr>
          <w:rStyle w:val="FootnoteReference"/>
        </w:rPr>
        <w:footnoteRef/>
      </w:r>
      <w:r>
        <w:rPr>
          <w:lang w:val="fr-BE"/>
        </w:rPr>
        <w:tab/>
        <w:t>Règlement (UE) 2016/369 du Conseil du 15 mars 2016 relatif à la fourniture d’une aide d’urgence au sein de l’Union (JO L 70 du 16.3.2016, p. 1).</w:t>
      </w:r>
    </w:p>
  </w:footnote>
  <w:footnote w:id="29">
    <w:p>
      <w:pPr>
        <w:pStyle w:val="NormalWeb"/>
        <w:shd w:val="clear" w:color="auto" w:fill="FFFFFF"/>
        <w:spacing w:before="0" w:beforeAutospacing="0" w:after="0" w:afterAutospacing="0"/>
        <w:rPr>
          <w:color w:val="444444"/>
          <w:sz w:val="20"/>
          <w:szCs w:val="20"/>
          <w:lang w:val="fr-BE"/>
        </w:rPr>
      </w:pPr>
      <w:r>
        <w:rPr>
          <w:rStyle w:val="FootnoteReference"/>
        </w:rPr>
        <w:footnoteRef/>
      </w:r>
      <w:r>
        <w:rPr>
          <w:lang w:val="fr-BE"/>
        </w:rPr>
        <w:tab/>
      </w:r>
      <w:r>
        <w:rPr>
          <w:color w:val="444444"/>
          <w:sz w:val="20"/>
          <w:szCs w:val="20"/>
          <w:lang w:val="fr-BE"/>
        </w:rPr>
        <w:t>COM(2021) 78 final.</w:t>
      </w:r>
    </w:p>
  </w:footnote>
  <w:footnote w:id="30">
    <w:p>
      <w:pPr>
        <w:pStyle w:val="FootnoteText"/>
        <w:rPr>
          <w:lang w:val="fr-BE"/>
        </w:rPr>
      </w:pPr>
      <w:r>
        <w:rPr>
          <w:rStyle w:val="FootnoteReference"/>
        </w:rPr>
        <w:footnoteRef/>
      </w:r>
      <w:r>
        <w:rPr>
          <w:lang w:val="fr-BE"/>
        </w:rPr>
        <w:tab/>
        <w:t>Règlement (UE) 2016/369 du Conseil du 15 mars 2016 relatif à la fourniture d’une aide d’urgence au sein de l’Union (JO L 70 du 16.3.2016, p. 1).</w:t>
      </w:r>
    </w:p>
  </w:footnote>
  <w:footnote w:id="31">
    <w:p>
      <w:pPr>
        <w:pStyle w:val="FootnoteText"/>
        <w:rPr>
          <w:lang w:val="fr-BE"/>
        </w:rPr>
      </w:pPr>
      <w:r>
        <w:rPr>
          <w:rStyle w:val="FootnoteReference"/>
        </w:rPr>
        <w:footnoteRef/>
      </w:r>
      <w:r>
        <w:rPr>
          <w:lang w:val="fr-BE"/>
        </w:rPr>
        <w:tab/>
        <w:t xml:space="preserve">Décision nº 1313/2013/UE du Parlement européen et du Conseil du 17 décembre 2013 relative au mécanisme de protection civile de l’Union </w:t>
      </w:r>
      <w:r>
        <w:rPr>
          <w:rStyle w:val="Emphasis"/>
          <w:i w:val="0"/>
          <w:lang w:val="fr-BE"/>
        </w:rPr>
        <w:t>(JO L 347 du 20.12.2013, p. 924)</w:t>
      </w:r>
      <w:r>
        <w:rPr>
          <w:lang w:val="fr-BE"/>
        </w:rPr>
        <w:t>.</w:t>
      </w:r>
    </w:p>
    <w:p>
      <w:pPr>
        <w:pStyle w:val="FootnoteText"/>
        <w:rPr>
          <w:lang w:val="fr-BE"/>
        </w:rPr>
      </w:pPr>
    </w:p>
  </w:footnote>
  <w:footnote w:id="32">
    <w:p>
      <w:pPr>
        <w:pStyle w:val="FootnoteText"/>
        <w:rPr>
          <w:lang w:val="fr-BE"/>
        </w:rPr>
      </w:pPr>
      <w:r>
        <w:rPr>
          <w:rStyle w:val="FootnoteReference"/>
        </w:rPr>
        <w:footnoteRef/>
      </w:r>
      <w:r>
        <w:rPr>
          <w:lang w:val="fr-BE"/>
        </w:rPr>
        <w:tab/>
        <w:t>Décision d’exécution (UE) 2018/1993 du Conseil du 11 décembre 2018 concernant le dispositif intégré de l’Union européenne pour une réaction au niveau politique dans les situations de crise (JO L 320 du 17.12.2018, p. 28).</w:t>
      </w:r>
    </w:p>
  </w:footnote>
  <w:footnote w:id="33">
    <w:p>
      <w:pPr>
        <w:pStyle w:val="FootnoteText"/>
        <w:rPr>
          <w:lang w:val="fr-BE"/>
        </w:rPr>
      </w:pPr>
      <w:r>
        <w:rPr>
          <w:rStyle w:val="FootnoteReference"/>
        </w:rPr>
        <w:footnoteRef/>
      </w:r>
      <w:r>
        <w:rPr>
          <w:lang w:val="fr-BE"/>
        </w:rPr>
        <w:tab/>
        <w:t>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(JO L 193 du 30.7.2018, p. 1).</w:t>
      </w:r>
    </w:p>
  </w:footnote>
  <w:footnote w:id="34">
    <w:p>
      <w:pPr>
        <w:pStyle w:val="FootnoteText"/>
        <w:rPr>
          <w:szCs w:val="24"/>
          <w:lang w:val="fr-BE"/>
        </w:rPr>
      </w:pPr>
      <w:r>
        <w:rPr>
          <w:rStyle w:val="FootnoteReference"/>
        </w:rPr>
        <w:footnoteRef/>
      </w:r>
      <w:r>
        <w:rPr>
          <w:lang w:val="fr-BE"/>
        </w:rPr>
        <w:tab/>
        <w:t>Tel(le) que visé(e) à l’article 58, paragraphe 2, point a) ou b), du règlement financier.</w:t>
      </w:r>
    </w:p>
  </w:footnote>
  <w:footnote w:id="35">
    <w:p>
      <w:pPr>
        <w:pStyle w:val="FootnoteText"/>
        <w:jc w:val="left"/>
        <w:rPr>
          <w:szCs w:val="24"/>
          <w:lang w:val="fr-BE"/>
        </w:rPr>
      </w:pPr>
      <w:r>
        <w:rPr>
          <w:rStyle w:val="FootnoteReference"/>
        </w:rPr>
        <w:footnoteRef/>
      </w:r>
      <w:r>
        <w:rPr>
          <w:lang w:val="fr-BE"/>
        </w:rPr>
        <w:tab/>
        <w:t xml:space="preserve">Les explications sur les modes de gestion ainsi que les références au règlement financier sont disponibles sur le site BudgWeb: </w:t>
      </w:r>
      <w:hyperlink r:id="rId3" w:history="1">
        <w:r>
          <w:rPr>
            <w:rStyle w:val="Hyperlink"/>
            <w:lang w:val="fr-BE"/>
          </w:rPr>
          <w:t>https://myintracomm.ec.europa.eu/budgweb/FR/man/budgmanag/Pages/budgmanag.aspx</w:t>
        </w:r>
      </w:hyperlink>
      <w:r>
        <w:rPr>
          <w:lang w:val="fr-BE"/>
        </w:rPr>
        <w:t xml:space="preserve"> </w:t>
      </w:r>
    </w:p>
  </w:footnote>
  <w:footnote w:id="36">
    <w:p>
      <w:pPr>
        <w:pStyle w:val="FootnoteText"/>
        <w:rPr>
          <w:lang w:val="fr-BE"/>
        </w:rPr>
      </w:pPr>
      <w:r>
        <w:rPr>
          <w:rStyle w:val="FootnoteReference"/>
        </w:rPr>
        <w:footnoteRef/>
      </w:r>
      <w:r>
        <w:rPr>
          <w:lang w:val="fr-BE"/>
        </w:rPr>
        <w:tab/>
        <w:t>Il peut également être fait appel à d’autres lignes budgétaires relevant du programme Horizon Europe.</w:t>
      </w:r>
    </w:p>
  </w:footnote>
  <w:footnote w:id="37">
    <w:p>
      <w:pPr>
        <w:pStyle w:val="FootnoteText"/>
        <w:rPr>
          <w:szCs w:val="24"/>
          <w:lang w:val="fr-BE"/>
        </w:rPr>
      </w:pPr>
      <w:r>
        <w:rPr>
          <w:rStyle w:val="FootnoteReference"/>
        </w:rPr>
        <w:footnoteRef/>
      </w:r>
      <w:r>
        <w:rPr>
          <w:lang w:val="fr-BE"/>
        </w:rPr>
        <w:tab/>
        <w:t xml:space="preserve">Ce montant comprend la contribution potentielle à une agence exécutive, ainsi que l’assistance technique et/ou administrative et les dépenses d’appui à la mise en œuvre de programmes et/ou d’actions de l’UE (anciennes lignes «BA»), la recherche indirecte, la recherche directe qui seront inscrites sur les lignes relatives aux dépenses d’appui [dotées d’une mention «pour mémoire» («p.m.»)]. </w:t>
      </w:r>
    </w:p>
  </w:footnote>
  <w:footnote w:id="38">
    <w:p>
      <w:pPr>
        <w:pStyle w:val="FootnoteText"/>
        <w:rPr>
          <w:szCs w:val="24"/>
          <w:lang w:val="fr-BE"/>
        </w:rPr>
      </w:pPr>
      <w:r>
        <w:rPr>
          <w:rStyle w:val="FootnoteReference"/>
        </w:rPr>
        <w:footnoteRef/>
      </w:r>
      <w:r>
        <w:rPr>
          <w:lang w:val="fr-BE"/>
        </w:rPr>
        <w:tab/>
        <w:t>Ce montant comprend la contribution potentielle à une agence exécutive, ainsi que l’assistance technique et/ou administrative et les dépenses d’appui à la mise en œuvre de programmes et/ou d’actions de l’UE (anciennes lignes «BA»), la recherche indirecte, la recherche directe qui seront inscrites sur la ligne relative aux dépenses d’appui [dotée d’une mention «pour mémoire» («p.m.»)].</w:t>
      </w:r>
    </w:p>
  </w:footnote>
  <w:footnote w:id="39">
    <w:p>
      <w:pPr>
        <w:pStyle w:val="FootnoteText"/>
      </w:pPr>
      <w:r>
        <w:rPr>
          <w:rStyle w:val="FootnoteReference"/>
        </w:rPr>
        <w:footnoteRef/>
      </w:r>
      <w:r>
        <w:tab/>
      </w:r>
    </w:p>
    <w:p>
      <w:pPr>
        <w:pStyle w:val="FootnoteText"/>
        <w:ind w:left="0" w:firstLine="0"/>
        <w:rPr>
          <w:szCs w:val="24"/>
          <w:lang w:val="fr-BE"/>
        </w:rPr>
      </w:pPr>
      <w:r>
        <w:rPr>
          <w:lang w:val="fr-BE"/>
        </w:rPr>
        <w:t>Ce montant comprend le coût de l’assistance technique et/ou administrative et les dépenses d’appui à la mise en œuvre de programmes et/ou d’actions de l’UE (anciennes lignes «BA»), la recherche indirecte, la recherche directe qui seront inscrites sur la ligne relative aux dépenses d’appui [dotée d’une mention «pour mémoire» («p.m.»)].</w:t>
      </w:r>
    </w:p>
    <w:p>
      <w:pPr>
        <w:pStyle w:val="FootnoteText"/>
        <w:rPr>
          <w:szCs w:val="24"/>
          <w:lang w:val="fr-BE"/>
        </w:rPr>
      </w:pPr>
    </w:p>
  </w:footnote>
  <w:footnote w:id="40">
    <w:p>
      <w:pPr>
        <w:pStyle w:val="FootnoteText"/>
        <w:rPr>
          <w:szCs w:val="24"/>
          <w:lang w:val="fr-BE"/>
        </w:rPr>
      </w:pPr>
      <w:r>
        <w:rPr>
          <w:rStyle w:val="FootnoteReference"/>
        </w:rPr>
        <w:footnoteRef/>
      </w:r>
      <w:r>
        <w:rPr>
          <w:lang w:val="fr-BE"/>
        </w:rPr>
        <w:tab/>
        <w:t xml:space="preserve">Assistance technique et/ou administrative et dépenses d’appui à la mise en œuvre de programmes et/ou d’actions de l’UE (anciennes lignes «BA»), recherche indirecte, recherche directe. Ce montant comprend la contribution potentielle à une agence exécutive. </w:t>
      </w:r>
    </w:p>
  </w:footnote>
  <w:footnote w:id="41">
    <w:p>
      <w:pPr>
        <w:pStyle w:val="FootnoteText"/>
        <w:rPr>
          <w:szCs w:val="24"/>
          <w:lang w:val="fr-BE"/>
        </w:rPr>
      </w:pPr>
      <w:r>
        <w:rPr>
          <w:rStyle w:val="FootnoteReference"/>
        </w:rPr>
        <w:footnoteRef/>
      </w:r>
      <w:r>
        <w:rPr>
          <w:lang w:val="fr-BE"/>
        </w:rPr>
        <w:tab/>
        <w:t>Les réalisations se réfèrent aux produits et services qui seront fournis (par exemple: nombre d’échanges d’étudiants financés, nombre de km de routes construites, etc.).</w:t>
      </w:r>
    </w:p>
  </w:footnote>
  <w:footnote w:id="42">
    <w:p>
      <w:pPr>
        <w:pStyle w:val="FootnoteText"/>
        <w:rPr>
          <w:szCs w:val="24"/>
          <w:lang w:val="fr-BE"/>
        </w:rPr>
      </w:pPr>
      <w:r>
        <w:rPr>
          <w:rStyle w:val="FootnoteReference"/>
        </w:rPr>
        <w:footnoteRef/>
      </w:r>
      <w:r>
        <w:rPr>
          <w:lang w:val="fr-BE"/>
        </w:rPr>
        <w:tab/>
        <w:t xml:space="preserve">Tel que décrit dans la partie 1.4.2. Objectif(s) spécifique(s) </w:t>
      </w:r>
    </w:p>
  </w:footnote>
  <w:footnote w:id="43">
    <w:p>
      <w:pPr>
        <w:pStyle w:val="FootnoteText"/>
        <w:rPr>
          <w:szCs w:val="24"/>
          <w:lang w:val="fr-BE"/>
        </w:rPr>
      </w:pPr>
      <w:r>
        <w:rPr>
          <w:rStyle w:val="FootnoteReference"/>
        </w:rPr>
        <w:footnoteRef/>
      </w:r>
      <w:r>
        <w:rPr>
          <w:lang w:val="fr-BE"/>
        </w:rPr>
        <w:tab/>
      </w:r>
      <w:r>
        <w:rPr>
          <w:sz w:val="18"/>
          <w:szCs w:val="18"/>
          <w:lang w:val="fr-BE"/>
        </w:rPr>
        <w:t>Assistance technique et/ou administrative et dépenses d’appui à la mise en œuvre de programmes et/ou d’actions de l’UE (anciennes lignes «BA»), recherche indirecte, recherche directe.</w:t>
      </w:r>
    </w:p>
  </w:footnote>
  <w:footnote w:id="44">
    <w:p>
      <w:pPr>
        <w:pStyle w:val="FootnoteText"/>
        <w:rPr>
          <w:szCs w:val="24"/>
          <w:lang w:val="fr-BE"/>
        </w:rPr>
      </w:pPr>
      <w:r>
        <w:rPr>
          <w:rStyle w:val="FootnoteReference"/>
        </w:rPr>
        <w:footnoteRef/>
      </w:r>
      <w:r>
        <w:rPr>
          <w:lang w:val="fr-BE"/>
        </w:rPr>
        <w:tab/>
        <w:t xml:space="preserve">AC = agent contractuel; AL = agent local; END = expert national détaché; INT = intérimaire; JPD = jeune professionnel en délégation. </w:t>
      </w:r>
    </w:p>
  </w:footnote>
  <w:footnote w:id="45">
    <w:p>
      <w:pPr>
        <w:pStyle w:val="FootnoteText"/>
        <w:rPr>
          <w:szCs w:val="24"/>
          <w:lang w:val="fr-BE"/>
        </w:rPr>
      </w:pPr>
      <w:r>
        <w:rPr>
          <w:rStyle w:val="FootnoteReference"/>
        </w:rPr>
        <w:footnoteRef/>
      </w:r>
      <w:r>
        <w:rPr>
          <w:lang w:val="fr-BE"/>
        </w:rPr>
        <w:tab/>
        <w:t>Sous-plafond de personnel externe financé sur crédits opérationnels (anciennes lignes «BA»).</w:t>
      </w:r>
    </w:p>
  </w:footnote>
  <w:footnote w:id="46">
    <w:p>
      <w:pPr>
        <w:pStyle w:val="FootnoteText"/>
        <w:rPr>
          <w:szCs w:val="24"/>
          <w:lang w:val="fr-BE"/>
        </w:rPr>
      </w:pPr>
      <w:r>
        <w:rPr>
          <w:rStyle w:val="FootnoteReference"/>
        </w:rPr>
        <w:footnoteRef/>
      </w:r>
      <w:r>
        <w:rPr>
          <w:lang w:val="fr-BE"/>
        </w:rPr>
        <w:tab/>
        <w:t>En ce qui concerne les ressources propres traditionnelles (droits de douane et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36869D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F8A566C"/>
    <w:lvl w:ilvl="0">
      <w:start w:val="1"/>
      <w:numFmt w:val="decimal"/>
      <w:pStyle w:val="ListNumber3"/>
      <w:lvlText w:val="%1."/>
      <w:lvlJc w:val="left"/>
      <w:pPr>
        <w:tabs>
          <w:tab w:val="num" w:pos="926"/>
        </w:tabs>
        <w:ind w:left="926" w:hanging="360"/>
      </w:pPr>
    </w:lvl>
  </w:abstractNum>
  <w:abstractNum w:abstractNumId="2">
    <w:nsid w:val="FFFFFF7F"/>
    <w:multiLevelType w:val="singleLevel"/>
    <w:tmpl w:val="22C2DD50"/>
    <w:lvl w:ilvl="0">
      <w:start w:val="1"/>
      <w:numFmt w:val="decimal"/>
      <w:pStyle w:val="ListNumber2"/>
      <w:lvlText w:val="%1."/>
      <w:lvlJc w:val="left"/>
      <w:pPr>
        <w:tabs>
          <w:tab w:val="num" w:pos="643"/>
        </w:tabs>
        <w:ind w:left="643" w:hanging="360"/>
      </w:pPr>
    </w:lvl>
  </w:abstractNum>
  <w:abstractNum w:abstractNumId="3">
    <w:nsid w:val="FFFFFF81"/>
    <w:multiLevelType w:val="singleLevel"/>
    <w:tmpl w:val="CE728F9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566E256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7CEC25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A2EF73C"/>
    <w:lvl w:ilvl="0">
      <w:start w:val="1"/>
      <w:numFmt w:val="decimal"/>
      <w:pStyle w:val="ListNumber"/>
      <w:lvlText w:val="%1."/>
      <w:lvlJc w:val="left"/>
      <w:pPr>
        <w:tabs>
          <w:tab w:val="num" w:pos="360"/>
        </w:tabs>
        <w:ind w:left="360" w:hanging="360"/>
      </w:pPr>
    </w:lvl>
  </w:abstractNum>
  <w:abstractNum w:abstractNumId="7">
    <w:nsid w:val="FFFFFF89"/>
    <w:multiLevelType w:val="singleLevel"/>
    <w:tmpl w:val="727A1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2">
    <w:nsid w:val="4D0C058A"/>
    <w:multiLevelType w:val="singleLevel"/>
    <w:tmpl w:val="BAE8D90E"/>
    <w:name w:val="List Dash 1"/>
    <w:lvl w:ilvl="0">
      <w:start w:val="1"/>
      <w:numFmt w:val="bullet"/>
      <w:lvlRestart w:val="0"/>
      <w:lvlText w:val="–"/>
      <w:lvlJc w:val="left"/>
      <w:pPr>
        <w:tabs>
          <w:tab w:val="num" w:pos="1134"/>
        </w:tabs>
        <w:ind w:left="1134" w:hanging="283"/>
      </w:pPr>
      <w:rPr>
        <w:rFonts w:ascii="Times New Roman" w:hAnsi="Times New Roman" w:cs="Times New Roman"/>
      </w:rPr>
    </w:lvl>
  </w:abstractNum>
  <w:abstractNum w:abstractNumId="23">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8">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7"/>
  </w:num>
  <w:num w:numId="6">
    <w:abstractNumId w:val="17"/>
    <w:lvlOverride w:ilvl="0">
      <w:startOverride w:val="1"/>
    </w:lvlOverride>
  </w:num>
  <w:num w:numId="7">
    <w:abstractNumId w:val="30"/>
    <w:lvlOverride w:ilvl="0">
      <w:startOverride w:val="1"/>
    </w:lvlOverride>
  </w:num>
  <w:num w:numId="8">
    <w:abstractNumId w:val="6"/>
  </w:num>
  <w:num w:numId="9">
    <w:abstractNumId w:val="2"/>
  </w:num>
  <w:num w:numId="10">
    <w:abstractNumId w:val="1"/>
  </w:num>
  <w:num w:numId="11">
    <w:abstractNumId w:val="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5"/>
  </w:num>
  <w:num w:numId="15">
    <w:abstractNumId w:val="21"/>
  </w:num>
  <w:num w:numId="16">
    <w:abstractNumId w:val="9"/>
  </w:num>
  <w:num w:numId="17">
    <w:abstractNumId w:val="16"/>
  </w:num>
  <w:num w:numId="18">
    <w:abstractNumId w:val="10"/>
  </w:num>
  <w:num w:numId="19">
    <w:abstractNumId w:val="22"/>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17"/>
  </w:num>
  <w:num w:numId="27">
    <w:abstractNumId w:val="29"/>
  </w:num>
  <w:num w:numId="28">
    <w:abstractNumId w:val="14"/>
  </w:num>
  <w:num w:numId="29">
    <w:abstractNumId w:val="18"/>
  </w:num>
  <w:num w:numId="30">
    <w:abstractNumId w:val="19"/>
  </w:num>
  <w:num w:numId="31">
    <w:abstractNumId w:val="12"/>
  </w:num>
  <w:num w:numId="32">
    <w:abstractNumId w:val="28"/>
  </w:num>
  <w:num w:numId="33">
    <w:abstractNumId w:val="11"/>
  </w:num>
  <w:num w:numId="34">
    <w:abstractNumId w:val="20"/>
  </w:num>
  <w:num w:numId="35">
    <w:abstractNumId w:val="24"/>
  </w:num>
  <w:num w:numId="36">
    <w:abstractNumId w:val="25"/>
  </w:num>
  <w:num w:numId="37">
    <w:abstractNumId w:val="13"/>
  </w:num>
  <w:num w:numId="38">
    <w:abstractNumId w:val="23"/>
  </w:num>
  <w:num w:numId="39">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hideSpellingErrors/>
  <w:hideGrammaticalErrors/>
  <w:activeWritingStyle w:appName="MSWord" w:lang="nl-NL"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es-ES" w:vendorID="64" w:dllVersion="131078" w:nlCheck="1" w:checkStyle="0"/>
  <w:activeWritingStyle w:appName="MSWord" w:lang="fr-BE" w:vendorID="64" w:dllVersion="131078" w:nlCheck="1" w:checkStyle="0"/>
  <w:activeWritingStyle w:appName="MSWord" w:lang="de-DE" w:vendorID="64" w:dllVersion="131078" w:nlCheck="1" w:checkStyle="0"/>
  <w:activeWritingStyle w:appName="MSWord" w:lang="fr-FR" w:vendorID="64" w:dllVersion="131078" w:nlCheck="1" w:checkStyle="0"/>
  <w:attachedTemplate r:id="rId1"/>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9-28 14:54:10"/>
    <w:docVar w:name="DQCResult_Distribution" w:val="0;2"/>
    <w:docVar w:name="DQCResult_DocumentContent" w:val="0;0"/>
    <w:docVar w:name="DQCResult_DocumentSize" w:val="0;0"/>
    <w:docVar w:name="DQCResult_DocumentVersions" w:val="0;0"/>
    <w:docVar w:name="DQCResult_InvalidFootnotes" w:val="0;0"/>
    <w:docVar w:name="DQCResult_LinkedStyles" w:val="0;0"/>
    <w:docVar w:name="DQCResult_ModifiedMargins" w:val="0;38"/>
    <w:docVar w:name="DQCResult_ModifiedMarkers" w:val="0;0"/>
    <w:docVar w:name="DQCResult_ModifiedNumbering" w:val="0;0"/>
    <w:docVar w:name="DQCResult_Objects" w:val="0;0"/>
    <w:docVar w:name="DQCResult_Sections" w:val="0;1"/>
    <w:docVar w:name="DQCResult_StructureCheck" w:val="0;0"/>
    <w:docVar w:name="DQCResult_SuperfluousWhitespace" w:val="0;38"/>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5A99B94C-F9EF-4EE4-AAFC-33136737B08C"/>
    <w:docVar w:name="LW_COVERPAGE_TYPE" w:val="1"/>
    <w:docVar w:name="LW_CROSSREFERENCE" w:val="&lt;UNUSED&gt;"/>
    <w:docVar w:name="LW_DocType" w:val="COM"/>
    <w:docVar w:name="LW_EMISSION" w:val="16.9.2021"/>
    <w:docVar w:name="LW_EMISSION_ISODATE" w:val="2021-09-16"/>
    <w:docVar w:name="LW_EMISSION_LOCATION" w:val="BRX"/>
    <w:docVar w:name="LW_EMISSION_PREFIX" w:val="Bruxelles, le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94"/>
    <w:docVar w:name="LW_REF.II.NEW.CP_YEAR" w:val="2021"/>
    <w:docVar w:name="LW_REF.INST.NEW" w:val="COM"/>
    <w:docVar w:name="LW_REF.INST.NEW_ADOPTED" w:val="final"/>
    <w:docVar w:name="LW_REF.INST.NEW_TEXT" w:val="(2021) 5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un cadre de mesures visant à garantir la fourniture des contre-mesures médicales nécessaires en cas d\u8217?urgence de santé publique au niveau de l\u8217?Union"/>
    <w:docVar w:name="LW_TYPE.DOC.CP" w:val="RÈGLEMENT DU CONSEIL"/>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footnote reference"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en-GB"/>
    </w:rPr>
  </w:style>
  <w:style w:type="character" w:customStyle="1" w:styleId="Aucun">
    <w:name w:val="Aucun"/>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L,CV text"/>
    <w:basedOn w:val="Normal"/>
    <w:link w:val="ListParagraphChar"/>
    <w:uiPriority w:val="34"/>
    <w:qFormat/>
    <w:pPr>
      <w:ind w:left="720"/>
      <w:contextualSpacing/>
    </w:p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L Char"/>
    <w:link w:val="ListParagraph"/>
    <w:uiPriority w:val="34"/>
    <w:qFormat/>
    <w:locked/>
    <w:rPr>
      <w:rFonts w:ascii="Times New Roman" w:hAnsi="Times New Roman" w:cs="Times New Roman"/>
      <w:sz w:val="24"/>
      <w:lang w:val="en-GB"/>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customStyle="1" w:styleId="ListDash1">
    <w:name w:val="List Dash 1"/>
    <w:basedOn w:val="Text1"/>
    <w:pPr>
      <w:numPr>
        <w:numId w:val="5"/>
      </w:numPr>
      <w:spacing w:before="0" w:after="240"/>
    </w:pPr>
    <w:rPr>
      <w:rFonts w:eastAsia="Times New Roman"/>
      <w:szCs w:val="20"/>
      <w:lang w:val="de-DE"/>
    </w:rPr>
  </w:style>
  <w:style w:type="paragraph" w:customStyle="1" w:styleId="ecl-u-type-paragraph-m">
    <w:name w:val="ecl-u-type-paragraph-m"/>
    <w:basedOn w:val="Normal"/>
    <w:pPr>
      <w:spacing w:before="100" w:beforeAutospacing="1" w:after="100" w:afterAutospacing="1"/>
      <w:jc w:val="left"/>
    </w:pPr>
    <w:rPr>
      <w:rFonts w:eastAsia="Times New Roman"/>
      <w:szCs w:val="24"/>
      <w:lang w:eastAsia="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highlight">
    <w:name w:val="highlight"/>
    <w:basedOn w:val="DefaultParagraphFont"/>
  </w:style>
  <w:style w:type="character" w:styleId="Emphasis">
    <w:name w:val="Emphasis"/>
    <w:basedOn w:val="DefaultParagraphFont"/>
    <w:uiPriority w:val="20"/>
    <w:qFormat/>
    <w:rPr>
      <w:i/>
      <w:iCs/>
    </w:rPr>
  </w:style>
  <w:style w:type="paragraph" w:styleId="NormalWeb">
    <w:name w:val="Normal (Web)"/>
    <w:basedOn w:val="Normal"/>
    <w:uiPriority w:val="99"/>
    <w:unhideWhenUsed/>
    <w:pPr>
      <w:spacing w:before="100" w:beforeAutospacing="1" w:after="100" w:afterAutospacing="1"/>
      <w:jc w:val="left"/>
    </w:pPr>
    <w:rPr>
      <w:rFonts w:eastAsia="Times New Roman"/>
      <w:szCs w:val="24"/>
      <w:lang w:val="en-IE" w:eastAsia="en-IE"/>
    </w:rPr>
  </w:style>
  <w:style w:type="paragraph" w:styleId="Caption">
    <w:name w:val="caption"/>
    <w:basedOn w:val="Normal"/>
    <w:next w:val="Normal"/>
    <w:unhideWhenUsed/>
    <w:qFormat/>
    <w:pPr>
      <w:spacing w:before="0" w:after="200"/>
    </w:pPr>
    <w:rPr>
      <w:i/>
      <w:iCs/>
      <w:color w:val="1F497D" w:themeColor="text2"/>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8"/>
      </w:numPr>
      <w:contextualSpacing/>
    </w:pPr>
  </w:style>
  <w:style w:type="paragraph" w:styleId="ListNumber2">
    <w:name w:val="List Number 2"/>
    <w:basedOn w:val="Normal"/>
    <w:unhideWhenUsed/>
    <w:pPr>
      <w:numPr>
        <w:numId w:val="9"/>
      </w:numPr>
      <w:contextualSpacing/>
    </w:pPr>
  </w:style>
  <w:style w:type="paragraph" w:styleId="ListNumber3">
    <w:name w:val="List Number 3"/>
    <w:basedOn w:val="Normal"/>
    <w:unhideWhenUsed/>
    <w:pPr>
      <w:numPr>
        <w:numId w:val="10"/>
      </w:numPr>
      <w:contextualSpacing/>
    </w:pPr>
  </w:style>
  <w:style w:type="paragraph" w:styleId="ListNumber4">
    <w:name w:val="List Number 4"/>
    <w:basedOn w:val="Normal"/>
    <w:unhideWhenUsed/>
    <w:pPr>
      <w:numPr>
        <w:numId w:val="11"/>
      </w:numPr>
      <w:contextualSpacing/>
    </w:pPr>
  </w:style>
  <w:style w:type="paragraph" w:customStyle="1" w:styleId="ListBullet1">
    <w:name w:val="List Bullet 1"/>
    <w:basedOn w:val="Normal"/>
    <w:pPr>
      <w:numPr>
        <w:numId w:val="13"/>
      </w:numPr>
    </w:pPr>
    <w:rPr>
      <w:rFonts w:eastAsia="Times New Roman"/>
      <w:lang w:eastAsia="de-DE"/>
    </w:rPr>
  </w:style>
  <w:style w:type="paragraph" w:customStyle="1" w:styleId="ListDash">
    <w:name w:val="List Dash"/>
    <w:basedOn w:val="Normal"/>
    <w:pPr>
      <w:numPr>
        <w:numId w:val="14"/>
      </w:numPr>
    </w:pPr>
    <w:rPr>
      <w:rFonts w:eastAsia="Times New Roman"/>
      <w:lang w:eastAsia="de-DE"/>
    </w:rPr>
  </w:style>
  <w:style w:type="paragraph" w:customStyle="1" w:styleId="ListDash2">
    <w:name w:val="List Dash 2"/>
    <w:basedOn w:val="Normal"/>
    <w:pPr>
      <w:numPr>
        <w:numId w:val="15"/>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pPr>
      <w:numPr>
        <w:numId w:val="16"/>
      </w:numPr>
    </w:pPr>
    <w:rPr>
      <w:rFonts w:eastAsia="Times New Roman"/>
      <w:lang w:eastAsia="en-GB"/>
    </w:rPr>
  </w:style>
  <w:style w:type="paragraph" w:customStyle="1" w:styleId="ListDash4">
    <w:name w:val="List Dash 4"/>
    <w:basedOn w:val="Normal"/>
    <w:pPr>
      <w:numPr>
        <w:numId w:val="17"/>
      </w:numPr>
    </w:pPr>
    <w:rPr>
      <w:rFonts w:eastAsia="Times New Roman"/>
      <w:lang w:eastAsia="en-GB"/>
    </w:rPr>
  </w:style>
  <w:style w:type="paragraph" w:customStyle="1" w:styleId="ListNumber1">
    <w:name w:val="List Number 1"/>
    <w:basedOn w:val="Text1"/>
    <w:pPr>
      <w:numPr>
        <w:numId w:val="18"/>
      </w:numPr>
    </w:pPr>
    <w:rPr>
      <w:rFonts w:eastAsia="Times New Roman"/>
      <w:lang w:eastAsia="en-GB"/>
    </w:rPr>
  </w:style>
  <w:style w:type="paragraph" w:customStyle="1" w:styleId="ListNumber1Level2">
    <w:name w:val="List Number 1 (Level 2)"/>
    <w:basedOn w:val="Text1"/>
    <w:pPr>
      <w:numPr>
        <w:ilvl w:val="1"/>
        <w:numId w:val="18"/>
      </w:numPr>
    </w:pPr>
    <w:rPr>
      <w:rFonts w:eastAsia="Times New Roman"/>
      <w:lang w:eastAsia="en-GB"/>
    </w:rPr>
  </w:style>
  <w:style w:type="paragraph" w:customStyle="1" w:styleId="ListNumber2Level2">
    <w:name w:val="List Number 2 (Level 2)"/>
    <w:basedOn w:val="Text2"/>
    <w:pPr>
      <w:tabs>
        <w:tab w:val="num" w:pos="2268"/>
      </w:tabs>
      <w:ind w:left="2268" w:hanging="708"/>
    </w:pPr>
    <w:rPr>
      <w:rFonts w:eastAsia="Times New Roman"/>
      <w:lang w:eastAsia="en-GB"/>
    </w:rPr>
  </w:style>
  <w:style w:type="paragraph" w:customStyle="1" w:styleId="ListNumber3Level2">
    <w:name w:val="List Number 3 (Level 2)"/>
    <w:basedOn w:val="Text3"/>
    <w:pPr>
      <w:tabs>
        <w:tab w:val="num" w:pos="2268"/>
      </w:tabs>
      <w:ind w:left="2268" w:hanging="708"/>
    </w:pPr>
    <w:rPr>
      <w:rFonts w:eastAsia="Times New Roman"/>
      <w:lang w:eastAsia="en-GB"/>
    </w:rPr>
  </w:style>
  <w:style w:type="paragraph" w:customStyle="1" w:styleId="ListNumber4Level2">
    <w:name w:val="List Number 4 (Level 2)"/>
    <w:basedOn w:val="Text4"/>
    <w:pPr>
      <w:tabs>
        <w:tab w:val="num" w:pos="2268"/>
      </w:tabs>
      <w:ind w:left="2268" w:hanging="708"/>
    </w:pPr>
    <w:rPr>
      <w:rFonts w:eastAsia="Times New Roman"/>
      <w:lang w:eastAsia="en-GB"/>
    </w:rPr>
  </w:style>
  <w:style w:type="paragraph" w:customStyle="1" w:styleId="ListNumber1Level3">
    <w:name w:val="List Number 1 (Level 3)"/>
    <w:basedOn w:val="Text1"/>
    <w:pPr>
      <w:numPr>
        <w:ilvl w:val="2"/>
        <w:numId w:val="18"/>
      </w:numPr>
    </w:pPr>
    <w:rPr>
      <w:rFonts w:eastAsia="Times New Roman"/>
      <w:lang w:eastAsia="en-GB"/>
    </w:rPr>
  </w:style>
  <w:style w:type="paragraph" w:customStyle="1" w:styleId="ListNumber2Level3">
    <w:name w:val="List Number 2 (Level 3)"/>
    <w:basedOn w:val="Text2"/>
    <w:pPr>
      <w:tabs>
        <w:tab w:val="num" w:pos="2977"/>
      </w:tabs>
      <w:ind w:left="2977" w:hanging="709"/>
    </w:pPr>
    <w:rPr>
      <w:rFonts w:eastAsia="Times New Roman"/>
      <w:lang w:eastAsia="en-GB"/>
    </w:rPr>
  </w:style>
  <w:style w:type="paragraph" w:customStyle="1" w:styleId="ListNumber3Level3">
    <w:name w:val="List Number 3 (Level 3)"/>
    <w:basedOn w:val="Text3"/>
    <w:pPr>
      <w:tabs>
        <w:tab w:val="num" w:pos="2977"/>
      </w:tabs>
      <w:ind w:left="2977" w:hanging="709"/>
    </w:pPr>
    <w:rPr>
      <w:rFonts w:eastAsia="Times New Roman"/>
      <w:lang w:eastAsia="en-GB"/>
    </w:rPr>
  </w:style>
  <w:style w:type="paragraph" w:customStyle="1" w:styleId="ListNumber4Level3">
    <w:name w:val="List Number 4 (Level 3)"/>
    <w:basedOn w:val="Text4"/>
    <w:pPr>
      <w:tabs>
        <w:tab w:val="num" w:pos="2977"/>
      </w:tabs>
      <w:ind w:left="2977" w:hanging="709"/>
    </w:pPr>
    <w:rPr>
      <w:rFonts w:eastAsia="Times New Roman"/>
      <w:lang w:eastAsia="en-GB"/>
    </w:rPr>
  </w:style>
  <w:style w:type="paragraph" w:customStyle="1" w:styleId="ListNumber1Level4">
    <w:name w:val="List Number 1 (Level 4)"/>
    <w:basedOn w:val="Text1"/>
    <w:pPr>
      <w:numPr>
        <w:ilvl w:val="3"/>
        <w:numId w:val="18"/>
      </w:numPr>
    </w:pPr>
    <w:rPr>
      <w:rFonts w:eastAsia="Times New Roman"/>
      <w:lang w:eastAsia="en-GB"/>
    </w:rPr>
  </w:style>
  <w:style w:type="paragraph" w:customStyle="1" w:styleId="ListNumber2Level4">
    <w:name w:val="List Number 2 (Level 4)"/>
    <w:basedOn w:val="Text2"/>
    <w:pPr>
      <w:tabs>
        <w:tab w:val="num" w:pos="3686"/>
      </w:tabs>
      <w:ind w:left="3686" w:hanging="709"/>
    </w:pPr>
    <w:rPr>
      <w:rFonts w:eastAsia="Times New Roman"/>
      <w:lang w:eastAsia="en-GB"/>
    </w:rPr>
  </w:style>
  <w:style w:type="paragraph" w:customStyle="1" w:styleId="ListNumber3Level4">
    <w:name w:val="List Number 3 (Level 4)"/>
    <w:basedOn w:val="Text3"/>
    <w:pPr>
      <w:tabs>
        <w:tab w:val="num" w:pos="3686"/>
      </w:tabs>
      <w:ind w:left="3686" w:hanging="709"/>
    </w:pPr>
    <w:rPr>
      <w:rFonts w:eastAsia="Times New Roman"/>
      <w:lang w:eastAsia="en-GB"/>
    </w:rPr>
  </w:style>
  <w:style w:type="paragraph" w:customStyle="1" w:styleId="ListNumber4Level4">
    <w:name w:val="List Number 4 (Level 4)"/>
    <w:basedOn w:val="Text4"/>
    <w:pPr>
      <w:tabs>
        <w:tab w:val="num" w:pos="3686"/>
      </w:tabs>
      <w:ind w:left="3686" w:hanging="709"/>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able of figures" w:uiPriority="0"/>
    <w:lsdException w:name="footnote reference"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en-GB"/>
    </w:rPr>
  </w:style>
  <w:style w:type="character" w:customStyle="1" w:styleId="Aucun">
    <w:name w:val="Aucun"/>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L,CV text"/>
    <w:basedOn w:val="Normal"/>
    <w:link w:val="ListParagraphChar"/>
    <w:uiPriority w:val="34"/>
    <w:qFormat/>
    <w:pPr>
      <w:ind w:left="720"/>
      <w:contextualSpacing/>
    </w:p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L Char"/>
    <w:link w:val="ListParagraph"/>
    <w:uiPriority w:val="34"/>
    <w:qFormat/>
    <w:locked/>
    <w:rPr>
      <w:rFonts w:ascii="Times New Roman" w:hAnsi="Times New Roman" w:cs="Times New Roman"/>
      <w:sz w:val="24"/>
      <w:lang w:val="en-GB"/>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customStyle="1" w:styleId="ListDash1">
    <w:name w:val="List Dash 1"/>
    <w:basedOn w:val="Text1"/>
    <w:pPr>
      <w:numPr>
        <w:numId w:val="5"/>
      </w:numPr>
      <w:spacing w:before="0" w:after="240"/>
    </w:pPr>
    <w:rPr>
      <w:rFonts w:eastAsia="Times New Roman"/>
      <w:szCs w:val="20"/>
      <w:lang w:val="de-DE"/>
    </w:rPr>
  </w:style>
  <w:style w:type="paragraph" w:customStyle="1" w:styleId="ecl-u-type-paragraph-m">
    <w:name w:val="ecl-u-type-paragraph-m"/>
    <w:basedOn w:val="Normal"/>
    <w:pPr>
      <w:spacing w:before="100" w:beforeAutospacing="1" w:after="100" w:afterAutospacing="1"/>
      <w:jc w:val="left"/>
    </w:pPr>
    <w:rPr>
      <w:rFonts w:eastAsia="Times New Roman"/>
      <w:szCs w:val="24"/>
      <w:lang w:eastAsia="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highlight">
    <w:name w:val="highlight"/>
    <w:basedOn w:val="DefaultParagraphFont"/>
  </w:style>
  <w:style w:type="character" w:styleId="Emphasis">
    <w:name w:val="Emphasis"/>
    <w:basedOn w:val="DefaultParagraphFont"/>
    <w:uiPriority w:val="20"/>
    <w:qFormat/>
    <w:rPr>
      <w:i/>
      <w:iCs/>
    </w:rPr>
  </w:style>
  <w:style w:type="paragraph" w:styleId="NormalWeb">
    <w:name w:val="Normal (Web)"/>
    <w:basedOn w:val="Normal"/>
    <w:uiPriority w:val="99"/>
    <w:unhideWhenUsed/>
    <w:pPr>
      <w:spacing w:before="100" w:beforeAutospacing="1" w:after="100" w:afterAutospacing="1"/>
      <w:jc w:val="left"/>
    </w:pPr>
    <w:rPr>
      <w:rFonts w:eastAsia="Times New Roman"/>
      <w:szCs w:val="24"/>
      <w:lang w:val="en-IE" w:eastAsia="en-IE"/>
    </w:rPr>
  </w:style>
  <w:style w:type="paragraph" w:styleId="Caption">
    <w:name w:val="caption"/>
    <w:basedOn w:val="Normal"/>
    <w:next w:val="Normal"/>
    <w:unhideWhenUsed/>
    <w:qFormat/>
    <w:pPr>
      <w:spacing w:before="0" w:after="200"/>
    </w:pPr>
    <w:rPr>
      <w:i/>
      <w:iCs/>
      <w:color w:val="1F497D" w:themeColor="text2"/>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8"/>
      </w:numPr>
      <w:contextualSpacing/>
    </w:pPr>
  </w:style>
  <w:style w:type="paragraph" w:styleId="ListNumber2">
    <w:name w:val="List Number 2"/>
    <w:basedOn w:val="Normal"/>
    <w:unhideWhenUsed/>
    <w:pPr>
      <w:numPr>
        <w:numId w:val="9"/>
      </w:numPr>
      <w:contextualSpacing/>
    </w:pPr>
  </w:style>
  <w:style w:type="paragraph" w:styleId="ListNumber3">
    <w:name w:val="List Number 3"/>
    <w:basedOn w:val="Normal"/>
    <w:unhideWhenUsed/>
    <w:pPr>
      <w:numPr>
        <w:numId w:val="10"/>
      </w:numPr>
      <w:contextualSpacing/>
    </w:pPr>
  </w:style>
  <w:style w:type="paragraph" w:styleId="ListNumber4">
    <w:name w:val="List Number 4"/>
    <w:basedOn w:val="Normal"/>
    <w:unhideWhenUsed/>
    <w:pPr>
      <w:numPr>
        <w:numId w:val="11"/>
      </w:numPr>
      <w:contextualSpacing/>
    </w:pPr>
  </w:style>
  <w:style w:type="paragraph" w:customStyle="1" w:styleId="ListBullet1">
    <w:name w:val="List Bullet 1"/>
    <w:basedOn w:val="Normal"/>
    <w:pPr>
      <w:numPr>
        <w:numId w:val="13"/>
      </w:numPr>
    </w:pPr>
    <w:rPr>
      <w:rFonts w:eastAsia="Times New Roman"/>
      <w:lang w:eastAsia="de-DE"/>
    </w:rPr>
  </w:style>
  <w:style w:type="paragraph" w:customStyle="1" w:styleId="ListDash">
    <w:name w:val="List Dash"/>
    <w:basedOn w:val="Normal"/>
    <w:pPr>
      <w:numPr>
        <w:numId w:val="14"/>
      </w:numPr>
    </w:pPr>
    <w:rPr>
      <w:rFonts w:eastAsia="Times New Roman"/>
      <w:lang w:eastAsia="de-DE"/>
    </w:rPr>
  </w:style>
  <w:style w:type="paragraph" w:customStyle="1" w:styleId="ListDash2">
    <w:name w:val="List Dash 2"/>
    <w:basedOn w:val="Normal"/>
    <w:pPr>
      <w:numPr>
        <w:numId w:val="15"/>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pPr>
      <w:numPr>
        <w:numId w:val="16"/>
      </w:numPr>
    </w:pPr>
    <w:rPr>
      <w:rFonts w:eastAsia="Times New Roman"/>
      <w:lang w:eastAsia="en-GB"/>
    </w:rPr>
  </w:style>
  <w:style w:type="paragraph" w:customStyle="1" w:styleId="ListDash4">
    <w:name w:val="List Dash 4"/>
    <w:basedOn w:val="Normal"/>
    <w:pPr>
      <w:numPr>
        <w:numId w:val="17"/>
      </w:numPr>
    </w:pPr>
    <w:rPr>
      <w:rFonts w:eastAsia="Times New Roman"/>
      <w:lang w:eastAsia="en-GB"/>
    </w:rPr>
  </w:style>
  <w:style w:type="paragraph" w:customStyle="1" w:styleId="ListNumber1">
    <w:name w:val="List Number 1"/>
    <w:basedOn w:val="Text1"/>
    <w:pPr>
      <w:numPr>
        <w:numId w:val="18"/>
      </w:numPr>
    </w:pPr>
    <w:rPr>
      <w:rFonts w:eastAsia="Times New Roman"/>
      <w:lang w:eastAsia="en-GB"/>
    </w:rPr>
  </w:style>
  <w:style w:type="paragraph" w:customStyle="1" w:styleId="ListNumber1Level2">
    <w:name w:val="List Number 1 (Level 2)"/>
    <w:basedOn w:val="Text1"/>
    <w:pPr>
      <w:numPr>
        <w:ilvl w:val="1"/>
        <w:numId w:val="18"/>
      </w:numPr>
    </w:pPr>
    <w:rPr>
      <w:rFonts w:eastAsia="Times New Roman"/>
      <w:lang w:eastAsia="en-GB"/>
    </w:rPr>
  </w:style>
  <w:style w:type="paragraph" w:customStyle="1" w:styleId="ListNumber2Level2">
    <w:name w:val="List Number 2 (Level 2)"/>
    <w:basedOn w:val="Text2"/>
    <w:pPr>
      <w:tabs>
        <w:tab w:val="num" w:pos="2268"/>
      </w:tabs>
      <w:ind w:left="2268" w:hanging="708"/>
    </w:pPr>
    <w:rPr>
      <w:rFonts w:eastAsia="Times New Roman"/>
      <w:lang w:eastAsia="en-GB"/>
    </w:rPr>
  </w:style>
  <w:style w:type="paragraph" w:customStyle="1" w:styleId="ListNumber3Level2">
    <w:name w:val="List Number 3 (Level 2)"/>
    <w:basedOn w:val="Text3"/>
    <w:pPr>
      <w:tabs>
        <w:tab w:val="num" w:pos="2268"/>
      </w:tabs>
      <w:ind w:left="2268" w:hanging="708"/>
    </w:pPr>
    <w:rPr>
      <w:rFonts w:eastAsia="Times New Roman"/>
      <w:lang w:eastAsia="en-GB"/>
    </w:rPr>
  </w:style>
  <w:style w:type="paragraph" w:customStyle="1" w:styleId="ListNumber4Level2">
    <w:name w:val="List Number 4 (Level 2)"/>
    <w:basedOn w:val="Text4"/>
    <w:pPr>
      <w:tabs>
        <w:tab w:val="num" w:pos="2268"/>
      </w:tabs>
      <w:ind w:left="2268" w:hanging="708"/>
    </w:pPr>
    <w:rPr>
      <w:rFonts w:eastAsia="Times New Roman"/>
      <w:lang w:eastAsia="en-GB"/>
    </w:rPr>
  </w:style>
  <w:style w:type="paragraph" w:customStyle="1" w:styleId="ListNumber1Level3">
    <w:name w:val="List Number 1 (Level 3)"/>
    <w:basedOn w:val="Text1"/>
    <w:pPr>
      <w:numPr>
        <w:ilvl w:val="2"/>
        <w:numId w:val="18"/>
      </w:numPr>
    </w:pPr>
    <w:rPr>
      <w:rFonts w:eastAsia="Times New Roman"/>
      <w:lang w:eastAsia="en-GB"/>
    </w:rPr>
  </w:style>
  <w:style w:type="paragraph" w:customStyle="1" w:styleId="ListNumber2Level3">
    <w:name w:val="List Number 2 (Level 3)"/>
    <w:basedOn w:val="Text2"/>
    <w:pPr>
      <w:tabs>
        <w:tab w:val="num" w:pos="2977"/>
      </w:tabs>
      <w:ind w:left="2977" w:hanging="709"/>
    </w:pPr>
    <w:rPr>
      <w:rFonts w:eastAsia="Times New Roman"/>
      <w:lang w:eastAsia="en-GB"/>
    </w:rPr>
  </w:style>
  <w:style w:type="paragraph" w:customStyle="1" w:styleId="ListNumber3Level3">
    <w:name w:val="List Number 3 (Level 3)"/>
    <w:basedOn w:val="Text3"/>
    <w:pPr>
      <w:tabs>
        <w:tab w:val="num" w:pos="2977"/>
      </w:tabs>
      <w:ind w:left="2977" w:hanging="709"/>
    </w:pPr>
    <w:rPr>
      <w:rFonts w:eastAsia="Times New Roman"/>
      <w:lang w:eastAsia="en-GB"/>
    </w:rPr>
  </w:style>
  <w:style w:type="paragraph" w:customStyle="1" w:styleId="ListNumber4Level3">
    <w:name w:val="List Number 4 (Level 3)"/>
    <w:basedOn w:val="Text4"/>
    <w:pPr>
      <w:tabs>
        <w:tab w:val="num" w:pos="2977"/>
      </w:tabs>
      <w:ind w:left="2977" w:hanging="709"/>
    </w:pPr>
    <w:rPr>
      <w:rFonts w:eastAsia="Times New Roman"/>
      <w:lang w:eastAsia="en-GB"/>
    </w:rPr>
  </w:style>
  <w:style w:type="paragraph" w:customStyle="1" w:styleId="ListNumber1Level4">
    <w:name w:val="List Number 1 (Level 4)"/>
    <w:basedOn w:val="Text1"/>
    <w:pPr>
      <w:numPr>
        <w:ilvl w:val="3"/>
        <w:numId w:val="18"/>
      </w:numPr>
    </w:pPr>
    <w:rPr>
      <w:rFonts w:eastAsia="Times New Roman"/>
      <w:lang w:eastAsia="en-GB"/>
    </w:rPr>
  </w:style>
  <w:style w:type="paragraph" w:customStyle="1" w:styleId="ListNumber2Level4">
    <w:name w:val="List Number 2 (Level 4)"/>
    <w:basedOn w:val="Text2"/>
    <w:pPr>
      <w:tabs>
        <w:tab w:val="num" w:pos="3686"/>
      </w:tabs>
      <w:ind w:left="3686" w:hanging="709"/>
    </w:pPr>
    <w:rPr>
      <w:rFonts w:eastAsia="Times New Roman"/>
      <w:lang w:eastAsia="en-GB"/>
    </w:rPr>
  </w:style>
  <w:style w:type="paragraph" w:customStyle="1" w:styleId="ListNumber3Level4">
    <w:name w:val="List Number 3 (Level 4)"/>
    <w:basedOn w:val="Text3"/>
    <w:pPr>
      <w:tabs>
        <w:tab w:val="num" w:pos="3686"/>
      </w:tabs>
      <w:ind w:left="3686" w:hanging="709"/>
    </w:pPr>
    <w:rPr>
      <w:rFonts w:eastAsia="Times New Roman"/>
      <w:lang w:eastAsia="en-GB"/>
    </w:rPr>
  </w:style>
  <w:style w:type="paragraph" w:customStyle="1" w:styleId="ListNumber4Level4">
    <w:name w:val="List Number 4 (Level 4)"/>
    <w:basedOn w:val="Text4"/>
    <w:pPr>
      <w:tabs>
        <w:tab w:val="num" w:pos="3686"/>
      </w:tabs>
      <w:ind w:left="3686" w:hanging="709"/>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558">
      <w:bodyDiv w:val="1"/>
      <w:marLeft w:val="0"/>
      <w:marRight w:val="0"/>
      <w:marTop w:val="0"/>
      <w:marBottom w:val="0"/>
      <w:divBdr>
        <w:top w:val="none" w:sz="0" w:space="0" w:color="auto"/>
        <w:left w:val="none" w:sz="0" w:space="0" w:color="auto"/>
        <w:bottom w:val="none" w:sz="0" w:space="0" w:color="auto"/>
        <w:right w:val="none" w:sz="0" w:space="0" w:color="auto"/>
      </w:divBdr>
    </w:div>
    <w:div w:id="81071234">
      <w:bodyDiv w:val="1"/>
      <w:marLeft w:val="0"/>
      <w:marRight w:val="0"/>
      <w:marTop w:val="0"/>
      <w:marBottom w:val="0"/>
      <w:divBdr>
        <w:top w:val="none" w:sz="0" w:space="0" w:color="auto"/>
        <w:left w:val="none" w:sz="0" w:space="0" w:color="auto"/>
        <w:bottom w:val="none" w:sz="0" w:space="0" w:color="auto"/>
        <w:right w:val="none" w:sz="0" w:space="0" w:color="auto"/>
      </w:divBdr>
    </w:div>
    <w:div w:id="100804367">
      <w:bodyDiv w:val="1"/>
      <w:marLeft w:val="0"/>
      <w:marRight w:val="0"/>
      <w:marTop w:val="0"/>
      <w:marBottom w:val="0"/>
      <w:divBdr>
        <w:top w:val="none" w:sz="0" w:space="0" w:color="auto"/>
        <w:left w:val="none" w:sz="0" w:space="0" w:color="auto"/>
        <w:bottom w:val="none" w:sz="0" w:space="0" w:color="auto"/>
        <w:right w:val="none" w:sz="0" w:space="0" w:color="auto"/>
      </w:divBdr>
    </w:div>
    <w:div w:id="248268764">
      <w:bodyDiv w:val="1"/>
      <w:marLeft w:val="0"/>
      <w:marRight w:val="0"/>
      <w:marTop w:val="0"/>
      <w:marBottom w:val="0"/>
      <w:divBdr>
        <w:top w:val="none" w:sz="0" w:space="0" w:color="auto"/>
        <w:left w:val="none" w:sz="0" w:space="0" w:color="auto"/>
        <w:bottom w:val="none" w:sz="0" w:space="0" w:color="auto"/>
        <w:right w:val="none" w:sz="0" w:space="0" w:color="auto"/>
      </w:divBdr>
    </w:div>
    <w:div w:id="383722061">
      <w:bodyDiv w:val="1"/>
      <w:marLeft w:val="0"/>
      <w:marRight w:val="0"/>
      <w:marTop w:val="0"/>
      <w:marBottom w:val="0"/>
      <w:divBdr>
        <w:top w:val="none" w:sz="0" w:space="0" w:color="auto"/>
        <w:left w:val="none" w:sz="0" w:space="0" w:color="auto"/>
        <w:bottom w:val="none" w:sz="0" w:space="0" w:color="auto"/>
        <w:right w:val="none" w:sz="0" w:space="0" w:color="auto"/>
      </w:divBdr>
    </w:div>
    <w:div w:id="455102367">
      <w:bodyDiv w:val="1"/>
      <w:marLeft w:val="0"/>
      <w:marRight w:val="0"/>
      <w:marTop w:val="0"/>
      <w:marBottom w:val="0"/>
      <w:divBdr>
        <w:top w:val="none" w:sz="0" w:space="0" w:color="auto"/>
        <w:left w:val="none" w:sz="0" w:space="0" w:color="auto"/>
        <w:bottom w:val="none" w:sz="0" w:space="0" w:color="auto"/>
        <w:right w:val="none" w:sz="0" w:space="0" w:color="auto"/>
      </w:divBdr>
    </w:div>
    <w:div w:id="485898896">
      <w:bodyDiv w:val="1"/>
      <w:marLeft w:val="0"/>
      <w:marRight w:val="0"/>
      <w:marTop w:val="0"/>
      <w:marBottom w:val="0"/>
      <w:divBdr>
        <w:top w:val="none" w:sz="0" w:space="0" w:color="auto"/>
        <w:left w:val="none" w:sz="0" w:space="0" w:color="auto"/>
        <w:bottom w:val="none" w:sz="0" w:space="0" w:color="auto"/>
        <w:right w:val="none" w:sz="0" w:space="0" w:color="auto"/>
      </w:divBdr>
    </w:div>
    <w:div w:id="489055276">
      <w:bodyDiv w:val="1"/>
      <w:marLeft w:val="0"/>
      <w:marRight w:val="0"/>
      <w:marTop w:val="0"/>
      <w:marBottom w:val="0"/>
      <w:divBdr>
        <w:top w:val="none" w:sz="0" w:space="0" w:color="auto"/>
        <w:left w:val="none" w:sz="0" w:space="0" w:color="auto"/>
        <w:bottom w:val="none" w:sz="0" w:space="0" w:color="auto"/>
        <w:right w:val="none" w:sz="0" w:space="0" w:color="auto"/>
      </w:divBdr>
    </w:div>
    <w:div w:id="489061051">
      <w:bodyDiv w:val="1"/>
      <w:marLeft w:val="0"/>
      <w:marRight w:val="0"/>
      <w:marTop w:val="0"/>
      <w:marBottom w:val="0"/>
      <w:divBdr>
        <w:top w:val="none" w:sz="0" w:space="0" w:color="auto"/>
        <w:left w:val="none" w:sz="0" w:space="0" w:color="auto"/>
        <w:bottom w:val="none" w:sz="0" w:space="0" w:color="auto"/>
        <w:right w:val="none" w:sz="0" w:space="0" w:color="auto"/>
      </w:divBdr>
    </w:div>
    <w:div w:id="513690020">
      <w:bodyDiv w:val="1"/>
      <w:marLeft w:val="0"/>
      <w:marRight w:val="0"/>
      <w:marTop w:val="0"/>
      <w:marBottom w:val="0"/>
      <w:divBdr>
        <w:top w:val="none" w:sz="0" w:space="0" w:color="auto"/>
        <w:left w:val="none" w:sz="0" w:space="0" w:color="auto"/>
        <w:bottom w:val="none" w:sz="0" w:space="0" w:color="auto"/>
        <w:right w:val="none" w:sz="0" w:space="0" w:color="auto"/>
      </w:divBdr>
    </w:div>
    <w:div w:id="571039153">
      <w:bodyDiv w:val="1"/>
      <w:marLeft w:val="0"/>
      <w:marRight w:val="0"/>
      <w:marTop w:val="0"/>
      <w:marBottom w:val="0"/>
      <w:divBdr>
        <w:top w:val="none" w:sz="0" w:space="0" w:color="auto"/>
        <w:left w:val="none" w:sz="0" w:space="0" w:color="auto"/>
        <w:bottom w:val="none" w:sz="0" w:space="0" w:color="auto"/>
        <w:right w:val="none" w:sz="0" w:space="0" w:color="auto"/>
      </w:divBdr>
    </w:div>
    <w:div w:id="615332754">
      <w:bodyDiv w:val="1"/>
      <w:marLeft w:val="0"/>
      <w:marRight w:val="0"/>
      <w:marTop w:val="0"/>
      <w:marBottom w:val="0"/>
      <w:divBdr>
        <w:top w:val="none" w:sz="0" w:space="0" w:color="auto"/>
        <w:left w:val="none" w:sz="0" w:space="0" w:color="auto"/>
        <w:bottom w:val="none" w:sz="0" w:space="0" w:color="auto"/>
        <w:right w:val="none" w:sz="0" w:space="0" w:color="auto"/>
      </w:divBdr>
    </w:div>
    <w:div w:id="643894495">
      <w:bodyDiv w:val="1"/>
      <w:marLeft w:val="0"/>
      <w:marRight w:val="0"/>
      <w:marTop w:val="0"/>
      <w:marBottom w:val="0"/>
      <w:divBdr>
        <w:top w:val="none" w:sz="0" w:space="0" w:color="auto"/>
        <w:left w:val="none" w:sz="0" w:space="0" w:color="auto"/>
        <w:bottom w:val="none" w:sz="0" w:space="0" w:color="auto"/>
        <w:right w:val="none" w:sz="0" w:space="0" w:color="auto"/>
      </w:divBdr>
    </w:div>
    <w:div w:id="829105182">
      <w:bodyDiv w:val="1"/>
      <w:marLeft w:val="0"/>
      <w:marRight w:val="0"/>
      <w:marTop w:val="0"/>
      <w:marBottom w:val="0"/>
      <w:divBdr>
        <w:top w:val="none" w:sz="0" w:space="0" w:color="auto"/>
        <w:left w:val="none" w:sz="0" w:space="0" w:color="auto"/>
        <w:bottom w:val="none" w:sz="0" w:space="0" w:color="auto"/>
        <w:right w:val="none" w:sz="0" w:space="0" w:color="auto"/>
      </w:divBdr>
    </w:div>
    <w:div w:id="839737754">
      <w:bodyDiv w:val="1"/>
      <w:marLeft w:val="0"/>
      <w:marRight w:val="0"/>
      <w:marTop w:val="0"/>
      <w:marBottom w:val="0"/>
      <w:divBdr>
        <w:top w:val="none" w:sz="0" w:space="0" w:color="auto"/>
        <w:left w:val="none" w:sz="0" w:space="0" w:color="auto"/>
        <w:bottom w:val="none" w:sz="0" w:space="0" w:color="auto"/>
        <w:right w:val="none" w:sz="0" w:space="0" w:color="auto"/>
      </w:divBdr>
    </w:div>
    <w:div w:id="855657550">
      <w:bodyDiv w:val="1"/>
      <w:marLeft w:val="0"/>
      <w:marRight w:val="0"/>
      <w:marTop w:val="0"/>
      <w:marBottom w:val="0"/>
      <w:divBdr>
        <w:top w:val="none" w:sz="0" w:space="0" w:color="auto"/>
        <w:left w:val="none" w:sz="0" w:space="0" w:color="auto"/>
        <w:bottom w:val="none" w:sz="0" w:space="0" w:color="auto"/>
        <w:right w:val="none" w:sz="0" w:space="0" w:color="auto"/>
      </w:divBdr>
    </w:div>
    <w:div w:id="920023127">
      <w:bodyDiv w:val="1"/>
      <w:marLeft w:val="0"/>
      <w:marRight w:val="0"/>
      <w:marTop w:val="0"/>
      <w:marBottom w:val="0"/>
      <w:divBdr>
        <w:top w:val="none" w:sz="0" w:space="0" w:color="auto"/>
        <w:left w:val="none" w:sz="0" w:space="0" w:color="auto"/>
        <w:bottom w:val="none" w:sz="0" w:space="0" w:color="auto"/>
        <w:right w:val="none" w:sz="0" w:space="0" w:color="auto"/>
      </w:divBdr>
    </w:div>
    <w:div w:id="1038430631">
      <w:bodyDiv w:val="1"/>
      <w:marLeft w:val="0"/>
      <w:marRight w:val="0"/>
      <w:marTop w:val="0"/>
      <w:marBottom w:val="0"/>
      <w:divBdr>
        <w:top w:val="none" w:sz="0" w:space="0" w:color="auto"/>
        <w:left w:val="none" w:sz="0" w:space="0" w:color="auto"/>
        <w:bottom w:val="none" w:sz="0" w:space="0" w:color="auto"/>
        <w:right w:val="none" w:sz="0" w:space="0" w:color="auto"/>
      </w:divBdr>
    </w:div>
    <w:div w:id="1108543201">
      <w:bodyDiv w:val="1"/>
      <w:marLeft w:val="0"/>
      <w:marRight w:val="0"/>
      <w:marTop w:val="0"/>
      <w:marBottom w:val="0"/>
      <w:divBdr>
        <w:top w:val="none" w:sz="0" w:space="0" w:color="auto"/>
        <w:left w:val="none" w:sz="0" w:space="0" w:color="auto"/>
        <w:bottom w:val="none" w:sz="0" w:space="0" w:color="auto"/>
        <w:right w:val="none" w:sz="0" w:space="0" w:color="auto"/>
      </w:divBdr>
    </w:div>
    <w:div w:id="1170366949">
      <w:bodyDiv w:val="1"/>
      <w:marLeft w:val="0"/>
      <w:marRight w:val="0"/>
      <w:marTop w:val="0"/>
      <w:marBottom w:val="0"/>
      <w:divBdr>
        <w:top w:val="none" w:sz="0" w:space="0" w:color="auto"/>
        <w:left w:val="none" w:sz="0" w:space="0" w:color="auto"/>
        <w:bottom w:val="none" w:sz="0" w:space="0" w:color="auto"/>
        <w:right w:val="none" w:sz="0" w:space="0" w:color="auto"/>
      </w:divBdr>
    </w:div>
    <w:div w:id="1204438703">
      <w:bodyDiv w:val="1"/>
      <w:marLeft w:val="0"/>
      <w:marRight w:val="0"/>
      <w:marTop w:val="0"/>
      <w:marBottom w:val="0"/>
      <w:divBdr>
        <w:top w:val="none" w:sz="0" w:space="0" w:color="auto"/>
        <w:left w:val="none" w:sz="0" w:space="0" w:color="auto"/>
        <w:bottom w:val="none" w:sz="0" w:space="0" w:color="auto"/>
        <w:right w:val="none" w:sz="0" w:space="0" w:color="auto"/>
      </w:divBdr>
    </w:div>
    <w:div w:id="1236547573">
      <w:bodyDiv w:val="1"/>
      <w:marLeft w:val="0"/>
      <w:marRight w:val="0"/>
      <w:marTop w:val="0"/>
      <w:marBottom w:val="0"/>
      <w:divBdr>
        <w:top w:val="none" w:sz="0" w:space="0" w:color="auto"/>
        <w:left w:val="none" w:sz="0" w:space="0" w:color="auto"/>
        <w:bottom w:val="none" w:sz="0" w:space="0" w:color="auto"/>
        <w:right w:val="none" w:sz="0" w:space="0" w:color="auto"/>
      </w:divBdr>
    </w:div>
    <w:div w:id="1284382093">
      <w:bodyDiv w:val="1"/>
      <w:marLeft w:val="0"/>
      <w:marRight w:val="0"/>
      <w:marTop w:val="0"/>
      <w:marBottom w:val="0"/>
      <w:divBdr>
        <w:top w:val="none" w:sz="0" w:space="0" w:color="auto"/>
        <w:left w:val="none" w:sz="0" w:space="0" w:color="auto"/>
        <w:bottom w:val="none" w:sz="0" w:space="0" w:color="auto"/>
        <w:right w:val="none" w:sz="0" w:space="0" w:color="auto"/>
      </w:divBdr>
    </w:div>
    <w:div w:id="1366099494">
      <w:bodyDiv w:val="1"/>
      <w:marLeft w:val="0"/>
      <w:marRight w:val="0"/>
      <w:marTop w:val="0"/>
      <w:marBottom w:val="0"/>
      <w:divBdr>
        <w:top w:val="none" w:sz="0" w:space="0" w:color="auto"/>
        <w:left w:val="none" w:sz="0" w:space="0" w:color="auto"/>
        <w:bottom w:val="none" w:sz="0" w:space="0" w:color="auto"/>
        <w:right w:val="none" w:sz="0" w:space="0" w:color="auto"/>
      </w:divBdr>
    </w:div>
    <w:div w:id="1484272984">
      <w:bodyDiv w:val="1"/>
      <w:marLeft w:val="0"/>
      <w:marRight w:val="0"/>
      <w:marTop w:val="0"/>
      <w:marBottom w:val="0"/>
      <w:divBdr>
        <w:top w:val="none" w:sz="0" w:space="0" w:color="auto"/>
        <w:left w:val="none" w:sz="0" w:space="0" w:color="auto"/>
        <w:bottom w:val="none" w:sz="0" w:space="0" w:color="auto"/>
        <w:right w:val="none" w:sz="0" w:space="0" w:color="auto"/>
      </w:divBdr>
    </w:div>
    <w:div w:id="1530339055">
      <w:bodyDiv w:val="1"/>
      <w:marLeft w:val="0"/>
      <w:marRight w:val="0"/>
      <w:marTop w:val="0"/>
      <w:marBottom w:val="0"/>
      <w:divBdr>
        <w:top w:val="none" w:sz="0" w:space="0" w:color="auto"/>
        <w:left w:val="none" w:sz="0" w:space="0" w:color="auto"/>
        <w:bottom w:val="none" w:sz="0" w:space="0" w:color="auto"/>
        <w:right w:val="none" w:sz="0" w:space="0" w:color="auto"/>
      </w:divBdr>
    </w:div>
    <w:div w:id="1568417664">
      <w:bodyDiv w:val="1"/>
      <w:marLeft w:val="0"/>
      <w:marRight w:val="0"/>
      <w:marTop w:val="0"/>
      <w:marBottom w:val="0"/>
      <w:divBdr>
        <w:top w:val="none" w:sz="0" w:space="0" w:color="auto"/>
        <w:left w:val="none" w:sz="0" w:space="0" w:color="auto"/>
        <w:bottom w:val="none" w:sz="0" w:space="0" w:color="auto"/>
        <w:right w:val="none" w:sz="0" w:space="0" w:color="auto"/>
      </w:divBdr>
    </w:div>
    <w:div w:id="1683583134">
      <w:bodyDiv w:val="1"/>
      <w:marLeft w:val="0"/>
      <w:marRight w:val="0"/>
      <w:marTop w:val="0"/>
      <w:marBottom w:val="0"/>
      <w:divBdr>
        <w:top w:val="none" w:sz="0" w:space="0" w:color="auto"/>
        <w:left w:val="none" w:sz="0" w:space="0" w:color="auto"/>
        <w:bottom w:val="none" w:sz="0" w:space="0" w:color="auto"/>
        <w:right w:val="none" w:sz="0" w:space="0" w:color="auto"/>
      </w:divBdr>
    </w:div>
    <w:div w:id="1928996816">
      <w:bodyDiv w:val="1"/>
      <w:marLeft w:val="0"/>
      <w:marRight w:val="0"/>
      <w:marTop w:val="0"/>
      <w:marBottom w:val="0"/>
      <w:divBdr>
        <w:top w:val="none" w:sz="0" w:space="0" w:color="auto"/>
        <w:left w:val="none" w:sz="0" w:space="0" w:color="auto"/>
        <w:bottom w:val="none" w:sz="0" w:space="0" w:color="auto"/>
        <w:right w:val="none" w:sz="0" w:space="0" w:color="auto"/>
      </w:divBdr>
    </w:div>
    <w:div w:id="1929541511">
      <w:bodyDiv w:val="1"/>
      <w:marLeft w:val="0"/>
      <w:marRight w:val="0"/>
      <w:marTop w:val="0"/>
      <w:marBottom w:val="0"/>
      <w:divBdr>
        <w:top w:val="none" w:sz="0" w:space="0" w:color="auto"/>
        <w:left w:val="none" w:sz="0" w:space="0" w:color="auto"/>
        <w:bottom w:val="none" w:sz="0" w:space="0" w:color="auto"/>
        <w:right w:val="none" w:sz="0" w:space="0" w:color="auto"/>
      </w:divBdr>
    </w:div>
    <w:div w:id="1943874035">
      <w:bodyDiv w:val="1"/>
      <w:marLeft w:val="0"/>
      <w:marRight w:val="0"/>
      <w:marTop w:val="0"/>
      <w:marBottom w:val="0"/>
      <w:divBdr>
        <w:top w:val="none" w:sz="0" w:space="0" w:color="auto"/>
        <w:left w:val="none" w:sz="0" w:space="0" w:color="auto"/>
        <w:bottom w:val="none" w:sz="0" w:space="0" w:color="auto"/>
        <w:right w:val="none" w:sz="0" w:space="0" w:color="auto"/>
      </w:divBdr>
    </w:div>
    <w:div w:id="2014142543">
      <w:bodyDiv w:val="1"/>
      <w:marLeft w:val="0"/>
      <w:marRight w:val="0"/>
      <w:marTop w:val="0"/>
      <w:marBottom w:val="0"/>
      <w:divBdr>
        <w:top w:val="none" w:sz="0" w:space="0" w:color="auto"/>
        <w:left w:val="none" w:sz="0" w:space="0" w:color="auto"/>
        <w:bottom w:val="none" w:sz="0" w:space="0" w:color="auto"/>
        <w:right w:val="none" w:sz="0" w:space="0" w:color="auto"/>
      </w:divBdr>
    </w:div>
    <w:div w:id="206780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yintracomm.ec.europa.eu/budgweb/FR/leg/internal/Documents/2016-5-legislative-financial-statement-ann-fr.docx"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myintracomm.ec.europa.eu/budgweb/FR/man/budgmanag/Pages/budgmanag.aspx" TargetMode="External"/><Relationship Id="rId2" Type="http://schemas.openxmlformats.org/officeDocument/2006/relationships/hyperlink" Target="https://ec.europa.eu/info/law/better-regulation/have-your-say/initiatives/12870-European-Health-Emergency-Preparedness-and-Response-Authority-HERA-/public-consultation_fr" TargetMode="External"/><Relationship Id="rId1" Type="http://schemas.openxmlformats.org/officeDocument/2006/relationships/hyperlink" Target="https://ec.europa.eu/health/sites/health/files/antimicrobial_resistance/docs/amr_2017_action-pla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C979FCFF9A1646A489B55A91E07731" ma:contentTypeVersion="0" ma:contentTypeDescription="Create a new document." ma:contentTypeScope="" ma:versionID="17c4ca5f170444313d4aa05738ea4e53">
  <xsd:schema xmlns:xsd="http://www.w3.org/2001/XMLSchema" xmlns:xs="http://www.w3.org/2001/XMLSchema" xmlns:p="http://schemas.microsoft.com/office/2006/metadata/properties" targetNamespace="http://schemas.microsoft.com/office/2006/metadata/properties" ma:root="true" ma:fieldsID="e48191fb7b3fb89ae80cd9d64393ada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0EB522A-CEB5-4C9D-90E9-38668D3A699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99DDC4CF-0AAA-4C4A-A4D6-D14FC7015E97}">
  <ds:schemaRefs>
    <ds:schemaRef ds:uri="http://schemas.microsoft.com/sharepoint/v3/contenttype/forms"/>
  </ds:schemaRefs>
</ds:datastoreItem>
</file>

<file path=customXml/itemProps3.xml><?xml version="1.0" encoding="utf-8"?>
<ds:datastoreItem xmlns:ds="http://schemas.openxmlformats.org/officeDocument/2006/customXml" ds:itemID="{95FD80FF-B057-4EC4-834E-59DCD612A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1A48629-5B81-40AD-BF1E-39C78A08F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29</Pages>
  <Words>15136</Words>
  <Characters>86280</Characters>
  <Application>Microsoft Office Word</Application>
  <DocSecurity>0</DocSecurity>
  <Lines>2783</Lines>
  <Paragraphs>1352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2021-09-23T21:22:00Z</dcterms:created>
  <dcterms:modified xsi:type="dcterms:W3CDTF">2021-09-28T12:54:00Z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7.0.1, Build 20200226</vt:lpwstr>
  </property>
  <property fmtid="{D5CDD505-2E9C-101B-9397-08002B2CF9AE}" pid="5" name="ContentTypeId">
    <vt:lpwstr>0x0101008FC979FCFF9A1646A489B55A91E07731</vt:lpwstr>
  </property>
  <property fmtid="{D5CDD505-2E9C-101B-9397-08002B2CF9AE}" pid="6" name="IsMyDocuments">
    <vt:bool>true</vt:bool>
  </property>
  <property fmtid="{D5CDD505-2E9C-101B-9397-08002B2CF9AE}" pid="7" name="Part">
    <vt:lpwstr>1</vt:lpwstr>
  </property>
  <property fmtid="{D5CDD505-2E9C-101B-9397-08002B2CF9AE}" pid="8" name="Total parts">
    <vt:lpwstr>1</vt:lpwstr>
  </property>
  <property fmtid="{D5CDD505-2E9C-101B-9397-08002B2CF9AE}" pid="9" name="LWTemplateID">
    <vt:lpwstr>SJ-016</vt:lpwstr>
  </property>
  <property fmtid="{D5CDD505-2E9C-101B-9397-08002B2CF9AE}" pid="10" name="DQCStatus">
    <vt:lpwstr>Green (DQC version 03)</vt:lpwstr>
  </property>
</Properties>
</file>