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FC6C176D-AA45-4B03-A211-83149E7C4246" style="width:455.25pt;height:385.5pt">
            <v:imagedata r:id="rId12" o:title=""/>
          </v:shape>
        </w:pict>
      </w:r>
    </w:p>
    <w:p>
      <w:pPr>
        <w:rPr>
          <w:noProof/>
        </w:rPr>
        <w:sectPr>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color w:val="000000"/>
          <w:bdr w:val="nil"/>
          <w:lang w:val="en-US" w:eastAsia="en-GB"/>
        </w:rPr>
        <w:t>•</w:t>
      </w:r>
      <w:r>
        <w:rPr>
          <w:noProof/>
          <w:color w:val="000000"/>
          <w:u w:color="000000"/>
          <w:bdr w:val="nil"/>
          <w:lang w:val="en-US" w:eastAsia="en-GB"/>
        </w:rPr>
        <w:tab/>
      </w:r>
      <w:r>
        <w:rPr>
          <w:noProof/>
        </w:rPr>
        <w:t xml:space="preserve">Reasons for and objectives of the proposal </w:t>
      </w:r>
    </w:p>
    <w:p>
      <w:pPr>
        <w:rPr>
          <w:rFonts w:eastAsia="Times New Roman"/>
          <w:i/>
          <w:iCs/>
          <w:noProof/>
          <w:color w:val="000000"/>
          <w:lang w:eastAsia="en-GB"/>
        </w:rPr>
      </w:pPr>
      <w:r>
        <w:rPr>
          <w:noProof/>
        </w:rPr>
        <w:t xml:space="preserve">On 15 September 2021, President von der Leyen announced in her </w:t>
      </w:r>
      <w:r>
        <w:rPr>
          <w:b/>
          <w:bCs/>
          <w:noProof/>
        </w:rPr>
        <w:t>State of the Union Address</w:t>
      </w:r>
      <w:r>
        <w:rPr>
          <w:noProof/>
        </w:rPr>
        <w:t xml:space="preserve"> that the European Commission will propose to make 2022 the European Year of Youth,</w:t>
      </w:r>
      <w:r>
        <w:rPr>
          <w:rFonts w:eastAsia="Times New Roman"/>
          <w:i/>
          <w:iCs/>
          <w:noProof/>
        </w:rPr>
        <w:t>“a year dedicated to empowering those who have dedicated so much to others</w:t>
      </w:r>
      <w:r>
        <w:rPr>
          <w:i/>
          <w:iCs/>
          <w:noProof/>
        </w:rPr>
        <w:t>".</w:t>
      </w:r>
      <w:r>
        <w:rPr>
          <w:noProof/>
        </w:rPr>
        <w:t xml:space="preserve"> Highlighting </w:t>
      </w:r>
      <w:r>
        <w:rPr>
          <w:rFonts w:eastAsia="Times New Roman"/>
          <w:noProof/>
          <w:color w:val="000000" w:themeColor="text1"/>
          <w:lang w:val="en-US" w:eastAsia="en-GB"/>
        </w:rPr>
        <w:t xml:space="preserve">the </w:t>
      </w:r>
      <w:r>
        <w:rPr>
          <w:rFonts w:eastAsia="Times New Roman"/>
          <w:noProof/>
          <w:color w:val="000000" w:themeColor="text1"/>
          <w:lang w:eastAsia="en-GB"/>
        </w:rPr>
        <w:t>confidence</w:t>
      </w:r>
      <w:r>
        <w:rPr>
          <w:rFonts w:eastAsia="Times New Roman"/>
          <w:noProof/>
          <w:color w:val="000000" w:themeColor="text1"/>
          <w:lang w:val="en-US" w:eastAsia="en-GB"/>
        </w:rPr>
        <w:t xml:space="preserve"> that she draws for Europe’s future from</w:t>
      </w:r>
      <w:r>
        <w:rPr>
          <w:rFonts w:eastAsia="Times New Roman"/>
          <w:noProof/>
          <w:color w:val="000000" w:themeColor="text1"/>
          <w:lang w:eastAsia="en-GB"/>
        </w:rPr>
        <w:t xml:space="preserve"> the inspiration </w:t>
      </w:r>
      <w:r>
        <w:rPr>
          <w:rFonts w:eastAsia="Times New Roman"/>
          <w:noProof/>
          <w:color w:val="000000" w:themeColor="text1"/>
          <w:lang w:val="en-US" w:eastAsia="en-GB"/>
        </w:rPr>
        <w:t xml:space="preserve">provided by </w:t>
      </w:r>
      <w:r>
        <w:rPr>
          <w:rFonts w:eastAsia="Times New Roman"/>
          <w:noProof/>
          <w:color w:val="000000" w:themeColor="text1"/>
          <w:lang w:eastAsia="en-GB"/>
        </w:rPr>
        <w:t>Europe's young people</w:t>
      </w:r>
      <w:r>
        <w:rPr>
          <w:rFonts w:eastAsia="Times New Roman"/>
          <w:noProof/>
          <w:color w:val="000000" w:themeColor="text1"/>
          <w:lang w:val="en-US" w:eastAsia="en-GB"/>
        </w:rPr>
        <w:t>, President von der Leyen added that “</w:t>
      </w:r>
      <w:r>
        <w:rPr>
          <w:rFonts w:eastAsia="Times New Roman"/>
          <w:i/>
          <w:iCs/>
          <w:noProof/>
          <w:color w:val="000000" w:themeColor="text1"/>
          <w:lang w:eastAsia="en-GB"/>
        </w:rPr>
        <w:t xml:space="preserve">if we are to shape our Union in their mould, young people must be able to shape Europe's future.” </w:t>
      </w:r>
    </w:p>
    <w:p>
      <w:pPr>
        <w:rPr>
          <w:noProof/>
          <w:lang w:val="en-US"/>
        </w:rPr>
      </w:pPr>
      <w:r>
        <w:rPr>
          <w:noProof/>
          <w:lang w:val="en-US"/>
        </w:rPr>
        <w:t>To be successful in inspiring our collective Union project with the actions, dreams, hopes and insights of the new generations, the European Year of Youth must be resolutely inclusive. In the words of the President von der Leyen: “</w:t>
      </w:r>
      <w:r>
        <w:rPr>
          <w:i/>
          <w:iCs/>
          <w:noProof/>
          <w:lang w:val="en-US"/>
        </w:rPr>
        <w:t>Europe needs all of its youth</w:t>
      </w:r>
      <w:r>
        <w:rPr>
          <w:noProof/>
          <w:lang w:val="en-US"/>
        </w:rPr>
        <w:t>”.</w:t>
      </w:r>
    </w:p>
    <w:p>
      <w:pPr>
        <w:rPr>
          <w:noProof/>
        </w:rPr>
      </w:pPr>
      <w:r>
        <w:rPr>
          <w:noProof/>
        </w:rPr>
        <w:t>The COVID-19 pandemic has had an unprecedented – and uneven – impact on education, employment, social inclusion and mental health</w:t>
      </w:r>
      <w:r>
        <w:rPr>
          <w:rFonts w:eastAsia="Times New Roman"/>
          <w:noProof/>
        </w:rPr>
        <w:t xml:space="preserve"> of the young people. The pandemic and related measures have resulted in interruptions in their education and transition to employment, and many youngsters have experienced feelings of isolation, anxiety and depression. </w:t>
      </w:r>
      <w:r>
        <w:rPr>
          <w:noProof/>
          <w:lang w:val="en-IE"/>
        </w:rPr>
        <w:t>Children, adolescents and young adults have been extremely affected by disruptions of family and social ties, and the economic crisis provoked by lockdowns has hit young Europeans in particular.</w:t>
      </w:r>
      <w:r>
        <w:rPr>
          <w:noProof/>
          <w:vertAlign w:val="superscript"/>
          <w:lang w:val="en-IE"/>
        </w:rPr>
        <w:t xml:space="preserve"> </w:t>
      </w:r>
      <w:r>
        <w:rPr>
          <w:rStyle w:val="FootnoteReference0"/>
          <w:noProof/>
        </w:rPr>
        <w:footnoteReference w:id="2"/>
      </w:r>
    </w:p>
    <w:p>
      <w:pPr>
        <w:rPr>
          <w:noProof/>
        </w:rPr>
      </w:pPr>
      <w:r>
        <w:rPr>
          <w:noProof/>
        </w:rPr>
        <w:t>At the same time, young people have shown intergenerational solidarity and support, while sacrificing valuable “</w:t>
      </w:r>
      <w:r>
        <w:rPr>
          <w:i/>
          <w:iCs/>
          <w:noProof/>
        </w:rPr>
        <w:t>youthful moments</w:t>
      </w:r>
      <w:r>
        <w:rPr>
          <w:noProof/>
        </w:rPr>
        <w:t xml:space="preserve">” of their daily lives. And yet, young people, who are among the most diverse cohorts of our European society, have also managed to show great resilience and have been involved in the mitigation of the pandemic’s impact. </w:t>
      </w:r>
    </w:p>
    <w:p>
      <w:pPr>
        <w:rPr>
          <w:noProof/>
          <w:szCs w:val="24"/>
        </w:rPr>
      </w:pPr>
      <w:r>
        <w:rPr>
          <w:noProof/>
          <w:szCs w:val="24"/>
        </w:rPr>
        <w:t xml:space="preserve">In this light, the </w:t>
      </w:r>
      <w:r>
        <w:rPr>
          <w:b/>
          <w:bCs/>
          <w:noProof/>
          <w:szCs w:val="24"/>
        </w:rPr>
        <w:t>European Year of Youth</w:t>
      </w:r>
      <w:r>
        <w:rPr>
          <w:noProof/>
          <w:szCs w:val="24"/>
        </w:rPr>
        <w:t xml:space="preserve"> </w:t>
      </w:r>
      <w:r>
        <w:rPr>
          <w:b/>
          <w:bCs/>
          <w:noProof/>
          <w:szCs w:val="24"/>
        </w:rPr>
        <w:t xml:space="preserve">2022 </w:t>
      </w:r>
      <w:r>
        <w:rPr>
          <w:noProof/>
          <w:szCs w:val="24"/>
        </w:rPr>
        <w:t>would further stimulate Europe’s young people to come forward with contributions and insights to give shape to the Union’s development and society at large</w:t>
      </w:r>
      <w:r>
        <w:rPr>
          <w:noProof/>
          <w:szCs w:val="24"/>
          <w:lang w:val="en-US"/>
        </w:rPr>
        <w:t xml:space="preserve">. It would also be an occasion to raise awareness on the opportunities ahead for young people.  </w:t>
      </w:r>
      <w:r>
        <w:rPr>
          <w:noProof/>
          <w:szCs w:val="24"/>
        </w:rPr>
        <w:t xml:space="preserve">The </w:t>
      </w:r>
      <w:r>
        <w:rPr>
          <w:b/>
          <w:bCs/>
          <w:noProof/>
          <w:szCs w:val="24"/>
        </w:rPr>
        <w:t xml:space="preserve">overall objective of the European Year of Youth </w:t>
      </w:r>
      <w:r>
        <w:rPr>
          <w:noProof/>
          <w:szCs w:val="24"/>
        </w:rPr>
        <w:t xml:space="preserve">shall be to boost the efforts of the Union, the Member States, regional and local authorities </w:t>
      </w:r>
      <w:r>
        <w:rPr>
          <w:b/>
          <w:bCs/>
          <w:noProof/>
          <w:szCs w:val="24"/>
        </w:rPr>
        <w:t>to honour, support and engage with youth in a post-pandemic perspective</w:t>
      </w:r>
      <w:r>
        <w:rPr>
          <w:noProof/>
          <w:szCs w:val="24"/>
        </w:rPr>
        <w:t>, by:</w:t>
      </w:r>
    </w:p>
    <w:p>
      <w:pPr>
        <w:pStyle w:val="Point0"/>
        <w:rPr>
          <w:noProof/>
        </w:rPr>
      </w:pPr>
      <w:r>
        <w:t>(1)</w:t>
      </w:r>
      <w:r>
        <w:tab/>
      </w:r>
      <w:r>
        <w:rPr>
          <w:noProof/>
        </w:rPr>
        <w:t xml:space="preserve">highlighting how the green and digital transitions offer a renewed perspective for the future and opportunities to counter the negative impact of the pandemic on young people and on the society at large, drawing inspiration from the actions, vision and insights of young people to further strengthen and invigorate the common European Union project and listening to young people, taking into account their concerns and supporting them in developing concrete, inclusive opportunities, while making an optimal use of Union instruments, </w:t>
      </w:r>
    </w:p>
    <w:p>
      <w:pPr>
        <w:pStyle w:val="Point0"/>
        <w:rPr>
          <w:noProof/>
        </w:rPr>
      </w:pPr>
      <w:r>
        <w:t>(2)</w:t>
      </w:r>
      <w:r>
        <w:tab/>
      </w:r>
      <w:r>
        <w:rPr>
          <w:noProof/>
        </w:rPr>
        <w:t xml:space="preserve">encouraging all young people, especially young people with fewer opportunities, from disadvantaged backgrounds or belonging to vulnerable groups, to become active and engaged citizens as well as actors of change, inspired by a European sense of belonging. This includes additional efforts at building capacity for youth participation and civic engagement among young people and among all stakeholders, </w:t>
      </w:r>
      <w:r>
        <w:rPr>
          <w:noProof/>
        </w:rPr>
        <w:lastRenderedPageBreak/>
        <w:t>who work to represent their interests. This involves the contribution of young people from diverse backgrounds and also belonging to vulnerable groups in key consultation processes, such as the Conference on the Future of Europe,</w:t>
      </w:r>
    </w:p>
    <w:p>
      <w:pPr>
        <w:pStyle w:val="Point0"/>
        <w:rPr>
          <w:noProof/>
        </w:rPr>
      </w:pPr>
      <w:r>
        <w:t>(3)</w:t>
      </w:r>
      <w:r>
        <w:tab/>
      </w:r>
      <w:r>
        <w:rPr>
          <w:noProof/>
        </w:rPr>
        <w:t>promoting opportunities for young people arising from the public policies at EU, national, regional level and local level in order to support their personal, social and professional development in a greener, more digital and more inclusive Union.</w:t>
      </w:r>
    </w:p>
    <w:p>
      <w:pPr>
        <w:rPr>
          <w:noProof/>
        </w:rPr>
      </w:pPr>
      <w:r>
        <w:rPr>
          <w:noProof/>
        </w:rPr>
        <w:t xml:space="preserve">In its broader sense, the European Year of Youth will go hand in hand with the successful implementation of </w:t>
      </w:r>
      <w:r>
        <w:rPr>
          <w:b/>
          <w:bCs/>
          <w:noProof/>
        </w:rPr>
        <w:t>NextGenerationEU</w:t>
      </w:r>
      <w:r>
        <w:rPr>
          <w:noProof/>
        </w:rPr>
        <w:t xml:space="preserve">, which ensures a fast-forwarding of the twin transitions, provides the possibility to collectively emerge stronger from the pandemic and re-opens perspectives full of opportunities for young people, including quality jobs and education and training opportunities for the Europe of the future, and supports young people’s participation in society. The Commission aims to enhance the role of youth in turning the recovery into a driving force for future-oriented well-being and welfare.  </w:t>
      </w:r>
    </w:p>
    <w:p>
      <w:pPr>
        <w:pStyle w:val="ManualHeading2"/>
        <w:rPr>
          <w:noProof/>
        </w:rPr>
      </w:pPr>
      <w:r>
        <w:rPr>
          <w:noProof/>
          <w:lang w:val="en-US"/>
        </w:rPr>
        <w:t xml:space="preserve">•             </w:t>
      </w:r>
      <w:r>
        <w:rPr>
          <w:noProof/>
        </w:rPr>
        <w:t>Consistency with existing policy provisions in the policy area</w:t>
      </w:r>
    </w:p>
    <w:p>
      <w:pPr>
        <w:rPr>
          <w:noProof/>
        </w:rPr>
      </w:pPr>
      <w:r>
        <w:rPr>
          <w:noProof/>
        </w:rPr>
        <w:t xml:space="preserve">The </w:t>
      </w:r>
      <w:r>
        <w:rPr>
          <w:b/>
          <w:bCs/>
          <w:noProof/>
        </w:rPr>
        <w:t>EU Youth Strategy</w:t>
      </w:r>
      <w:r>
        <w:rPr>
          <w:noProof/>
        </w:rPr>
        <w:t xml:space="preserve"> is the framework for EU youth policy cooperation for 2019-2027, based on the </w:t>
      </w:r>
      <w:r>
        <w:rPr>
          <w:b/>
          <w:noProof/>
        </w:rPr>
        <w:t>Council Resolution of 26 November 2018</w:t>
      </w:r>
      <w:r>
        <w:rPr>
          <w:rStyle w:val="FootnoteReference0"/>
          <w:noProof/>
        </w:rPr>
        <w:footnoteReference w:id="3"/>
      </w:r>
      <w:r>
        <w:rPr>
          <w:noProof/>
        </w:rPr>
        <w:t xml:space="preserve">. EU youth cooperation shall make the most of youth policy's potential. It fosters youth participation in democratic life, in line with </w:t>
      </w:r>
      <w:r>
        <w:rPr>
          <w:bCs/>
          <w:noProof/>
        </w:rPr>
        <w:t>Article 165(2) of the Treaty on the Functioning of the European Union</w:t>
      </w:r>
      <w:r>
        <w:rPr>
          <w:noProof/>
        </w:rPr>
        <w:t xml:space="preserve">. It also supports social and civic engagement and aims to ensure that all young people have the necessary resources to take part in society. </w:t>
      </w:r>
    </w:p>
    <w:p>
      <w:pPr>
        <w:rPr>
          <w:rFonts w:eastAsia="Times New Roman"/>
          <w:noProof/>
        </w:rPr>
      </w:pPr>
      <w:r>
        <w:rPr>
          <w:noProof/>
        </w:rPr>
        <w:t xml:space="preserve">The </w:t>
      </w:r>
      <w:r>
        <w:rPr>
          <w:b/>
          <w:noProof/>
        </w:rPr>
        <w:t>European Youth Goals</w:t>
      </w:r>
      <w:r>
        <w:rPr>
          <w:rStyle w:val="FootnoteReference0"/>
          <w:noProof/>
        </w:rPr>
        <w:footnoteReference w:id="4"/>
      </w:r>
      <w:r>
        <w:rPr>
          <w:noProof/>
        </w:rPr>
        <w:t>,</w:t>
      </w:r>
      <w:r>
        <w:rPr>
          <w:rFonts w:eastAsia="Times New Roman"/>
          <w:noProof/>
        </w:rPr>
        <w:t xml:space="preserve"> that are an integral part of the EU Youth Strategy, have been developed by young people for young people under the EU Youth dialogue process, and represent the areas where change still needs to happen, in order for young people to live to their full potential. </w:t>
      </w:r>
    </w:p>
    <w:p>
      <w:pPr>
        <w:rPr>
          <w:noProof/>
        </w:rPr>
      </w:pPr>
      <w:r>
        <w:rPr>
          <w:rFonts w:eastAsia="Times"/>
          <w:noProof/>
        </w:rPr>
        <w:t xml:space="preserve">At the same time, the European Year of Youth 2022 will give a unique impetus to the creation of a </w:t>
      </w:r>
      <w:r>
        <w:rPr>
          <w:rFonts w:eastAsia="Times"/>
          <w:b/>
          <w:bCs/>
          <w:noProof/>
        </w:rPr>
        <w:t>European Education Area</w:t>
      </w:r>
      <w:r>
        <w:rPr>
          <w:rFonts w:eastAsia="Times"/>
          <w:noProof/>
        </w:rPr>
        <w:t xml:space="preserve"> by creating a genuine European space of learning by 2025 in which inclusive and high quality education and training for all is not hampered by borders. It will contribute to the </w:t>
      </w:r>
      <w:r>
        <w:rPr>
          <w:rFonts w:eastAsia="Times"/>
          <w:b/>
          <w:noProof/>
        </w:rPr>
        <w:t>European Climate Pact</w:t>
      </w:r>
      <w:r>
        <w:rPr>
          <w:rFonts w:eastAsia="Times"/>
          <w:noProof/>
        </w:rPr>
        <w:t xml:space="preserve">, the updated </w:t>
      </w:r>
      <w:r>
        <w:rPr>
          <w:rFonts w:eastAsia="Times"/>
          <w:b/>
          <w:bCs/>
          <w:noProof/>
        </w:rPr>
        <w:t>Digital Education Action Plan</w:t>
      </w:r>
      <w:r>
        <w:rPr>
          <w:rFonts w:eastAsia="Times"/>
          <w:noProof/>
        </w:rPr>
        <w:t xml:space="preserve"> and </w:t>
      </w:r>
      <w:r>
        <w:rPr>
          <w:noProof/>
        </w:rPr>
        <w:t xml:space="preserve">the </w:t>
      </w:r>
      <w:r>
        <w:rPr>
          <w:b/>
          <w:bCs/>
          <w:noProof/>
        </w:rPr>
        <w:t>HealthyLifestyle4all</w:t>
      </w:r>
      <w:r>
        <w:rPr>
          <w:noProof/>
        </w:rPr>
        <w:t xml:space="preserve"> initiative. It will be supported by the European Pillar of Social Rights Action Plan in the area of employment, skills and poverty reduction. The European Year of Youth will emphasise the Union’s efforts to expanding employment opportunities for youth in the post-pandemic recovery through the reinforced </w:t>
      </w:r>
      <w:r>
        <w:rPr>
          <w:b/>
          <w:bCs/>
          <w:noProof/>
        </w:rPr>
        <w:t>Youth Guarantee</w:t>
      </w:r>
      <w:r>
        <w:rPr>
          <w:rStyle w:val="FootnoteReference0"/>
          <w:noProof/>
        </w:rPr>
        <w:footnoteReference w:id="5"/>
      </w:r>
      <w:r>
        <w:rPr>
          <w:noProof/>
          <w:lang w:val="en-IE"/>
        </w:rPr>
        <w:t>, and the relaunch of the European Alliance for Apprenticeships and the European Apprentices Network, the European Child Guarantee, the</w:t>
      </w:r>
      <w:r>
        <w:rPr>
          <w:b/>
          <w:bCs/>
          <w:noProof/>
          <w:lang w:val="en-IE"/>
        </w:rPr>
        <w:t xml:space="preserve"> </w:t>
      </w:r>
      <w:r>
        <w:rPr>
          <w:noProof/>
          <w:lang w:val="en-IE"/>
        </w:rPr>
        <w:t>implementation of the</w:t>
      </w:r>
      <w:r>
        <w:rPr>
          <w:noProof/>
        </w:rPr>
        <w:t xml:space="preserve"> </w:t>
      </w:r>
      <w:r>
        <w:rPr>
          <w:b/>
          <w:bCs/>
          <w:noProof/>
          <w:lang w:val="en-IE"/>
        </w:rPr>
        <w:t>European Skills Agenda</w:t>
      </w:r>
      <w:r>
        <w:rPr>
          <w:rStyle w:val="FootnoteReference0"/>
          <w:noProof/>
        </w:rPr>
        <w:footnoteReference w:id="6"/>
      </w:r>
      <w:r>
        <w:rPr>
          <w:b/>
          <w:bCs/>
          <w:noProof/>
          <w:lang w:val="en-IE"/>
        </w:rPr>
        <w:t>,</w:t>
      </w:r>
      <w:r>
        <w:rPr>
          <w:noProof/>
          <w:lang w:val="en-IE"/>
        </w:rPr>
        <w:t xml:space="preserve"> </w:t>
      </w:r>
      <w:r>
        <w:rPr>
          <w:noProof/>
        </w:rPr>
        <w:t xml:space="preserve">the Commission Recommendation on an </w:t>
      </w:r>
      <w:r>
        <w:rPr>
          <w:b/>
          <w:bCs/>
          <w:noProof/>
        </w:rPr>
        <w:t>Effective Active Support to Employment following the COVID-19 crisis</w:t>
      </w:r>
      <w:r>
        <w:rPr>
          <w:rStyle w:val="FootnoteReference0"/>
          <w:noProof/>
        </w:rPr>
        <w:footnoteReference w:id="7"/>
      </w:r>
      <w:r>
        <w:rPr>
          <w:b/>
          <w:bCs/>
          <w:noProof/>
        </w:rPr>
        <w:t xml:space="preserve"> (EASE)</w:t>
      </w:r>
      <w:r>
        <w:rPr>
          <w:noProof/>
        </w:rPr>
        <w:t xml:space="preserve">, as well as the launch of the new initiative </w:t>
      </w:r>
      <w:r>
        <w:rPr>
          <w:b/>
          <w:bCs/>
          <w:noProof/>
        </w:rPr>
        <w:t>ALMA</w:t>
      </w:r>
      <w:r>
        <w:rPr>
          <w:noProof/>
        </w:rPr>
        <w:t xml:space="preserve"> (Aim, Learn, Master, Achieve). ALMA will be a cross-border youth mobility scheme for disadvantaged young people aged 18-30 who are not in employment, education or training. </w:t>
      </w:r>
    </w:p>
    <w:p>
      <w:pPr>
        <w:rPr>
          <w:rFonts w:eastAsia="Times New Roman"/>
          <w:noProof/>
          <w:szCs w:val="24"/>
        </w:rPr>
      </w:pPr>
      <w:r>
        <w:rPr>
          <w:rFonts w:eastAsia="Times New Roman"/>
          <w:noProof/>
          <w:szCs w:val="24"/>
        </w:rPr>
        <w:t xml:space="preserve">Although “digital natives”, young people, particularly minors, deserve support and empowerment for a life where the distinction between online and offline is more and more blurred. In 2022, the updated </w:t>
      </w:r>
      <w:r>
        <w:rPr>
          <w:rFonts w:eastAsia="Times New Roman"/>
          <w:b/>
          <w:bCs/>
          <w:noProof/>
          <w:szCs w:val="24"/>
        </w:rPr>
        <w:t>Better internet for children Strategy</w:t>
      </w:r>
      <w:r>
        <w:rPr>
          <w:rFonts w:eastAsia="Times New Roman"/>
          <w:noProof/>
          <w:szCs w:val="24"/>
        </w:rPr>
        <w:t xml:space="preserve"> will put at its core youth participation, digital skills, inclusion and the promotion of well-being of children.</w:t>
      </w:r>
    </w:p>
    <w:p>
      <w:pPr>
        <w:rPr>
          <w:rFonts w:eastAsia="Times New Roman"/>
          <w:noProof/>
          <w:szCs w:val="24"/>
        </w:rPr>
      </w:pPr>
      <w:r>
        <w:rPr>
          <w:rFonts w:eastAsia="Times New Roman"/>
          <w:noProof/>
          <w:szCs w:val="24"/>
        </w:rPr>
        <w:t>The EU Comprehensive Strategy on the Rights of the Child and the European Child Guarantee</w:t>
      </w:r>
      <w:r>
        <w:rPr>
          <w:rStyle w:val="FootnoteReference0"/>
          <w:rFonts w:eastAsia="Times New Roman"/>
          <w:noProof/>
          <w:szCs w:val="24"/>
        </w:rPr>
        <w:footnoteReference w:id="8"/>
      </w:r>
      <w:r>
        <w:rPr>
          <w:rFonts w:eastAsia="Times New Roman"/>
          <w:noProof/>
          <w:szCs w:val="24"/>
        </w:rPr>
        <w:t xml:space="preserve"> set a new standard for child and teen participation as they have been developed together with children.</w:t>
      </w:r>
    </w:p>
    <w:p>
      <w:pPr>
        <w:rPr>
          <w:rFonts w:eastAsia="Times New Roman"/>
          <w:noProof/>
          <w:szCs w:val="24"/>
        </w:rPr>
      </w:pPr>
      <w:r>
        <w:rPr>
          <w:noProof/>
        </w:rPr>
        <w:t xml:space="preserve">Many of these opportunities are underpinned by significant EU investment, in particular through programmes such as </w:t>
      </w:r>
      <w:r>
        <w:rPr>
          <w:bCs/>
          <w:noProof/>
        </w:rPr>
        <w:t>Erasmus+</w:t>
      </w:r>
      <w:r>
        <w:rPr>
          <w:noProof/>
        </w:rPr>
        <w:t xml:space="preserve">, the </w:t>
      </w:r>
      <w:r>
        <w:rPr>
          <w:bCs/>
          <w:noProof/>
        </w:rPr>
        <w:t>European Solidarity Corps,</w:t>
      </w:r>
      <w:r>
        <w:rPr>
          <w:noProof/>
        </w:rPr>
        <w:t xml:space="preserve"> the </w:t>
      </w:r>
      <w:r>
        <w:rPr>
          <w:bCs/>
          <w:noProof/>
        </w:rPr>
        <w:t xml:space="preserve">European Social Fund Plus, Creative Europe, Horizon Europe, </w:t>
      </w:r>
      <w:r>
        <w:rPr>
          <w:noProof/>
        </w:rPr>
        <w:t xml:space="preserve">the </w:t>
      </w:r>
      <w:r>
        <w:rPr>
          <w:bCs/>
          <w:noProof/>
        </w:rPr>
        <w:t>Citizens, Equality, Rights and</w:t>
      </w:r>
      <w:r>
        <w:rPr>
          <w:noProof/>
        </w:rPr>
        <w:t> </w:t>
      </w:r>
      <w:r>
        <w:rPr>
          <w:bCs/>
          <w:noProof/>
        </w:rPr>
        <w:t>Values</w:t>
      </w:r>
      <w:r>
        <w:rPr>
          <w:noProof/>
        </w:rPr>
        <w:t> </w:t>
      </w:r>
      <w:r>
        <w:rPr>
          <w:bCs/>
          <w:noProof/>
        </w:rPr>
        <w:t xml:space="preserve">programme </w:t>
      </w:r>
      <w:r>
        <w:rPr>
          <w:noProof/>
        </w:rPr>
        <w:t xml:space="preserve">the </w:t>
      </w:r>
      <w:r>
        <w:rPr>
          <w:bCs/>
          <w:noProof/>
        </w:rPr>
        <w:t xml:space="preserve">Asylum, Migration and Integration Fund,   the Justice Programme, </w:t>
      </w:r>
      <w:r>
        <w:rPr>
          <w:noProof/>
        </w:rPr>
        <w:t xml:space="preserve">the </w:t>
      </w:r>
      <w:r>
        <w:rPr>
          <w:bCs/>
          <w:noProof/>
        </w:rPr>
        <w:t xml:space="preserve">European Regional Development Fund, the European Maritime Fisheries and Aquaculture Fund </w:t>
      </w:r>
      <w:r>
        <w:rPr>
          <w:rFonts w:eastAsia="Times New Roman"/>
          <w:bCs/>
          <w:noProof/>
          <w:szCs w:val="24"/>
        </w:rPr>
        <w:t>and the European Agriculture Fund for Rural Development</w:t>
      </w:r>
      <w:r>
        <w:rPr>
          <w:rFonts w:eastAsia="Times New Roman"/>
          <w:noProof/>
          <w:szCs w:val="24"/>
        </w:rPr>
        <w:t>.</w:t>
      </w:r>
      <w:r>
        <w:rPr>
          <w:rFonts w:eastAsia="Calibri"/>
          <w:noProof/>
          <w:color w:val="203864"/>
          <w:szCs w:val="24"/>
        </w:rPr>
        <w:t xml:space="preserve"> </w:t>
      </w:r>
      <w:r>
        <w:rPr>
          <w:rFonts w:eastAsia="Times New Roman"/>
          <w:noProof/>
        </w:rPr>
        <w:t>These funding programmes make a significant EU contribution towards enabling</w:t>
      </w:r>
      <w:r>
        <w:rPr>
          <w:noProof/>
        </w:rPr>
        <w:t xml:space="preserve"> youth to pursue their personal, social and professional fulfilment.</w:t>
      </w:r>
      <w:r>
        <w:rPr>
          <w:rFonts w:eastAsia="Calibri"/>
          <w:noProof/>
          <w:color w:val="203864"/>
          <w:szCs w:val="24"/>
        </w:rPr>
        <w:t xml:space="preserve"> </w:t>
      </w:r>
      <w:r>
        <w:rPr>
          <w:rFonts w:eastAsia="Times New Roman"/>
          <w:noProof/>
          <w:szCs w:val="24"/>
        </w:rPr>
        <w:t xml:space="preserve"> </w:t>
      </w:r>
    </w:p>
    <w:p>
      <w:pPr>
        <w:rPr>
          <w:noProof/>
        </w:rPr>
      </w:pPr>
      <w:r>
        <w:rPr>
          <w:noProof/>
        </w:rPr>
        <w:t xml:space="preserve">The EU programmes specifically dedicated to youth will have a key role during the </w:t>
      </w:r>
      <w:r>
        <w:rPr>
          <w:rFonts w:eastAsia="Times New Roman"/>
          <w:noProof/>
        </w:rPr>
        <w:t>European Year of Youth</w:t>
      </w:r>
      <w:r>
        <w:rPr>
          <w:noProof/>
        </w:rPr>
        <w:t xml:space="preserve">. The year 2022 will mark the 35 years of the </w:t>
      </w:r>
      <w:r>
        <w:rPr>
          <w:bCs/>
          <w:noProof/>
        </w:rPr>
        <w:t>Erasmus+ programme</w:t>
      </w:r>
      <w:r>
        <w:rPr>
          <w:noProof/>
        </w:rPr>
        <w:t xml:space="preserve"> and the Year will be a great opportunity to celebrate the ten million young people who took part in that adventure since 1987, and to promote the new generation of this programme in all its dimensions, covering education, training, youth and sport. The </w:t>
      </w:r>
      <w:r>
        <w:rPr>
          <w:bCs/>
          <w:noProof/>
        </w:rPr>
        <w:t>European Solidarity Corps</w:t>
      </w:r>
      <w:r>
        <w:rPr>
          <w:noProof/>
        </w:rPr>
        <w:t xml:space="preserve"> will also enter into its fifth year in 2022. The 9</w:t>
      </w:r>
      <w:r>
        <w:rPr>
          <w:noProof/>
          <w:vertAlign w:val="superscript"/>
        </w:rPr>
        <w:t>th</w:t>
      </w:r>
      <w:r>
        <w:rPr>
          <w:noProof/>
        </w:rPr>
        <w:t xml:space="preserve"> May will be a symbolic date to organise activities or events around that day. </w:t>
      </w:r>
    </w:p>
    <w:p>
      <w:pPr>
        <w:rPr>
          <w:noProof/>
          <w:color w:val="444444"/>
        </w:rPr>
      </w:pPr>
      <w:r>
        <w:rPr>
          <w:noProof/>
        </w:rPr>
        <w:t xml:space="preserve">Activities organised in the course of the </w:t>
      </w:r>
      <w:r>
        <w:rPr>
          <w:rFonts w:eastAsia="Times New Roman"/>
          <w:noProof/>
        </w:rPr>
        <w:t>European Year of Youth should be</w:t>
      </w:r>
      <w:r>
        <w:rPr>
          <w:noProof/>
        </w:rPr>
        <w:t xml:space="preserve"> relevant for all Member States. Member States would therefore be requested to appoint a national coordinator responsible for organising their participation in the </w:t>
      </w:r>
      <w:r>
        <w:rPr>
          <w:rFonts w:eastAsia="Times New Roman"/>
          <w:noProof/>
        </w:rPr>
        <w:t>European Year of Youth</w:t>
      </w:r>
      <w:r>
        <w:rPr>
          <w:noProof/>
        </w:rPr>
        <w:t xml:space="preserve">. The Commission shall convene meetings of the national coordinators in order to coordinate the running of the </w:t>
      </w:r>
      <w:r>
        <w:rPr>
          <w:rFonts w:eastAsia="Times New Roman"/>
          <w:noProof/>
        </w:rPr>
        <w:t xml:space="preserve">European Year of Youth </w:t>
      </w:r>
      <w:r>
        <w:rPr>
          <w:noProof/>
        </w:rPr>
        <w:t>and to exchange information regarding its implementation at national and Union level</w:t>
      </w:r>
      <w:r>
        <w:rPr>
          <w:noProof/>
          <w:color w:val="444444"/>
        </w:rPr>
        <w:t>.</w:t>
      </w:r>
    </w:p>
    <w:p>
      <w:pPr>
        <w:pStyle w:val="ManualHeading2"/>
        <w:rPr>
          <w:noProof/>
        </w:rPr>
      </w:pPr>
      <w:r>
        <w:rPr>
          <w:noProof/>
          <w:color w:val="000000"/>
          <w:bdr w:val="nil"/>
          <w:lang w:val="en-US" w:eastAsia="en-GB"/>
        </w:rPr>
        <w:t>•</w:t>
      </w:r>
      <w:r>
        <w:rPr>
          <w:noProof/>
          <w:color w:val="000000"/>
          <w:u w:color="000000"/>
          <w:bdr w:val="nil"/>
          <w:lang w:val="en-US" w:eastAsia="en-GB"/>
        </w:rPr>
        <w:tab/>
      </w:r>
      <w:r>
        <w:rPr>
          <w:noProof/>
        </w:rPr>
        <w:t>Consistency with other Union policies</w:t>
      </w:r>
    </w:p>
    <w:p>
      <w:pPr>
        <w:pBdr>
          <w:top w:val="nil"/>
          <w:left w:val="nil"/>
          <w:bottom w:val="nil"/>
          <w:right w:val="nil"/>
          <w:between w:val="nil"/>
          <w:bar w:val="nil"/>
        </w:pBdr>
        <w:spacing w:before="0" w:after="240"/>
        <w:rPr>
          <w:noProof/>
          <w:shd w:val="clear" w:color="auto" w:fill="FFFFFF"/>
        </w:rPr>
      </w:pPr>
      <w:r>
        <w:rPr>
          <w:noProof/>
        </w:rPr>
        <w:t xml:space="preserve">The European Year of Youth 2022 will be cross-sectoral, building </w:t>
      </w:r>
      <w:r>
        <w:rPr>
          <w:noProof/>
          <w:color w:val="000000" w:themeColor="text1"/>
        </w:rPr>
        <w:t>on all EU p</w:t>
      </w:r>
      <w:r>
        <w:rPr>
          <w:noProof/>
          <w:color w:val="000000" w:themeColor="text1"/>
          <w:shd w:val="clear" w:color="auto" w:fill="FFFFFF"/>
        </w:rPr>
        <w:t xml:space="preserve">olicies and programmes that strive to improve the lives of all young people and empower them </w:t>
      </w:r>
      <w:r>
        <w:rPr>
          <w:noProof/>
          <w:color w:val="000000" w:themeColor="text1"/>
        </w:rPr>
        <w:t xml:space="preserve">. It </w:t>
      </w:r>
      <w:r>
        <w:rPr>
          <w:noProof/>
        </w:rPr>
        <w:t xml:space="preserve">should build on </w:t>
      </w:r>
      <w:r>
        <w:rPr>
          <w:rFonts w:eastAsia="Times New Roman"/>
          <w:noProof/>
          <w:szCs w:val="24"/>
        </w:rPr>
        <w:t xml:space="preserve">the European Green Deal – the EU sustainable growth strategy – and other </w:t>
      </w:r>
      <w:r>
        <w:rPr>
          <w:noProof/>
        </w:rPr>
        <w:t>existing initiatives and policies such as  the Digital Decade, the European Single Market (which will soon celebrate its 30</w:t>
      </w:r>
      <w:r>
        <w:rPr>
          <w:noProof/>
          <w:vertAlign w:val="superscript"/>
        </w:rPr>
        <w:t>th</w:t>
      </w:r>
      <w:r>
        <w:rPr>
          <w:noProof/>
        </w:rPr>
        <w:t xml:space="preserve"> anniversary), the New European Bauhaus, the Horizon Europe missions, the Conference on the Future of Europe, the European Pillar of Social Rights, the EU Strategy on the rights of the child, </w:t>
      </w:r>
      <w:r>
        <w:rPr>
          <w:rFonts w:eastAsia="Times New Roman"/>
          <w:noProof/>
          <w:szCs w:val="24"/>
        </w:rPr>
        <w:t xml:space="preserve">the </w:t>
      </w:r>
      <w:r>
        <w:rPr>
          <w:noProof/>
        </w:rPr>
        <w:t xml:space="preserve">Strategy for the Rights of Persons with Disabilities,  </w:t>
      </w:r>
      <w:r>
        <w:rPr>
          <w:rFonts w:eastAsia="Times New Roman"/>
          <w:noProof/>
          <w:szCs w:val="24"/>
        </w:rPr>
        <w:t xml:space="preserve">the EU Roma Strategic Framework for equality, inclusion and participation, the </w:t>
      </w:r>
      <w:r>
        <w:rPr>
          <w:noProof/>
        </w:rPr>
        <w:t>LGBTIQ Equality Strategy</w:t>
      </w:r>
      <w:r>
        <w:rPr>
          <w:rFonts w:eastAsia="Times New Roman"/>
          <w:noProof/>
          <w:szCs w:val="24"/>
        </w:rPr>
        <w:t xml:space="preserve">, the EU Anti-racism Action Plan, EU Strategy on Combating Antisemitism and Fostering Jewish Life, </w:t>
      </w:r>
      <w:r>
        <w:rPr>
          <w:noProof/>
        </w:rPr>
        <w:t xml:space="preserve">the Action Plan on Integration and Inclusion 2021-2027, the Gender Equality Strategy, the European Democracy Action Plan, Europe’s Beating Cancer Plan and the Long Term Vision for EU’s Rural Areas.  </w:t>
      </w:r>
      <w:r>
        <w:rPr>
          <w:noProof/>
          <w:shd w:val="clear" w:color="auto" w:fill="FFFFFF"/>
        </w:rPr>
        <w:t xml:space="preserve">The European Year of Youth has links with many Union policy areas beyond youth policy itself, such as education and training, employment, social inclusion, culture and the media, sports, health, research and innovation, environment and climate, transport, non-discrimination and anti-racism, cohesion and urban policy, rural development, migration as well as with Union’s ties with its neighbourhood and international partnerships. </w:t>
      </w:r>
    </w:p>
    <w:p>
      <w:pPr>
        <w:rPr>
          <w:noProof/>
        </w:rPr>
      </w:pPr>
      <w:r>
        <w:rPr>
          <w:rFonts w:eastAsia="Arial Unicode MS"/>
          <w:noProof/>
        </w:rPr>
        <w:t>The European Year of Youth will be implemented using existing EU programmes and</w:t>
      </w:r>
      <w:r>
        <w:rPr>
          <w:noProof/>
        </w:rPr>
        <w:t xml:space="preserve"> delivery mechanisms already in place and the drive provided by</w:t>
      </w:r>
      <w:r>
        <w:rPr>
          <w:noProof/>
          <w:shd w:val="clear" w:color="auto" w:fill="FFFFFF"/>
        </w:rPr>
        <w:t xml:space="preserve"> NextGenerationEU</w:t>
      </w:r>
      <w:r>
        <w:rPr>
          <w:noProof/>
        </w:rPr>
        <w:t xml:space="preserve">. </w:t>
      </w:r>
      <w:r>
        <w:rPr>
          <w:noProof/>
          <w:shd w:val="clear" w:color="auto" w:fill="FFFFFF"/>
        </w:rPr>
        <w:t>Youth relevant investment is currently eligible for significant EU funding under several EU programmes and instruments, in particular with Erasmus+, the European Solidarity Corps, Erasmus for Young Entrepreneurs, Creative Europe, the European Social Fund Plus, the</w:t>
      </w:r>
      <w:r>
        <w:rPr>
          <w:noProof/>
        </w:rPr>
        <w:t xml:space="preserve"> Youth Employment Initiative, </w:t>
      </w:r>
      <w:r>
        <w:rPr>
          <w:noProof/>
          <w:shd w:val="clear" w:color="auto" w:fill="FFFFFF"/>
        </w:rPr>
        <w:t xml:space="preserve">the European Regional and Development Fund, </w:t>
      </w:r>
      <w:r>
        <w:rPr>
          <w:rFonts w:eastAsia="Times New Roman"/>
          <w:noProof/>
          <w:szCs w:val="24"/>
        </w:rPr>
        <w:t xml:space="preserve">the European Agriculture Fund for Rural Development, the European Maritime Fisheries and Aquaculture Fund,  </w:t>
      </w:r>
      <w:r>
        <w:rPr>
          <w:noProof/>
        </w:rPr>
        <w:t>the Citizens, Equality, Rights and Values programme, Digital Europe</w:t>
      </w:r>
      <w:r>
        <w:rPr>
          <w:bCs/>
          <w:noProof/>
        </w:rPr>
        <w:t xml:space="preserve"> </w:t>
      </w:r>
      <w:r>
        <w:rPr>
          <w:noProof/>
          <w:shd w:val="clear" w:color="auto" w:fill="FFFFFF"/>
        </w:rPr>
        <w:t>and Horizon Europe</w:t>
      </w:r>
      <w:r>
        <w:rPr>
          <w:noProof/>
        </w:rPr>
        <w:t>. The external dimension of these programmes and sharing its valuable lessons,</w:t>
      </w:r>
      <w:r>
        <w:rPr>
          <w:rFonts w:eastAsia="Calibri"/>
          <w:noProof/>
          <w:color w:val="FF0000"/>
          <w:szCs w:val="24"/>
        </w:rPr>
        <w:t xml:space="preserve"> </w:t>
      </w:r>
      <w:r>
        <w:rPr>
          <w:rFonts w:eastAsia="Times New Roman"/>
          <w:noProof/>
          <w:szCs w:val="24"/>
        </w:rPr>
        <w:t>as well as dedicated external instruments such as NDICI-Global Europe</w:t>
      </w:r>
      <w:r>
        <w:rPr>
          <w:rFonts w:eastAsia="Calibri"/>
          <w:noProof/>
          <w:color w:val="FF0000"/>
          <w:szCs w:val="24"/>
        </w:rPr>
        <w:t>,</w:t>
      </w:r>
      <w:r>
        <w:rPr>
          <w:noProof/>
        </w:rPr>
        <w:t xml:space="preserve"> will be an integral part of the EU’s youth engagement with our international partners. The upcoming Youth Action Plan will provide a core focus for the external dimension of the European Year of Youth.</w:t>
      </w:r>
    </w:p>
    <w:p>
      <w:pPr>
        <w:spacing w:before="0" w:after="240"/>
        <w:rPr>
          <w:noProof/>
        </w:rPr>
      </w:pPr>
      <w:r>
        <w:rPr>
          <w:noProof/>
        </w:rPr>
        <w:t>The European Year of Youth 2022 will be aligned with the Commission’s priorities for 2019-2024.</w:t>
      </w:r>
    </w:p>
    <w:p>
      <w:pPr>
        <w:pStyle w:val="ManualHeading1"/>
        <w:rPr>
          <w:noProof/>
        </w:rPr>
      </w:pPr>
      <w:r>
        <w:rPr>
          <w:noProof/>
        </w:rPr>
        <w:t>2. LEGAL BASIS, SUBSIDIARITY AND PROPORTIONALITY</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Legal basis</w:t>
      </w:r>
    </w:p>
    <w:p>
      <w:pPr>
        <w:pBdr>
          <w:top w:val="nil"/>
          <w:left w:val="nil"/>
          <w:bottom w:val="nil"/>
          <w:right w:val="nil"/>
          <w:between w:val="nil"/>
          <w:bar w:val="nil"/>
        </w:pBdr>
        <w:spacing w:before="0" w:after="240"/>
        <w:rPr>
          <w:noProof/>
          <w:shd w:val="clear" w:color="auto" w:fill="FFFFFF"/>
        </w:rPr>
      </w:pPr>
      <w:r>
        <w:rPr>
          <w:noProof/>
          <w:shd w:val="clear" w:color="auto" w:fill="FFFFFF"/>
        </w:rPr>
        <w:t>In accordance with Article 6(e) of the Treaty on the Functioning of the European Union (TFEU), in the field of youth the Union has the competence to carry out actions to support, coordinate or supplement the actions of the Member States. Article 165(2) TFEU provides that the Union's action shall be aimed at ‘</w:t>
      </w:r>
      <w:r>
        <w:rPr>
          <w:rFonts w:eastAsia="Times New Roman"/>
          <w:i/>
          <w:noProof/>
        </w:rPr>
        <w:t>encouraging the development of youth exchanges and of exchanges of socio-educational instructors, and encouraging the participation of young people in democratic life in Europe</w:t>
      </w:r>
      <w:r>
        <w:rPr>
          <w:rFonts w:eastAsia="Times New Roman"/>
          <w:noProof/>
        </w:rPr>
        <w:t>'</w:t>
      </w:r>
      <w:r>
        <w:rPr>
          <w:noProof/>
          <w:shd w:val="clear" w:color="auto" w:fill="FFFFFF"/>
        </w:rPr>
        <w:t>. This Article further provides to encourage mobility of students and the European dimension in education and sport. In addition, Article 166(2) TFEU provides that the Union's action shall aim to ‘</w:t>
      </w:r>
      <w:r>
        <w:rPr>
          <w:i/>
          <w:noProof/>
          <w:shd w:val="clear" w:color="auto" w:fill="FFFFFF"/>
        </w:rPr>
        <w:t>facilitate access to vocational training and encourage mobility of instructors and trainees and particularly young people</w:t>
      </w:r>
      <w:r>
        <w:rPr>
          <w:noProof/>
          <w:shd w:val="clear" w:color="auto" w:fill="FFFFFF"/>
        </w:rPr>
        <w:t>’ and to ‘</w:t>
      </w:r>
      <w:r>
        <w:rPr>
          <w:i/>
          <w:noProof/>
          <w:shd w:val="clear" w:color="auto" w:fill="FFFFFF"/>
        </w:rPr>
        <w:t>develop exchanges of information and experience on issues common to the training systems of the Member States</w:t>
      </w:r>
      <w:r>
        <w:rPr>
          <w:noProof/>
          <w:shd w:val="clear" w:color="auto" w:fill="FFFFFF"/>
        </w:rPr>
        <w:t>’.</w:t>
      </w:r>
    </w:p>
    <w:p>
      <w:pPr>
        <w:spacing w:before="100" w:beforeAutospacing="1" w:after="100" w:afterAutospacing="1"/>
        <w:jc w:val="left"/>
        <w:rPr>
          <w:rFonts w:eastAsia="Times New Roman"/>
          <w:noProof/>
          <w:szCs w:val="24"/>
          <w:shd w:val="clear" w:color="auto" w:fill="FFFFFF"/>
          <w:lang w:eastAsia="en-GB"/>
        </w:rPr>
      </w:pPr>
      <w:r>
        <w:rPr>
          <w:rFonts w:eastAsia="Times New Roman"/>
          <w:noProof/>
          <w:szCs w:val="24"/>
          <w:shd w:val="clear" w:color="auto" w:fill="FFFFFF"/>
          <w:lang w:eastAsia="en-GB"/>
        </w:rPr>
        <w:t xml:space="preserve">The legal basis of the proposal is twofold:  </w:t>
      </w:r>
    </w:p>
    <w:p>
      <w:pPr>
        <w:pStyle w:val="Point0"/>
        <w:rPr>
          <w:noProof/>
        </w:rPr>
      </w:pPr>
      <w:r>
        <w:t>(1)</w:t>
      </w:r>
      <w:r>
        <w:tab/>
      </w:r>
      <w:r>
        <w:rPr>
          <w:noProof/>
          <w:shd w:val="clear" w:color="auto" w:fill="FFFFFF"/>
        </w:rPr>
        <w:t>Article 165(4) TFEU, which states that, in order to contribute to the achievement of these objectives referred to in this Article, “</w:t>
      </w:r>
      <w:r>
        <w:rPr>
          <w:i/>
          <w:noProof/>
          <w:shd w:val="clear" w:color="auto" w:fill="FFFFFF"/>
        </w:rPr>
        <w:t>the European Parliament and the Council, acting in accordance with the ordinary legislative procedure, after consulting the Economic and Social Committee and the Committee of the Regions, shall adopt incentive measures, excluding any harmonisation of the laws and regulations of the Member States</w:t>
      </w:r>
      <w:r>
        <w:rPr>
          <w:noProof/>
          <w:shd w:val="clear" w:color="auto" w:fill="FFFFFF"/>
        </w:rPr>
        <w:t>”.</w:t>
      </w:r>
    </w:p>
    <w:p>
      <w:pPr>
        <w:pStyle w:val="Point0"/>
        <w:rPr>
          <w:noProof/>
        </w:rPr>
      </w:pPr>
      <w:r>
        <w:t>(2)</w:t>
      </w:r>
      <w:r>
        <w:tab/>
      </w:r>
      <w:r>
        <w:rPr>
          <w:noProof/>
        </w:rPr>
        <w:t>Article 166(4) TFEU, which states that ‘The European Parliament and the Council, acting in accordance with the ordinary legislative procedure and after consulting the Economic and Social Committee and the Committee of the Regions, shall adopt measures to contribute to the achievement of the objectives referred to in this Article, excluding any harmonisation of the laws and regulations of the Member States, and the Council, on a proposal from the Commission, shall adopt recommendations.’</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 xml:space="preserve">Subsidiarity (for non-exclusive competence) </w:t>
      </w:r>
    </w:p>
    <w:p>
      <w:pPr>
        <w:pBdr>
          <w:top w:val="nil"/>
          <w:left w:val="nil"/>
          <w:bottom w:val="nil"/>
          <w:right w:val="nil"/>
          <w:between w:val="nil"/>
          <w:bar w:val="nil"/>
        </w:pBdr>
        <w:spacing w:before="0" w:after="240"/>
        <w:rPr>
          <w:rFonts w:eastAsia="Arial Unicode MS"/>
          <w:noProof/>
        </w:rPr>
      </w:pPr>
      <w:r>
        <w:rPr>
          <w:noProof/>
          <w:shd w:val="clear" w:color="auto" w:fill="FFFFFF"/>
        </w:rPr>
        <w:t xml:space="preserve">The present proposal is in conformity with the principle of subsidiarity as provided for in Article 5(3) of the Treaty on European Union (TEU). The objectives of the proposal cannot be achieved to a sufficient extent solely by action undertaken by the Member States. This is because the action specifically aims at </w:t>
      </w:r>
      <w:r>
        <w:rPr>
          <w:noProof/>
        </w:rPr>
        <w:t xml:space="preserve">strengthening the voice of the young people at the European level to enrich the common Union project </w:t>
      </w:r>
      <w:r>
        <w:rPr>
          <w:noProof/>
          <w:shd w:val="clear" w:color="auto" w:fill="FFFFFF"/>
        </w:rPr>
        <w:t>and because action at national level alone would not benefit from the European dimension of exchanges of experience and good practices between Member States. The Union shall pursue its objectives by appropriate means commensurate with the competences which are conferred upon it by the Treaties. In addition, Member States' action would benefit from the awareness and visibility created within and beyond the EU.</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Proportionality</w:t>
      </w:r>
    </w:p>
    <w:p>
      <w:pPr>
        <w:rPr>
          <w:noProof/>
        </w:rPr>
      </w:pPr>
      <w:r>
        <w:rPr>
          <w:noProof/>
        </w:rPr>
        <w:t>The present proposal is in conformity with the principle of proportionality as provided for in Article 5(4) TEU. The proposed course of action is simple. It relies on existing programmes and on refocusing communication activities on the themes of the European Year of Youth 2022. It imposes no disproportionate management constraints on administrations implementing the proposal.</w:t>
      </w:r>
    </w:p>
    <w:p>
      <w:pPr>
        <w:rPr>
          <w:noProof/>
        </w:rPr>
      </w:pPr>
      <w:r>
        <w:rPr>
          <w:noProof/>
        </w:rPr>
        <w:t>The Union action will support and complement the efforts of Member States. This action will firstly improve the effectiveness of the Union’s own instruments. Secondly, it will act as an enabler by encouraging synergies and cooperation among Member States, organisations and foundations, and private and public enterprises.</w:t>
      </w:r>
    </w:p>
    <w:p>
      <w:pPr>
        <w:rPr>
          <w:noProof/>
        </w:rPr>
      </w:pPr>
      <w:r>
        <w:rPr>
          <w:noProof/>
        </w:rPr>
        <w:t>The Union action will not go beyond what is necessary to address the identified problems.</w:t>
      </w:r>
    </w:p>
    <w:p>
      <w:pPr>
        <w:pStyle w:val="ManualHeading2"/>
        <w:rPr>
          <w:noProof/>
          <w:bdr w:val="nil"/>
          <w:lang w:val="en-US" w:eastAsia="en-GB"/>
        </w:rPr>
      </w:pPr>
      <w:r>
        <w:rPr>
          <w:noProof/>
          <w:bdr w:val="nil"/>
          <w:lang w:val="en-US" w:eastAsia="en-GB"/>
        </w:rPr>
        <w:t>•</w:t>
      </w:r>
      <w:r>
        <w:rPr>
          <w:noProof/>
          <w:bdr w:val="nil"/>
          <w:lang w:val="en-US" w:eastAsia="en-GB"/>
        </w:rPr>
        <w:tab/>
        <w:t>Choice of the instrument</w:t>
      </w:r>
    </w:p>
    <w:p>
      <w:pPr>
        <w:pBdr>
          <w:top w:val="nil"/>
          <w:left w:val="nil"/>
          <w:bottom w:val="nil"/>
          <w:right w:val="nil"/>
          <w:between w:val="nil"/>
          <w:bar w:val="nil"/>
        </w:pBdr>
        <w:spacing w:before="0" w:after="240"/>
        <w:rPr>
          <w:rFonts w:eastAsia="Arial Unicode MS"/>
          <w:noProof/>
        </w:rPr>
      </w:pPr>
      <w:r>
        <w:rPr>
          <w:noProof/>
          <w:shd w:val="clear" w:color="auto" w:fill="FFFFFF"/>
        </w:rPr>
        <w:t>A decision of the European Parliament and of the Council is the most appropriate instrument to ensure the full involvement of the legislative authority in designating 2022 as the European Year of Youth.</w:t>
      </w:r>
    </w:p>
    <w:p>
      <w:pPr>
        <w:pStyle w:val="ManualHeading1"/>
        <w:rPr>
          <w:noProof/>
        </w:rPr>
      </w:pPr>
      <w:r>
        <w:rPr>
          <w:noProof/>
        </w:rPr>
        <w:t>3.</w:t>
      </w:r>
      <w:r>
        <w:rPr>
          <w:noProof/>
        </w:rPr>
        <w:tab/>
        <w:t>RESULTS OF EX-POST EVALUATIONS, STAKEHOLDER CONSULTATIONS AND IMPACT ASSESSMENTS</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Ex-post evaluations/fitness checks of existing legislation</w:t>
      </w:r>
    </w:p>
    <w:p>
      <w:pPr>
        <w:pBdr>
          <w:top w:val="nil"/>
          <w:left w:val="nil"/>
          <w:bottom w:val="nil"/>
          <w:right w:val="nil"/>
          <w:between w:val="nil"/>
          <w:bar w:val="nil"/>
        </w:pBdr>
        <w:spacing w:before="0" w:after="240"/>
        <w:rPr>
          <w:rFonts w:eastAsia="Arial Unicode MS"/>
          <w:noProof/>
        </w:rPr>
      </w:pPr>
      <w:r>
        <w:rPr>
          <w:noProof/>
        </w:rPr>
        <w:t>N/A</w:t>
      </w:r>
    </w:p>
    <w:p>
      <w:pPr>
        <w:pStyle w:val="ManualHeading2"/>
        <w:rPr>
          <w:noProof/>
          <w:bdr w:val="nil"/>
          <w:lang w:val="en-US" w:eastAsia="en-GB"/>
        </w:rPr>
      </w:pPr>
      <w:r>
        <w:rPr>
          <w:noProof/>
          <w:bdr w:val="nil"/>
          <w:lang w:val="en-US" w:eastAsia="en-GB"/>
        </w:rPr>
        <w:t>•</w:t>
      </w:r>
      <w:r>
        <w:rPr>
          <w:noProof/>
          <w:bdr w:val="nil"/>
          <w:lang w:val="en-US" w:eastAsia="en-GB"/>
        </w:rPr>
        <w:tab/>
        <w:t>Stakeholder consultations</w:t>
      </w:r>
    </w:p>
    <w:p>
      <w:pPr>
        <w:pBdr>
          <w:top w:val="nil"/>
          <w:left w:val="nil"/>
          <w:bottom w:val="nil"/>
          <w:right w:val="nil"/>
          <w:between w:val="nil"/>
          <w:bar w:val="nil"/>
        </w:pBdr>
        <w:spacing w:before="0" w:after="240"/>
        <w:rPr>
          <w:noProof/>
        </w:rPr>
      </w:pPr>
      <w:r>
        <w:rPr>
          <w:noProof/>
        </w:rPr>
        <w:t>N/A</w:t>
      </w:r>
    </w:p>
    <w:p>
      <w:pPr>
        <w:pStyle w:val="ManualHeading2"/>
        <w:rPr>
          <w:noProof/>
          <w:bdr w:val="nil"/>
          <w:lang w:val="en-US" w:eastAsia="en-GB"/>
        </w:rPr>
      </w:pPr>
      <w:r>
        <w:rPr>
          <w:noProof/>
          <w:bdr w:val="nil"/>
          <w:lang w:val="en-US" w:eastAsia="en-GB"/>
        </w:rPr>
        <w:t>•</w:t>
      </w:r>
      <w:r>
        <w:rPr>
          <w:noProof/>
          <w:bdr w:val="nil"/>
          <w:lang w:val="en-US" w:eastAsia="en-GB"/>
        </w:rPr>
        <w:tab/>
        <w:t>Collection and use of expertise</w:t>
      </w:r>
    </w:p>
    <w:p>
      <w:pPr>
        <w:pBdr>
          <w:top w:val="nil"/>
          <w:left w:val="nil"/>
          <w:bottom w:val="nil"/>
          <w:right w:val="nil"/>
          <w:between w:val="nil"/>
          <w:bar w:val="nil"/>
        </w:pBdr>
        <w:spacing w:before="0" w:after="240"/>
        <w:rPr>
          <w:noProof/>
        </w:rPr>
      </w:pPr>
      <w:r>
        <w:rPr>
          <w:noProof/>
        </w:rPr>
        <w:t>N/A</w:t>
      </w:r>
    </w:p>
    <w:p>
      <w:pPr>
        <w:pStyle w:val="ManualHeading2"/>
        <w:rPr>
          <w:noProof/>
          <w:bdr w:val="nil"/>
          <w:lang w:val="en-US" w:eastAsia="en-GB"/>
        </w:rPr>
      </w:pPr>
      <w:r>
        <w:rPr>
          <w:noProof/>
          <w:bdr w:val="nil"/>
          <w:lang w:val="en-US" w:eastAsia="en-GB"/>
        </w:rPr>
        <w:t>•</w:t>
      </w:r>
      <w:r>
        <w:rPr>
          <w:noProof/>
          <w:bdr w:val="nil"/>
          <w:lang w:val="en-US" w:eastAsia="en-GB"/>
        </w:rPr>
        <w:tab/>
        <w:t>Impact assessment</w:t>
      </w:r>
    </w:p>
    <w:p>
      <w:pPr>
        <w:pBdr>
          <w:top w:val="nil"/>
          <w:left w:val="nil"/>
          <w:bottom w:val="nil"/>
          <w:right w:val="nil"/>
          <w:between w:val="nil"/>
          <w:bar w:val="nil"/>
        </w:pBdr>
        <w:spacing w:before="0" w:after="240"/>
        <w:rPr>
          <w:rFonts w:eastAsia="Arial Unicode MS"/>
          <w:noProof/>
        </w:rPr>
      </w:pPr>
      <w:r>
        <w:rPr>
          <w:noProof/>
          <w:shd w:val="clear" w:color="auto" w:fill="FFFFFF"/>
        </w:rPr>
        <w:t xml:space="preserve">No impact assessment is needed, since the objectives of the proposed initiative fall within the objectives of existing Union programmes. The European Year of Youth 2022 can be implemented within existing budget limits by using those programmes that provide for setting funding priorities on an annual or multiannual basis. The proposed initiative would not have any significant social, economic or environmental impact beyond that of the existing instruments. </w:t>
      </w:r>
    </w:p>
    <w:p>
      <w:pPr>
        <w:pStyle w:val="ManualHeading2"/>
        <w:rPr>
          <w:noProof/>
          <w:bdr w:val="nil"/>
          <w:lang w:val="en-US" w:eastAsia="en-GB"/>
        </w:rPr>
      </w:pPr>
      <w:r>
        <w:rPr>
          <w:noProof/>
          <w:bdr w:val="nil"/>
          <w:lang w:val="en-US" w:eastAsia="en-GB"/>
        </w:rPr>
        <w:t>•</w:t>
      </w:r>
      <w:r>
        <w:rPr>
          <w:noProof/>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noProof/>
        </w:rPr>
        <w:t>N/A</w:t>
      </w:r>
    </w:p>
    <w:p>
      <w:pPr>
        <w:pStyle w:val="ManualHeading2"/>
        <w:rPr>
          <w:noProof/>
          <w:bdr w:val="nil"/>
          <w:lang w:val="en-US" w:eastAsia="en-GB"/>
        </w:rPr>
      </w:pPr>
      <w:r>
        <w:rPr>
          <w:noProof/>
          <w:bdr w:val="nil"/>
          <w:lang w:val="en-US" w:eastAsia="en-GB"/>
        </w:rPr>
        <w:t>•</w:t>
      </w:r>
      <w:r>
        <w:rPr>
          <w:noProof/>
          <w:bdr w:val="nil"/>
          <w:lang w:val="en-US" w:eastAsia="en-GB"/>
        </w:rPr>
        <w:tab/>
        <w:t>Fundamental rights</w:t>
      </w:r>
    </w:p>
    <w:p>
      <w:pPr>
        <w:pBdr>
          <w:top w:val="nil"/>
          <w:left w:val="nil"/>
          <w:bottom w:val="nil"/>
          <w:right w:val="nil"/>
          <w:between w:val="nil"/>
          <w:bar w:val="nil"/>
        </w:pBdr>
        <w:spacing w:before="0" w:after="240"/>
        <w:rPr>
          <w:noProof/>
        </w:rPr>
      </w:pPr>
      <w:r>
        <w:rPr>
          <w:noProof/>
        </w:rPr>
        <w:t>N/A</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noProof/>
          <w:shd w:val="clear" w:color="auto" w:fill="FFFFFF"/>
        </w:rPr>
      </w:pPr>
      <w:r>
        <w:rPr>
          <w:noProof/>
          <w:shd w:val="clear" w:color="auto" w:fill="FFFFFF"/>
        </w:rPr>
        <w:t>The flexibility for setting priorities on an annual or multiannual basis in the relevant programmes, such as the Erasmus+ programme and the European Solidarity Corps, is sufficient to envisage an awareness-raising campaign on a scale similar to previous European Years. At least EUR 8 million will be devoted to such coordination activities. Most of the actions will be supported through Union programmes and instruments, with actions directly benefiting Europe’s young people.</w:t>
      </w:r>
    </w:p>
    <w:p>
      <w:pPr>
        <w:pStyle w:val="ManualHeading1"/>
        <w:rPr>
          <w:noProof/>
        </w:rPr>
      </w:pPr>
      <w:r>
        <w:rPr>
          <w:noProof/>
        </w:rPr>
        <w:t>5.</w:t>
      </w:r>
      <w:r>
        <w:rPr>
          <w:noProof/>
        </w:rPr>
        <w:tab/>
        <w:t>OTHER ELEMENTS</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Implementation plans and monitoring, evaluation and reporting arrangements</w:t>
      </w:r>
    </w:p>
    <w:p>
      <w:pPr>
        <w:spacing w:before="0" w:after="240"/>
        <w:rPr>
          <w:noProof/>
        </w:rPr>
      </w:pPr>
      <w:r>
        <w:rPr>
          <w:noProof/>
        </w:rPr>
        <w:t xml:space="preserve">National coordinators, in cooperation with representatives of organisations or bodies in the field of youth, including young people themselves where possible, should actively engage young people in preparing and implementing the activities of the European Year of Youth 2022. </w:t>
      </w:r>
    </w:p>
    <w:p>
      <w:pPr>
        <w:pBdr>
          <w:top w:val="nil"/>
          <w:left w:val="nil"/>
          <w:bottom w:val="nil"/>
          <w:right w:val="nil"/>
          <w:between w:val="nil"/>
          <w:bar w:val="nil"/>
        </w:pBdr>
        <w:spacing w:before="0" w:after="240"/>
        <w:rPr>
          <w:rFonts w:eastAsia="Arial Unicode MS"/>
          <w:noProof/>
        </w:rPr>
      </w:pPr>
      <w:r>
        <w:rPr>
          <w:noProof/>
          <w:shd w:val="clear" w:color="auto" w:fill="FFFFFF"/>
        </w:rPr>
        <w:t>The proposal includes an obligation for the Commission to report by 31 December 2023 on the implementation, results and overall assessment of the initiatives covered by the European Year of Youth.</w:t>
      </w:r>
    </w:p>
    <w:p>
      <w:pPr>
        <w:pBdr>
          <w:top w:val="nil"/>
          <w:left w:val="nil"/>
          <w:bottom w:val="nil"/>
          <w:right w:val="nil"/>
          <w:between w:val="nil"/>
          <w:bar w:val="nil"/>
        </w:pBdr>
        <w:spacing w:before="0" w:after="240"/>
        <w:rPr>
          <w:rFonts w:eastAsia="Arial Unicode MS"/>
          <w:noProof/>
        </w:rPr>
      </w:pPr>
      <w:r>
        <w:rPr>
          <w:noProof/>
          <w:shd w:val="clear" w:color="auto" w:fill="FFFFFF"/>
        </w:rPr>
        <w:t xml:space="preserve">Following the </w:t>
      </w:r>
      <w:r>
        <w:rPr>
          <w:rFonts w:eastAsia="Arial Unicode MS"/>
          <w:noProof/>
        </w:rPr>
        <w:t>European Year of Youth</w:t>
      </w:r>
      <w:r>
        <w:rPr>
          <w:noProof/>
          <w:shd w:val="clear" w:color="auto" w:fill="FFFFFF"/>
        </w:rPr>
        <w:t xml:space="preserve">, the Commission, under the implementation of the European Youth Strategy 2019-2027, will strive to keep alive, promote and further analyse and implement the outcomes and legacy of the year through the various EU youth programmes. </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Explanatory documents (for directives)</w:t>
      </w:r>
    </w:p>
    <w:p>
      <w:pPr>
        <w:pBdr>
          <w:top w:val="nil"/>
          <w:left w:val="nil"/>
          <w:bottom w:val="nil"/>
          <w:right w:val="nil"/>
          <w:between w:val="nil"/>
          <w:bar w:val="nil"/>
        </w:pBdr>
        <w:spacing w:before="0" w:after="240"/>
        <w:rPr>
          <w:noProof/>
        </w:rPr>
      </w:pPr>
      <w:r>
        <w:rPr>
          <w:noProof/>
        </w:rPr>
        <w:t>N/A</w:t>
      </w:r>
    </w:p>
    <w:p>
      <w:pPr>
        <w:pStyle w:val="ManualHeading2"/>
        <w:rPr>
          <w:noProof/>
          <w:lang w:val="en-US" w:eastAsia="en-GB"/>
        </w:rPr>
      </w:pPr>
      <w:r>
        <w:rPr>
          <w:noProof/>
          <w:bdr w:val="nil"/>
          <w:lang w:val="en-US" w:eastAsia="en-GB"/>
        </w:rPr>
        <w:t>•</w:t>
      </w:r>
      <w:r>
        <w:rPr>
          <w:noProof/>
          <w:u w:color="000000"/>
          <w:bdr w:val="nil"/>
          <w:lang w:val="en-US" w:eastAsia="en-GB"/>
        </w:rPr>
        <w:tab/>
      </w:r>
      <w:r>
        <w:rPr>
          <w:noProof/>
          <w:bdr w:val="nil"/>
          <w:lang w:val="en-US" w:eastAsia="en-GB"/>
        </w:rPr>
        <w:t>Detailed explanation of the specific provisions of the proposal</w:t>
      </w:r>
    </w:p>
    <w:p>
      <w:pPr>
        <w:pBdr>
          <w:top w:val="nil"/>
          <w:left w:val="nil"/>
          <w:bottom w:val="nil"/>
          <w:right w:val="nil"/>
          <w:between w:val="nil"/>
          <w:bar w:val="nil"/>
        </w:pBdr>
        <w:spacing w:before="0" w:after="240"/>
        <w:rPr>
          <w:rFonts w:eastAsia="Arial Unicode MS"/>
          <w:noProof/>
        </w:rPr>
      </w:pP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2021/0328 (COD)</w:t>
      </w: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on a European Year of Youth 2022</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Articles 165(4) and 166(4)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0"/>
          <w:noProof/>
        </w:rPr>
        <w:footnoteReference w:id="9"/>
      </w:r>
      <w:r>
        <w:rPr>
          <w:noProof/>
        </w:rPr>
        <w:t xml:space="preserve">, </w:t>
      </w:r>
    </w:p>
    <w:p>
      <w:pPr>
        <w:rPr>
          <w:noProof/>
        </w:rPr>
      </w:pPr>
      <w:r>
        <w:rPr>
          <w:noProof/>
        </w:rPr>
        <w:t>Having regard to the opinion of the Committee of the Regions</w:t>
      </w:r>
      <w:r>
        <w:rPr>
          <w:rStyle w:val="FootnoteReference0"/>
          <w:noProof/>
        </w:rPr>
        <w:footnoteReference w:id="10"/>
      </w:r>
      <w:r>
        <w:rPr>
          <w:noProof/>
        </w:rPr>
        <w:t xml:space="preserve">, </w:t>
      </w:r>
    </w:p>
    <w:p>
      <w:pPr>
        <w:rPr>
          <w:noProof/>
        </w:rPr>
      </w:pPr>
      <w:r>
        <w:rPr>
          <w:noProof/>
        </w:rPr>
        <w:t>Acting in accordance with the ordinary legislative procedure,</w:t>
      </w:r>
    </w:p>
    <w:p>
      <w:pPr>
        <w:rPr>
          <w:noProof/>
        </w:rPr>
      </w:pPr>
      <w:r>
        <w:rPr>
          <w:noProof/>
        </w:rPr>
        <w:t xml:space="preserve">Whereas: </w:t>
      </w:r>
    </w:p>
    <w:p>
      <w:pPr>
        <w:pStyle w:val="ManualConsidrant"/>
        <w:rPr>
          <w:noProof/>
        </w:rPr>
      </w:pPr>
      <w:r>
        <w:t>(1)</w:t>
      </w:r>
      <w:r>
        <w:tab/>
      </w:r>
      <w:r>
        <w:rPr>
          <w:noProof/>
        </w:rPr>
        <w:t xml:space="preserve">Article 165(2) TFEU states that Union action shall be aimed at, </w:t>
      </w:r>
      <w:r>
        <w:rPr>
          <w:i/>
          <w:iCs/>
          <w:noProof/>
        </w:rPr>
        <w:t>inter alia</w:t>
      </w:r>
      <w:r>
        <w:rPr>
          <w:noProof/>
        </w:rPr>
        <w:t>, “encouraging the participation of young people in democratic life in Europe”.</w:t>
      </w:r>
    </w:p>
    <w:p>
      <w:pPr>
        <w:pStyle w:val="ManualConsidrant"/>
        <w:rPr>
          <w:noProof/>
        </w:rPr>
      </w:pPr>
      <w:r>
        <w:t>(2)</w:t>
      </w:r>
      <w:r>
        <w:tab/>
      </w:r>
      <w:r>
        <w:rPr>
          <w:noProof/>
        </w:rPr>
        <w:t xml:space="preserve">In the </w:t>
      </w:r>
      <w:r>
        <w:rPr>
          <w:bCs/>
          <w:noProof/>
        </w:rPr>
        <w:t>Bratislava Roadmap</w:t>
      </w:r>
      <w:r>
        <w:rPr>
          <w:noProof/>
        </w:rPr>
        <w:t xml:space="preserve"> of 16 September 2016</w:t>
      </w:r>
      <w:r>
        <w:rPr>
          <w:rStyle w:val="FootnoteReference0"/>
          <w:noProof/>
        </w:rPr>
        <w:footnoteReference w:id="11"/>
      </w:r>
      <w:r>
        <w:rPr>
          <w:noProof/>
        </w:rPr>
        <w:t xml:space="preserve">, the 27 Heads of State or Government committed to "provide better opportunities for youth", notably through "EU support for Member States in fighting youth unemployment and on enhanced EU programmes dedicated to youth". </w:t>
      </w:r>
    </w:p>
    <w:p>
      <w:pPr>
        <w:pStyle w:val="ManualConsidrant"/>
        <w:rPr>
          <w:noProof/>
        </w:rPr>
      </w:pPr>
      <w:r>
        <w:t>(3)</w:t>
      </w:r>
      <w:r>
        <w:tab/>
      </w:r>
      <w:r>
        <w:rPr>
          <w:noProof/>
        </w:rPr>
        <w:t xml:space="preserve">In the </w:t>
      </w:r>
      <w:r>
        <w:rPr>
          <w:bCs/>
          <w:noProof/>
        </w:rPr>
        <w:t>Rome Declaration</w:t>
      </w:r>
      <w:r>
        <w:rPr>
          <w:noProof/>
        </w:rPr>
        <w:t xml:space="preserve"> of 25 March 2017</w:t>
      </w:r>
      <w:r>
        <w:rPr>
          <w:rStyle w:val="FootnoteReference0"/>
          <w:noProof/>
        </w:rPr>
        <w:footnoteReference w:id="12"/>
      </w:r>
      <w:r>
        <w:rPr>
          <w:noProof/>
        </w:rPr>
        <w:t xml:space="preserve">, the leaders of the 27 Member States and of the European Council, the European Parliament and the European Commission pledged to work towards "a Union where young people receive the best education and training and can study and find jobs across the continent". </w:t>
      </w:r>
    </w:p>
    <w:p>
      <w:pPr>
        <w:pStyle w:val="ManualConsidrant"/>
        <w:rPr>
          <w:noProof/>
        </w:rPr>
      </w:pPr>
      <w:r>
        <w:t>(4)</w:t>
      </w:r>
      <w:r>
        <w:tab/>
      </w:r>
      <w:r>
        <w:rPr>
          <w:noProof/>
        </w:rPr>
        <w:t xml:space="preserve">The </w:t>
      </w:r>
      <w:r>
        <w:rPr>
          <w:bCs/>
          <w:noProof/>
        </w:rPr>
        <w:t>European Union Youth Strategy 2019-2027</w:t>
      </w:r>
      <w:r>
        <w:rPr>
          <w:noProof/>
        </w:rPr>
        <w:t xml:space="preserve"> recognises that young people are architects of their own lives, contribute to positive change in society and enrich the EU’s ambitions, and that youth policy can contribute to create a space where young people can seize opportunities and relate to European values. </w:t>
      </w:r>
      <w:r>
        <w:rPr>
          <w:rFonts w:eastAsia="Times"/>
          <w:noProof/>
        </w:rPr>
        <w:t>Previous European Years, such as the European Year of Rail 2021, the European Year of Cultural Heritage 2018, or the European Year of Citizens 2013-2014 offer valuable experience which should inform future efforts to engage youth in shaping their future and the future of Europe.</w:t>
      </w:r>
      <w:r>
        <w:rPr>
          <w:noProof/>
        </w:rPr>
        <w:t xml:space="preserve">  </w:t>
      </w:r>
    </w:p>
    <w:p>
      <w:pPr>
        <w:pStyle w:val="ManualConsidrant"/>
        <w:rPr>
          <w:noProof/>
        </w:rPr>
      </w:pPr>
      <w:r>
        <w:t>(5)</w:t>
      </w:r>
      <w:r>
        <w:tab/>
      </w:r>
      <w:r>
        <w:rPr>
          <w:rFonts w:eastAsia="Times New Roman"/>
          <w:bCs/>
          <w:noProof/>
          <w:lang w:eastAsia="en-GB"/>
        </w:rPr>
        <w:t>NextGenerationEU</w:t>
      </w:r>
      <w:r>
        <w:rPr>
          <w:rFonts w:eastAsia="Times New Roman"/>
          <w:noProof/>
          <w:lang w:eastAsia="en-GB"/>
        </w:rPr>
        <w:t xml:space="preserve"> </w:t>
      </w:r>
      <w:r>
        <w:rPr>
          <w:noProof/>
        </w:rPr>
        <w:t>ensures a fast-forwarding of the twin transitions and provides the possibility to collectively emerge stronger from the pandemic and re-opens perspectives full of opportunities for young people, including quality jobs and adapting to social change</w:t>
      </w:r>
      <w:r>
        <w:rPr>
          <w:rFonts w:eastAsia="Times New Roman"/>
          <w:noProof/>
          <w:lang w:eastAsia="en-GB"/>
        </w:rPr>
        <w:t>. The Union aims for youth to be fully on board in the rollout of NextGenerationEU, enhancing their role in the green and digital transition.</w:t>
      </w:r>
    </w:p>
    <w:p>
      <w:pPr>
        <w:pStyle w:val="ManualConsidrant"/>
        <w:rPr>
          <w:noProof/>
          <w:sz w:val="22"/>
        </w:rPr>
      </w:pPr>
      <w:r>
        <w:t>(6)</w:t>
      </w:r>
      <w:r>
        <w:tab/>
      </w:r>
      <w:r>
        <w:rPr>
          <w:noProof/>
        </w:rPr>
        <w:t>On 15 September 2021, President von der Leyen announced in her State of the European Union</w:t>
      </w:r>
      <w:r>
        <w:rPr>
          <w:rStyle w:val="FootnoteReference0"/>
          <w:noProof/>
        </w:rPr>
        <w:footnoteReference w:id="13"/>
      </w:r>
      <w:r>
        <w:rPr>
          <w:noProof/>
        </w:rPr>
        <w:t xml:space="preserve"> Address that the European Commission would propose to make 2022 the European Year of Youth. Highlighting </w:t>
      </w:r>
      <w:r>
        <w:rPr>
          <w:rFonts w:eastAsia="Times New Roman"/>
          <w:noProof/>
          <w:color w:val="000000"/>
          <w:lang w:val="en-US" w:eastAsia="en-GB"/>
        </w:rPr>
        <w:t xml:space="preserve">the </w:t>
      </w:r>
      <w:r>
        <w:rPr>
          <w:rFonts w:eastAsia="Times New Roman"/>
          <w:noProof/>
          <w:color w:val="000000"/>
          <w:lang w:eastAsia="en-GB"/>
        </w:rPr>
        <w:t>confidence</w:t>
      </w:r>
      <w:r>
        <w:rPr>
          <w:rFonts w:eastAsia="Times New Roman"/>
          <w:noProof/>
          <w:color w:val="000000"/>
          <w:lang w:val="en-US" w:eastAsia="en-GB"/>
        </w:rPr>
        <w:t xml:space="preserve"> that she draws for Europe’s future from</w:t>
      </w:r>
      <w:r>
        <w:rPr>
          <w:rFonts w:eastAsia="Times New Roman"/>
          <w:noProof/>
          <w:color w:val="000000"/>
          <w:lang w:eastAsia="en-GB"/>
        </w:rPr>
        <w:t xml:space="preserve"> the inspiration </w:t>
      </w:r>
      <w:r>
        <w:rPr>
          <w:rFonts w:eastAsia="Times New Roman"/>
          <w:noProof/>
          <w:color w:val="000000"/>
          <w:lang w:val="en-US" w:eastAsia="en-GB"/>
        </w:rPr>
        <w:t xml:space="preserve">provided by </w:t>
      </w:r>
      <w:r>
        <w:rPr>
          <w:rFonts w:eastAsia="Times New Roman"/>
          <w:noProof/>
          <w:color w:val="000000"/>
          <w:lang w:eastAsia="en-GB"/>
        </w:rPr>
        <w:t>Europe's young people</w:t>
      </w:r>
      <w:r>
        <w:rPr>
          <w:rFonts w:eastAsia="Times New Roman"/>
          <w:noProof/>
          <w:color w:val="000000"/>
          <w:lang w:val="en-US" w:eastAsia="en-GB"/>
        </w:rPr>
        <w:t>, President von der Leyen added that “</w:t>
      </w:r>
      <w:r>
        <w:rPr>
          <w:rFonts w:eastAsia="Times New Roman"/>
          <w:i/>
          <w:iCs/>
          <w:noProof/>
          <w:color w:val="000000"/>
          <w:lang w:eastAsia="en-GB"/>
        </w:rPr>
        <w:t>if we are to shape our Union in their mould, young people must be able to shape Europe's future</w:t>
      </w:r>
      <w:r>
        <w:rPr>
          <w:rFonts w:eastAsia="Times New Roman"/>
          <w:i/>
          <w:iCs/>
          <w:noProof/>
          <w:color w:val="000000"/>
          <w:lang w:val="en-US" w:eastAsia="en-GB"/>
        </w:rPr>
        <w:t xml:space="preserve">”. </w:t>
      </w:r>
      <w:r>
        <w:rPr>
          <w:noProof/>
        </w:rPr>
        <w:t>Europe needs the vision, engagement and participation of all young people to build a better future, and Europe needs to give young people opportunities for the future, a future that is greener, more digital and more inclusive. This is why the President proposed "</w:t>
      </w:r>
      <w:r>
        <w:rPr>
          <w:rFonts w:eastAsia="Times New Roman"/>
          <w:i/>
          <w:iCs/>
          <w:noProof/>
        </w:rPr>
        <w:t>a year dedicated to empowering those who have dedicated so much to others</w:t>
      </w:r>
      <w:r>
        <w:rPr>
          <w:i/>
          <w:iCs/>
          <w:noProof/>
        </w:rPr>
        <w:t>".</w:t>
      </w:r>
      <w:r>
        <w:rPr>
          <w:noProof/>
        </w:rPr>
        <w:t xml:space="preserve"> </w:t>
      </w:r>
    </w:p>
    <w:p>
      <w:pPr>
        <w:pStyle w:val="ManualConsidrant"/>
        <w:rPr>
          <w:noProof/>
        </w:rPr>
      </w:pPr>
      <w:r>
        <w:t>(7)</w:t>
      </w:r>
      <w:r>
        <w:tab/>
      </w:r>
      <w:r>
        <w:rPr>
          <w:noProof/>
        </w:rPr>
        <w:t xml:space="preserve">The active participation of young people in democratic processes is crucial for the future of Europe and its democratic societies. In line with the </w:t>
      </w:r>
      <w:r>
        <w:rPr>
          <w:rFonts w:eastAsia="Times"/>
          <w:noProof/>
        </w:rPr>
        <w:t>European Democracy Action Plan</w:t>
      </w:r>
      <w:r>
        <w:rPr>
          <w:rStyle w:val="FootnoteReference0"/>
          <w:noProof/>
        </w:rPr>
        <w:footnoteReference w:id="14"/>
      </w:r>
      <w:r>
        <w:rPr>
          <w:rFonts w:eastAsia="Times"/>
          <w:noProof/>
        </w:rPr>
        <w:t>, t</w:t>
      </w:r>
      <w:r>
        <w:rPr>
          <w:noProof/>
        </w:rPr>
        <w:t>he European Year of Youth therefore aims to give a boost to the active involvement of young people in Europe’s democratic life, including by supporting participation activities for young people</w:t>
      </w:r>
      <w:r>
        <w:rPr>
          <w:rFonts w:eastAsia="Times"/>
          <w:noProof/>
        </w:rPr>
        <w:t xml:space="preserve"> </w:t>
      </w:r>
      <w:r>
        <w:rPr>
          <w:noProof/>
        </w:rPr>
        <w:t>from diverse backgrounds</w:t>
      </w:r>
      <w:r>
        <w:rPr>
          <w:rFonts w:eastAsia="Times"/>
          <w:noProof/>
        </w:rPr>
        <w:t xml:space="preserve"> in processes such as the Conference on the Future of Europe</w:t>
      </w:r>
      <w:r>
        <w:rPr>
          <w:noProof/>
        </w:rPr>
        <w:t>, promoting civic engagement and volunteering initiatives, thereby raising awareness of European common values and fundamental rights, as well as European history and culture, bringing together young people and decision-makers at local, national and Union levels and contributing to the process of European integration.</w:t>
      </w:r>
    </w:p>
    <w:p>
      <w:pPr>
        <w:pStyle w:val="ManualConsidrant"/>
        <w:rPr>
          <w:noProof/>
        </w:rPr>
      </w:pPr>
      <w:r>
        <w:t>(8)</w:t>
      </w:r>
      <w:r>
        <w:tab/>
      </w:r>
      <w:r>
        <w:rPr>
          <w:noProof/>
        </w:rPr>
        <w:t>The essential role of young people is also recognised and must be supported “to channel their infinite capacities for activism into the creation of a better world”. The European Year of Youth is a concrete contribution to the UN 2030 Agenda for Sustainable Development (‘2030 Agenda’)</w:t>
      </w:r>
      <w:r>
        <w:rPr>
          <w:rStyle w:val="FootnoteReference0"/>
          <w:noProof/>
        </w:rPr>
        <w:footnoteReference w:id="15"/>
      </w:r>
      <w:r>
        <w:rPr>
          <w:noProof/>
        </w:rPr>
        <w:t>, which highlights that “children and young women and men are critical agents of change”, and should give a further impetus to the implementation of that Agenda, the road to sustainable development, and the capacity of young people to shape the future, not only of the Union, but also EU partner countries and of our planet as a whole.</w:t>
      </w:r>
    </w:p>
    <w:p>
      <w:pPr>
        <w:pStyle w:val="ManualConsidrant"/>
        <w:rPr>
          <w:noProof/>
        </w:rPr>
      </w:pPr>
      <w:r>
        <w:t>(9)</w:t>
      </w:r>
      <w:r>
        <w:tab/>
      </w:r>
      <w:r>
        <w:rPr>
          <w:noProof/>
        </w:rPr>
        <w:t>The European Year should contribute to strengthen youth participation in EU external action across all policies, create new opportunities for education and exchanges, partnerships and dialogue between youth from the EU and partner countries and to increase the role of youth engagement in strategic communication and public diplomacy action</w:t>
      </w:r>
    </w:p>
    <w:p>
      <w:pPr>
        <w:pStyle w:val="ManualConsidrant"/>
        <w:rPr>
          <w:noProof/>
        </w:rPr>
      </w:pPr>
      <w:r>
        <w:t>(10)</w:t>
      </w:r>
      <w:r>
        <w:tab/>
      </w:r>
      <w:r>
        <w:rPr>
          <w:noProof/>
        </w:rPr>
        <w:t>The European Youth Goals, which are an integral part of the EU Youth Strategy, and which have been developed by young people for young people under the EU Youth dialogue process</w:t>
      </w:r>
      <w:r>
        <w:rPr>
          <w:noProof/>
          <w:color w:val="000000" w:themeColor="text1"/>
        </w:rPr>
        <w:t xml:space="preserve">, </w:t>
      </w:r>
      <w:r>
        <w:rPr>
          <w:noProof/>
          <w:color w:val="000000" w:themeColor="text1"/>
          <w:shd w:val="clear" w:color="auto" w:fill="FFFFFF"/>
          <w:lang w:eastAsia="en-GB"/>
        </w:rPr>
        <w:t xml:space="preserve">are a testimony to the eagerness of many young Europeans to participate in defining the direction in which </w:t>
      </w:r>
      <w:r>
        <w:rPr>
          <w:noProof/>
          <w:color w:val="000000" w:themeColor="text1"/>
          <w:shd w:val="clear" w:color="auto" w:fill="FFFFFF"/>
          <w:lang w:val="en-US" w:eastAsia="en-GB"/>
        </w:rPr>
        <w:t xml:space="preserve">the development of the </w:t>
      </w:r>
      <w:r>
        <w:rPr>
          <w:noProof/>
          <w:color w:val="000000" w:themeColor="text1"/>
          <w:shd w:val="clear" w:color="auto" w:fill="FFFFFF"/>
          <w:lang w:eastAsia="en-GB"/>
        </w:rPr>
        <w:t>European</w:t>
      </w:r>
      <w:r>
        <w:rPr>
          <w:noProof/>
          <w:color w:val="000000" w:themeColor="text1"/>
          <w:shd w:val="clear" w:color="auto" w:fill="FFFFFF"/>
          <w:lang w:val="en-US" w:eastAsia="en-GB"/>
        </w:rPr>
        <w:t xml:space="preserve"> Union </w:t>
      </w:r>
      <w:r>
        <w:rPr>
          <w:noProof/>
          <w:color w:val="000000" w:themeColor="text1"/>
          <w:shd w:val="clear" w:color="auto" w:fill="FFFFFF"/>
          <w:lang w:eastAsia="en-GB"/>
        </w:rPr>
        <w:t>should go</w:t>
      </w:r>
      <w:r>
        <w:rPr>
          <w:noProof/>
          <w:color w:val="000000" w:themeColor="text1"/>
        </w:rPr>
        <w:t>.</w:t>
      </w:r>
      <w:r>
        <w:rPr>
          <w:rFonts w:eastAsia="Calibri"/>
          <w:noProof/>
        </w:rPr>
        <w:t xml:space="preserve"> </w:t>
      </w:r>
    </w:p>
    <w:p>
      <w:pPr>
        <w:pStyle w:val="ManualConsidrant"/>
        <w:rPr>
          <w:noProof/>
        </w:rPr>
      </w:pPr>
      <w:r>
        <w:t>(11)</w:t>
      </w:r>
      <w:r>
        <w:tab/>
      </w:r>
      <w:r>
        <w:rPr>
          <w:noProof/>
        </w:rPr>
        <w:t>The European Year of Youth should boost the successful implementation of first principle of the European Pillar of Social Rights</w:t>
      </w:r>
      <w:r>
        <w:rPr>
          <w:rStyle w:val="FootnoteReference0"/>
          <w:noProof/>
        </w:rPr>
        <w:footnoteReference w:id="16"/>
      </w:r>
      <w:r>
        <w:rPr>
          <w:noProof/>
        </w:rPr>
        <w:t xml:space="preserve"> which highlights that "everyone has the right to quality and inclusive education, training and life-long learning" and of the European Education Area, which aims to stimulate young people in their personal, social and professional fulfilment by creating a genuine European space of learning by 2025 in which inclusive and high quality education and training for all is not hampered by borders. </w:t>
      </w:r>
    </w:p>
    <w:p>
      <w:pPr>
        <w:pStyle w:val="ManualConsidrant"/>
        <w:rPr>
          <w:noProof/>
          <w:sz w:val="22"/>
          <w:lang w:val="en-IE"/>
        </w:rPr>
      </w:pPr>
      <w:r>
        <w:t>(12)</w:t>
      </w:r>
      <w:r>
        <w:tab/>
      </w:r>
      <w:r>
        <w:rPr>
          <w:noProof/>
          <w:lang w:val="en-IE"/>
        </w:rPr>
        <w:t>The European Year of Youth should support Union’s efforts to expanding employment opportunities for youth in the post-pandemic recovery  as stated in the</w:t>
      </w:r>
      <w:r>
        <w:rPr>
          <w:b/>
          <w:bCs/>
          <w:noProof/>
          <w:lang w:val="en-IE"/>
        </w:rPr>
        <w:t xml:space="preserve"> </w:t>
      </w:r>
      <w:hyperlink r:id="rId16" w:history="1">
        <w:r>
          <w:rPr>
            <w:bCs/>
            <w:noProof/>
            <w:color w:val="000000"/>
            <w:u w:val="single"/>
            <w:lang w:val="en-IE"/>
          </w:rPr>
          <w:t>European Parliament Resolution on the Youth Guarantee</w:t>
        </w:r>
      </w:hyperlink>
      <w:r>
        <w:rPr>
          <w:noProof/>
          <w:lang w:val="en-IE"/>
        </w:rPr>
        <w:t xml:space="preserve"> (</w:t>
      </w:r>
      <w:hyperlink r:id="rId17" w:history="1">
        <w:r>
          <w:rPr>
            <w:noProof/>
            <w:color w:val="000000"/>
            <w:u w:val="single"/>
            <w:lang w:val="en-IE"/>
          </w:rPr>
          <w:t>2020/2764(RSP)</w:t>
        </w:r>
      </w:hyperlink>
      <w:r>
        <w:rPr>
          <w:noProof/>
          <w:lang w:val="en-IE"/>
        </w:rPr>
        <w:t>)</w:t>
      </w:r>
      <w:r>
        <w:rPr>
          <w:rStyle w:val="FootnoteReference0"/>
          <w:noProof/>
        </w:rPr>
        <w:footnoteReference w:id="17"/>
      </w:r>
      <w:r>
        <w:rPr>
          <w:noProof/>
          <w:lang w:val="en-IE"/>
        </w:rPr>
        <w:t xml:space="preserve"> which underlines that lockdown measures have caused a sudden disruption to young people’s formal and informal education, traineeships, internships and apprenticeships, as well as jobs, affecting their income, earning potential and well-being, including their health, and in particular their mental health. </w:t>
      </w:r>
    </w:p>
    <w:p>
      <w:pPr>
        <w:pStyle w:val="ManualConsidrant"/>
        <w:rPr>
          <w:rFonts w:eastAsia="Calibri"/>
          <w:noProof/>
        </w:rPr>
      </w:pPr>
      <w:r>
        <w:t>(13)</w:t>
      </w:r>
      <w:r>
        <w:tab/>
      </w:r>
      <w:r>
        <w:rPr>
          <w:noProof/>
        </w:rPr>
        <w:t xml:space="preserve">The European Year of Youth should give further impetus to the creation of quality youth employment opportunities under the </w:t>
      </w:r>
      <w:r>
        <w:rPr>
          <w:rFonts w:eastAsia="Times"/>
          <w:noProof/>
        </w:rPr>
        <w:t xml:space="preserve">Youth Employment Support (YES) initiative, including the </w:t>
      </w:r>
      <w:r>
        <w:rPr>
          <w:noProof/>
        </w:rPr>
        <w:t>reinforced Youth Guarantee</w:t>
      </w:r>
      <w:r>
        <w:rPr>
          <w:rStyle w:val="FootnoteReference0"/>
          <w:noProof/>
        </w:rPr>
        <w:footnoteReference w:id="18"/>
      </w:r>
      <w:r>
        <w:rPr>
          <w:noProof/>
        </w:rPr>
        <w:t xml:space="preserve"> and under the ALMA initiative (Aim, Learn, Master, Achieve) to be implemented under the European Social Fund +. ALMA should be a cross-border youth mobility scheme for disadvantaged people not in employment, education or training to gain professional experience abroad accompanied by social services with the aim to provide these young people, including from rural, peripheral and less developed regions, with education, training or quality employment.  </w:t>
      </w:r>
    </w:p>
    <w:p>
      <w:pPr>
        <w:pStyle w:val="ManualConsidrant"/>
        <w:rPr>
          <w:noProof/>
          <w:sz w:val="22"/>
          <w:lang w:val="en-IE"/>
        </w:rPr>
      </w:pPr>
      <w:r>
        <w:t>(14)</w:t>
      </w:r>
      <w:r>
        <w:tab/>
      </w:r>
      <w:r>
        <w:rPr>
          <w:noProof/>
          <w:lang w:val="en-IE"/>
        </w:rPr>
        <w:t xml:space="preserve">The </w:t>
      </w:r>
      <w:r>
        <w:rPr>
          <w:bCs/>
          <w:noProof/>
          <w:lang w:val="en-IE"/>
        </w:rPr>
        <w:t>European Parliament resolution on the impact of COVID-19 on youth and on sport</w:t>
      </w:r>
      <w:r>
        <w:rPr>
          <w:noProof/>
          <w:lang w:val="en-IE"/>
        </w:rPr>
        <w:t xml:space="preserve"> (2020/2864(RSP))</w:t>
      </w:r>
      <w:r>
        <w:rPr>
          <w:rStyle w:val="FootnoteReference0"/>
          <w:noProof/>
        </w:rPr>
        <w:footnoteReference w:id="19"/>
      </w:r>
      <w:r>
        <w:rPr>
          <w:noProof/>
          <w:lang w:val="en-IE"/>
        </w:rPr>
        <w:t xml:space="preserve"> underlines the particularly acute impact the current pandemic has had on young people not in education, employment, or training (NEETs) and highlights the need to tackle the problems faced by young people from vulnerable groups; notes that youth unemployment and poverty have risen steadily since the outbreak of the pandemic and urges the Commission and the Member States to take all the necessary measures to counter the disastrous effects on youth employment. The Resolution recalls the role of volunteering in developing life and work skills for young people and considers that the European Solidarity Corps can help young Europeans to broaden their opportunities beyond their local realities. </w:t>
      </w:r>
    </w:p>
    <w:p>
      <w:pPr>
        <w:pStyle w:val="ManualConsidrant"/>
        <w:rPr>
          <w:noProof/>
        </w:rPr>
      </w:pPr>
      <w:r>
        <w:t>(15)</w:t>
      </w:r>
      <w:r>
        <w:tab/>
      </w:r>
      <w:r>
        <w:rPr>
          <w:noProof/>
        </w:rPr>
        <w:t xml:space="preserve">The European Year of Youth should support giving effect to </w:t>
      </w:r>
      <w:r>
        <w:rPr>
          <w:rFonts w:eastAsia="Times"/>
          <w:noProof/>
        </w:rPr>
        <w:t>the</w:t>
      </w:r>
      <w:r>
        <w:rPr>
          <w:rFonts w:ascii="Times" w:eastAsia="Times" w:hAnsi="Times" w:cs="Times"/>
          <w:noProof/>
        </w:rPr>
        <w:t xml:space="preserve"> </w:t>
      </w:r>
      <w:r>
        <w:rPr>
          <w:noProof/>
        </w:rPr>
        <w:t>Council Resolution of 1 December 2020 for establishing the European Youth Work Agenda</w:t>
      </w:r>
      <w:r>
        <w:rPr>
          <w:rStyle w:val="FootnoteReference0"/>
          <w:noProof/>
        </w:rPr>
        <w:footnoteReference w:id="20"/>
      </w:r>
      <w:r>
        <w:rPr>
          <w:noProof/>
        </w:rPr>
        <w:t xml:space="preserve"> and the </w:t>
      </w:r>
      <w:r>
        <w:rPr>
          <w:rFonts w:eastAsia="Times"/>
          <w:noProof/>
        </w:rPr>
        <w:t>Council Conclusions of 22 May 2019 on Young People and the Future of Work</w:t>
      </w:r>
      <w:r>
        <w:rPr>
          <w:rStyle w:val="FootnoteReference0"/>
          <w:noProof/>
        </w:rPr>
        <w:footnoteReference w:id="21"/>
      </w:r>
      <w:r>
        <w:rPr>
          <w:rFonts w:eastAsia="Times"/>
          <w:noProof/>
        </w:rPr>
        <w:t>,of 10 December 2019</w:t>
      </w:r>
      <w:r>
        <w:rPr>
          <w:noProof/>
        </w:rPr>
        <w:t xml:space="preserve"> on digital youth work</w:t>
      </w:r>
      <w:r>
        <w:rPr>
          <w:rStyle w:val="FootnoteReference0"/>
          <w:noProof/>
        </w:rPr>
        <w:footnoteReference w:id="22"/>
      </w:r>
      <w:r>
        <w:rPr>
          <w:noProof/>
        </w:rPr>
        <w:t xml:space="preserve"> and of 7 December 2017 on smart youth work</w:t>
      </w:r>
      <w:r>
        <w:rPr>
          <w:rStyle w:val="FootnoteReference0"/>
          <w:noProof/>
        </w:rPr>
        <w:footnoteReference w:id="23"/>
      </w:r>
      <w:r>
        <w:rPr>
          <w:bCs/>
          <w:noProof/>
        </w:rPr>
        <w:t xml:space="preserve">. </w:t>
      </w:r>
    </w:p>
    <w:p>
      <w:pPr>
        <w:pStyle w:val="ManualConsidrant"/>
        <w:rPr>
          <w:rFonts w:eastAsiaTheme="minorEastAsia"/>
          <w:noProof/>
          <w:szCs w:val="24"/>
        </w:rPr>
      </w:pPr>
      <w:r>
        <w:t>(16)</w:t>
      </w:r>
      <w:r>
        <w:tab/>
      </w:r>
      <w:r>
        <w:rPr>
          <w:noProof/>
        </w:rPr>
        <w:t xml:space="preserve">Reflecting the importance of tackling climate </w:t>
      </w:r>
      <w:r>
        <w:rPr>
          <w:rFonts w:eastAsia="Times New Roman"/>
          <w:noProof/>
          <w:szCs w:val="24"/>
        </w:rPr>
        <w:t xml:space="preserve">and nature crises </w:t>
      </w:r>
      <w:r>
        <w:rPr>
          <w:noProof/>
        </w:rPr>
        <w:t>in line with the Union’s commitments to implement the Paris Agreement</w:t>
      </w:r>
      <w:r>
        <w:rPr>
          <w:rStyle w:val="FootnoteReference0"/>
          <w:noProof/>
        </w:rPr>
        <w:footnoteReference w:id="24"/>
      </w:r>
      <w:r>
        <w:rPr>
          <w:noProof/>
        </w:rPr>
        <w:t xml:space="preserve"> and to achieve the United Nations’ Sustainable Development Goals, the European Year of Youth should contribute to mainstreaming climate and nature-related actions and to the implementation of the European Green Deal</w:t>
      </w:r>
      <w:r>
        <w:rPr>
          <w:rStyle w:val="FootnoteReference0"/>
          <w:noProof/>
        </w:rPr>
        <w:footnoteReference w:id="25"/>
      </w:r>
      <w:r>
        <w:rPr>
          <w:noProof/>
        </w:rPr>
        <w:t xml:space="preserve"> </w:t>
      </w:r>
      <w:r>
        <w:rPr>
          <w:rFonts w:eastAsia="Times"/>
          <w:noProof/>
        </w:rPr>
        <w:t>in a fair and inclusive manner</w:t>
      </w:r>
      <w:r>
        <w:rPr>
          <w:noProof/>
        </w:rPr>
        <w:t>, the Horizon Europe missions and the Fit for 55 package</w:t>
      </w:r>
      <w:r>
        <w:rPr>
          <w:rStyle w:val="FootnoteReference0"/>
          <w:noProof/>
        </w:rPr>
        <w:footnoteReference w:id="26"/>
      </w:r>
      <w:r>
        <w:rPr>
          <w:noProof/>
        </w:rPr>
        <w:t>, notably by encouraging young people to formulate own initiatives and creative ideas on achieving the relevant targets.</w:t>
      </w:r>
    </w:p>
    <w:p>
      <w:pPr>
        <w:pStyle w:val="ManualConsidrant"/>
        <w:rPr>
          <w:noProof/>
          <w:sz w:val="22"/>
        </w:rPr>
      </w:pPr>
      <w:r>
        <w:t>(17)</w:t>
      </w:r>
      <w:r>
        <w:tab/>
      </w:r>
      <w:r>
        <w:rPr>
          <w:noProof/>
          <w:lang w:val="en-IE"/>
        </w:rPr>
        <w:t xml:space="preserve">The European Year of Youth should give further impetus to the </w:t>
      </w:r>
      <w:r>
        <w:rPr>
          <w:bCs/>
          <w:noProof/>
          <w:lang w:val="en-IE"/>
        </w:rPr>
        <w:t>European Parliament Resolution on Effective measures to ‘green’ Erasmus+, Creative Europe and the European Solidarity Corps</w:t>
      </w:r>
      <w:r>
        <w:rPr>
          <w:noProof/>
        </w:rPr>
        <w:t xml:space="preserve"> (2019/2195(INI))</w:t>
      </w:r>
      <w:r>
        <w:rPr>
          <w:rStyle w:val="FootnoteReference0"/>
          <w:noProof/>
        </w:rPr>
        <w:footnoteReference w:id="27"/>
      </w:r>
      <w:r>
        <w:rPr>
          <w:noProof/>
        </w:rPr>
        <w:t xml:space="preserve"> which underlines that Erasmus+, through its support for formal and non-formal education and training and for youth participation activities, is crucial for awareness-raising among Europeans, in particular young generations, to encourage them to have an active and informed position on sustainability and relevant policies and to become engaged and conscious future citizens; highlights, in this respect, the major role played by youth and civil society organisations in sharing best practices and implementing projects raising younger generations’ awareness about sustainability. </w:t>
      </w:r>
    </w:p>
    <w:p>
      <w:pPr>
        <w:pStyle w:val="ManualConsidrant"/>
        <w:rPr>
          <w:rFonts w:asciiTheme="minorHAnsi" w:eastAsiaTheme="minorEastAsia" w:hAnsiTheme="minorHAnsi" w:cstheme="minorBidi"/>
          <w:noProof/>
          <w:szCs w:val="24"/>
        </w:rPr>
      </w:pPr>
      <w:r>
        <w:t>(18)</w:t>
      </w:r>
      <w:r>
        <w:tab/>
      </w:r>
      <w:r>
        <w:rPr>
          <w:noProof/>
        </w:rPr>
        <w:t xml:space="preserve">In her State of the European Union Address, President von der Leyen highlighted that “Europe needs all its youth”. In fulfilling its objectives, the European Year should be fully inclusive and actively promoting the participation of people with fewer opportunities. </w:t>
      </w:r>
    </w:p>
    <w:p>
      <w:pPr>
        <w:pStyle w:val="ManualConsidrant"/>
        <w:rPr>
          <w:noProof/>
        </w:rPr>
      </w:pPr>
      <w:r>
        <w:t>(19)</w:t>
      </w:r>
      <w:r>
        <w:tab/>
      </w:r>
      <w:r>
        <w:rPr>
          <w:noProof/>
        </w:rPr>
        <w:t>The European Year of Youth is firmly anchored in the principles recognised by the Charter of Fundamental Rights of the European Union (the ‘Charter’)</w:t>
      </w:r>
      <w:r>
        <w:rPr>
          <w:rStyle w:val="FootnoteReference0"/>
          <w:noProof/>
        </w:rPr>
        <w:footnoteReference w:id="28"/>
      </w:r>
      <w:r>
        <w:rPr>
          <w:noProof/>
        </w:rPr>
        <w:t>. In particular, in its actions and activities, the European Year of Youth seeks to ensure full respect for the right to equality between women and men and the right to non-discrimination based on sex, racial or ethnic origin, religion or belief, disability, age or sexual orientation, and to promote the Charter's application. The EU Strategy on the Rights of the Child</w:t>
      </w:r>
      <w:r>
        <w:rPr>
          <w:rStyle w:val="FootnoteReference0"/>
          <w:noProof/>
        </w:rPr>
        <w:footnoteReference w:id="29"/>
      </w:r>
      <w:r>
        <w:rPr>
          <w:noProof/>
        </w:rPr>
        <w:t xml:space="preserve"> and the European Child Guarantee</w:t>
      </w:r>
      <w:r>
        <w:rPr>
          <w:rStyle w:val="FootnoteReference0"/>
          <w:noProof/>
        </w:rPr>
        <w:footnoteReference w:id="30"/>
      </w:r>
      <w:r>
        <w:rPr>
          <w:noProof/>
        </w:rPr>
        <w:t xml:space="preserve"> set a new standard for child and teen representation and recognise children and young people as active citizens and agents of change.</w:t>
      </w:r>
    </w:p>
    <w:p>
      <w:pPr>
        <w:pStyle w:val="ManualConsidrant"/>
        <w:rPr>
          <w:noProof/>
        </w:rPr>
      </w:pPr>
      <w:r>
        <w:t>(20)</w:t>
      </w:r>
      <w:r>
        <w:tab/>
      </w:r>
      <w:r>
        <w:rPr>
          <w:rFonts w:eastAsia="Times New Roman"/>
          <w:noProof/>
        </w:rPr>
        <w:t xml:space="preserve">In order to ensure that the </w:t>
      </w:r>
      <w:r>
        <w:rPr>
          <w:noProof/>
        </w:rPr>
        <w:t>European Year of Youth is efficiently and effectively implemented, it should make maximum use of delivery mechanisms already in place. In order to optimise the added value of the European Year, synergies and complementarity should be sought, in particular, between the European Year and Union programmes including those with international outreach specifically dedicated to young people, those without a transnational or international character, in particular those relating to education and training, sport, culture and the media, youth and solidarity, volunteering employment and social inclusion, research and innovation, industry and enterprise, digital policy, agriculture and rural development that have a focus on young farmers, environment and climate, cohesion policy, migration, security and international cooperation and development, and with activities undertaken by the Member States.</w:t>
      </w:r>
    </w:p>
    <w:p>
      <w:pPr>
        <w:pStyle w:val="ManualConsidrant"/>
        <w:rPr>
          <w:noProof/>
        </w:rPr>
      </w:pPr>
      <w:r>
        <w:t>(21)</w:t>
      </w:r>
      <w:r>
        <w:tab/>
      </w:r>
      <w:r>
        <w:rPr>
          <w:noProof/>
        </w:rPr>
        <w:t xml:space="preserve">By creating an environment for promoting those objectives simultaneously at Union, national, regional and local levels, a greater synergy and a better use of resources can be achieved. In that regard, the Commission should provide timely information to and closely cooperate with the European Parliament, the Council and the Member States, the Committee of the Regions, European Economic and Social Committee and the bodies and associations active in the field of youth at Union level. In order to ensure that activities developed for the European Year of Youth have a European dimension, Member States are also encouraged to collaborate </w:t>
      </w:r>
      <w:r>
        <w:rPr>
          <w:rFonts w:eastAsiaTheme="minorEastAsia"/>
          <w:noProof/>
        </w:rPr>
        <w:t xml:space="preserve">with each other. </w:t>
      </w:r>
    </w:p>
    <w:p>
      <w:pPr>
        <w:pStyle w:val="ManualConsidrant"/>
        <w:rPr>
          <w:rFonts w:asciiTheme="minorHAnsi" w:eastAsiaTheme="minorEastAsia" w:hAnsiTheme="minorHAnsi" w:cstheme="minorBidi"/>
          <w:noProof/>
          <w:szCs w:val="24"/>
          <w:lang w:val="en-IE"/>
        </w:rPr>
      </w:pPr>
      <w:r>
        <w:t>(22)</w:t>
      </w:r>
      <w:r>
        <w:tab/>
      </w:r>
      <w:r>
        <w:rPr>
          <w:noProof/>
        </w:rPr>
        <w:t>The European Year of Youth should also focus on actions and activities which present a potential European added value. The notion of European added value is to be understood broadly and to be demonstrated in different ways, such as where actions or activities have a transnational character, particularly with regard to cooperation aimed at achieving a sustainable systemic impact or contribute to young people's European identity, awareness and ownership of European common values and fundamental rights, and ability to take part in the Union's representative and participative democracy.</w:t>
      </w:r>
    </w:p>
    <w:p>
      <w:pPr>
        <w:pStyle w:val="ManualConsidrant"/>
        <w:rPr>
          <w:rFonts w:eastAsiaTheme="minorEastAsia"/>
          <w:noProof/>
          <w:lang w:val="en-IE"/>
        </w:rPr>
      </w:pPr>
      <w:r>
        <w:t>(23)</w:t>
      </w:r>
      <w:r>
        <w:tab/>
      </w:r>
      <w:r>
        <w:rPr>
          <w:noProof/>
        </w:rPr>
        <w:t>At Union level, the necessary financial allocation for the implementation of this Decision be identified within the budget of the contributing programmes in accordance with the Multiannual Financial Framework 2021-2027. Without prejudice to the powers of the budgetary authority, the aim should be to provide funding for the implementation of this Decision of at least EUR 8 million.</w:t>
      </w:r>
      <w:r>
        <w:rPr>
          <w:noProof/>
          <w:lang w:val="en-US"/>
        </w:rPr>
        <w:t xml:space="preserve"> </w:t>
      </w:r>
      <w:r>
        <w:rPr>
          <w:noProof/>
        </w:rPr>
        <w:t xml:space="preserve">Subject to the availability of funding, co-financing from the Union budget of activities in support of the European Year of Youth shall be in accordance with the rules, applicable to the relevant programmes, including in particular Erasmus+ and the European Solidarity Corps and, where appropriate, other Union programmes. </w:t>
      </w:r>
    </w:p>
    <w:p>
      <w:pPr>
        <w:pStyle w:val="ManualConsidrant"/>
        <w:rPr>
          <w:noProof/>
        </w:rPr>
      </w:pPr>
      <w:r>
        <w:t>(24)</w:t>
      </w:r>
      <w:r>
        <w:tab/>
      </w:r>
      <w:r>
        <w:rPr>
          <w:noProof/>
        </w:rPr>
        <w:t>Since the objectives of this Decision cannot be sufficiently achieved by the Member States, but can rather by reason of the scale and effects of the proposed action be better achieved at Union level, the Union may adopt measures, in accordance with the principle of subsidiarity, as set out in Article 5 TEU. In accordance with the principle of proportionality, as set out in that Article, this Decision does not go beyond what is necessary in order to achieve those objectives.</w:t>
      </w:r>
    </w:p>
    <w:p>
      <w:pPr>
        <w:pStyle w:val="ManualConsidrant"/>
        <w:rPr>
          <w:noProof/>
        </w:rPr>
      </w:pPr>
      <w:r>
        <w:t>(25)</w:t>
      </w:r>
      <w:r>
        <w:tab/>
      </w:r>
      <w:r>
        <w:rPr>
          <w:noProof/>
        </w:rPr>
        <w:t xml:space="preserve">In view of the impact of COVID 19 on the youth and consequently the pressing need for this Year’s objective to </w:t>
      </w:r>
      <w:r>
        <w:rPr>
          <w:rFonts w:eastAsia="Times New Roman"/>
          <w:noProof/>
          <w:szCs w:val="24"/>
          <w:lang w:eastAsia="en-GB"/>
        </w:rPr>
        <w:t>honour, support and engage with young people in a post-pandemic perspective</w:t>
      </w:r>
      <w:r>
        <w:rPr>
          <w:noProof/>
        </w:rPr>
        <w:t>, it is appropriate to provide for an exception to the eight week period referred to in Article 4 of Protocol No 1 on the role of national Parliaments in the European Union, annexed to the Treaty on European Union, to the Treaty on the Functioning of the European Union and the Treaty establishing the European Atomic Energy Community,</w:t>
      </w:r>
    </w:p>
    <w:p>
      <w:pPr>
        <w:pStyle w:val="ManualConsidrant"/>
        <w:rPr>
          <w:noProof/>
        </w:rPr>
      </w:pPr>
      <w:r>
        <w:t>(26)</w:t>
      </w:r>
      <w:r>
        <w:tab/>
      </w:r>
      <w:r>
        <w:rPr>
          <w:noProof/>
        </w:rPr>
        <w:t xml:space="preserve">In order to ensure swift implementation of the European Year of Youth, this Decision should enter into force as a matter of urgency on the day following that of its publication in the </w:t>
      </w:r>
      <w:r>
        <w:rPr>
          <w:i/>
          <w:noProof/>
        </w:rPr>
        <w:t>Official Journal of the European Union</w:t>
      </w:r>
      <w:r>
        <w:rPr>
          <w:noProof/>
        </w:rPr>
        <w:t>.</w:t>
      </w:r>
    </w:p>
    <w:p>
      <w:pPr>
        <w:pStyle w:val="Formuledadoption"/>
        <w:rPr>
          <w:noProof/>
        </w:rPr>
      </w:pPr>
      <w:r>
        <w:rPr>
          <w:noProof/>
        </w:rPr>
        <w:t xml:space="preserve">HAVE ADOPTED THIS DECISION: </w:t>
      </w:r>
    </w:p>
    <w:p>
      <w:pPr>
        <w:pStyle w:val="Titrearticlef3"/>
        <w:rPr>
          <w:b/>
          <w:noProof/>
        </w:rPr>
      </w:pPr>
      <w:r>
        <w:rPr>
          <w:b/>
          <w:noProof/>
        </w:rPr>
        <w:t>Article 1</w:t>
      </w:r>
      <w:r>
        <w:rPr>
          <w:b/>
          <w:noProof/>
        </w:rPr>
        <w:br/>
        <w:t>Subject matter</w:t>
      </w:r>
    </w:p>
    <w:p>
      <w:pPr>
        <w:rPr>
          <w:noProof/>
          <w:highlight w:val="yellow"/>
        </w:rPr>
      </w:pPr>
      <w:r>
        <w:rPr>
          <w:noProof/>
        </w:rPr>
        <w:t xml:space="preserve">The year 2022 shall be designated as the ‘European Year of Youth 2022’ (hereinafter referred to as the ‘European Year’). </w:t>
      </w:r>
    </w:p>
    <w:p>
      <w:pPr>
        <w:pStyle w:val="Titrearticlef3"/>
        <w:rPr>
          <w:b/>
          <w:noProof/>
        </w:rPr>
      </w:pPr>
      <w:r>
        <w:rPr>
          <w:b/>
          <w:noProof/>
        </w:rPr>
        <w:t>Article 2</w:t>
      </w:r>
      <w:r>
        <w:rPr>
          <w:b/>
          <w:noProof/>
        </w:rPr>
        <w:br/>
        <w:t>Objectives</w:t>
      </w:r>
    </w:p>
    <w:p>
      <w:pPr>
        <w:shd w:val="clear" w:color="auto" w:fill="FFFFFF" w:themeFill="background1"/>
        <w:spacing w:before="0" w:after="0"/>
        <w:rPr>
          <w:rFonts w:eastAsia="Times New Roman"/>
          <w:noProof/>
          <w:szCs w:val="24"/>
          <w:lang w:eastAsia="en-GB"/>
        </w:rPr>
      </w:pPr>
      <w:r>
        <w:rPr>
          <w:rFonts w:eastAsia="Times New Roman"/>
          <w:noProof/>
          <w:szCs w:val="24"/>
          <w:lang w:eastAsia="en-GB"/>
        </w:rPr>
        <w:t>In line with the objectives of the 2019-2027 EU Youth Strategy and the European Youth Goals, the overall objective of the European Year shall be to boost the efforts of the Union, the Member States, regional and local authorities to honour, support and engage with young people in a post-pandemic perspective. In particular, the European Year shall be aimed at:</w:t>
      </w:r>
    </w:p>
    <w:p>
      <w:pPr>
        <w:shd w:val="clear" w:color="auto" w:fill="FFFFFF" w:themeFill="background1"/>
        <w:spacing w:before="0" w:after="0"/>
        <w:ind w:left="720"/>
        <w:rPr>
          <w:rFonts w:eastAsia="Times New Roman"/>
          <w:noProof/>
          <w:szCs w:val="24"/>
          <w:highlight w:val="yellow"/>
          <w:lang w:eastAsia="en-GB"/>
        </w:rPr>
      </w:pPr>
      <w:r>
        <w:rPr>
          <w:rFonts w:eastAsia="Times New Roman"/>
          <w:noProof/>
          <w:color w:val="000000" w:themeColor="text1"/>
          <w:szCs w:val="24"/>
          <w:lang w:val="en-US" w:eastAsia="en-GB"/>
        </w:rPr>
        <w:t xml:space="preserve"> </w:t>
      </w:r>
    </w:p>
    <w:p>
      <w:pPr>
        <w:pStyle w:val="ManualNumPar1"/>
        <w:rPr>
          <w:noProof/>
        </w:rPr>
      </w:pPr>
      <w:r>
        <w:t>1.</w:t>
      </w:r>
      <w:r>
        <w:tab/>
      </w:r>
      <w:r>
        <w:rPr>
          <w:noProof/>
        </w:rPr>
        <w:t xml:space="preserve">highlighting how the green and digital transitions offer a renewed perspective for the future and opportunities to counter negative impact of the pandemic on young people and on the society at large, drawing inspiration from the actions, vision and insights of young people to further strengthen and invigorate the common European Union project and listening to young people, taking into account their concerns and supporting them in developing concrete, inclusive opportunities, while making an optimal use of Union instruments, </w:t>
      </w:r>
    </w:p>
    <w:p>
      <w:pPr>
        <w:pStyle w:val="ManualNumPar1"/>
        <w:rPr>
          <w:noProof/>
        </w:rPr>
      </w:pPr>
      <w:r>
        <w:t>2.</w:t>
      </w:r>
      <w:r>
        <w:tab/>
      </w:r>
      <w:r>
        <w:rPr>
          <w:noProof/>
        </w:rPr>
        <w:t>encouraging all young people, especially young people with fewer opportunities, from disadvantaged backgrounds or belonging to vulnerable groups, as well as from rural, peripheral and less developed regions, to become active and engaged citizens as well as actors of change, inspired by a European sense of belonging, including additional efforts at building capacity for youth participation and civic engagement among young people and among all stakeholders, who work to represent their interests and involving the contribution of young people from diverse backgrounds in key consultation processes, such as the Conference on the Future of Europe,</w:t>
      </w:r>
    </w:p>
    <w:p>
      <w:pPr>
        <w:pStyle w:val="ManualNumPar1"/>
        <w:rPr>
          <w:noProof/>
        </w:rPr>
      </w:pPr>
      <w:r>
        <w:t>3.</w:t>
      </w:r>
      <w:r>
        <w:tab/>
      </w:r>
      <w:r>
        <w:rPr>
          <w:noProof/>
        </w:rPr>
        <w:t>promoting opportunities for young people arising from the public policies at EU, national, regional level and local level in order to support their personal, social and professional development in a green, digital and inclusive world.</w:t>
      </w:r>
    </w:p>
    <w:p>
      <w:pPr>
        <w:pStyle w:val="Titrearticlef3"/>
        <w:rPr>
          <w:b/>
          <w:noProof/>
        </w:rPr>
      </w:pPr>
      <w:r>
        <w:rPr>
          <w:b/>
          <w:noProof/>
        </w:rPr>
        <w:t>Article 3</w:t>
      </w:r>
      <w:r>
        <w:rPr>
          <w:b/>
          <w:noProof/>
        </w:rPr>
        <w:br/>
        <w:t>Type of measures</w:t>
      </w:r>
    </w:p>
    <w:p>
      <w:pPr>
        <w:pStyle w:val="ManualNumPar1"/>
        <w:rPr>
          <w:noProof/>
        </w:rPr>
      </w:pPr>
      <w:r>
        <w:t>1.</w:t>
      </w:r>
      <w:r>
        <w:tab/>
      </w:r>
      <w:r>
        <w:rPr>
          <w:noProof/>
        </w:rPr>
        <w:t>The measures to be taken to achieve the objectives set out in Article 2 shall include the following activities at European, national, regional or local level, and, where relevant, in partner countries, linked to the objectives of the European Year:</w:t>
      </w:r>
    </w:p>
    <w:p>
      <w:pPr>
        <w:pStyle w:val="Point1"/>
        <w:rPr>
          <w:rFonts w:asciiTheme="minorHAnsi" w:eastAsiaTheme="minorEastAsia" w:hAnsiTheme="minorHAnsi" w:cstheme="minorBidi"/>
          <w:noProof/>
        </w:rPr>
      </w:pPr>
      <w:r>
        <w:t>(a)</w:t>
      </w:r>
      <w:r>
        <w:tab/>
      </w:r>
      <w:r>
        <w:rPr>
          <w:noProof/>
        </w:rPr>
        <w:t>conferences, events and initiatives to promote inclusive and accessible debate on challenges, including the impact of the COVID-19 pandemic, that young people, including those with fewer opportunities and belonging to vulnerable groups, are facing and on the course of action that stakeholders at different levels can take;</w:t>
      </w:r>
    </w:p>
    <w:p>
      <w:pPr>
        <w:pStyle w:val="Point1"/>
        <w:rPr>
          <w:noProof/>
        </w:rPr>
      </w:pPr>
      <w:r>
        <w:t>(b)</w:t>
      </w:r>
      <w:r>
        <w:tab/>
      </w:r>
      <w:r>
        <w:rPr>
          <w:noProof/>
        </w:rPr>
        <w:t xml:space="preserve">promoting youth participation and enhancing existing tools, channels and programmes that enable young people to reach policy-makers by identifying, collecting and sharing of experiences and good practices; </w:t>
      </w:r>
    </w:p>
    <w:p>
      <w:pPr>
        <w:pStyle w:val="Point1"/>
        <w:rPr>
          <w:noProof/>
        </w:rPr>
      </w:pPr>
      <w:r>
        <w:t>(c)</w:t>
      </w:r>
      <w:r>
        <w:tab/>
      </w:r>
      <w:r>
        <w:rPr>
          <w:noProof/>
        </w:rPr>
        <w:t xml:space="preserve">gathering ideas using participatory methods, in an effort of co-creating the European Year; </w:t>
      </w:r>
    </w:p>
    <w:p>
      <w:pPr>
        <w:pStyle w:val="Point1"/>
        <w:rPr>
          <w:noProof/>
        </w:rPr>
      </w:pPr>
      <w:r>
        <w:t>(d)</w:t>
      </w:r>
      <w:r>
        <w:tab/>
      </w:r>
      <w:r>
        <w:rPr>
          <w:noProof/>
        </w:rPr>
        <w:t xml:space="preserve">information, education and awareness-raising campaigns to convey values such as equality, solidarity, volunteering, sense of belonging and safety, feeling of being heard and respected, to stimulate an active contribution of youth to build a society that is more inclusive, green and digital;  </w:t>
      </w:r>
    </w:p>
    <w:p>
      <w:pPr>
        <w:pStyle w:val="Point1"/>
        <w:rPr>
          <w:noProof/>
        </w:rPr>
      </w:pPr>
      <w:r>
        <w:t>(e)</w:t>
      </w:r>
      <w:r>
        <w:tab/>
      </w:r>
      <w:r>
        <w:rPr>
          <w:noProof/>
        </w:rPr>
        <w:t>creating a space for exchange on turning challenges into opportunities in an entrepreneurial spirit;</w:t>
      </w:r>
    </w:p>
    <w:p>
      <w:pPr>
        <w:pStyle w:val="Point1"/>
        <w:rPr>
          <w:rFonts w:asciiTheme="minorHAnsi" w:eastAsiaTheme="minorEastAsia" w:hAnsiTheme="minorHAnsi" w:cstheme="minorBidi"/>
          <w:noProof/>
        </w:rPr>
      </w:pPr>
      <w:r>
        <w:t>(f)</w:t>
      </w:r>
      <w:r>
        <w:tab/>
      </w:r>
      <w:r>
        <w:rPr>
          <w:noProof/>
        </w:rPr>
        <w:t xml:space="preserve">undertaking studies and research on the situation of youth in the Union, also by producing European harmonised statistics and using them and other EU statistics, as well as promoting and disseminating these results on European, national or regional level; </w:t>
      </w:r>
    </w:p>
    <w:p>
      <w:pPr>
        <w:pStyle w:val="Point1"/>
        <w:rPr>
          <w:noProof/>
        </w:rPr>
      </w:pPr>
      <w:r>
        <w:t>(g)</w:t>
      </w:r>
      <w:r>
        <w:tab/>
      </w:r>
      <w:r>
        <w:rPr>
          <w:noProof/>
        </w:rPr>
        <w:t>promoting programmes, funding opportunities, projects, actions and networks of relevance to youth, including through social media and online communities;</w:t>
      </w:r>
    </w:p>
    <w:p>
      <w:pPr>
        <w:pStyle w:val="ManualNumPar1"/>
        <w:rPr>
          <w:noProof/>
        </w:rPr>
      </w:pPr>
      <w:r>
        <w:t>2.</w:t>
      </w:r>
      <w:r>
        <w:tab/>
      </w:r>
      <w:r>
        <w:rPr>
          <w:noProof/>
        </w:rPr>
        <w:t>The Commission may identify other activities which could contribute to the objectives of the European Year and allow references to the European Year to be used in promoting those activities in so far as they contribute to achieving those objectives. The European institutions and Member States may also identify such other activities and suggest them to the Commission.</w:t>
      </w:r>
    </w:p>
    <w:p>
      <w:pPr>
        <w:pStyle w:val="Titrearticlef3"/>
        <w:rPr>
          <w:b/>
          <w:noProof/>
        </w:rPr>
      </w:pPr>
      <w:r>
        <w:rPr>
          <w:b/>
          <w:noProof/>
        </w:rPr>
        <w:t>Article 4</w:t>
      </w:r>
      <w:r>
        <w:rPr>
          <w:b/>
          <w:noProof/>
        </w:rPr>
        <w:br/>
        <w:t>Coordination at national level</w:t>
      </w:r>
    </w:p>
    <w:p>
      <w:pPr>
        <w:rPr>
          <w:noProof/>
        </w:rPr>
      </w:pPr>
      <w:r>
        <w:rPr>
          <w:noProof/>
        </w:rPr>
        <w:t xml:space="preserve">The organisation of participation in the European Year at national level shall be a responsibility of the Member States. Member States shall appoint national coordinators to that effect. The national coordinators shall ensure the coordination of relevant activities at national level. They shall also ensure the active involvement and engagement of young people and youth civil society organisations in implementing the activities of the Year. </w:t>
      </w:r>
    </w:p>
    <w:p>
      <w:pPr>
        <w:pStyle w:val="Titrearticlef3"/>
        <w:rPr>
          <w:b/>
          <w:noProof/>
        </w:rPr>
      </w:pPr>
      <w:r>
        <w:rPr>
          <w:b/>
          <w:noProof/>
        </w:rPr>
        <w:t>Article 5</w:t>
      </w:r>
      <w:r>
        <w:rPr>
          <w:b/>
          <w:noProof/>
        </w:rPr>
        <w:br/>
        <w:t>Coordination at Union level</w:t>
      </w:r>
    </w:p>
    <w:p>
      <w:pPr>
        <w:shd w:val="clear" w:color="auto" w:fill="FFFFFF" w:themeFill="background1"/>
        <w:spacing w:before="0" w:after="0"/>
        <w:rPr>
          <w:rFonts w:eastAsia="Times New Roman"/>
          <w:noProof/>
          <w:szCs w:val="24"/>
          <w:lang w:eastAsia="en-GB"/>
        </w:rPr>
      </w:pPr>
    </w:p>
    <w:p>
      <w:pPr>
        <w:pStyle w:val="ManualNumPar1"/>
        <w:rPr>
          <w:noProof/>
        </w:rPr>
      </w:pPr>
      <w:r>
        <w:t>1.</w:t>
      </w:r>
      <w:r>
        <w:tab/>
      </w:r>
      <w:r>
        <w:rPr>
          <w:noProof/>
        </w:rPr>
        <w:t>The Commission shall convene meetings of the national coordinators in order to coordinate the running of the European Year. These meetings shall also serve as opportunities to exchange information regarding the implementation of the European Year at national and Union level. Representatives of the European Parliament may participate as observers and contribute to these meetings.</w:t>
      </w:r>
    </w:p>
    <w:p>
      <w:pPr>
        <w:pStyle w:val="ManualNumPar1"/>
        <w:rPr>
          <w:noProof/>
        </w:rPr>
      </w:pPr>
      <w:r>
        <w:t>2.</w:t>
      </w:r>
      <w:r>
        <w:tab/>
      </w:r>
      <w:r>
        <w:rPr>
          <w:noProof/>
        </w:rPr>
        <w:t xml:space="preserve">The coordination of the European Year at Union level shall have a transversal approach with a view to creating synergies between the various Union programmes and initiatives of relevance to young people. </w:t>
      </w:r>
    </w:p>
    <w:p>
      <w:pPr>
        <w:pStyle w:val="ManualNumPar1"/>
        <w:rPr>
          <w:noProof/>
        </w:rPr>
      </w:pPr>
      <w:r>
        <w:t>3.</w:t>
      </w:r>
      <w:r>
        <w:tab/>
      </w:r>
      <w:r>
        <w:rPr>
          <w:noProof/>
        </w:rPr>
        <w:t>The Commission shall convene meetings of stakeholders and representatives of organisations or bodies in the field of youth, to assist in co-creating and implementing the European Year at Union level.</w:t>
      </w:r>
    </w:p>
    <w:p>
      <w:pPr>
        <w:pStyle w:val="Titrearticlef3"/>
        <w:rPr>
          <w:b/>
          <w:noProof/>
        </w:rPr>
      </w:pPr>
      <w:r>
        <w:rPr>
          <w:b/>
          <w:noProof/>
        </w:rPr>
        <w:t>Article 6</w:t>
      </w:r>
      <w:r>
        <w:rPr>
          <w:b/>
          <w:noProof/>
        </w:rPr>
        <w:br/>
        <w:t>Cooperation at international level</w:t>
      </w:r>
    </w:p>
    <w:p>
      <w:pPr>
        <w:rPr>
          <w:noProof/>
        </w:rPr>
      </w:pPr>
      <w:r>
        <w:rPr>
          <w:noProof/>
        </w:rPr>
        <w:t>For the purpose of the European Year, where necessary, the Commission shall cooperate with international partners and competent international organisations, while ensuring the visibility of the Union’s participation. The Commission shall in particular ensure the cooperation with the Council of Europe, including in the context of the EU-Council of Europe Youth Partnership, as well as with international youth networks and organisations.</w:t>
      </w:r>
    </w:p>
    <w:p>
      <w:pPr>
        <w:pStyle w:val="Titrearticlef3"/>
        <w:rPr>
          <w:b/>
          <w:noProof/>
        </w:rPr>
      </w:pPr>
      <w:r>
        <w:rPr>
          <w:b/>
          <w:noProof/>
        </w:rPr>
        <w:t>Article 7</w:t>
      </w:r>
      <w:r>
        <w:rPr>
          <w:b/>
          <w:noProof/>
        </w:rPr>
        <w:br/>
        <w:t>Monitoring and evaluation</w:t>
      </w:r>
    </w:p>
    <w:p>
      <w:pPr>
        <w:rPr>
          <w:noProof/>
        </w:rPr>
      </w:pPr>
      <w:r>
        <w:rPr>
          <w:noProof/>
        </w:rPr>
        <w:t>By 31 December 2023, the Commission shall submit a report to the European Parliament, the Council, the European Economic and Social Committee and the Committee of the Regions on the implementation, results and overall assessment of the initiatives provided for in this Decision.</w:t>
      </w:r>
    </w:p>
    <w:p>
      <w:pPr>
        <w:pStyle w:val="Titrearticlef3"/>
        <w:rPr>
          <w:b/>
          <w:noProof/>
        </w:rPr>
      </w:pPr>
      <w:r>
        <w:rPr>
          <w:b/>
          <w:noProof/>
        </w:rPr>
        <w:t>Article 8</w:t>
      </w:r>
      <w:r>
        <w:rPr>
          <w:b/>
          <w:noProof/>
        </w:rPr>
        <w:br/>
        <w:t>Entry into force</w:t>
      </w:r>
    </w:p>
    <w:p>
      <w:pPr>
        <w:keepNext/>
        <w:keepLines/>
        <w:jc w:val="left"/>
        <w:rPr>
          <w:noProof/>
        </w:rPr>
      </w:pPr>
      <w:r>
        <w:rPr>
          <w:noProof/>
        </w:rPr>
        <w:t xml:space="preserve">This Decision shall enter into force on the day following that of its publication in the </w:t>
      </w:r>
      <w:r>
        <w:rPr>
          <w:i/>
          <w:iCs/>
          <w:noProof/>
        </w:rPr>
        <w:t>Official Journal of the European Union</w:t>
      </w:r>
      <w:r>
        <w:rPr>
          <w:noProof/>
        </w:rPr>
        <w:t>.</w:t>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sectPr>
          <w:pgSz w:w="11907" w:h="16839"/>
          <w:pgMar w:top="1134" w:right="1417" w:bottom="1134" w:left="1417" w:header="709" w:footer="709" w:gutter="0"/>
          <w:cols w:space="708"/>
          <w:docGrid w:linePitch="360"/>
        </w:sectPr>
      </w:pPr>
      <w:r>
        <w:rPr>
          <w:i w:val="0"/>
          <w:noProof/>
        </w:rPr>
        <w:t>The President</w:t>
      </w:r>
      <w:r>
        <w:rPr>
          <w:i w:val="0"/>
          <w:noProof/>
        </w:rPr>
        <w:tab/>
        <w:t>The President</w:t>
      </w:r>
    </w:p>
    <w:p>
      <w:pPr>
        <w:pStyle w:val="Fichefinanciretitre"/>
        <w:rPr>
          <w:rFonts w:eastAsia="Times New Roman"/>
          <w:noProof/>
        </w:rPr>
      </w:pPr>
      <w:r>
        <w:rPr>
          <w:noProof/>
        </w:rPr>
        <w:t>LEGISLATIVE FINANCIAL STATEMENT</w:t>
      </w:r>
    </w:p>
    <w:sdt>
      <w:sdtPr>
        <w:rPr>
          <w:b w:val="0"/>
          <w:noProof/>
          <w:sz w:val="24"/>
        </w:rPr>
        <w:id w:val="601696785"/>
        <w:docPartObj>
          <w:docPartGallery w:val="Table of Contents"/>
          <w:docPartUnique/>
        </w:docPartObj>
      </w:sdtPr>
      <w:sdtEndPr>
        <w:rPr>
          <w:bCs/>
        </w:rPr>
      </w:sdtEndPr>
      <w:sdtContent>
        <w:p>
          <w:pPr>
            <w:pStyle w:val="TOCHeading"/>
            <w:rPr>
              <w:noProof/>
            </w:rPr>
          </w:pPr>
          <w:r>
            <w:rPr>
              <w:noProof/>
            </w:rPr>
            <w:t>Contents</w:t>
          </w:r>
        </w:p>
        <w:p>
          <w:pPr>
            <w:pStyle w:val="TOC1"/>
            <w:rPr>
              <w:rFonts w:asciiTheme="minorHAnsi" w:eastAsiaTheme="minorEastAsia" w:hAnsiTheme="minorHAnsi" w:cstheme="minorBidi"/>
              <w:noProof/>
              <w:sz w:val="22"/>
            </w:rPr>
          </w:pPr>
          <w:r>
            <w:rPr>
              <w:b/>
              <w:bCs/>
              <w:noProof/>
            </w:rPr>
            <w:fldChar w:fldCharType="begin"/>
          </w:r>
          <w:r>
            <w:rPr>
              <w:b/>
              <w:bCs/>
              <w:noProof/>
            </w:rPr>
            <w:instrText xml:space="preserve"> TOC \o "1-3" \h \z \u </w:instrText>
          </w:r>
          <w:r>
            <w:rPr>
              <w:b/>
              <w:bCs/>
              <w:noProof/>
            </w:rPr>
            <w:fldChar w:fldCharType="separate"/>
          </w:r>
          <w:hyperlink w:anchor="_Toc520485025" w:history="1">
            <w:r>
              <w:rPr>
                <w:rStyle w:val="Hyperlink"/>
                <w:noProof/>
              </w:rPr>
              <w:t>1.</w:t>
            </w:r>
            <w:r>
              <w:rPr>
                <w:rFonts w:asciiTheme="minorHAnsi" w:eastAsiaTheme="minorEastAsia" w:hAnsiTheme="minorHAnsi" w:cstheme="minorBidi"/>
                <w:noProof/>
                <w:sz w:val="22"/>
              </w:rPr>
              <w:tab/>
            </w:r>
            <w:r>
              <w:rPr>
                <w:rStyle w:val="Hyperlink"/>
                <w:noProof/>
              </w:rPr>
              <w:t>FRAMEWORK OF THE PROPOSAL/INITIATIVE</w:t>
            </w:r>
            <w:r>
              <w:rPr>
                <w:noProof/>
                <w:webHidden/>
              </w:rPr>
              <w:tab/>
            </w:r>
            <w:r>
              <w:rPr>
                <w:noProof/>
                <w:webHidden/>
              </w:rPr>
              <w:fldChar w:fldCharType="begin"/>
            </w:r>
            <w:r>
              <w:rPr>
                <w:noProof/>
                <w:webHidden/>
              </w:rPr>
              <w:instrText xml:space="preserve"> PAGEREF _Toc520485025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sz w:val="22"/>
            </w:rPr>
          </w:pPr>
          <w:hyperlink w:anchor="_Toc520485026" w:history="1">
            <w:r>
              <w:rPr>
                <w:rStyle w:val="Hyperlink"/>
                <w:noProof/>
              </w:rPr>
              <w:t>1.1.</w:t>
            </w:r>
            <w:r>
              <w:rPr>
                <w:rFonts w:asciiTheme="minorHAnsi" w:eastAsiaTheme="minorEastAsia" w:hAnsiTheme="minorHAnsi" w:cstheme="minorBidi"/>
                <w:noProof/>
                <w:sz w:val="22"/>
              </w:rPr>
              <w:tab/>
            </w:r>
            <w:r>
              <w:rPr>
                <w:rStyle w:val="Hyperlink"/>
                <w:noProof/>
              </w:rPr>
              <w:t>Title of the proposal/initiative</w:t>
            </w:r>
            <w:r>
              <w:rPr>
                <w:noProof/>
                <w:webHidden/>
              </w:rPr>
              <w:tab/>
            </w:r>
            <w:r>
              <w:rPr>
                <w:noProof/>
                <w:webHidden/>
              </w:rPr>
              <w:fldChar w:fldCharType="begin"/>
            </w:r>
            <w:r>
              <w:rPr>
                <w:noProof/>
                <w:webHidden/>
              </w:rPr>
              <w:instrText xml:space="preserve"> PAGEREF _Toc520485026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sz w:val="22"/>
            </w:rPr>
          </w:pPr>
          <w:hyperlink w:anchor="_Toc520485027" w:history="1">
            <w:r>
              <w:rPr>
                <w:rStyle w:val="Hyperlink"/>
                <w:i/>
                <w:noProof/>
              </w:rPr>
              <w:t>1.2.</w:t>
            </w:r>
            <w:r>
              <w:rPr>
                <w:rFonts w:asciiTheme="minorHAnsi" w:eastAsiaTheme="minorEastAsia" w:hAnsiTheme="minorHAnsi" w:cstheme="minorBidi"/>
                <w:noProof/>
                <w:sz w:val="22"/>
              </w:rPr>
              <w:tab/>
            </w:r>
            <w:r>
              <w:rPr>
                <w:rStyle w:val="Hyperlink"/>
                <w:noProof/>
              </w:rPr>
              <w:t>Policy area(s) concerned</w:t>
            </w:r>
            <w:r>
              <w:rPr>
                <w:noProof/>
                <w:webHidden/>
              </w:rPr>
              <w:tab/>
            </w:r>
            <w:r>
              <w:rPr>
                <w:noProof/>
                <w:webHidden/>
              </w:rPr>
              <w:fldChar w:fldCharType="begin"/>
            </w:r>
            <w:r>
              <w:rPr>
                <w:noProof/>
                <w:webHidden/>
              </w:rPr>
              <w:instrText xml:space="preserve"> PAGEREF _Toc520485027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sz w:val="22"/>
            </w:rPr>
          </w:pPr>
          <w:hyperlink w:anchor="_Toc520485028" w:history="1">
            <w:r>
              <w:rPr>
                <w:rStyle w:val="Hyperlink"/>
                <w:noProof/>
              </w:rPr>
              <w:t>1.3.</w:t>
            </w:r>
            <w:r>
              <w:rPr>
                <w:rFonts w:asciiTheme="minorHAnsi" w:eastAsiaTheme="minorEastAsia" w:hAnsiTheme="minorHAnsi" w:cstheme="minorBidi"/>
                <w:noProof/>
                <w:sz w:val="22"/>
              </w:rPr>
              <w:tab/>
            </w:r>
            <w:r>
              <w:rPr>
                <w:rStyle w:val="Hyperlink"/>
                <w:noProof/>
              </w:rPr>
              <w:t>The proposal/initiative relates to:</w:t>
            </w:r>
            <w:r>
              <w:rPr>
                <w:noProof/>
                <w:webHidden/>
              </w:rPr>
              <w:tab/>
            </w:r>
            <w:r>
              <w:rPr>
                <w:noProof/>
                <w:webHidden/>
              </w:rPr>
              <w:fldChar w:fldCharType="begin"/>
            </w:r>
            <w:r>
              <w:rPr>
                <w:noProof/>
                <w:webHidden/>
              </w:rPr>
              <w:instrText xml:space="preserve"> PAGEREF _Toc520485028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sz w:val="22"/>
            </w:rPr>
          </w:pPr>
          <w:hyperlink w:anchor="_Toc520485029" w:history="1">
            <w:r>
              <w:rPr>
                <w:rStyle w:val="Hyperlink"/>
                <w:noProof/>
              </w:rPr>
              <w:t>1.4.</w:t>
            </w:r>
            <w:r>
              <w:rPr>
                <w:rFonts w:asciiTheme="minorHAnsi" w:eastAsiaTheme="minorEastAsia" w:hAnsiTheme="minorHAnsi" w:cstheme="minorBidi"/>
                <w:noProof/>
                <w:sz w:val="22"/>
              </w:rPr>
              <w:tab/>
            </w:r>
            <w:r>
              <w:rPr>
                <w:rStyle w:val="Hyperlink"/>
                <w:noProof/>
              </w:rPr>
              <w:t>Objective(s)</w:t>
            </w:r>
            <w:r>
              <w:rPr>
                <w:noProof/>
                <w:webHidden/>
              </w:rPr>
              <w:tab/>
            </w:r>
            <w:r>
              <w:rPr>
                <w:noProof/>
                <w:webHidden/>
              </w:rPr>
              <w:fldChar w:fldCharType="begin"/>
            </w:r>
            <w:r>
              <w:rPr>
                <w:noProof/>
                <w:webHidden/>
              </w:rPr>
              <w:instrText xml:space="preserve"> PAGEREF _Toc520485029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sz w:val="22"/>
            </w:rPr>
          </w:pPr>
          <w:hyperlink w:anchor="_Toc520485030" w:history="1">
            <w:r>
              <w:rPr>
                <w:rStyle w:val="Hyperlink"/>
                <w:noProof/>
              </w:rPr>
              <w:t>1.4.1.</w:t>
            </w:r>
            <w:r>
              <w:rPr>
                <w:rFonts w:asciiTheme="minorHAnsi" w:eastAsiaTheme="minorEastAsia" w:hAnsiTheme="minorHAnsi" w:cstheme="minorBidi"/>
                <w:noProof/>
                <w:sz w:val="22"/>
              </w:rPr>
              <w:tab/>
            </w:r>
            <w:r>
              <w:rPr>
                <w:rStyle w:val="Hyperlink"/>
                <w:noProof/>
              </w:rPr>
              <w:t>General objective(s)</w:t>
            </w:r>
            <w:r>
              <w:rPr>
                <w:noProof/>
                <w:webHidden/>
              </w:rPr>
              <w:tab/>
            </w:r>
            <w:r>
              <w:rPr>
                <w:noProof/>
                <w:webHidden/>
              </w:rPr>
              <w:fldChar w:fldCharType="begin"/>
            </w:r>
            <w:r>
              <w:rPr>
                <w:noProof/>
                <w:webHidden/>
              </w:rPr>
              <w:instrText xml:space="preserve"> PAGEREF _Toc520485030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sz w:val="22"/>
            </w:rPr>
          </w:pPr>
          <w:hyperlink w:anchor="_Toc520485031" w:history="1">
            <w:r>
              <w:rPr>
                <w:rStyle w:val="Hyperlink"/>
                <w:noProof/>
              </w:rPr>
              <w:t>1.4.2.</w:t>
            </w:r>
            <w:r>
              <w:rPr>
                <w:rFonts w:asciiTheme="minorHAnsi" w:eastAsiaTheme="minorEastAsia" w:hAnsiTheme="minorHAnsi" w:cstheme="minorBidi"/>
                <w:noProof/>
                <w:sz w:val="22"/>
              </w:rPr>
              <w:tab/>
            </w:r>
            <w:r>
              <w:rPr>
                <w:rStyle w:val="Hyperlink"/>
                <w:noProof/>
              </w:rPr>
              <w:t>Specific objective(s)</w:t>
            </w:r>
            <w:r>
              <w:rPr>
                <w:noProof/>
                <w:webHidden/>
              </w:rPr>
              <w:tab/>
            </w:r>
            <w:r>
              <w:rPr>
                <w:noProof/>
                <w:webHidden/>
              </w:rPr>
              <w:fldChar w:fldCharType="begin"/>
            </w:r>
            <w:r>
              <w:rPr>
                <w:noProof/>
                <w:webHidden/>
              </w:rPr>
              <w:instrText xml:space="preserve"> PAGEREF _Toc520485031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sz w:val="22"/>
            </w:rPr>
          </w:pPr>
          <w:hyperlink w:anchor="_Toc520485032" w:history="1">
            <w:r>
              <w:rPr>
                <w:rStyle w:val="Hyperlink"/>
                <w:noProof/>
              </w:rPr>
              <w:t>1.4.3.</w:t>
            </w:r>
            <w:r>
              <w:rPr>
                <w:rFonts w:asciiTheme="minorHAnsi" w:eastAsiaTheme="minorEastAsia" w:hAnsiTheme="minorHAnsi" w:cstheme="minorBidi"/>
                <w:noProof/>
                <w:sz w:val="22"/>
              </w:rPr>
              <w:tab/>
            </w:r>
            <w:r>
              <w:rPr>
                <w:rStyle w:val="Hyperlink"/>
                <w:noProof/>
              </w:rPr>
              <w:t>Expected result(s) and impact</w:t>
            </w:r>
            <w:r>
              <w:rPr>
                <w:noProof/>
                <w:webHidden/>
              </w:rPr>
              <w:tab/>
            </w:r>
            <w:r>
              <w:rPr>
                <w:noProof/>
                <w:webHidden/>
              </w:rPr>
              <w:fldChar w:fldCharType="begin"/>
            </w:r>
            <w:r>
              <w:rPr>
                <w:noProof/>
                <w:webHidden/>
              </w:rPr>
              <w:instrText xml:space="preserve"> PAGEREF _Toc520485032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sz w:val="22"/>
            </w:rPr>
          </w:pPr>
          <w:hyperlink w:anchor="_Toc520485033" w:history="1">
            <w:r>
              <w:rPr>
                <w:rStyle w:val="Hyperlink"/>
                <w:noProof/>
              </w:rPr>
              <w:t>1.4.4.</w:t>
            </w:r>
            <w:r>
              <w:rPr>
                <w:rFonts w:asciiTheme="minorHAnsi" w:eastAsiaTheme="minorEastAsia" w:hAnsiTheme="minorHAnsi" w:cstheme="minorBidi"/>
                <w:noProof/>
                <w:sz w:val="22"/>
              </w:rPr>
              <w:tab/>
            </w:r>
            <w:r>
              <w:rPr>
                <w:rStyle w:val="Hyperlink"/>
                <w:noProof/>
              </w:rPr>
              <w:t>Indicators of performance</w:t>
            </w:r>
            <w:r>
              <w:rPr>
                <w:noProof/>
                <w:webHidden/>
              </w:rPr>
              <w:tab/>
            </w:r>
            <w:r>
              <w:rPr>
                <w:noProof/>
                <w:webHidden/>
              </w:rPr>
              <w:fldChar w:fldCharType="begin"/>
            </w:r>
            <w:r>
              <w:rPr>
                <w:noProof/>
                <w:webHidden/>
              </w:rPr>
              <w:instrText xml:space="preserve"> PAGEREF _Toc520485033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sz w:val="22"/>
            </w:rPr>
          </w:pPr>
          <w:hyperlink w:anchor="_Toc520485034" w:history="1">
            <w:r>
              <w:rPr>
                <w:rStyle w:val="Hyperlink"/>
                <w:noProof/>
              </w:rPr>
              <w:t>1.5.</w:t>
            </w:r>
            <w:r>
              <w:rPr>
                <w:rFonts w:asciiTheme="minorHAnsi" w:eastAsiaTheme="minorEastAsia" w:hAnsiTheme="minorHAnsi" w:cstheme="minorBidi"/>
                <w:noProof/>
                <w:sz w:val="22"/>
              </w:rPr>
              <w:tab/>
            </w:r>
            <w:r>
              <w:rPr>
                <w:rStyle w:val="Hyperlink"/>
                <w:noProof/>
              </w:rPr>
              <w:t>Grounds for the proposal/initiative</w:t>
            </w:r>
            <w:r>
              <w:rPr>
                <w:noProof/>
                <w:webHidden/>
              </w:rPr>
              <w:tab/>
            </w:r>
            <w:r>
              <w:rPr>
                <w:noProof/>
                <w:webHidden/>
              </w:rPr>
              <w:fldChar w:fldCharType="begin"/>
            </w:r>
            <w:r>
              <w:rPr>
                <w:noProof/>
                <w:webHidden/>
              </w:rPr>
              <w:instrText xml:space="preserve"> PAGEREF _Toc520485034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sz w:val="22"/>
            </w:rPr>
          </w:pPr>
          <w:hyperlink w:anchor="_Toc520485035" w:history="1">
            <w:r>
              <w:rPr>
                <w:rStyle w:val="Hyperlink"/>
                <w:noProof/>
              </w:rPr>
              <w:t>1.5.1.</w:t>
            </w:r>
            <w:r>
              <w:rPr>
                <w:rFonts w:asciiTheme="minorHAnsi" w:eastAsiaTheme="minorEastAsia" w:hAnsiTheme="minorHAnsi" w:cstheme="minorBidi"/>
                <w:noProof/>
                <w:sz w:val="22"/>
              </w:rPr>
              <w:tab/>
            </w:r>
            <w:r>
              <w:rPr>
                <w:rStyle w:val="Hyperlink"/>
                <w:noProof/>
              </w:rPr>
              <w:t>Requirement(s) to be met in the short or long term including a detailed timeline for roll-out of the implementation of the initiative</w:t>
            </w:r>
            <w:r>
              <w:rPr>
                <w:noProof/>
                <w:webHidden/>
              </w:rPr>
              <w:tab/>
            </w:r>
            <w:r>
              <w:rPr>
                <w:noProof/>
                <w:webHidden/>
              </w:rPr>
              <w:fldChar w:fldCharType="begin"/>
            </w:r>
            <w:r>
              <w:rPr>
                <w:noProof/>
                <w:webHidden/>
              </w:rPr>
              <w:instrText xml:space="preserve"> PAGEREF _Toc520485035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sz w:val="22"/>
            </w:rPr>
          </w:pPr>
          <w:hyperlink w:anchor="_Toc520485036" w:history="1">
            <w:r>
              <w:rPr>
                <w:rStyle w:val="Hyperlink"/>
                <w:noProof/>
              </w:rPr>
              <w:t>1.5.2.</w:t>
            </w:r>
            <w:r>
              <w:rPr>
                <w:rFonts w:asciiTheme="minorHAnsi" w:eastAsiaTheme="minorEastAsia" w:hAnsiTheme="minorHAnsi" w:cstheme="minorBidi"/>
                <w:noProof/>
                <w:sz w:val="22"/>
              </w:rPr>
              <w:tab/>
            </w:r>
            <w:r>
              <w:rPr>
                <w:rStyle w:val="Hyperlink"/>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r>
              <w:rPr>
                <w:noProof/>
                <w:webHidden/>
              </w:rPr>
              <w:tab/>
            </w:r>
            <w:r>
              <w:rPr>
                <w:noProof/>
                <w:webHidden/>
              </w:rPr>
              <w:fldChar w:fldCharType="begin"/>
            </w:r>
            <w:r>
              <w:rPr>
                <w:noProof/>
                <w:webHidden/>
              </w:rPr>
              <w:instrText xml:space="preserve"> PAGEREF _Toc520485036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sz w:val="22"/>
            </w:rPr>
          </w:pPr>
          <w:hyperlink w:anchor="_Toc520485037" w:history="1">
            <w:r>
              <w:rPr>
                <w:rStyle w:val="Hyperlink"/>
                <w:noProof/>
              </w:rPr>
              <w:t>1.5.3.</w:t>
            </w:r>
            <w:r>
              <w:rPr>
                <w:rFonts w:asciiTheme="minorHAnsi" w:eastAsiaTheme="minorEastAsia" w:hAnsiTheme="minorHAnsi" w:cstheme="minorBidi"/>
                <w:noProof/>
                <w:sz w:val="22"/>
              </w:rPr>
              <w:tab/>
            </w:r>
            <w:r>
              <w:rPr>
                <w:rStyle w:val="Hyperlink"/>
                <w:noProof/>
              </w:rPr>
              <w:t>Lessons learned from similar experiences in the past</w:t>
            </w:r>
            <w:r>
              <w:rPr>
                <w:noProof/>
                <w:webHidden/>
              </w:rPr>
              <w:tab/>
            </w:r>
            <w:r>
              <w:rPr>
                <w:noProof/>
                <w:webHidden/>
              </w:rPr>
              <w:fldChar w:fldCharType="begin"/>
            </w:r>
            <w:r>
              <w:rPr>
                <w:noProof/>
                <w:webHidden/>
              </w:rPr>
              <w:instrText xml:space="preserve"> PAGEREF _Toc520485037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sz w:val="22"/>
            </w:rPr>
          </w:pPr>
          <w:hyperlink w:anchor="_Toc520485038" w:history="1">
            <w:r>
              <w:rPr>
                <w:rStyle w:val="Hyperlink"/>
                <w:noProof/>
              </w:rPr>
              <w:t>1.5.4.</w:t>
            </w:r>
            <w:r>
              <w:rPr>
                <w:rFonts w:asciiTheme="minorHAnsi" w:eastAsiaTheme="minorEastAsia" w:hAnsiTheme="minorHAnsi" w:cstheme="minorBidi"/>
                <w:noProof/>
                <w:sz w:val="22"/>
              </w:rPr>
              <w:tab/>
            </w:r>
            <w:r>
              <w:rPr>
                <w:rStyle w:val="Hyperlink"/>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_Toc520485038 \h </w:instrText>
            </w:r>
            <w:r>
              <w:rPr>
                <w:noProof/>
                <w:webHidden/>
              </w:rPr>
            </w:r>
            <w:r>
              <w:rPr>
                <w:noProof/>
                <w:webHidden/>
              </w:rPr>
              <w:fldChar w:fldCharType="separate"/>
            </w:r>
            <w:r>
              <w:rPr>
                <w:noProof/>
                <w:webHidden/>
              </w:rPr>
              <w:t>19</w:t>
            </w:r>
            <w:r>
              <w:rPr>
                <w:noProof/>
                <w:webHidden/>
              </w:rPr>
              <w:fldChar w:fldCharType="end"/>
            </w:r>
          </w:hyperlink>
        </w:p>
        <w:p>
          <w:pPr>
            <w:pStyle w:val="TOC2"/>
            <w:rPr>
              <w:rFonts w:asciiTheme="minorHAnsi" w:eastAsiaTheme="minorEastAsia" w:hAnsiTheme="minorHAnsi" w:cstheme="minorBidi"/>
              <w:noProof/>
              <w:sz w:val="22"/>
            </w:rPr>
          </w:pPr>
          <w:hyperlink w:anchor="_Toc520485040" w:history="1">
            <w:r>
              <w:rPr>
                <w:rStyle w:val="Hyperlink"/>
                <w:noProof/>
              </w:rPr>
              <w:t>1.6.</w:t>
            </w:r>
            <w:r>
              <w:rPr>
                <w:rFonts w:asciiTheme="minorHAnsi" w:eastAsiaTheme="minorEastAsia" w:hAnsiTheme="minorHAnsi" w:cstheme="minorBidi"/>
                <w:noProof/>
                <w:sz w:val="22"/>
              </w:rPr>
              <w:tab/>
            </w:r>
            <w:r>
              <w:rPr>
                <w:rStyle w:val="Hyperlink"/>
                <w:noProof/>
              </w:rPr>
              <w:t>Duration and financial impact of the proposal/initiative</w:t>
            </w:r>
            <w:r>
              <w:rPr>
                <w:noProof/>
                <w:webHidden/>
              </w:rPr>
              <w:tab/>
            </w:r>
            <w:r>
              <w:rPr>
                <w:noProof/>
                <w:webHidden/>
              </w:rPr>
              <w:fldChar w:fldCharType="begin"/>
            </w:r>
            <w:r>
              <w:rPr>
                <w:noProof/>
                <w:webHidden/>
              </w:rPr>
              <w:instrText xml:space="preserve"> PAGEREF _Toc520485040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sz w:val="22"/>
            </w:rPr>
          </w:pPr>
          <w:hyperlink w:anchor="_Toc520485041" w:history="1">
            <w:r>
              <w:rPr>
                <w:rStyle w:val="Hyperlink"/>
                <w:noProof/>
              </w:rPr>
              <w:t>1.7.</w:t>
            </w:r>
            <w:r>
              <w:rPr>
                <w:rFonts w:asciiTheme="minorHAnsi" w:eastAsiaTheme="minorEastAsia" w:hAnsiTheme="minorHAnsi" w:cstheme="minorBidi"/>
                <w:noProof/>
                <w:sz w:val="22"/>
              </w:rPr>
              <w:tab/>
            </w:r>
            <w:r>
              <w:rPr>
                <w:rStyle w:val="Hyperlink"/>
                <w:noProof/>
              </w:rPr>
              <w:t>Management mode(s) planned</w:t>
            </w:r>
            <w:r>
              <w:rPr>
                <w:noProof/>
                <w:webHidden/>
              </w:rPr>
              <w:tab/>
            </w:r>
            <w:r>
              <w:rPr>
                <w:noProof/>
                <w:webHidden/>
              </w:rPr>
              <w:fldChar w:fldCharType="begin"/>
            </w:r>
            <w:r>
              <w:rPr>
                <w:noProof/>
                <w:webHidden/>
              </w:rPr>
              <w:instrText xml:space="preserve"> PAGEREF _Toc520485041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noProof/>
              <w:sz w:val="22"/>
            </w:rPr>
          </w:pPr>
          <w:hyperlink w:anchor="_Toc520485042" w:history="1">
            <w:r>
              <w:rPr>
                <w:rStyle w:val="Hyperlink"/>
                <w:noProof/>
              </w:rPr>
              <w:t>2.</w:t>
            </w:r>
            <w:r>
              <w:rPr>
                <w:rFonts w:asciiTheme="minorHAnsi" w:eastAsiaTheme="minorEastAsia" w:hAnsiTheme="minorHAnsi" w:cstheme="minorBidi"/>
                <w:noProof/>
                <w:sz w:val="22"/>
              </w:rPr>
              <w:tab/>
            </w:r>
            <w:r>
              <w:rPr>
                <w:rStyle w:val="Hyperlink"/>
                <w:noProof/>
              </w:rPr>
              <w:t>MANAGEMENT MEASURES</w:t>
            </w:r>
            <w:r>
              <w:rPr>
                <w:noProof/>
                <w:webHidden/>
              </w:rPr>
              <w:tab/>
            </w:r>
            <w:r>
              <w:rPr>
                <w:noProof/>
                <w:webHidden/>
              </w:rPr>
              <w:fldChar w:fldCharType="begin"/>
            </w:r>
            <w:r>
              <w:rPr>
                <w:noProof/>
                <w:webHidden/>
              </w:rPr>
              <w:instrText xml:space="preserve"> PAGEREF _Toc520485042 \h </w:instrText>
            </w:r>
            <w:r>
              <w:rPr>
                <w:noProof/>
                <w:webHidden/>
              </w:rPr>
            </w:r>
            <w:r>
              <w:rPr>
                <w:noProof/>
                <w:webHidden/>
              </w:rPr>
              <w:fldChar w:fldCharType="separate"/>
            </w:r>
            <w:r>
              <w:rPr>
                <w:noProof/>
                <w:webHidden/>
              </w:rPr>
              <w:t>21</w:t>
            </w:r>
            <w:r>
              <w:rPr>
                <w:noProof/>
                <w:webHidden/>
              </w:rPr>
              <w:fldChar w:fldCharType="end"/>
            </w:r>
          </w:hyperlink>
        </w:p>
        <w:p>
          <w:pPr>
            <w:pStyle w:val="TOC2"/>
            <w:rPr>
              <w:rFonts w:asciiTheme="minorHAnsi" w:eastAsiaTheme="minorEastAsia" w:hAnsiTheme="minorHAnsi" w:cstheme="minorBidi"/>
              <w:noProof/>
              <w:sz w:val="22"/>
            </w:rPr>
          </w:pPr>
          <w:hyperlink w:anchor="_Toc520485043" w:history="1">
            <w:r>
              <w:rPr>
                <w:rStyle w:val="Hyperlink"/>
                <w:noProof/>
              </w:rPr>
              <w:t>2.1.</w:t>
            </w:r>
            <w:r>
              <w:rPr>
                <w:rFonts w:asciiTheme="minorHAnsi" w:eastAsiaTheme="minorEastAsia" w:hAnsiTheme="minorHAnsi" w:cstheme="minorBidi"/>
                <w:noProof/>
                <w:sz w:val="22"/>
              </w:rPr>
              <w:tab/>
            </w:r>
            <w:r>
              <w:rPr>
                <w:rStyle w:val="Hyperlink"/>
                <w:noProof/>
              </w:rPr>
              <w:t>Monitoring and reporting rules</w:t>
            </w:r>
            <w:r>
              <w:rPr>
                <w:noProof/>
                <w:webHidden/>
              </w:rPr>
              <w:tab/>
            </w:r>
            <w:r>
              <w:rPr>
                <w:noProof/>
                <w:webHidden/>
              </w:rPr>
              <w:fldChar w:fldCharType="begin"/>
            </w:r>
            <w:r>
              <w:rPr>
                <w:noProof/>
                <w:webHidden/>
              </w:rPr>
              <w:instrText xml:space="preserve"> PAGEREF _Toc520485043 \h </w:instrText>
            </w:r>
            <w:r>
              <w:rPr>
                <w:noProof/>
                <w:webHidden/>
              </w:rPr>
            </w:r>
            <w:r>
              <w:rPr>
                <w:noProof/>
                <w:webHidden/>
              </w:rPr>
              <w:fldChar w:fldCharType="separate"/>
            </w:r>
            <w:r>
              <w:rPr>
                <w:noProof/>
                <w:webHidden/>
              </w:rPr>
              <w:t>21</w:t>
            </w:r>
            <w:r>
              <w:rPr>
                <w:noProof/>
                <w:webHidden/>
              </w:rPr>
              <w:fldChar w:fldCharType="end"/>
            </w:r>
          </w:hyperlink>
        </w:p>
        <w:p>
          <w:pPr>
            <w:pStyle w:val="TOC2"/>
            <w:rPr>
              <w:rFonts w:asciiTheme="minorHAnsi" w:eastAsiaTheme="minorEastAsia" w:hAnsiTheme="minorHAnsi" w:cstheme="minorBidi"/>
              <w:noProof/>
              <w:sz w:val="22"/>
            </w:rPr>
          </w:pPr>
          <w:hyperlink w:anchor="_Toc520485044" w:history="1">
            <w:r>
              <w:rPr>
                <w:rStyle w:val="Hyperlink"/>
                <w:noProof/>
              </w:rPr>
              <w:t>2.2.</w:t>
            </w:r>
            <w:r>
              <w:rPr>
                <w:rFonts w:asciiTheme="minorHAnsi" w:eastAsiaTheme="minorEastAsia" w:hAnsiTheme="minorHAnsi" w:cstheme="minorBidi"/>
                <w:noProof/>
                <w:sz w:val="22"/>
              </w:rPr>
              <w:tab/>
            </w:r>
            <w:r>
              <w:rPr>
                <w:rStyle w:val="Hyperlink"/>
                <w:noProof/>
              </w:rPr>
              <w:t>Management and control system(s)</w:t>
            </w:r>
            <w:r>
              <w:rPr>
                <w:noProof/>
                <w:webHidden/>
              </w:rPr>
              <w:tab/>
            </w:r>
            <w:r>
              <w:rPr>
                <w:noProof/>
                <w:webHidden/>
              </w:rPr>
              <w:fldChar w:fldCharType="begin"/>
            </w:r>
            <w:r>
              <w:rPr>
                <w:noProof/>
                <w:webHidden/>
              </w:rPr>
              <w:instrText xml:space="preserve"> PAGEREF _Toc520485044 \h </w:instrText>
            </w:r>
            <w:r>
              <w:rPr>
                <w:noProof/>
                <w:webHidden/>
              </w:rPr>
            </w:r>
            <w:r>
              <w:rPr>
                <w:noProof/>
                <w:webHidden/>
              </w:rPr>
              <w:fldChar w:fldCharType="separate"/>
            </w:r>
            <w:r>
              <w:rPr>
                <w:noProof/>
                <w:webHidden/>
              </w:rPr>
              <w:t>21</w:t>
            </w:r>
            <w:r>
              <w:rPr>
                <w:noProof/>
                <w:webHidden/>
              </w:rPr>
              <w:fldChar w:fldCharType="end"/>
            </w:r>
          </w:hyperlink>
        </w:p>
        <w:p>
          <w:pPr>
            <w:pStyle w:val="TOC3"/>
            <w:rPr>
              <w:rFonts w:asciiTheme="minorHAnsi" w:eastAsiaTheme="minorEastAsia" w:hAnsiTheme="minorHAnsi" w:cstheme="minorBidi"/>
              <w:noProof/>
              <w:sz w:val="22"/>
            </w:rPr>
          </w:pPr>
          <w:hyperlink w:anchor="_Toc520485045" w:history="1">
            <w:r>
              <w:rPr>
                <w:rStyle w:val="Hyperlink"/>
                <w:noProof/>
              </w:rPr>
              <w:t>2.2.1.</w:t>
            </w:r>
            <w:r>
              <w:rPr>
                <w:rFonts w:asciiTheme="minorHAnsi" w:eastAsiaTheme="minorEastAsia" w:hAnsiTheme="minorHAnsi" w:cstheme="minorBidi"/>
                <w:noProof/>
                <w:sz w:val="22"/>
              </w:rPr>
              <w:tab/>
            </w:r>
            <w:r>
              <w:rPr>
                <w:rStyle w:val="Hyperlink"/>
                <w:noProof/>
              </w:rPr>
              <w:t>Justification of the management mode(s), the funding implementation mechanism(s), the payment modalities and the control strategy proposed</w:t>
            </w:r>
            <w:r>
              <w:rPr>
                <w:noProof/>
                <w:webHidden/>
              </w:rPr>
              <w:tab/>
            </w:r>
            <w:r>
              <w:rPr>
                <w:noProof/>
                <w:webHidden/>
              </w:rPr>
              <w:fldChar w:fldCharType="begin"/>
            </w:r>
            <w:r>
              <w:rPr>
                <w:noProof/>
                <w:webHidden/>
              </w:rPr>
              <w:instrText xml:space="preserve"> PAGEREF _Toc520485045 \h </w:instrText>
            </w:r>
            <w:r>
              <w:rPr>
                <w:noProof/>
                <w:webHidden/>
              </w:rPr>
            </w:r>
            <w:r>
              <w:rPr>
                <w:noProof/>
                <w:webHidden/>
              </w:rPr>
              <w:fldChar w:fldCharType="separate"/>
            </w:r>
            <w:r>
              <w:rPr>
                <w:noProof/>
                <w:webHidden/>
              </w:rPr>
              <w:t>21</w:t>
            </w:r>
            <w:r>
              <w:rPr>
                <w:noProof/>
                <w:webHidden/>
              </w:rPr>
              <w:fldChar w:fldCharType="end"/>
            </w:r>
          </w:hyperlink>
        </w:p>
        <w:p>
          <w:pPr>
            <w:pStyle w:val="TOC3"/>
            <w:rPr>
              <w:rFonts w:asciiTheme="minorHAnsi" w:eastAsiaTheme="minorEastAsia" w:hAnsiTheme="minorHAnsi" w:cstheme="minorBidi"/>
              <w:noProof/>
              <w:sz w:val="22"/>
            </w:rPr>
          </w:pPr>
          <w:hyperlink w:anchor="_Toc520485046" w:history="1">
            <w:r>
              <w:rPr>
                <w:rStyle w:val="Hyperlink"/>
                <w:noProof/>
              </w:rPr>
              <w:t>2.2.2.</w:t>
            </w:r>
            <w:r>
              <w:rPr>
                <w:rFonts w:asciiTheme="minorHAnsi" w:eastAsiaTheme="minorEastAsia" w:hAnsiTheme="minorHAnsi" w:cstheme="minorBidi"/>
                <w:noProof/>
                <w:sz w:val="22"/>
              </w:rPr>
              <w:tab/>
            </w:r>
            <w:r>
              <w:rPr>
                <w:rStyle w:val="Hyperlink"/>
                <w:noProof/>
              </w:rPr>
              <w:t>Information concerning the risks identified and the internal control system(s) set up to mitigate them</w:t>
            </w:r>
            <w:r>
              <w:rPr>
                <w:noProof/>
                <w:webHidden/>
              </w:rPr>
              <w:tab/>
            </w:r>
          </w:hyperlink>
          <w:r>
            <w:rPr>
              <w:noProof/>
            </w:rPr>
            <w:t>21</w:t>
          </w:r>
        </w:p>
        <w:p>
          <w:pPr>
            <w:pStyle w:val="TOC3"/>
            <w:rPr>
              <w:rFonts w:asciiTheme="minorHAnsi" w:eastAsiaTheme="minorEastAsia" w:hAnsiTheme="minorHAnsi" w:cstheme="minorBidi"/>
              <w:noProof/>
              <w:sz w:val="22"/>
            </w:rPr>
          </w:pPr>
          <w:hyperlink w:anchor="_Toc520485047" w:history="1">
            <w:r>
              <w:rPr>
                <w:rStyle w:val="Hyperlink"/>
                <w:noProof/>
              </w:rPr>
              <w:t>2.2.3.</w:t>
            </w:r>
            <w:r>
              <w:rPr>
                <w:rFonts w:asciiTheme="minorHAnsi" w:eastAsiaTheme="minorEastAsia" w:hAnsiTheme="minorHAnsi" w:cstheme="minorBidi"/>
                <w:noProof/>
                <w:sz w:val="22"/>
              </w:rPr>
              <w:tab/>
            </w:r>
            <w:r>
              <w:rPr>
                <w:rStyle w:val="Hyperlink"/>
                <w:noProof/>
              </w:rPr>
              <w:t>Estimation and justification of the cost-effectiveness of the controls (ratio of "control costs ÷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_Toc520485047 \h </w:instrText>
            </w:r>
            <w:r>
              <w:rPr>
                <w:noProof/>
                <w:webHidden/>
              </w:rPr>
            </w:r>
            <w:r>
              <w:rPr>
                <w:noProof/>
                <w:webHidden/>
              </w:rPr>
              <w:fldChar w:fldCharType="separate"/>
            </w:r>
            <w:r>
              <w:rPr>
                <w:noProof/>
                <w:webHidden/>
              </w:rPr>
              <w:t>21</w:t>
            </w:r>
            <w:r>
              <w:rPr>
                <w:noProof/>
                <w:webHidden/>
              </w:rPr>
              <w:fldChar w:fldCharType="end"/>
            </w:r>
          </w:hyperlink>
        </w:p>
        <w:p>
          <w:pPr>
            <w:pStyle w:val="TOC2"/>
            <w:rPr>
              <w:rFonts w:asciiTheme="minorHAnsi" w:eastAsiaTheme="minorEastAsia" w:hAnsiTheme="minorHAnsi" w:cstheme="minorBidi"/>
              <w:noProof/>
              <w:sz w:val="22"/>
            </w:rPr>
          </w:pPr>
          <w:hyperlink w:anchor="_Toc520485048" w:history="1">
            <w:r>
              <w:rPr>
                <w:rStyle w:val="Hyperlink"/>
                <w:noProof/>
              </w:rPr>
              <w:t>2.3.</w:t>
            </w:r>
            <w:r>
              <w:rPr>
                <w:rFonts w:asciiTheme="minorHAnsi" w:eastAsiaTheme="minorEastAsia" w:hAnsiTheme="minorHAnsi" w:cstheme="minorBidi"/>
                <w:noProof/>
                <w:sz w:val="22"/>
              </w:rPr>
              <w:tab/>
            </w:r>
            <w:r>
              <w:rPr>
                <w:rStyle w:val="Hyperlink"/>
                <w:noProof/>
              </w:rPr>
              <w:t>Measures to prevent fraud and irregularities</w:t>
            </w:r>
            <w:r>
              <w:rPr>
                <w:noProof/>
                <w:webHidden/>
              </w:rPr>
              <w:tab/>
            </w:r>
            <w:r>
              <w:rPr>
                <w:noProof/>
                <w:webHidden/>
              </w:rPr>
              <w:fldChar w:fldCharType="begin"/>
            </w:r>
            <w:r>
              <w:rPr>
                <w:noProof/>
                <w:webHidden/>
              </w:rPr>
              <w:instrText xml:space="preserve"> PAGEREF _Toc520485048 \h </w:instrText>
            </w:r>
            <w:r>
              <w:rPr>
                <w:noProof/>
                <w:webHidden/>
              </w:rPr>
            </w:r>
            <w:r>
              <w:rPr>
                <w:noProof/>
                <w:webHidden/>
              </w:rPr>
              <w:fldChar w:fldCharType="separate"/>
            </w:r>
            <w:r>
              <w:rPr>
                <w:noProof/>
                <w:webHidden/>
              </w:rPr>
              <w:t>21</w:t>
            </w:r>
            <w:r>
              <w:rPr>
                <w:noProof/>
                <w:webHidden/>
              </w:rPr>
              <w:fldChar w:fldCharType="end"/>
            </w:r>
          </w:hyperlink>
        </w:p>
        <w:p>
          <w:pPr>
            <w:pStyle w:val="TOC1"/>
            <w:rPr>
              <w:rFonts w:asciiTheme="minorHAnsi" w:eastAsiaTheme="minorEastAsia" w:hAnsiTheme="minorHAnsi" w:cstheme="minorBidi"/>
              <w:noProof/>
              <w:sz w:val="22"/>
            </w:rPr>
          </w:pPr>
          <w:hyperlink w:anchor="_Toc520485049" w:history="1">
            <w:r>
              <w:rPr>
                <w:rStyle w:val="Hyperlink"/>
                <w:noProof/>
              </w:rPr>
              <w:t>3.</w:t>
            </w:r>
            <w:r>
              <w:rPr>
                <w:rFonts w:asciiTheme="minorHAnsi" w:eastAsiaTheme="minorEastAsia" w:hAnsiTheme="minorHAnsi" w:cstheme="minorBidi"/>
                <w:noProof/>
                <w:sz w:val="22"/>
              </w:rPr>
              <w:tab/>
            </w:r>
            <w:r>
              <w:rPr>
                <w:rStyle w:val="Hyperlink"/>
                <w:noProof/>
              </w:rPr>
              <w:t>ESTIMATED FINANCIAL IMPACT OF THE PROPOSAL/INITIATIVE</w:t>
            </w:r>
            <w:r>
              <w:rPr>
                <w:noProof/>
                <w:webHidden/>
              </w:rPr>
              <w:tab/>
            </w:r>
            <w:r>
              <w:rPr>
                <w:noProof/>
                <w:webHidden/>
              </w:rPr>
              <w:fldChar w:fldCharType="begin"/>
            </w:r>
            <w:r>
              <w:rPr>
                <w:noProof/>
                <w:webHidden/>
              </w:rPr>
              <w:instrText xml:space="preserve"> PAGEREF _Toc520485049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sz w:val="22"/>
            </w:rPr>
          </w:pPr>
          <w:hyperlink w:anchor="_Toc520485050" w:history="1">
            <w:r>
              <w:rPr>
                <w:rStyle w:val="Hyperlink"/>
                <w:noProof/>
              </w:rPr>
              <w:t>3.1.</w:t>
            </w:r>
            <w:r>
              <w:rPr>
                <w:rFonts w:asciiTheme="minorHAnsi" w:eastAsiaTheme="minorEastAsia" w:hAnsiTheme="minorHAnsi" w:cstheme="minorBidi"/>
                <w:noProof/>
                <w:sz w:val="22"/>
              </w:rPr>
              <w:tab/>
            </w:r>
            <w:r>
              <w:rPr>
                <w:rStyle w:val="Hyperlink"/>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_Toc520485050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sz w:val="22"/>
            </w:rPr>
          </w:pPr>
          <w:hyperlink w:anchor="_Toc520485051" w:history="1">
            <w:r>
              <w:rPr>
                <w:rStyle w:val="Hyperlink"/>
                <w:noProof/>
              </w:rPr>
              <w:t>3.2.</w:t>
            </w:r>
            <w:r>
              <w:rPr>
                <w:rFonts w:asciiTheme="minorHAnsi" w:eastAsiaTheme="minorEastAsia" w:hAnsiTheme="minorHAnsi" w:cstheme="minorBidi"/>
                <w:noProof/>
                <w:sz w:val="22"/>
              </w:rPr>
              <w:tab/>
            </w:r>
            <w:r>
              <w:rPr>
                <w:rStyle w:val="Hyperlink"/>
                <w:noProof/>
              </w:rPr>
              <w:t>Estimated financial impact of the proposal on appropriations</w:t>
            </w:r>
            <w:r>
              <w:rPr>
                <w:noProof/>
                <w:webHidden/>
              </w:rPr>
              <w:tab/>
            </w:r>
            <w:r>
              <w:rPr>
                <w:noProof/>
                <w:webHidden/>
              </w:rPr>
              <w:fldChar w:fldCharType="begin"/>
            </w:r>
            <w:r>
              <w:rPr>
                <w:noProof/>
                <w:webHidden/>
              </w:rPr>
              <w:instrText xml:space="preserve"> PAGEREF _Toc520485051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sz w:val="22"/>
            </w:rPr>
          </w:pPr>
          <w:hyperlink w:anchor="_Toc520485052" w:history="1">
            <w:r>
              <w:rPr>
                <w:rStyle w:val="Hyperlink"/>
                <w:noProof/>
              </w:rPr>
              <w:t>3.2.1.</w:t>
            </w:r>
            <w:r>
              <w:rPr>
                <w:rFonts w:asciiTheme="minorHAnsi" w:eastAsiaTheme="minorEastAsia" w:hAnsiTheme="minorHAnsi" w:cstheme="minorBidi"/>
                <w:noProof/>
                <w:sz w:val="22"/>
              </w:rPr>
              <w:tab/>
            </w:r>
            <w:r>
              <w:rPr>
                <w:rStyle w:val="Hyperlink"/>
                <w:noProof/>
              </w:rPr>
              <w:t>Summary of estimated impact on operational appropriations</w:t>
            </w:r>
            <w:r>
              <w:rPr>
                <w:noProof/>
                <w:webHidden/>
              </w:rPr>
              <w:tab/>
            </w:r>
            <w:r>
              <w:rPr>
                <w:noProof/>
                <w:webHidden/>
              </w:rPr>
              <w:fldChar w:fldCharType="begin"/>
            </w:r>
            <w:r>
              <w:rPr>
                <w:noProof/>
                <w:webHidden/>
              </w:rPr>
              <w:instrText xml:space="preserve"> PAGEREF _Toc520485052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sz w:val="22"/>
            </w:rPr>
          </w:pPr>
          <w:hyperlink w:anchor="_Toc520485053" w:history="1">
            <w:r>
              <w:rPr>
                <w:rStyle w:val="Hyperlink"/>
                <w:noProof/>
              </w:rPr>
              <w:t>3.2.2.</w:t>
            </w:r>
            <w:r>
              <w:rPr>
                <w:rFonts w:asciiTheme="minorHAnsi" w:eastAsiaTheme="minorEastAsia" w:hAnsiTheme="minorHAnsi" w:cstheme="minorBidi"/>
                <w:noProof/>
                <w:sz w:val="22"/>
              </w:rPr>
              <w:tab/>
            </w:r>
            <w:r>
              <w:rPr>
                <w:rStyle w:val="Hyperlink"/>
                <w:noProof/>
              </w:rPr>
              <w:t>Estimated output funded with operational appropriations</w:t>
            </w:r>
            <w:r>
              <w:rPr>
                <w:noProof/>
                <w:webHidden/>
              </w:rPr>
              <w:tab/>
            </w:r>
            <w:r>
              <w:rPr>
                <w:noProof/>
                <w:webHidden/>
              </w:rPr>
              <w:fldChar w:fldCharType="begin"/>
            </w:r>
            <w:r>
              <w:rPr>
                <w:noProof/>
                <w:webHidden/>
              </w:rPr>
              <w:instrText xml:space="preserve"> PAGEREF _Toc520485053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sz w:val="22"/>
            </w:rPr>
          </w:pPr>
          <w:hyperlink w:anchor="_Toc520485054" w:history="1">
            <w:r>
              <w:rPr>
                <w:rStyle w:val="Hyperlink"/>
                <w:noProof/>
              </w:rPr>
              <w:t>3.2.3.</w:t>
            </w:r>
            <w:r>
              <w:rPr>
                <w:rFonts w:asciiTheme="minorHAnsi" w:eastAsiaTheme="minorEastAsia" w:hAnsiTheme="minorHAnsi" w:cstheme="minorBidi"/>
                <w:noProof/>
                <w:sz w:val="22"/>
              </w:rPr>
              <w:tab/>
            </w:r>
            <w:r>
              <w:rPr>
                <w:rStyle w:val="Hyperlink"/>
                <w:noProof/>
              </w:rPr>
              <w:t>Summary of estimated impact on administrative appropriations</w:t>
            </w:r>
            <w:r>
              <w:rPr>
                <w:noProof/>
                <w:webHidden/>
              </w:rPr>
              <w:tab/>
            </w:r>
            <w:r>
              <w:rPr>
                <w:noProof/>
                <w:webHidden/>
              </w:rPr>
              <w:fldChar w:fldCharType="begin"/>
            </w:r>
            <w:r>
              <w:rPr>
                <w:noProof/>
                <w:webHidden/>
              </w:rPr>
              <w:instrText xml:space="preserve"> PAGEREF _Toc520485054 \h </w:instrText>
            </w:r>
            <w:r>
              <w:rPr>
                <w:noProof/>
                <w:webHidden/>
              </w:rPr>
            </w:r>
            <w:r>
              <w:rPr>
                <w:noProof/>
                <w:webHidden/>
              </w:rPr>
              <w:fldChar w:fldCharType="separate"/>
            </w:r>
            <w:r>
              <w:rPr>
                <w:noProof/>
                <w:webHidden/>
              </w:rPr>
              <w:t>27</w:t>
            </w:r>
            <w:r>
              <w:rPr>
                <w:noProof/>
                <w:webHidden/>
              </w:rPr>
              <w:fldChar w:fldCharType="end"/>
            </w:r>
          </w:hyperlink>
        </w:p>
        <w:p>
          <w:pPr>
            <w:pStyle w:val="TOC3"/>
            <w:rPr>
              <w:rFonts w:asciiTheme="minorHAnsi" w:eastAsiaTheme="minorEastAsia" w:hAnsiTheme="minorHAnsi" w:cstheme="minorBidi"/>
              <w:noProof/>
              <w:sz w:val="22"/>
            </w:rPr>
          </w:pPr>
          <w:hyperlink w:anchor="_Toc520485055" w:history="1">
            <w:r>
              <w:rPr>
                <w:rStyle w:val="Hyperlink"/>
                <w:noProof/>
              </w:rPr>
              <w:t>3.2.4.</w:t>
            </w:r>
            <w:r>
              <w:rPr>
                <w:rFonts w:asciiTheme="minorHAnsi" w:eastAsiaTheme="minorEastAsia" w:hAnsiTheme="minorHAnsi" w:cstheme="minorBidi"/>
                <w:noProof/>
                <w:sz w:val="22"/>
              </w:rPr>
              <w:tab/>
            </w:r>
            <w:r>
              <w:rPr>
                <w:rStyle w:val="Hyperlink"/>
                <w:noProof/>
              </w:rPr>
              <w:t>Compatibility with the current multiannual financial framework</w:t>
            </w:r>
            <w:r>
              <w:rPr>
                <w:noProof/>
                <w:webHidden/>
              </w:rPr>
              <w:tab/>
            </w:r>
            <w:r>
              <w:rPr>
                <w:noProof/>
                <w:webHidden/>
              </w:rPr>
              <w:fldChar w:fldCharType="begin"/>
            </w:r>
            <w:r>
              <w:rPr>
                <w:noProof/>
                <w:webHidden/>
              </w:rPr>
              <w:instrText xml:space="preserve"> PAGEREF _Toc520485055 \h </w:instrText>
            </w:r>
            <w:r>
              <w:rPr>
                <w:noProof/>
                <w:webHidden/>
              </w:rPr>
            </w:r>
            <w:r>
              <w:rPr>
                <w:noProof/>
                <w:webHidden/>
              </w:rPr>
              <w:fldChar w:fldCharType="separate"/>
            </w:r>
            <w:r>
              <w:rPr>
                <w:noProof/>
                <w:webHidden/>
              </w:rPr>
              <w:t>29</w:t>
            </w:r>
            <w:r>
              <w:rPr>
                <w:noProof/>
                <w:webHidden/>
              </w:rPr>
              <w:fldChar w:fldCharType="end"/>
            </w:r>
          </w:hyperlink>
        </w:p>
        <w:p>
          <w:pPr>
            <w:pStyle w:val="TOC3"/>
            <w:rPr>
              <w:rFonts w:asciiTheme="minorHAnsi" w:eastAsiaTheme="minorEastAsia" w:hAnsiTheme="minorHAnsi" w:cstheme="minorBidi"/>
              <w:noProof/>
              <w:sz w:val="22"/>
            </w:rPr>
          </w:pPr>
          <w:hyperlink w:anchor="_Toc520485056" w:history="1">
            <w:r>
              <w:rPr>
                <w:rStyle w:val="Hyperlink"/>
                <w:noProof/>
              </w:rPr>
              <w:t>3.2.5.</w:t>
            </w:r>
            <w:r>
              <w:rPr>
                <w:rFonts w:asciiTheme="minorHAnsi" w:eastAsiaTheme="minorEastAsia" w:hAnsiTheme="minorHAnsi" w:cstheme="minorBidi"/>
                <w:noProof/>
                <w:sz w:val="22"/>
              </w:rPr>
              <w:tab/>
            </w:r>
            <w:r>
              <w:rPr>
                <w:rStyle w:val="Hyperlink"/>
                <w:noProof/>
              </w:rPr>
              <w:t>Third-party contributions</w:t>
            </w:r>
            <w:r>
              <w:rPr>
                <w:noProof/>
                <w:webHidden/>
              </w:rPr>
              <w:tab/>
            </w:r>
            <w:r>
              <w:rPr>
                <w:noProof/>
                <w:webHidden/>
              </w:rPr>
              <w:fldChar w:fldCharType="begin"/>
            </w:r>
            <w:r>
              <w:rPr>
                <w:noProof/>
                <w:webHidden/>
              </w:rPr>
              <w:instrText xml:space="preserve"> PAGEREF _Toc520485056 \h </w:instrText>
            </w:r>
            <w:r>
              <w:rPr>
                <w:noProof/>
                <w:webHidden/>
              </w:rPr>
            </w:r>
            <w:r>
              <w:rPr>
                <w:noProof/>
                <w:webHidden/>
              </w:rPr>
              <w:fldChar w:fldCharType="separate"/>
            </w:r>
            <w:r>
              <w:rPr>
                <w:noProof/>
                <w:webHidden/>
              </w:rPr>
              <w:t>29</w:t>
            </w:r>
            <w:r>
              <w:rPr>
                <w:noProof/>
                <w:webHidden/>
              </w:rPr>
              <w:fldChar w:fldCharType="end"/>
            </w:r>
          </w:hyperlink>
        </w:p>
        <w:p>
          <w:pPr>
            <w:pStyle w:val="TOC2"/>
            <w:rPr>
              <w:rFonts w:asciiTheme="minorHAnsi" w:eastAsiaTheme="minorEastAsia" w:hAnsiTheme="minorHAnsi" w:cstheme="minorBidi"/>
              <w:noProof/>
              <w:sz w:val="22"/>
            </w:rPr>
          </w:pPr>
          <w:hyperlink w:anchor="_Toc520485057" w:history="1">
            <w:r>
              <w:rPr>
                <w:rStyle w:val="Hyperlink"/>
                <w:noProof/>
              </w:rPr>
              <w:t>3.3.</w:t>
            </w:r>
            <w:r>
              <w:rPr>
                <w:rFonts w:asciiTheme="minorHAnsi" w:eastAsiaTheme="minorEastAsia" w:hAnsiTheme="minorHAnsi" w:cstheme="minorBidi"/>
                <w:noProof/>
                <w:sz w:val="22"/>
              </w:rPr>
              <w:tab/>
            </w:r>
            <w:r>
              <w:rPr>
                <w:rStyle w:val="Hyperlink"/>
                <w:noProof/>
              </w:rPr>
              <w:t>Estimated impact on revenue</w:t>
            </w:r>
            <w:r>
              <w:rPr>
                <w:noProof/>
                <w:webHidden/>
              </w:rPr>
              <w:tab/>
            </w:r>
            <w:r>
              <w:rPr>
                <w:noProof/>
                <w:webHidden/>
              </w:rPr>
              <w:fldChar w:fldCharType="begin"/>
            </w:r>
            <w:r>
              <w:rPr>
                <w:noProof/>
                <w:webHidden/>
              </w:rPr>
              <w:instrText xml:space="preserve"> PAGEREF _Toc520485057 \h </w:instrText>
            </w:r>
            <w:r>
              <w:rPr>
                <w:noProof/>
                <w:webHidden/>
              </w:rPr>
            </w:r>
            <w:r>
              <w:rPr>
                <w:noProof/>
                <w:webHidden/>
              </w:rPr>
              <w:fldChar w:fldCharType="separate"/>
            </w:r>
            <w:r>
              <w:rPr>
                <w:noProof/>
                <w:webHidden/>
              </w:rPr>
              <w:t>30</w:t>
            </w:r>
            <w:r>
              <w:rPr>
                <w:noProof/>
                <w:webHidden/>
              </w:rPr>
              <w:fldChar w:fldCharType="end"/>
            </w:r>
          </w:hyperlink>
        </w:p>
        <w:p>
          <w:pPr>
            <w:rPr>
              <w:noProof/>
            </w:rPr>
          </w:pPr>
          <w:r>
            <w:rPr>
              <w:b/>
              <w:bCs/>
              <w:noProof/>
            </w:rPr>
            <w:fldChar w:fldCharType="end"/>
          </w:r>
        </w:p>
      </w:sdtContent>
    </w:sdt>
    <w:p>
      <w:pPr>
        <w:rPr>
          <w:noProof/>
        </w:rPr>
        <w:sectPr>
          <w:pgSz w:w="11907" w:h="16840" w:code="9"/>
          <w:pgMar w:top="1134" w:right="1418" w:bottom="1134" w:left="1418" w:header="709" w:footer="709" w:gutter="0"/>
          <w:cols w:space="720"/>
          <w:docGrid w:linePitch="360"/>
        </w:sectPr>
      </w:pPr>
    </w:p>
    <w:p>
      <w:pPr>
        <w:jc w:val="center"/>
        <w:rPr>
          <w:b/>
          <w:noProof/>
          <w:u w:val="single"/>
        </w:rPr>
      </w:pPr>
      <w:r>
        <w:rPr>
          <w:b/>
          <w:noProof/>
          <w:u w:val="single"/>
        </w:rPr>
        <w:t>LEGISLATIVE FINANCIAL STATEMENT</w:t>
      </w:r>
    </w:p>
    <w:p>
      <w:pPr>
        <w:pStyle w:val="ManualHeading1"/>
        <w:rPr>
          <w:noProof/>
        </w:rPr>
      </w:pPr>
      <w:bookmarkStart w:id="1" w:name="_Toc514938007"/>
      <w:bookmarkStart w:id="2" w:name="_Toc520485025"/>
      <w:r>
        <w:t>1.</w:t>
      </w:r>
      <w:r>
        <w:tab/>
      </w:r>
      <w:r>
        <w:rPr>
          <w:noProof/>
        </w:rPr>
        <w:t>FRAMEWORK OF THE PROPOSAL/INITIATIVE</w:t>
      </w:r>
      <w:bookmarkEnd w:id="1"/>
      <w:bookmarkEnd w:id="2"/>
      <w:r>
        <w:rPr>
          <w:noProof/>
        </w:rPr>
        <w:t xml:space="preserve"> </w:t>
      </w:r>
    </w:p>
    <w:p>
      <w:pPr>
        <w:pStyle w:val="ManualHeading2"/>
        <w:rPr>
          <w:noProof/>
        </w:rPr>
      </w:pPr>
      <w:bookmarkStart w:id="3" w:name="_Toc514938008"/>
      <w:bookmarkStart w:id="4" w:name="_Toc520485026"/>
      <w:r>
        <w:t>1.1.</w:t>
      </w:r>
      <w:r>
        <w:tab/>
      </w:r>
      <w:r>
        <w:rPr>
          <w:noProof/>
        </w:rPr>
        <w:t>Title of the proposal/initiative</w:t>
      </w:r>
      <w:bookmarkEnd w:id="3"/>
      <w:bookmarkEnd w:id="4"/>
    </w:p>
    <w:p>
      <w:pPr>
        <w:pStyle w:val="text10"/>
        <w:pBdr>
          <w:top w:val="single" w:sz="4" w:space="1" w:color="auto"/>
          <w:left w:val="single" w:sz="4" w:space="4" w:color="auto"/>
          <w:bottom w:val="single" w:sz="4" w:space="1" w:color="auto"/>
          <w:right w:val="single" w:sz="4" w:space="4" w:color="auto"/>
        </w:pBdr>
        <w:ind w:left="720"/>
        <w:rPr>
          <w:noProof/>
        </w:rPr>
      </w:pPr>
      <w:r>
        <w:rPr>
          <w:noProof/>
        </w:rPr>
        <w:t>European Year of Youth 2022</w:t>
      </w:r>
    </w:p>
    <w:p>
      <w:pPr>
        <w:pStyle w:val="ManualHeading2"/>
        <w:rPr>
          <w:i/>
          <w:noProof/>
        </w:rPr>
      </w:pPr>
      <w:bookmarkStart w:id="5" w:name="_Toc514938011"/>
      <w:bookmarkStart w:id="6" w:name="_Toc520485027"/>
      <w:r>
        <w:t>1.2.</w:t>
      </w:r>
      <w:r>
        <w:tab/>
      </w:r>
      <w:r>
        <w:rPr>
          <w:noProof/>
        </w:rPr>
        <w:t>Policy area(s) concerned</w:t>
      </w:r>
      <w:bookmarkEnd w:id="5"/>
      <w:bookmarkEnd w:id="6"/>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Policy Area: Education and training, youth and sport  </w:t>
      </w:r>
    </w:p>
    <w:p>
      <w:pPr>
        <w:pStyle w:val="Text1"/>
        <w:pBdr>
          <w:top w:val="single" w:sz="4" w:space="1" w:color="auto"/>
          <w:left w:val="single" w:sz="4" w:space="4" w:color="auto"/>
          <w:bottom w:val="single" w:sz="4" w:space="1" w:color="auto"/>
          <w:right w:val="single" w:sz="4" w:space="4" w:color="auto"/>
        </w:pBdr>
        <w:rPr>
          <w:noProof/>
        </w:rPr>
      </w:pPr>
      <w:r>
        <w:rPr>
          <w:noProof/>
        </w:rPr>
        <w:t>Under Heading 2: Cohesion, Resilience and Values</w:t>
      </w:r>
    </w:p>
    <w:p>
      <w:pPr>
        <w:pStyle w:val="ManualHeading2"/>
        <w:rPr>
          <w:noProof/>
        </w:rPr>
      </w:pPr>
      <w:bookmarkStart w:id="7" w:name="_Toc514938014"/>
      <w:bookmarkStart w:id="8" w:name="_Toc520485028"/>
      <w:r>
        <w:t>1.3.</w:t>
      </w:r>
      <w:r>
        <w:tab/>
      </w:r>
      <w:r>
        <w:rPr>
          <w:noProof/>
        </w:rPr>
        <w:t>The proposal/initiative relates to:</w:t>
      </w:r>
      <w:bookmarkEnd w:id="7"/>
      <w:bookmarkEnd w:id="8"/>
      <w:r>
        <w:rPr>
          <w:noProof/>
        </w:rPr>
        <w:t xml:space="preserve"> </w:t>
      </w:r>
    </w:p>
    <w:p>
      <w:pPr>
        <w:pStyle w:val="Text1"/>
        <w:rPr>
          <w:b/>
          <w:bCs/>
          <w:noProof/>
          <w:sz w:val="22"/>
        </w:rPr>
      </w:pPr>
      <w:r>
        <w:rPr>
          <w:b/>
          <w:bCs/>
          <w:noProof/>
        </w:rPr>
        <w:t>X</w:t>
      </w:r>
      <w:r>
        <w:rPr>
          <w:b/>
          <w:bCs/>
          <w:i/>
          <w:iCs/>
          <w:noProof/>
          <w:sz w:val="22"/>
        </w:rPr>
        <w:t xml:space="preserve"> </w:t>
      </w:r>
      <w:r>
        <w:rPr>
          <w:b/>
          <w:bCs/>
          <w:noProof/>
        </w:rPr>
        <w:t>a new action</w:t>
      </w:r>
      <w:r>
        <w:rPr>
          <w:b/>
          <w:bCs/>
          <w:noProof/>
          <w:sz w:val="22"/>
        </w:rPr>
        <w:t xml:space="preserve"> </w:t>
      </w:r>
    </w:p>
    <w:p>
      <w:pPr>
        <w:pStyle w:val="Text1"/>
        <w:rPr>
          <w:noProof/>
          <w:sz w:val="22"/>
        </w:rPr>
      </w:pPr>
      <w:r>
        <w:rPr>
          <w:noProof/>
          <w:sz w:val="22"/>
        </w:rPr>
        <w:sym w:font="Wingdings" w:char="F0A8"/>
      </w:r>
      <w:r>
        <w:rPr>
          <w:i/>
          <w:iCs/>
          <w:noProof/>
          <w:sz w:val="22"/>
        </w:rPr>
        <w:t xml:space="preserve"> </w:t>
      </w:r>
      <w:r>
        <w:rPr>
          <w:b/>
          <w:bCs/>
          <w:noProof/>
        </w:rPr>
        <w:t>a new action following a pilot project/preparatory action</w:t>
      </w:r>
      <w:r>
        <w:rPr>
          <w:rStyle w:val="FootnoteReference0"/>
          <w:b/>
          <w:bCs/>
          <w:noProof/>
        </w:rPr>
        <w:footnoteReference w:id="31"/>
      </w:r>
      <w:r>
        <w:rPr>
          <w:noProof/>
          <w:sz w:val="22"/>
        </w:rPr>
        <w:t xml:space="preserve"> </w:t>
      </w:r>
    </w:p>
    <w:p>
      <w:pPr>
        <w:pStyle w:val="Text1"/>
        <w:rPr>
          <w:noProof/>
          <w:sz w:val="22"/>
        </w:rPr>
      </w:pPr>
      <w:r>
        <w:rPr>
          <w:noProof/>
          <w:sz w:val="22"/>
        </w:rPr>
        <w:sym w:font="Wingdings" w:char="F0A8"/>
      </w:r>
      <w:r>
        <w:rPr>
          <w:i/>
          <w:iCs/>
          <w:noProof/>
          <w:sz w:val="22"/>
        </w:rPr>
        <w:t xml:space="preserve"> </w:t>
      </w:r>
      <w:r>
        <w:rPr>
          <w:b/>
          <w:bCs/>
          <w:noProof/>
        </w:rPr>
        <w:t>the extension of an existing action</w:t>
      </w:r>
      <w:r>
        <w:rPr>
          <w:noProof/>
          <w:sz w:val="22"/>
        </w:rPr>
        <w:t xml:space="preserve"> </w:t>
      </w:r>
    </w:p>
    <w:p>
      <w:pPr>
        <w:pStyle w:val="Text1"/>
        <w:rPr>
          <w:noProof/>
        </w:rPr>
      </w:pPr>
      <w:r>
        <w:rPr>
          <w:noProof/>
          <w:sz w:val="22"/>
        </w:rPr>
        <w:sym w:font="Wingdings" w:char="F0A8"/>
      </w:r>
      <w:r>
        <w:rPr>
          <w:i/>
          <w:iCs/>
          <w:noProof/>
          <w:sz w:val="22"/>
        </w:rPr>
        <w:t xml:space="preserve"> </w:t>
      </w:r>
      <w:r>
        <w:rPr>
          <w:b/>
          <w:bCs/>
          <w:noProof/>
        </w:rPr>
        <w:t>a merger or redirection of one or more actions towards another/a new action</w:t>
      </w:r>
      <w:r>
        <w:rPr>
          <w:noProof/>
        </w:rPr>
        <w:t xml:space="preserve"> </w:t>
      </w:r>
    </w:p>
    <w:p>
      <w:pPr>
        <w:pStyle w:val="ManualHeading2"/>
        <w:rPr>
          <w:noProof/>
        </w:rPr>
      </w:pPr>
      <w:bookmarkStart w:id="9" w:name="_Toc514938015"/>
      <w:bookmarkStart w:id="10" w:name="_Toc520485029"/>
      <w:r>
        <w:t>1.4.</w:t>
      </w:r>
      <w:r>
        <w:tab/>
      </w:r>
      <w:r>
        <w:rPr>
          <w:noProof/>
        </w:rPr>
        <w:t>Objective(s)</w:t>
      </w:r>
      <w:bookmarkEnd w:id="9"/>
      <w:bookmarkEnd w:id="10"/>
    </w:p>
    <w:p>
      <w:pPr>
        <w:pStyle w:val="ManualHeading3"/>
        <w:rPr>
          <w:noProof/>
        </w:rPr>
      </w:pPr>
      <w:bookmarkStart w:id="11" w:name="_Toc514938016"/>
      <w:bookmarkStart w:id="12" w:name="_Toc520485030"/>
      <w:r>
        <w:t>1.4.1.</w:t>
      </w:r>
      <w:r>
        <w:tab/>
      </w:r>
      <w:r>
        <w:rPr>
          <w:noProof/>
        </w:rPr>
        <w:t>General objective(s)</w:t>
      </w:r>
      <w:bookmarkEnd w:id="11"/>
      <w:bookmarkEnd w:id="12"/>
    </w:p>
    <w:p>
      <w:pPr>
        <w:pStyle w:val="Text1"/>
        <w:pBdr>
          <w:top w:val="single" w:sz="4" w:space="1" w:color="auto"/>
          <w:left w:val="single" w:sz="4" w:space="4" w:color="auto"/>
          <w:bottom w:val="single" w:sz="4" w:space="1" w:color="auto"/>
          <w:right w:val="single" w:sz="4" w:space="4" w:color="auto"/>
        </w:pBdr>
        <w:rPr>
          <w:rStyle w:val="normaltextrun"/>
          <w:noProof/>
          <w:color w:val="000000"/>
          <w:shd w:val="clear" w:color="auto" w:fill="FFFFFF"/>
          <w:lang w:val="en-US"/>
        </w:rPr>
      </w:pPr>
      <w:r>
        <w:rPr>
          <w:rStyle w:val="normaltextrun"/>
          <w:noProof/>
          <w:color w:val="000000" w:themeColor="text1"/>
        </w:rPr>
        <w:t xml:space="preserve">The objectives of the European Year of Youth are to encourage and support the efforts of the Union, the Member States, regional and local authorities to honour youth in a post-pandemic perspective by drawing inspiration from the ideas, aspirations and visions brought forward by young people. It is to shape the Union’s future development and society at large. </w:t>
      </w:r>
      <w:r>
        <w:rPr>
          <w:rStyle w:val="normaltextrun"/>
          <w:noProof/>
          <w:color w:val="000000" w:themeColor="text1"/>
          <w:lang w:val="en-US"/>
        </w:rPr>
        <w:t>It is an occasion to raise awareness on European opportunities ahead for young people.  </w:t>
      </w:r>
    </w:p>
    <w:p>
      <w:pPr>
        <w:pStyle w:val="ManualHeading3"/>
        <w:rPr>
          <w:bCs/>
          <w:noProof/>
          <w:szCs w:val="24"/>
        </w:rPr>
      </w:pPr>
      <w:bookmarkStart w:id="13" w:name="_Toc514938018"/>
      <w:bookmarkStart w:id="14" w:name="_Toc520485031"/>
      <w:r>
        <w:t>1.4.2.</w:t>
      </w:r>
      <w:r>
        <w:tab/>
      </w:r>
      <w:r>
        <w:rPr>
          <w:noProof/>
        </w:rPr>
        <w:t>Specific objective(s)</w:t>
      </w:r>
      <w:bookmarkEnd w:id="13"/>
      <w:bookmarkEnd w:id="14"/>
    </w:p>
    <w:p>
      <w:pPr>
        <w:pStyle w:val="paragraph"/>
        <w:spacing w:before="0" w:beforeAutospacing="0" w:after="0" w:afterAutospacing="0"/>
        <w:ind w:left="5100" w:right="-570"/>
        <w:textAlignment w:val="baseline"/>
      </w:pPr>
      <w:r>
        <w:rPr>
          <w:rStyle w:val="eop"/>
          <w:rFonts w:eastAsiaTheme="majorEastAsia"/>
          <w:noProof/>
          <w:sz w:val="20"/>
          <w:szCs w:val="20"/>
        </w:rPr>
        <w:t> </w:t>
      </w:r>
    </w:p>
    <w:p>
      <w:pPr>
        <w:pStyle w:val="Text1"/>
        <w:pBdr>
          <w:top w:val="single" w:sz="4" w:space="1" w:color="auto"/>
          <w:left w:val="single" w:sz="4" w:space="4" w:color="auto"/>
          <w:bottom w:val="single" w:sz="4" w:space="1" w:color="auto"/>
          <w:right w:val="single" w:sz="4" w:space="4" w:color="auto"/>
        </w:pBdr>
        <w:ind w:left="1210"/>
        <w:rPr>
          <w:noProof/>
        </w:rPr>
      </w:pPr>
      <w:r>
        <w:t>-</w:t>
      </w:r>
      <w:r>
        <w:rPr>
          <w:noProof/>
        </w:rPr>
        <w:t xml:space="preserve"> Highlighting</w:t>
      </w:r>
      <w:r>
        <w:t xml:space="preserve"> </w:t>
      </w:r>
      <w:r>
        <w:rPr>
          <w:noProof/>
        </w:rPr>
        <w:t xml:space="preserve">how the green and digital transitions offer a renewed perspective for the future and opportunities to counter negative impact of the pandemic on young people and on the society at large, drawing inspiration from the vision and insights of young people to further strengthen and invigorate the common European Union project and listening to young people, taking into account their concerns and supporting them in developing concrete, inclusive opportunities, while making an optimal use of Union instruments, </w:t>
      </w:r>
    </w:p>
    <w:p>
      <w:pPr>
        <w:pStyle w:val="Text1"/>
        <w:pBdr>
          <w:top w:val="single" w:sz="4" w:space="1" w:color="auto"/>
          <w:left w:val="single" w:sz="4" w:space="4" w:color="auto"/>
          <w:bottom w:val="single" w:sz="4" w:space="1" w:color="auto"/>
          <w:right w:val="single" w:sz="4" w:space="4" w:color="auto"/>
        </w:pBdr>
        <w:ind w:left="1210"/>
        <w:rPr>
          <w:noProof/>
        </w:rPr>
      </w:pPr>
      <w:r>
        <w:rPr>
          <w:noProof/>
        </w:rPr>
        <w:t>- Encouraging all young people, especially young people with fewer opportunities and from disadvantaged backgrounds or belonging to vulnerable groups, to become active and engaged citizens as well as actors of change, inspired by a European sense of belonging. This includes additional efforts at building capacity for youth participation and civic engagement among young people and among all stakeholders, who work to represent their interests. This involves the contribution of young people from diverse backgrounds and also belonging to vulnerable groups in key consultation processes, such as the Conference on the Future of Europe.</w:t>
      </w:r>
    </w:p>
    <w:p>
      <w:pPr>
        <w:pStyle w:val="Text1"/>
        <w:pBdr>
          <w:top w:val="single" w:sz="4" w:space="1" w:color="auto"/>
          <w:left w:val="single" w:sz="4" w:space="4" w:color="auto"/>
          <w:bottom w:val="single" w:sz="4" w:space="1" w:color="auto"/>
          <w:right w:val="single" w:sz="4" w:space="4" w:color="auto"/>
        </w:pBdr>
        <w:ind w:left="1210"/>
        <w:rPr>
          <w:i/>
          <w:iCs/>
          <w:noProof/>
        </w:rPr>
      </w:pPr>
      <w:r>
        <w:rPr>
          <w:noProof/>
        </w:rPr>
        <w:t xml:space="preserve">- Promoting opportunities for young people arising from the public policies at EU, national, regional level and local level, in an equal manner, in order to support their personal, social and professional development in a green, digital and inclusive world. </w:t>
      </w:r>
    </w:p>
    <w:p>
      <w:pPr>
        <w:pStyle w:val="ManualHeading3"/>
        <w:rPr>
          <w:noProof/>
        </w:rPr>
      </w:pPr>
      <w:bookmarkStart w:id="15" w:name="_Toc514938019"/>
      <w:bookmarkStart w:id="16" w:name="_Toc520485032"/>
      <w:r>
        <w:t>1.4.3.</w:t>
      </w:r>
      <w:r>
        <w:tab/>
      </w:r>
      <w:r>
        <w:rPr>
          <w:noProof/>
        </w:rPr>
        <w:t>Expected result(s) and impact</w:t>
      </w:r>
      <w:bookmarkEnd w:id="15"/>
      <w:bookmarkEnd w:id="16"/>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Information and promotion campaigns, events and initiatives at European, national, regional and local level to convey key messages and disseminate information about examples of good practice, including the role of the EU in promoting shared solutions. This will lead to active participation and learning in key policy areas such as climate change, the Green Deal, etc.</w:t>
      </w:r>
    </w:p>
    <w:p>
      <w:pPr>
        <w:pStyle w:val="Text1"/>
        <w:pBdr>
          <w:top w:val="single" w:sz="4" w:space="1" w:color="auto"/>
          <w:left w:val="single" w:sz="4" w:space="4" w:color="auto"/>
          <w:bottom w:val="single" w:sz="4" w:space="1" w:color="auto"/>
          <w:right w:val="single" w:sz="4" w:space="4" w:color="auto"/>
        </w:pBdr>
        <w:rPr>
          <w:noProof/>
        </w:rPr>
      </w:pPr>
      <w:r>
        <w:rPr>
          <w:noProof/>
        </w:rPr>
        <w:t xml:space="preserve">Raising awareness of the importance and key role of youth in the future of the EU and promoting the tools for young people to participate in shaping a renewed vision for a society that is more inclusive, green and digital at national and European level. </w:t>
      </w:r>
    </w:p>
    <w:p>
      <w:pPr>
        <w:pStyle w:val="Text1"/>
        <w:pBdr>
          <w:top w:val="single" w:sz="4" w:space="1" w:color="auto"/>
          <w:left w:val="single" w:sz="4" w:space="4" w:color="auto"/>
          <w:bottom w:val="single" w:sz="4" w:space="1" w:color="auto"/>
          <w:right w:val="single" w:sz="4" w:space="4" w:color="auto"/>
        </w:pBdr>
        <w:rPr>
          <w:noProof/>
        </w:rPr>
      </w:pPr>
      <w:r>
        <w:rPr>
          <w:noProof/>
        </w:rPr>
        <w:t>Young people will gain knowledge, skills and competences, values and attitudes they need to move forward in their personal and career development; they will become more familiar with the political landscape at European, national and regional level</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szCs w:val="24"/>
        </w:rPr>
      </w:pPr>
      <w:bookmarkStart w:id="17" w:name="_Toc514938023"/>
      <w:bookmarkStart w:id="18" w:name="_Toc520485033"/>
      <w:r>
        <w:t>1.4.4.</w:t>
      </w:r>
      <w:r>
        <w:tab/>
      </w:r>
      <w:r>
        <w:rPr>
          <w:noProof/>
        </w:rPr>
        <w:t>Indicators of performance</w:t>
      </w:r>
      <w:bookmarkEnd w:id="17"/>
      <w:bookmarkEnd w:id="18"/>
    </w:p>
    <w:p>
      <w:pPr>
        <w:pStyle w:val="Text1"/>
        <w:rPr>
          <w:i/>
          <w:noProof/>
          <w:sz w:val="20"/>
        </w:rPr>
      </w:pPr>
      <w:r>
        <w:rPr>
          <w:i/>
          <w:noProof/>
          <w:sz w:val="20"/>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Number of outputs to be set up in the framework of the information campaign. </w:t>
      </w:r>
    </w:p>
    <w:p>
      <w:pPr>
        <w:pStyle w:val="ManualHeading2"/>
        <w:rPr>
          <w:bCs/>
          <w:noProof/>
          <w:szCs w:val="24"/>
        </w:rPr>
      </w:pPr>
      <w:bookmarkStart w:id="19" w:name="_Toc514938025"/>
      <w:bookmarkStart w:id="20" w:name="_Toc520485034"/>
      <w:r>
        <w:t>1.5.</w:t>
      </w:r>
      <w:r>
        <w:tab/>
      </w:r>
      <w:r>
        <w:rPr>
          <w:noProof/>
        </w:rPr>
        <w:t>Grounds for the proposal/initiative</w:t>
      </w:r>
      <w:bookmarkEnd w:id="19"/>
      <w:bookmarkEnd w:id="20"/>
      <w:r>
        <w:rPr>
          <w:noProof/>
        </w:rPr>
        <w:t xml:space="preserve"> </w:t>
      </w:r>
    </w:p>
    <w:p>
      <w:pPr>
        <w:pStyle w:val="ManualHeading3"/>
        <w:rPr>
          <w:noProof/>
        </w:rPr>
      </w:pPr>
      <w:bookmarkStart w:id="21" w:name="_Toc514938026"/>
      <w:bookmarkStart w:id="22" w:name="_Toc520485035"/>
      <w:r>
        <w:t>1.5.1.</w:t>
      </w:r>
      <w:r>
        <w:tab/>
      </w:r>
      <w:r>
        <w:rPr>
          <w:noProof/>
        </w:rPr>
        <w:t>Requirement(s) to be met in the short or long term including a detailed timeline for roll-out of the implementation of the initiative</w:t>
      </w:r>
      <w:bookmarkEnd w:id="21"/>
      <w:bookmarkEnd w:id="22"/>
    </w:p>
    <w:p>
      <w:pPr>
        <w:pStyle w:val="Text1"/>
        <w:pBdr>
          <w:top w:val="single" w:sz="4" w:space="1" w:color="auto"/>
          <w:left w:val="single" w:sz="4" w:space="4" w:color="auto"/>
          <w:bottom w:val="single" w:sz="4" w:space="1" w:color="auto"/>
          <w:right w:val="single" w:sz="4" w:space="4" w:color="auto"/>
        </w:pBdr>
        <w:rPr>
          <w:noProof/>
        </w:rPr>
      </w:pPr>
      <w:r>
        <w:rPr>
          <w:noProof/>
        </w:rPr>
        <w:t>Short-term: greater awareness of the importance and the role of youth in shaping the future of Europe and the tools available to help young people have an impact in their societies.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Long-term: motivate young people in a post-pandemic context and provide them with new opportunities and skills to support their personal and professional development for a changing world. </w:t>
      </w:r>
    </w:p>
    <w:p>
      <w:pPr>
        <w:pStyle w:val="ManualHeading3"/>
        <w:rPr>
          <w:noProof/>
        </w:rPr>
      </w:pPr>
      <w:bookmarkStart w:id="23" w:name="_Toc514938029"/>
      <w:bookmarkStart w:id="24" w:name="_Toc520485036"/>
      <w:r>
        <w:t>1.5.2.</w:t>
      </w:r>
      <w:r>
        <w:tab/>
      </w:r>
      <w:r>
        <w:rPr>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bookmarkEnd w:id="23"/>
      <w:bookmarkEnd w:id="24"/>
    </w:p>
    <w:p>
      <w:pPr>
        <w:pStyle w:val="Text1"/>
        <w:pBdr>
          <w:top w:val="single" w:sz="4" w:space="1" w:color="auto"/>
          <w:left w:val="single" w:sz="4" w:space="4" w:color="auto"/>
          <w:bottom w:val="single" w:sz="4" w:space="1" w:color="auto"/>
          <w:right w:val="single" w:sz="4" w:space="4" w:color="auto"/>
        </w:pBdr>
        <w:rPr>
          <w:noProof/>
        </w:rPr>
      </w:pPr>
      <w:r>
        <w:rPr>
          <w:noProof/>
        </w:rPr>
        <w:t xml:space="preserve">Strengthening the awareness of opportunities for young people to become active and engaged citizens at European, national and local level, as well as actors of change inspired by a European sense of belonging. </w:t>
      </w:r>
    </w:p>
    <w:p>
      <w:pPr>
        <w:pStyle w:val="Text1"/>
        <w:pBdr>
          <w:top w:val="single" w:sz="4" w:space="1" w:color="auto"/>
          <w:left w:val="single" w:sz="4" w:space="4" w:color="auto"/>
          <w:bottom w:val="single" w:sz="4" w:space="1" w:color="auto"/>
          <w:right w:val="single" w:sz="4" w:space="4" w:color="auto"/>
        </w:pBdr>
        <w:rPr>
          <w:noProof/>
        </w:rPr>
      </w:pPr>
      <w:r>
        <w:rPr>
          <w:noProof/>
        </w:rPr>
        <w:t xml:space="preserve">Union dimension of measures aimed to accelerate the post-pandemic professional and personal recovery of youth, in line with the objectives of the NextGenerationEU, the political guidelines for the current European Commission (2019-2024) and other EU policies and programmes that strive to improve the lives of young people. </w:t>
      </w:r>
    </w:p>
    <w:p>
      <w:pPr>
        <w:pStyle w:val="ManualHeading3"/>
        <w:rPr>
          <w:noProof/>
        </w:rPr>
      </w:pPr>
      <w:bookmarkStart w:id="25" w:name="_Toc514938030"/>
      <w:bookmarkStart w:id="26" w:name="_Toc520485037"/>
      <w:r>
        <w:t>1.5.3.</w:t>
      </w:r>
      <w:r>
        <w:tab/>
      </w:r>
      <w:r>
        <w:rPr>
          <w:noProof/>
        </w:rPr>
        <w:t>Lessons learned from similar experiences in the past</w:t>
      </w:r>
      <w:bookmarkEnd w:id="25"/>
      <w:bookmarkEnd w:id="26"/>
    </w:p>
    <w:p>
      <w:pPr>
        <w:pStyle w:val="Text1"/>
        <w:pBdr>
          <w:top w:val="single" w:sz="4" w:space="1" w:color="auto"/>
          <w:left w:val="single" w:sz="4" w:space="4" w:color="auto"/>
          <w:bottom w:val="single" w:sz="4" w:space="1" w:color="auto"/>
          <w:right w:val="single" w:sz="4" w:space="4" w:color="auto"/>
        </w:pBdr>
        <w:rPr>
          <w:noProof/>
        </w:rPr>
      </w:pPr>
      <w:r>
        <w:rPr>
          <w:noProof/>
        </w:rPr>
        <w:t>The European Years organised over the last 10 years have proven their value as effective awareness raising instruments, which had an impact on both the general public and multipliers and have created synergies between different areas of intervention at Union and member States level.</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27" w:name="_Toc514938033"/>
      <w:bookmarkStart w:id="28" w:name="_Toc520485038"/>
      <w:r>
        <w:t>1.5.4.</w:t>
      </w:r>
      <w:r>
        <w:tab/>
      </w:r>
      <w:r>
        <w:rPr>
          <w:noProof/>
        </w:rPr>
        <w:t>Compatibility with the Multiannual Financial Framework and possible synergies with other appropriate instruments</w:t>
      </w:r>
      <w:bookmarkEnd w:id="27"/>
      <w:bookmarkEnd w:id="28"/>
    </w:p>
    <w:p>
      <w:pPr>
        <w:pStyle w:val="Text1"/>
        <w:pBdr>
          <w:top w:val="single" w:sz="4" w:space="1" w:color="auto"/>
          <w:left w:val="single" w:sz="4" w:space="4" w:color="auto"/>
          <w:bottom w:val="single" w:sz="4" w:space="1" w:color="auto"/>
          <w:right w:val="single" w:sz="4" w:space="4" w:color="auto"/>
        </w:pBdr>
        <w:rPr>
          <w:rStyle w:val="eop"/>
          <w:noProof/>
          <w:color w:val="000000"/>
          <w:shd w:val="clear" w:color="auto" w:fill="FFFFFF"/>
        </w:rPr>
      </w:pPr>
      <w:r>
        <w:rPr>
          <w:rStyle w:val="normaltextrun"/>
          <w:noProof/>
          <w:color w:val="000000"/>
          <w:shd w:val="clear" w:color="auto" w:fill="FFFFFF"/>
        </w:rPr>
        <w:t xml:space="preserve">The European Year of </w:t>
      </w:r>
      <w:r>
        <w:rPr>
          <w:noProof/>
        </w:rPr>
        <w:t>Youth (2022)</w:t>
      </w:r>
      <w:r>
        <w:rPr>
          <w:rStyle w:val="normaltextrun"/>
          <w:noProof/>
          <w:color w:val="000000"/>
          <w:shd w:val="clear" w:color="auto" w:fill="FFFFFF"/>
        </w:rPr>
        <w:t> will be cross-sectoral, building on all EU policies and programmes that strive to improve the lives of young people and empower them. It should build on existing initiatives and policies such as the European Green Deal, the Digital Decade, the New European Bauhaus, the Conference on the Future of Europe, the European Pillar of Social Rights, the Child Guarantee, the EU Strategy on the rights of the child, the Action Plan on Integration and Inclusion 2021-2027, the European Democracy Action Plan and the Rural Pact and Action Plan. </w:t>
      </w:r>
      <w:r>
        <w:rPr>
          <w:rStyle w:val="eop"/>
          <w:noProof/>
          <w:color w:val="000000"/>
          <w:shd w:val="clear" w:color="auto" w:fill="FFFFFF"/>
        </w:rPr>
        <w:t> </w:t>
      </w:r>
    </w:p>
    <w:p>
      <w:pPr>
        <w:pStyle w:val="Text1"/>
        <w:pBdr>
          <w:top w:val="single" w:sz="4" w:space="1" w:color="auto"/>
          <w:left w:val="single" w:sz="4" w:space="4" w:color="auto"/>
          <w:bottom w:val="single" w:sz="4" w:space="1" w:color="auto"/>
          <w:right w:val="single" w:sz="4" w:space="4" w:color="auto"/>
        </w:pBdr>
        <w:rPr>
          <w:rStyle w:val="normaltextrun"/>
          <w:noProof/>
          <w:color w:val="000000"/>
        </w:rPr>
      </w:pPr>
      <w:r>
        <w:rPr>
          <w:rStyle w:val="eop"/>
          <w:noProof/>
          <w:shd w:val="clear" w:color="auto" w:fill="FFFFFF"/>
        </w:rPr>
        <w:t xml:space="preserve">The </w:t>
      </w:r>
      <w:r>
        <w:rPr>
          <w:rStyle w:val="normaltextrun"/>
          <w:noProof/>
          <w:color w:val="000000"/>
        </w:rPr>
        <w:t>European Year of Youth has links with many Union policy areas beyond youth policy itself, such as education and training, employment, social inclusion, culture and the media, sports, health, research and innovation, environment and climate, cohesion policy, rural development, migration as well as with Union’s ties with its neighbourhood. It will underline the European, interdisciplinary dimension of youth, as the generation to move the continent forward, in an inclusive, sustainable and more digital way. </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rPr>
          <w:noProof/>
        </w:rPr>
        <w:br w:type="page"/>
      </w:r>
      <w:bookmarkStart w:id="29" w:name="_Toc514938039"/>
      <w:bookmarkStart w:id="30" w:name="_Toc520485040"/>
      <w:r>
        <w:t>1.6.</w:t>
      </w:r>
      <w:r>
        <w:tab/>
      </w:r>
      <w:r>
        <w:rPr>
          <w:noProof/>
        </w:rPr>
        <w:t>Duration and financial impact of the proposal/initiative</w:t>
      </w:r>
      <w:bookmarkEnd w:id="29"/>
      <w:bookmarkEnd w:id="30"/>
    </w:p>
    <w:p>
      <w:pPr>
        <w:pStyle w:val="Text1"/>
        <w:rPr>
          <w:noProof/>
        </w:rPr>
      </w:pPr>
      <w:r>
        <w:rPr>
          <w:noProof/>
        </w:rPr>
        <w:t>X</w:t>
      </w:r>
      <w:r>
        <w:rPr>
          <w:b/>
          <w:bCs/>
          <w:i/>
          <w:iCs/>
          <w:noProof/>
        </w:rPr>
        <w:t xml:space="preserve"> </w:t>
      </w:r>
      <w:r>
        <w:rPr>
          <w:b/>
          <w:bCs/>
          <w:noProof/>
        </w:rPr>
        <w:t xml:space="preserve">limited duration </w:t>
      </w:r>
    </w:p>
    <w:p>
      <w:pPr>
        <w:pStyle w:val="ListDash2"/>
        <w:rPr>
          <w:noProof/>
        </w:rPr>
      </w:pPr>
      <w:r>
        <w:rPr>
          <w:noProof/>
        </w:rPr>
        <w:t>X</w:t>
      </w:r>
      <w:r>
        <w:rPr>
          <w:noProof/>
        </w:rPr>
        <w:tab/>
        <w:t xml:space="preserve">in effect from adoption of the decision to 31/12/2023 </w:t>
      </w:r>
    </w:p>
    <w:p>
      <w:pPr>
        <w:pStyle w:val="ListDash2"/>
        <w:rPr>
          <w:noProof/>
        </w:rPr>
      </w:pPr>
      <w:r>
        <w:rPr>
          <w:noProof/>
        </w:rPr>
        <w:t>X</w:t>
      </w:r>
      <w:r>
        <w:rPr>
          <w:noProof/>
        </w:rPr>
        <w:tab/>
        <w:t xml:space="preserve">Financial impact from 2021 to 2024 for commitment appropriations and from 2022 to 2026 for payment appropriations. </w:t>
      </w:r>
    </w:p>
    <w:p>
      <w:pPr>
        <w:pStyle w:val="Text1"/>
        <w:rPr>
          <w:noProof/>
        </w:rPr>
      </w:pPr>
      <w:r>
        <w:rPr>
          <w:noProof/>
        </w:rPr>
        <w:sym w:font="Wingdings" w:char="F0A8"/>
      </w:r>
      <w:r>
        <w:rPr>
          <w:b/>
          <w:i/>
          <w:noProof/>
        </w:rPr>
        <w:t xml:space="preserve"> </w:t>
      </w:r>
      <w:r>
        <w:rPr>
          <w:b/>
          <w:noProof/>
        </w:rPr>
        <w:t>unlimited duration</w:t>
      </w:r>
    </w:p>
    <w:p>
      <w:pPr>
        <w:pStyle w:val="ListDash1"/>
        <w:rPr>
          <w:noProof/>
        </w:rPr>
      </w:pPr>
      <w:r>
        <w:rPr>
          <w:noProof/>
        </w:rPr>
        <w:t>Implementation with a start-up period from YYYY to YYYY,</w:t>
      </w:r>
    </w:p>
    <w:p>
      <w:pPr>
        <w:pStyle w:val="ListDash1"/>
        <w:rPr>
          <w:noProof/>
        </w:rPr>
      </w:pPr>
      <w:r>
        <w:rPr>
          <w:noProof/>
        </w:rPr>
        <w:t>followed by full-scale operation.</w:t>
      </w:r>
    </w:p>
    <w:p>
      <w:pPr>
        <w:pStyle w:val="ManualHeading2"/>
        <w:rPr>
          <w:noProof/>
        </w:rPr>
      </w:pPr>
      <w:bookmarkStart w:id="31" w:name="_Toc514938040"/>
      <w:bookmarkStart w:id="32" w:name="_Toc520485041"/>
      <w:r>
        <w:t>1.7.</w:t>
      </w:r>
      <w:r>
        <w:tab/>
      </w:r>
      <w:r>
        <w:rPr>
          <w:noProof/>
        </w:rPr>
        <w:t>Management mode(s) planned</w:t>
      </w:r>
      <w:r>
        <w:rPr>
          <w:rStyle w:val="FootnoteReference0"/>
          <w:noProof/>
        </w:rPr>
        <w:footnoteReference w:id="32"/>
      </w:r>
      <w:bookmarkEnd w:id="31"/>
      <w:bookmarkEnd w:id="32"/>
      <w:r>
        <w:rPr>
          <w:rStyle w:val="FootnoteReference0"/>
          <w:noProof/>
        </w:rPr>
        <w:t xml:space="preserve"> </w:t>
      </w:r>
    </w:p>
    <w:p>
      <w:pPr>
        <w:pStyle w:val="Text1"/>
        <w:rPr>
          <w:noProof/>
        </w:rPr>
      </w:pPr>
      <w:r>
        <w:rPr>
          <w:noProof/>
        </w:rPr>
        <w:t>X</w:t>
      </w:r>
      <w:r>
        <w:rPr>
          <w:i/>
          <w:noProof/>
        </w:rPr>
        <w:t xml:space="preserve"> </w:t>
      </w:r>
      <w:r>
        <w:rPr>
          <w:b/>
          <w:noProof/>
        </w:rPr>
        <w:t>Direct management</w:t>
      </w:r>
      <w:r>
        <w:rPr>
          <w:noProof/>
        </w:rPr>
        <w:t xml:space="preserve"> by the Commission</w:t>
      </w:r>
    </w:p>
    <w:p>
      <w:pPr>
        <w:pStyle w:val="ListDash2"/>
        <w:rPr>
          <w:rFonts w:cs="EUAlbertina"/>
          <w:noProof/>
        </w:rPr>
      </w:pPr>
      <w:r>
        <w:rPr>
          <w:noProof/>
        </w:rPr>
        <w:t xml:space="preserve">x by its departments, including by its staff in the Union delegations; </w:t>
      </w:r>
    </w:p>
    <w:p>
      <w:pPr>
        <w:pStyle w:val="ListDash2"/>
        <w:rPr>
          <w:noProof/>
        </w:rPr>
      </w:pPr>
      <w:r>
        <w:rPr>
          <w:noProof/>
        </w:rPr>
        <w:t>x</w:t>
      </w:r>
      <w:r>
        <w:rPr>
          <w:noProof/>
        </w:rPr>
        <w:tab/>
      </w:r>
      <w:r>
        <w:rPr>
          <w:b/>
          <w:bCs/>
          <w:noProof/>
        </w:rPr>
        <w:t xml:space="preserve">by the executive agencies </w:t>
      </w:r>
    </w:p>
    <w:p>
      <w:pPr>
        <w:pStyle w:val="Text1"/>
        <w:rPr>
          <w:noProof/>
        </w:rPr>
      </w:pPr>
      <w:r>
        <w:rPr>
          <w:noProof/>
        </w:rPr>
        <w:sym w:font="Wingdings" w:char="F0A8"/>
      </w:r>
      <w:r>
        <w:rPr>
          <w:b/>
          <w:bCs/>
          <w:i/>
          <w:iCs/>
          <w:noProof/>
        </w:rPr>
        <w:t xml:space="preserve"> </w:t>
      </w:r>
      <w:r>
        <w:rPr>
          <w:noProof/>
        </w:rPr>
        <w:t xml:space="preserve">Shared management with the Member States </w:t>
      </w:r>
    </w:p>
    <w:p>
      <w:pPr>
        <w:pStyle w:val="Text1"/>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pPr>
        <w:pStyle w:val="ListDash2"/>
        <w:rPr>
          <w:noProof/>
        </w:rPr>
      </w:pPr>
      <w:r>
        <w:rPr>
          <w:noProof/>
        </w:rPr>
        <w:sym w:font="Wingdings" w:char="F0A8"/>
      </w:r>
      <w:r>
        <w:rPr>
          <w:noProof/>
        </w:rPr>
        <w:t xml:space="preserve"> third countries or the bodies they have designated;</w:t>
      </w:r>
    </w:p>
    <w:p>
      <w:pPr>
        <w:pStyle w:val="ListDash2"/>
        <w:rPr>
          <w:noProof/>
        </w:rPr>
      </w:pPr>
      <w:r>
        <w:rPr>
          <w:noProof/>
        </w:rPr>
        <w:sym w:font="Wingdings" w:char="F0A8"/>
      </w:r>
      <w:r>
        <w:rPr>
          <w:noProof/>
        </w:rPr>
        <w:t xml:space="preserve"> international organisations and their agencies (to be specified);</w:t>
      </w:r>
    </w:p>
    <w:p>
      <w:pPr>
        <w:pStyle w:val="ListDash2"/>
        <w:rPr>
          <w:noProof/>
        </w:rPr>
      </w:pPr>
      <w:r>
        <w:rPr>
          <w:noProof/>
        </w:rPr>
        <w:sym w:font="Wingdings" w:char="F0A8"/>
      </w:r>
      <w:r>
        <w:rPr>
          <w:noProof/>
        </w:rPr>
        <w:t xml:space="preserve"> the EIB and the European Investment Fund;</w:t>
      </w:r>
    </w:p>
    <w:p>
      <w:pPr>
        <w:pStyle w:val="ListDash2"/>
        <w:rPr>
          <w:noProof/>
        </w:rPr>
      </w:pPr>
      <w:r>
        <w:rPr>
          <w:noProof/>
        </w:rPr>
        <w:sym w:font="Wingdings" w:char="F0A8"/>
      </w:r>
      <w:r>
        <w:rPr>
          <w:noProof/>
        </w:rPr>
        <w:t xml:space="preserve"> bodies referred to in Articles 70 and 71 of the Financial Regulation;</w:t>
      </w:r>
    </w:p>
    <w:p>
      <w:pPr>
        <w:pStyle w:val="ListDash2"/>
        <w:rPr>
          <w:noProof/>
        </w:rPr>
      </w:pPr>
      <w:r>
        <w:rPr>
          <w:noProof/>
        </w:rPr>
        <w:sym w:font="Wingdings" w:char="F0A8"/>
      </w:r>
      <w:r>
        <w:rPr>
          <w:noProof/>
        </w:rPr>
        <w:t xml:space="preserve"> public law bodies;</w:t>
      </w:r>
    </w:p>
    <w:p>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pPr>
        <w:pStyle w:val="ListDash2"/>
        <w:rPr>
          <w:noProof/>
        </w:rPr>
      </w:pPr>
      <w:r>
        <w:rPr>
          <w:noProof/>
        </w:rPr>
        <w:sym w:font="Wingdings" w:char="F0A8"/>
      </w:r>
      <w:r>
        <w:rPr>
          <w:noProof/>
        </w:rPr>
        <w:t xml:space="preserve"> bodies governed by the private law of a </w:t>
      </w:r>
      <w:smartTag w:uri="urn:schemas-microsoft-com:office:smarttags" w:element="place">
        <w:smartTag w:uri="urn:schemas-microsoft-com:office:smarttags" w:element="PlaceName">
          <w:r>
            <w:rPr>
              <w:noProof/>
            </w:rPr>
            <w:t>Member</w:t>
          </w:r>
        </w:smartTag>
        <w:r>
          <w:rPr>
            <w:noProof/>
          </w:rPr>
          <w:t xml:space="preserve"> </w:t>
        </w:r>
        <w:smartTag w:uri="urn:schemas-microsoft-com:office:smarttags" w:element="PlaceType">
          <w:r>
            <w:rPr>
              <w:noProof/>
            </w:rPr>
            <w:t>State</w:t>
          </w:r>
        </w:smartTag>
      </w:smartTag>
      <w:r>
        <w:rPr>
          <w:noProof/>
        </w:rPr>
        <w:t xml:space="preserve"> that are entrusted with the implementation of a public-private partnership and that provide adequate financial guarantees;</w:t>
      </w:r>
    </w:p>
    <w:p>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pPr>
        <w:pStyle w:val="ListDash2"/>
        <w:rPr>
          <w:i/>
          <w:noProof/>
          <w:sz w:val="18"/>
          <w:u w:val="single"/>
        </w:rPr>
      </w:pPr>
      <w:r>
        <w:rPr>
          <w:i/>
          <w:noProof/>
          <w:sz w:val="18"/>
        </w:rPr>
        <w:t>If more than one management mode is indicated, please provide details in the ‘Comments’ section.</w:t>
      </w:r>
    </w:p>
    <w:p>
      <w:pPr>
        <w:rPr>
          <w:noProof/>
        </w:rPr>
      </w:pPr>
      <w:r>
        <w:rPr>
          <w:noProof/>
        </w:rPr>
        <w:t xml:space="preserve">Comments </w:t>
      </w:r>
    </w:p>
    <w:p>
      <w:pPr>
        <w:pStyle w:val="Text1"/>
        <w:pBdr>
          <w:top w:val="single" w:sz="4" w:space="1" w:color="auto"/>
          <w:left w:val="single" w:sz="4" w:space="4" w:color="auto"/>
          <w:bottom w:val="single" w:sz="4" w:space="1" w:color="auto"/>
          <w:right w:val="single" w:sz="4" w:space="4" w:color="auto"/>
        </w:pBdr>
        <w:rPr>
          <w:noProof/>
        </w:rPr>
      </w:pP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33" w:name="_Toc514938041"/>
      <w:bookmarkStart w:id="34" w:name="_Toc520485042"/>
      <w:r>
        <w:t>2.</w:t>
      </w:r>
      <w:r>
        <w:tab/>
      </w:r>
      <w:r>
        <w:rPr>
          <w:noProof/>
        </w:rPr>
        <w:t>MANAGEMENT MEASURES</w:t>
      </w:r>
      <w:bookmarkEnd w:id="33"/>
      <w:bookmarkEnd w:id="34"/>
      <w:r>
        <w:rPr>
          <w:noProof/>
        </w:rPr>
        <w:t xml:space="preserve"> </w:t>
      </w:r>
    </w:p>
    <w:p>
      <w:pPr>
        <w:pStyle w:val="ManualHeading2"/>
        <w:rPr>
          <w:noProof/>
        </w:rPr>
      </w:pPr>
      <w:bookmarkStart w:id="35" w:name="_Toc514938042"/>
      <w:bookmarkStart w:id="36" w:name="_Toc520485043"/>
      <w:r>
        <w:t>2.1.</w:t>
      </w:r>
      <w:r>
        <w:tab/>
      </w:r>
      <w:r>
        <w:rPr>
          <w:noProof/>
        </w:rPr>
        <w:t>Monitoring and reporting rules</w:t>
      </w:r>
      <w:bookmarkEnd w:id="35"/>
      <w:bookmarkEnd w:id="36"/>
      <w:r>
        <w:rPr>
          <w:noProof/>
        </w:rPr>
        <w:t xml:space="preserve"> </w:t>
      </w:r>
    </w:p>
    <w:p>
      <w:pPr>
        <w:pStyle w:val="Text1"/>
        <w:rPr>
          <w:i/>
          <w:noProof/>
          <w:sz w:val="20"/>
        </w:rPr>
      </w:pPr>
      <w:r>
        <w:rPr>
          <w:i/>
          <w:noProof/>
          <w:sz w:val="20"/>
        </w:rPr>
        <w:t>Specify frequency and conditions.</w:t>
      </w:r>
    </w:p>
    <w:p>
      <w:pPr>
        <w:pStyle w:val="Text1"/>
        <w:pBdr>
          <w:top w:val="single" w:sz="4" w:space="1" w:color="auto"/>
          <w:left w:val="single" w:sz="4" w:space="4" w:color="auto"/>
          <w:bottom w:val="single" w:sz="4" w:space="1" w:color="auto"/>
          <w:right w:val="single" w:sz="4" w:space="4" w:color="auto"/>
        </w:pBdr>
        <w:rPr>
          <w:noProof/>
        </w:rPr>
      </w:pPr>
      <w:r>
        <w:rPr>
          <w:noProof/>
        </w:rPr>
        <w:t>Work Programme of the European Year</w:t>
      </w:r>
    </w:p>
    <w:p>
      <w:pPr>
        <w:pStyle w:val="Text1"/>
        <w:pBdr>
          <w:top w:val="single" w:sz="4" w:space="1" w:color="auto"/>
          <w:left w:val="single" w:sz="4" w:space="4" w:color="auto"/>
          <w:bottom w:val="single" w:sz="4" w:space="1" w:color="auto"/>
          <w:right w:val="single" w:sz="4" w:space="4" w:color="auto"/>
        </w:pBdr>
        <w:rPr>
          <w:noProof/>
        </w:rPr>
      </w:pPr>
      <w:r>
        <w:rPr>
          <w:noProof/>
        </w:rPr>
        <w:t>Establishment of a Steering Committee</w:t>
      </w:r>
    </w:p>
    <w:p>
      <w:pPr>
        <w:pStyle w:val="ManualHeading2"/>
        <w:rPr>
          <w:bCs/>
          <w:noProof/>
          <w:szCs w:val="24"/>
        </w:rPr>
      </w:pPr>
      <w:bookmarkStart w:id="37" w:name="_Toc514938045"/>
      <w:bookmarkStart w:id="38" w:name="_Toc520485044"/>
      <w:r>
        <w:t>2.2.</w:t>
      </w:r>
      <w:r>
        <w:tab/>
      </w:r>
      <w:r>
        <w:rPr>
          <w:noProof/>
        </w:rPr>
        <w:t>Management and control system(s)</w:t>
      </w:r>
      <w:bookmarkEnd w:id="37"/>
      <w:bookmarkEnd w:id="38"/>
      <w:r>
        <w:rPr>
          <w:noProof/>
        </w:rPr>
        <w:t xml:space="preserve"> </w:t>
      </w:r>
    </w:p>
    <w:p>
      <w:pPr>
        <w:pStyle w:val="ManualHeading3"/>
        <w:rPr>
          <w:noProof/>
        </w:rPr>
      </w:pPr>
      <w:bookmarkStart w:id="39" w:name="_Toc514938046"/>
      <w:bookmarkStart w:id="40" w:name="_Toc520485045"/>
      <w:r>
        <w:t>2.2.1.</w:t>
      </w:r>
      <w:r>
        <w:tab/>
      </w:r>
      <w:r>
        <w:rPr>
          <w:noProof/>
        </w:rPr>
        <w:t>Justification of the management mode(s), the funding implementation mechanism(s), the payment modalities and the control strategy proposed</w:t>
      </w:r>
      <w:bookmarkEnd w:id="39"/>
      <w:bookmarkEnd w:id="40"/>
    </w:p>
    <w:p>
      <w:pPr>
        <w:pStyle w:val="Text1"/>
        <w:pBdr>
          <w:top w:val="single" w:sz="4" w:space="1" w:color="auto"/>
          <w:left w:val="single" w:sz="4" w:space="4" w:color="auto"/>
          <w:bottom w:val="single" w:sz="4" w:space="1" w:color="auto"/>
          <w:right w:val="single" w:sz="4" w:space="4" w:color="auto"/>
        </w:pBdr>
      </w:pPr>
      <w:r>
        <w:rPr>
          <w:noProof/>
          <w:shd w:val="clear" w:color="auto" w:fill="FFFFFF"/>
        </w:rPr>
        <w:t>Direct management, as per article 62.1(a) of the Financial Regulation, is the preferable mode as the actions will be implemented by the European Commission, in particular DG EAC, which will ensure the coordination with the Member States and the various stakeholders.</w:t>
      </w:r>
    </w:p>
    <w:p>
      <w:pPr>
        <w:pStyle w:val="ManualHeading3"/>
        <w:rPr>
          <w:noProof/>
        </w:rPr>
      </w:pPr>
      <w:bookmarkStart w:id="41" w:name="_Toc514938048"/>
      <w:bookmarkStart w:id="42" w:name="_Toc520485047"/>
      <w:r>
        <w:t>2.2.2.</w:t>
      </w:r>
      <w:r>
        <w:tab/>
      </w:r>
      <w:r>
        <w:rPr>
          <w:noProof/>
        </w:rPr>
        <w:t>Estimation and justification of the cost-effectiveness of the controls (ratio of "control costs ÷ value of the related funds managed"), and assessment of the expected levels of risk of error (at payment &amp; at closure)</w:t>
      </w:r>
      <w:bookmarkEnd w:id="41"/>
      <w:bookmarkEnd w:id="4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controls are part of DG EAC internal control system. These new activities will generate non-significant additional costs of control at DG level. </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43" w:name="_Toc514938049"/>
      <w:bookmarkStart w:id="44" w:name="_Toc520485048"/>
      <w:r>
        <w:t>2.3.</w:t>
      </w:r>
      <w:r>
        <w:tab/>
      </w:r>
      <w:r>
        <w:rPr>
          <w:noProof/>
        </w:rPr>
        <w:t>Measures to prevent fraud and irregularities</w:t>
      </w:r>
      <w:bookmarkEnd w:id="43"/>
      <w:bookmarkEnd w:id="44"/>
      <w:r>
        <w:rPr>
          <w:noProof/>
        </w:rPr>
        <w:t xml:space="preserve"> </w:t>
      </w:r>
    </w:p>
    <w:p>
      <w:pPr>
        <w:pStyle w:val="Text1"/>
        <w:rPr>
          <w:i/>
          <w:noProof/>
          <w:sz w:val="20"/>
        </w:rPr>
      </w:pPr>
      <w:r>
        <w:rPr>
          <w:i/>
          <w:noProof/>
          <w:sz w:val="20"/>
        </w:rPr>
        <w:t>Specify existing or envisaged prevention and protection measures, e.g. from the Anti-Fraud Strategy.</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Commission shall ensure that, when actions financed under this Decision are implemented, the financial interests of the Union are protected by the application of preventive measures against fraud, corruption and any other illegal activities, by effective checks and by the recovery of the amounts unduly paid and, if irregularities are detected, by effective, proportional and dissuasive penalties. The Commission is authorised to carry out checks and verifications in situ under this Decision, in compliance Council Regulation (Euratom, EC) No 2185/96 of 11 November 1996 concerning on-the-spot checks and inspections carried out by the Commission in order to protect the European Communities' financial interests against fraud and other irregularities. If need be, investigations shall be carried out by the European Anti-Fraud Office and shall be governed by Regulation (EC) No 1073/1999 of the European Parliament and of the Council of 25 May 1999 concerning investigations conducted by the European Anti-Fraud Office (OLAF) </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45" w:name="_Toc514938050"/>
      <w:bookmarkStart w:id="46" w:name="_Toc520485049"/>
      <w:r>
        <w:t>3.</w:t>
      </w:r>
      <w:r>
        <w:tab/>
      </w:r>
      <w:r>
        <w:rPr>
          <w:noProof/>
        </w:rPr>
        <w:t>ESTIMATED FINANCIAL IMPACT OF THE PROPOSAL/INITIATIVE</w:t>
      </w:r>
      <w:bookmarkEnd w:id="45"/>
      <w:bookmarkEnd w:id="46"/>
      <w:r>
        <w:rPr>
          <w:noProof/>
        </w:rPr>
        <w:t xml:space="preserve"> </w:t>
      </w:r>
    </w:p>
    <w:p>
      <w:pPr>
        <w:pStyle w:val="ManualHeading2"/>
        <w:rPr>
          <w:noProof/>
        </w:rPr>
      </w:pPr>
      <w:bookmarkStart w:id="47" w:name="_Toc514938051"/>
      <w:bookmarkStart w:id="48" w:name="_Toc520485050"/>
      <w:r>
        <w:t>3.1.</w:t>
      </w:r>
      <w:r>
        <w:tab/>
      </w:r>
      <w:r>
        <w:rPr>
          <w:noProof/>
        </w:rPr>
        <w:t>Heading(s) of the multiannual financial framework and expenditure budget line(s) affected</w:t>
      </w:r>
      <w:bookmarkEnd w:id="47"/>
      <w:bookmarkEnd w:id="48"/>
      <w:r>
        <w:rPr>
          <w:noProof/>
        </w:rPr>
        <w:t xml:space="preserve"> </w:t>
      </w:r>
    </w:p>
    <w:p>
      <w:pPr>
        <w:pStyle w:val="ListBullet1"/>
        <w:rPr>
          <w:noProof/>
        </w:rPr>
      </w:pPr>
      <w:r>
        <w:rPr>
          <w:noProof/>
        </w:rPr>
        <w:t xml:space="preserve">Existing budget lines </w:t>
      </w:r>
    </w:p>
    <w:p>
      <w:pPr>
        <w:pStyle w:val="Text1"/>
        <w:rPr>
          <w:i/>
          <w:noProof/>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szCs w:val="18"/>
              </w:rPr>
              <w:t>Heading of multiannual financial framework</w:t>
            </w:r>
          </w:p>
        </w:tc>
        <w:tc>
          <w:tcPr>
            <w:tcW w:w="3960" w:type="dxa"/>
            <w:vAlign w:val="center"/>
          </w:tcPr>
          <w:p>
            <w:pPr>
              <w:spacing w:before="60" w:after="60"/>
              <w:jc w:val="center"/>
              <w:rPr>
                <w:noProof/>
              </w:rPr>
            </w:pPr>
            <w:r>
              <w:rPr>
                <w:noProof/>
                <w:sz w:val="20"/>
                <w:szCs w:val="20"/>
              </w:rPr>
              <w:t>Budget line</w:t>
            </w:r>
          </w:p>
        </w:tc>
        <w:tc>
          <w:tcPr>
            <w:tcW w:w="1080" w:type="dxa"/>
            <w:vAlign w:val="center"/>
          </w:tcPr>
          <w:p>
            <w:pPr>
              <w:spacing w:before="60" w:after="60"/>
              <w:jc w:val="center"/>
              <w:rPr>
                <w:noProof/>
              </w:rPr>
            </w:pPr>
            <w:r>
              <w:rPr>
                <w:noProof/>
                <w:sz w:val="18"/>
                <w:szCs w:val="18"/>
              </w:rPr>
              <w:t xml:space="preserve">Type of </w:t>
            </w:r>
            <w:r>
              <w:rPr>
                <w:noProof/>
                <w:sz w:val="22"/>
                <w:highlight w:val="yellow"/>
              </w:rPr>
              <w:br/>
            </w:r>
            <w:r>
              <w:rPr>
                <w:noProof/>
                <w:sz w:val="18"/>
                <w:szCs w:val="18"/>
              </w:rPr>
              <w:t>expenditure</w:t>
            </w:r>
          </w:p>
        </w:tc>
        <w:tc>
          <w:tcPr>
            <w:tcW w:w="4440" w:type="dxa"/>
            <w:gridSpan w:val="4"/>
            <w:vAlign w:val="center"/>
          </w:tcPr>
          <w:p>
            <w:pPr>
              <w:spacing w:before="60" w:after="60"/>
              <w:jc w:val="center"/>
              <w:rPr>
                <w:noProof/>
              </w:rPr>
            </w:pPr>
            <w:r>
              <w:rPr>
                <w:noProof/>
                <w:sz w:val="20"/>
                <w:szCs w:val="20"/>
              </w:rPr>
              <w:t xml:space="preserve">Contribution </w:t>
            </w:r>
          </w:p>
        </w:tc>
      </w:tr>
      <w:tr>
        <w:tc>
          <w:tcPr>
            <w:tcW w:w="1080" w:type="dxa"/>
            <w:vMerge/>
            <w:vAlign w:val="center"/>
          </w:tcPr>
          <w:p>
            <w:pPr>
              <w:jc w:val="center"/>
              <w:rPr>
                <w:noProof/>
                <w:highlight w:val="yellow"/>
              </w:rPr>
            </w:pPr>
          </w:p>
        </w:tc>
        <w:tc>
          <w:tcPr>
            <w:tcW w:w="3960" w:type="dxa"/>
            <w:vAlign w:val="center"/>
          </w:tcPr>
          <w:p>
            <w:pPr>
              <w:rPr>
                <w:noProof/>
              </w:rPr>
            </w:pPr>
            <w:r>
              <w:rPr>
                <w:noProof/>
                <w:sz w:val="20"/>
                <w:szCs w:val="20"/>
              </w:rPr>
              <w:t xml:space="preserve">Number </w:t>
            </w:r>
            <w:r>
              <w:rPr>
                <w:noProof/>
                <w:sz w:val="22"/>
                <w:highlight w:val="yellow"/>
              </w:rPr>
              <w:br/>
            </w:r>
          </w:p>
        </w:tc>
        <w:tc>
          <w:tcPr>
            <w:tcW w:w="1080" w:type="dxa"/>
            <w:vAlign w:val="center"/>
          </w:tcPr>
          <w:p>
            <w:pPr>
              <w:jc w:val="center"/>
              <w:rPr>
                <w:noProof/>
              </w:rPr>
            </w:pPr>
            <w:r>
              <w:rPr>
                <w:noProof/>
                <w:sz w:val="18"/>
                <w:szCs w:val="18"/>
              </w:rPr>
              <w:t>Diff./Non-diff.</w:t>
            </w:r>
            <w:r>
              <w:rPr>
                <w:rStyle w:val="FootnoteReference0"/>
                <w:noProof/>
                <w:sz w:val="18"/>
                <w:szCs w:val="18"/>
              </w:rPr>
              <w:footnoteReference w:id="33"/>
            </w:r>
          </w:p>
        </w:tc>
        <w:tc>
          <w:tcPr>
            <w:tcW w:w="956" w:type="dxa"/>
            <w:vAlign w:val="center"/>
          </w:tcPr>
          <w:p>
            <w:pPr>
              <w:jc w:val="center"/>
              <w:rPr>
                <w:noProof/>
              </w:rPr>
            </w:pPr>
            <w:r>
              <w:rPr>
                <w:noProof/>
                <w:sz w:val="18"/>
                <w:szCs w:val="18"/>
              </w:rPr>
              <w:t>from EFTA countries</w:t>
            </w:r>
            <w:r>
              <w:rPr>
                <w:rStyle w:val="FootnoteReference0"/>
                <w:noProof/>
                <w:sz w:val="18"/>
                <w:szCs w:val="18"/>
              </w:rPr>
              <w:footnoteReference w:id="34"/>
            </w:r>
          </w:p>
          <w:p>
            <w:pPr>
              <w:spacing w:before="0" w:after="0"/>
              <w:jc w:val="center"/>
              <w:rPr>
                <w:b/>
                <w:noProof/>
                <w:sz w:val="18"/>
                <w:szCs w:val="18"/>
              </w:rPr>
            </w:pPr>
          </w:p>
        </w:tc>
        <w:tc>
          <w:tcPr>
            <w:tcW w:w="1080" w:type="dxa"/>
            <w:vAlign w:val="center"/>
          </w:tcPr>
          <w:p>
            <w:pPr>
              <w:jc w:val="center"/>
              <w:rPr>
                <w:noProof/>
              </w:rPr>
            </w:pPr>
            <w:r>
              <w:rPr>
                <w:noProof/>
                <w:sz w:val="18"/>
                <w:szCs w:val="18"/>
              </w:rPr>
              <w:t>from candidate countries</w:t>
            </w:r>
            <w:r>
              <w:rPr>
                <w:rStyle w:val="FootnoteReference0"/>
                <w:noProof/>
                <w:sz w:val="18"/>
                <w:szCs w:val="18"/>
              </w:rPr>
              <w:footnoteReference w:id="35"/>
            </w:r>
          </w:p>
          <w:p>
            <w:pPr>
              <w:spacing w:before="0" w:after="0"/>
              <w:jc w:val="center"/>
              <w:rPr>
                <w:noProof/>
                <w:sz w:val="18"/>
                <w:szCs w:val="18"/>
              </w:rPr>
            </w:pPr>
          </w:p>
        </w:tc>
        <w:tc>
          <w:tcPr>
            <w:tcW w:w="956" w:type="dxa"/>
            <w:vAlign w:val="center"/>
          </w:tcPr>
          <w:p>
            <w:pPr>
              <w:jc w:val="center"/>
              <w:rPr>
                <w:noProof/>
                <w:sz w:val="18"/>
                <w:szCs w:val="18"/>
              </w:rPr>
            </w:pPr>
            <w:r>
              <w:rPr>
                <w:noProof/>
                <w:sz w:val="18"/>
                <w:szCs w:val="18"/>
              </w:rPr>
              <w:t>from third countries</w:t>
            </w:r>
          </w:p>
        </w:tc>
        <w:tc>
          <w:tcPr>
            <w:tcW w:w="1448" w:type="dxa"/>
            <w:vAlign w:val="center"/>
          </w:tcPr>
          <w:p>
            <w:pPr>
              <w:jc w:val="center"/>
              <w:rPr>
                <w:noProof/>
              </w:rPr>
            </w:pPr>
            <w:r>
              <w:rPr>
                <w:noProof/>
                <w:sz w:val="16"/>
                <w:szCs w:val="16"/>
              </w:rPr>
              <w:t xml:space="preserve">within the meaning of Article 21(2)(b) of the Financial Regulation </w:t>
            </w:r>
          </w:p>
        </w:tc>
      </w:tr>
      <w:tr>
        <w:tc>
          <w:tcPr>
            <w:tcW w:w="1080" w:type="dxa"/>
            <w:vAlign w:val="center"/>
          </w:tcPr>
          <w:p>
            <w:pPr>
              <w:jc w:val="center"/>
              <w:rPr>
                <w:noProof/>
                <w:color w:val="0000FF"/>
              </w:rPr>
            </w:pPr>
          </w:p>
        </w:tc>
        <w:tc>
          <w:tcPr>
            <w:tcW w:w="3960" w:type="dxa"/>
            <w:vAlign w:val="center"/>
          </w:tcPr>
          <w:p>
            <w:pPr>
              <w:spacing w:after="60"/>
              <w:rPr>
                <w:noProof/>
              </w:rPr>
            </w:pPr>
          </w:p>
        </w:tc>
        <w:tc>
          <w:tcPr>
            <w:tcW w:w="1080" w:type="dxa"/>
            <w:vAlign w:val="center"/>
          </w:tcPr>
          <w:p>
            <w:pPr>
              <w:jc w:val="center"/>
              <w:rPr>
                <w:noProof/>
                <w:color w:val="0000FF"/>
              </w:rPr>
            </w:pPr>
            <w:r>
              <w:rPr>
                <w:noProof/>
                <w:sz w:val="22"/>
              </w:rPr>
              <w:t>Diff./Non-diff.</w:t>
            </w:r>
          </w:p>
        </w:tc>
        <w:tc>
          <w:tcPr>
            <w:tcW w:w="956" w:type="dxa"/>
            <w:vAlign w:val="center"/>
          </w:tcPr>
          <w:p>
            <w:pPr>
              <w:jc w:val="center"/>
              <w:rPr>
                <w:noProof/>
                <w:sz w:val="20"/>
                <w:szCs w:val="20"/>
              </w:rPr>
            </w:pPr>
            <w:r>
              <w:rPr>
                <w:noProof/>
                <w:sz w:val="20"/>
                <w:szCs w:val="20"/>
              </w:rPr>
              <w:t>YES/NO</w:t>
            </w:r>
          </w:p>
        </w:tc>
        <w:tc>
          <w:tcPr>
            <w:tcW w:w="1080" w:type="dxa"/>
            <w:vAlign w:val="center"/>
          </w:tcPr>
          <w:p>
            <w:pPr>
              <w:jc w:val="center"/>
              <w:rPr>
                <w:noProof/>
                <w:sz w:val="20"/>
                <w:szCs w:val="20"/>
              </w:rPr>
            </w:pPr>
            <w:r>
              <w:rPr>
                <w:noProof/>
                <w:sz w:val="20"/>
                <w:szCs w:val="20"/>
              </w:rPr>
              <w:t>YES/NO</w:t>
            </w:r>
          </w:p>
        </w:tc>
        <w:tc>
          <w:tcPr>
            <w:tcW w:w="956" w:type="dxa"/>
            <w:vAlign w:val="center"/>
          </w:tcPr>
          <w:p>
            <w:pPr>
              <w:jc w:val="center"/>
              <w:rPr>
                <w:noProof/>
                <w:sz w:val="20"/>
                <w:szCs w:val="20"/>
              </w:rPr>
            </w:pPr>
            <w:r>
              <w:rPr>
                <w:noProof/>
                <w:sz w:val="20"/>
                <w:szCs w:val="20"/>
              </w:rPr>
              <w:t>YES/NO</w:t>
            </w:r>
          </w:p>
        </w:tc>
        <w:tc>
          <w:tcPr>
            <w:tcW w:w="1448" w:type="dxa"/>
            <w:vAlign w:val="center"/>
          </w:tcPr>
          <w:p>
            <w:pPr>
              <w:jc w:val="center"/>
              <w:rPr>
                <w:noProof/>
                <w:sz w:val="20"/>
                <w:szCs w:val="20"/>
              </w:rPr>
            </w:pPr>
            <w:r>
              <w:rPr>
                <w:noProof/>
                <w:sz w:val="20"/>
                <w:szCs w:val="20"/>
              </w:rPr>
              <w:t>YES/NO</w:t>
            </w:r>
          </w:p>
        </w:tc>
      </w:tr>
      <w:tr>
        <w:tc>
          <w:tcPr>
            <w:tcW w:w="1080" w:type="dxa"/>
            <w:vAlign w:val="center"/>
          </w:tcPr>
          <w:p>
            <w:pPr>
              <w:jc w:val="center"/>
              <w:rPr>
                <w:noProof/>
                <w:sz w:val="22"/>
              </w:rPr>
            </w:pPr>
            <w:r>
              <w:rPr>
                <w:noProof/>
                <w:sz w:val="22"/>
              </w:rPr>
              <w:t>2.b</w:t>
            </w:r>
          </w:p>
        </w:tc>
        <w:tc>
          <w:tcPr>
            <w:tcW w:w="3960" w:type="dxa"/>
            <w:vAlign w:val="center"/>
          </w:tcPr>
          <w:p>
            <w:pPr>
              <w:spacing w:before="60"/>
              <w:rPr>
                <w:noProof/>
                <w:sz w:val="22"/>
              </w:rPr>
            </w:pPr>
            <w:r>
              <w:rPr>
                <w:noProof/>
                <w:sz w:val="22"/>
              </w:rPr>
              <w:t>07 01 02 01 - Support expenditure for Erasmus</w:t>
            </w:r>
          </w:p>
        </w:tc>
        <w:tc>
          <w:tcPr>
            <w:tcW w:w="1080" w:type="dxa"/>
            <w:vAlign w:val="center"/>
          </w:tcPr>
          <w:p>
            <w:pPr>
              <w:jc w:val="center"/>
              <w:rPr>
                <w:noProof/>
                <w:sz w:val="22"/>
              </w:rPr>
            </w:pPr>
            <w:r>
              <w:rPr>
                <w:noProof/>
                <w:sz w:val="22"/>
              </w:rPr>
              <w:t>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vAlign w:val="center"/>
          </w:tcPr>
          <w:p>
            <w:pPr>
              <w:jc w:val="center"/>
              <w:rPr>
                <w:noProof/>
                <w:sz w:val="22"/>
              </w:rPr>
            </w:pPr>
            <w:r>
              <w:rPr>
                <w:noProof/>
                <w:sz w:val="22"/>
              </w:rPr>
              <w:t>2.b</w:t>
            </w:r>
          </w:p>
        </w:tc>
        <w:tc>
          <w:tcPr>
            <w:tcW w:w="3960" w:type="dxa"/>
            <w:vAlign w:val="center"/>
          </w:tcPr>
          <w:p>
            <w:pPr>
              <w:spacing w:before="60"/>
              <w:rPr>
                <w:noProof/>
                <w:sz w:val="22"/>
              </w:rPr>
            </w:pPr>
            <w:r>
              <w:rPr>
                <w:noProof/>
                <w:sz w:val="22"/>
              </w:rPr>
              <w:t>07 01 03 01 - Support expenditure for the European Solidarity Corps</w:t>
            </w:r>
          </w:p>
        </w:tc>
        <w:tc>
          <w:tcPr>
            <w:tcW w:w="1080" w:type="dxa"/>
            <w:vAlign w:val="center"/>
          </w:tcPr>
          <w:p>
            <w:pPr>
              <w:jc w:val="center"/>
              <w:rPr>
                <w:noProof/>
                <w:sz w:val="22"/>
              </w:rPr>
            </w:pPr>
            <w:r>
              <w:rPr>
                <w:noProof/>
                <w:sz w:val="22"/>
              </w:rPr>
              <w:t>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2"/>
              </w:rPr>
            </w:pPr>
            <w:r>
              <w:rPr>
                <w:noProof/>
                <w:sz w:val="22"/>
              </w:rPr>
              <w:t>2.b</w:t>
            </w: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rPr>
                <w:noProof/>
                <w:sz w:val="22"/>
              </w:rPr>
            </w:pPr>
            <w:r>
              <w:rPr>
                <w:noProof/>
                <w:sz w:val="22"/>
              </w:rPr>
              <w:t>07 03 01 02 — Promoting learning mobility of individuals, as well as cooperation, inclusion, excellence, creativity and innovation at the level of organisations and policies in the field of education and training — Direct management</w:t>
            </w:r>
          </w:p>
        </w:tc>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2"/>
              </w:rPr>
            </w:pPr>
            <w:r>
              <w:rPr>
                <w:noProof/>
                <w:sz w:val="22"/>
              </w:rPr>
              <w:t>Diff.</w:t>
            </w:r>
          </w:p>
        </w:tc>
        <w:tc>
          <w:tcPr>
            <w:tcW w:w="956"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956"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1448"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NO</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2"/>
              </w:rPr>
            </w:pPr>
            <w:r>
              <w:rPr>
                <w:noProof/>
                <w:sz w:val="22"/>
              </w:rPr>
              <w:t>2.b</w:t>
            </w: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rPr>
                <w:noProof/>
                <w:sz w:val="22"/>
              </w:rPr>
            </w:pPr>
            <w:r>
              <w:rPr>
                <w:noProof/>
                <w:sz w:val="22"/>
              </w:rPr>
              <w:t>07 03 02 — Promoting non-formal learning mobility and active participation among young people, as well as cooperation, inclusion, creativity and innovation at the level of organisations and policies in the field of youth</w:t>
            </w:r>
          </w:p>
        </w:tc>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2"/>
              </w:rPr>
            </w:pPr>
            <w:r>
              <w:rPr>
                <w:noProof/>
                <w:sz w:val="22"/>
              </w:rPr>
              <w:t>Diff.</w:t>
            </w:r>
          </w:p>
        </w:tc>
        <w:tc>
          <w:tcPr>
            <w:tcW w:w="956"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956"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1448"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NO</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2"/>
              </w:rPr>
            </w:pPr>
            <w:r>
              <w:rPr>
                <w:noProof/>
                <w:sz w:val="22"/>
              </w:rPr>
              <w:t>2.b</w:t>
            </w:r>
          </w:p>
        </w:tc>
        <w:tc>
          <w:tcPr>
            <w:tcW w:w="3960" w:type="dxa"/>
            <w:tcBorders>
              <w:top w:val="single" w:sz="4" w:space="0" w:color="auto"/>
              <w:left w:val="single" w:sz="4" w:space="0" w:color="auto"/>
              <w:bottom w:val="single" w:sz="4" w:space="0" w:color="auto"/>
              <w:right w:val="single" w:sz="4" w:space="0" w:color="auto"/>
            </w:tcBorders>
            <w:vAlign w:val="center"/>
          </w:tcPr>
          <w:p>
            <w:pPr>
              <w:spacing w:before="60"/>
              <w:rPr>
                <w:noProof/>
                <w:sz w:val="22"/>
              </w:rPr>
            </w:pPr>
            <w:r>
              <w:rPr>
                <w:noProof/>
                <w:sz w:val="22"/>
              </w:rPr>
              <w:t>07 04 01 — European Solidarity Corps</w:t>
            </w:r>
          </w:p>
        </w:tc>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2"/>
              </w:rPr>
            </w:pPr>
            <w:r>
              <w:rPr>
                <w:noProof/>
                <w:sz w:val="22"/>
              </w:rPr>
              <w:t>Diff.</w:t>
            </w:r>
          </w:p>
        </w:tc>
        <w:tc>
          <w:tcPr>
            <w:tcW w:w="956"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956"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YES</w:t>
            </w:r>
          </w:p>
        </w:tc>
        <w:tc>
          <w:tcPr>
            <w:tcW w:w="1448" w:type="dxa"/>
            <w:tcBorders>
              <w:top w:val="single" w:sz="4" w:space="0" w:color="auto"/>
              <w:left w:val="single" w:sz="4" w:space="0" w:color="auto"/>
              <w:bottom w:val="single" w:sz="4" w:space="0" w:color="auto"/>
              <w:right w:val="single" w:sz="4" w:space="0" w:color="auto"/>
            </w:tcBorders>
            <w:vAlign w:val="center"/>
          </w:tcPr>
          <w:p>
            <w:pPr>
              <w:jc w:val="center"/>
              <w:rPr>
                <w:noProof/>
                <w:sz w:val="20"/>
                <w:szCs w:val="20"/>
              </w:rPr>
            </w:pPr>
            <w:r>
              <w:rPr>
                <w:noProof/>
                <w:sz w:val="20"/>
                <w:szCs w:val="20"/>
              </w:rPr>
              <w:t>NO</w:t>
            </w:r>
          </w:p>
        </w:tc>
      </w:tr>
    </w:tbl>
    <w:p>
      <w:pPr>
        <w:rPr>
          <w:noProof/>
        </w:rPr>
        <w:sectPr>
          <w:pgSz w:w="11907" w:h="16840" w:code="1"/>
          <w:pgMar w:top="1134" w:right="1418" w:bottom="1134" w:left="1418" w:header="709" w:footer="709" w:gutter="0"/>
          <w:cols w:space="708"/>
          <w:docGrid w:linePitch="360"/>
        </w:sectPr>
      </w:pPr>
    </w:p>
    <w:p>
      <w:pPr>
        <w:pStyle w:val="ManualHeading2"/>
        <w:rPr>
          <w:noProof/>
          <w:szCs w:val="24"/>
        </w:rPr>
      </w:pPr>
      <w:bookmarkStart w:id="49" w:name="_Toc514938052"/>
      <w:bookmarkStart w:id="50" w:name="_Toc520485051"/>
      <w:r>
        <w:t>3.2.</w:t>
      </w:r>
      <w:r>
        <w:tab/>
      </w:r>
      <w:r>
        <w:rPr>
          <w:noProof/>
        </w:rPr>
        <w:t>Estimated financial impact of the proposal on appropriations</w:t>
      </w:r>
      <w:bookmarkEnd w:id="49"/>
      <w:bookmarkEnd w:id="50"/>
      <w:r>
        <w:rPr>
          <w:noProof/>
        </w:rPr>
        <w:t xml:space="preserve"> </w:t>
      </w:r>
    </w:p>
    <w:p>
      <w:pPr>
        <w:pStyle w:val="Text1"/>
        <w:rPr>
          <w:noProof/>
          <w:szCs w:val="24"/>
        </w:rPr>
      </w:pPr>
      <w:r>
        <w:rPr>
          <w:noProof/>
          <w:color w:val="444444"/>
          <w:shd w:val="clear" w:color="auto" w:fill="FFFFFF"/>
        </w:rPr>
        <w:t>Programmes and budget lines mentioned below are indicative. Appropriate funding will be identified within the envelopes of contributing programmes, in accordance with the applicable financial rules.</w:t>
      </w:r>
    </w:p>
    <w:p>
      <w:pPr>
        <w:pStyle w:val="ManualHeading3"/>
        <w:rPr>
          <w:noProof/>
        </w:rPr>
      </w:pPr>
      <w:bookmarkStart w:id="51" w:name="_Toc514938053"/>
      <w:bookmarkStart w:id="52" w:name="_Toc520485052"/>
      <w:r>
        <w:t>3.2.1.</w:t>
      </w:r>
      <w:r>
        <w:tab/>
      </w:r>
      <w:r>
        <w:rPr>
          <w:noProof/>
        </w:rPr>
        <w:t>Summary of estimated impact on operational appropriations</w:t>
      </w:r>
      <w:bookmarkEnd w:id="51"/>
      <w:bookmarkEnd w:id="52"/>
      <w:r>
        <w:rPr>
          <w:noProof/>
        </w:rPr>
        <w:t xml:space="preserve"> </w:t>
      </w:r>
    </w:p>
    <w:p>
      <w:pPr>
        <w:pStyle w:val="ListDash1"/>
        <w:rPr>
          <w:noProof/>
        </w:rPr>
      </w:pPr>
      <w:r>
        <w:rPr>
          <w:noProof/>
        </w:rPr>
        <w:sym w:font="Wingdings" w:char="F0A8"/>
      </w:r>
      <w:r>
        <w:rPr>
          <w:noProof/>
        </w:rPr>
        <w:t xml:space="preserve">The proposal/initiative does not require the use of operational appropriations </w:t>
      </w:r>
    </w:p>
    <w:p>
      <w:pPr>
        <w:pStyle w:val="ListDash1"/>
        <w:rPr>
          <w:noProof/>
        </w:rPr>
      </w:pPr>
      <w:r>
        <w:rPr>
          <w:noProof/>
        </w:rPr>
        <w:t>x</w:t>
      </w:r>
      <w:r>
        <w:rPr>
          <w:noProof/>
        </w:rPr>
        <w:tab/>
        <w:t>The proposal/initiative requires the use of operational appropriations, as explained below:</w:t>
      </w:r>
    </w:p>
    <w:p>
      <w:pPr>
        <w:jc w:val="right"/>
        <w:rPr>
          <w:noProof/>
          <w:sz w:val="18"/>
          <w:szCs w:val="18"/>
        </w:rPr>
      </w:pPr>
      <w:r>
        <w:rPr>
          <w:noProof/>
          <w:sz w:val="18"/>
          <w:szCs w:val="18"/>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clear" w:color="auto" w:fill="auto"/>
            <w:vAlign w:val="center"/>
          </w:tcPr>
          <w:p>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rPr>
            </w:pPr>
            <w:r>
              <w:rPr>
                <w:noProof/>
                <w:sz w:val="22"/>
              </w:rPr>
              <w:t>Number</w:t>
            </w:r>
          </w:p>
        </w:tc>
        <w:tc>
          <w:tcPr>
            <w:tcW w:w="7817" w:type="dxa"/>
            <w:vAlign w:val="center"/>
          </w:tcPr>
          <w:p>
            <w:pPr>
              <w:spacing w:before="60" w:after="60"/>
              <w:rPr>
                <w:noProof/>
              </w:rPr>
            </w:pPr>
            <w:r>
              <w:rPr>
                <w:noProof/>
              </w:rPr>
              <w:t xml:space="preserve">Under Heading 2: Cohesion, Resilience and Values </w:t>
            </w:r>
          </w:p>
        </w:tc>
      </w:tr>
    </w:tbl>
    <w:p>
      <w:pPr>
        <w:rPr>
          <w:noProof/>
          <w:sz w:val="16"/>
        </w:rPr>
      </w:pPr>
    </w:p>
    <w:tbl>
      <w:tblPr>
        <w:tblW w:w="13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685"/>
        <w:gridCol w:w="1134"/>
        <w:gridCol w:w="975"/>
        <w:gridCol w:w="17"/>
        <w:gridCol w:w="975"/>
        <w:gridCol w:w="18"/>
        <w:gridCol w:w="850"/>
        <w:gridCol w:w="6"/>
        <w:gridCol w:w="955"/>
        <w:gridCol w:w="31"/>
        <w:gridCol w:w="851"/>
        <w:gridCol w:w="61"/>
        <w:gridCol w:w="1295"/>
      </w:tblGrid>
      <w:tr>
        <w:tc>
          <w:tcPr>
            <w:tcW w:w="3960" w:type="dxa"/>
            <w:vAlign w:val="center"/>
          </w:tcPr>
          <w:p>
            <w:pPr>
              <w:jc w:val="center"/>
              <w:rPr>
                <w:noProof/>
              </w:rPr>
            </w:pPr>
            <w:r>
              <w:rPr>
                <w:noProof/>
                <w:sz w:val="22"/>
              </w:rPr>
              <w:t>DG EAC</w:t>
            </w:r>
          </w:p>
        </w:tc>
        <w:tc>
          <w:tcPr>
            <w:tcW w:w="1560" w:type="dxa"/>
            <w:gridSpan w:val="2"/>
          </w:tcPr>
          <w:p>
            <w:pPr>
              <w:rPr>
                <w:noProof/>
                <w:sz w:val="20"/>
              </w:rPr>
            </w:pPr>
          </w:p>
        </w:tc>
        <w:tc>
          <w:tcPr>
            <w:tcW w:w="534" w:type="dxa"/>
          </w:tcPr>
          <w:p>
            <w:pPr>
              <w:jc w:val="center"/>
              <w:rPr>
                <w:noProof/>
                <w:sz w:val="20"/>
              </w:rPr>
            </w:pPr>
          </w:p>
        </w:tc>
        <w:tc>
          <w:tcPr>
            <w:tcW w:w="685" w:type="dxa"/>
            <w:vAlign w:val="center"/>
          </w:tcPr>
          <w:p>
            <w:pPr>
              <w:jc w:val="center"/>
              <w:rPr>
                <w:noProof/>
                <w:sz w:val="20"/>
                <w:szCs w:val="20"/>
              </w:rPr>
            </w:pPr>
            <w:r>
              <w:rPr>
                <w:noProof/>
                <w:sz w:val="20"/>
                <w:szCs w:val="20"/>
              </w:rPr>
              <w:t>2021</w:t>
            </w:r>
          </w:p>
        </w:tc>
        <w:tc>
          <w:tcPr>
            <w:tcW w:w="1134" w:type="dxa"/>
            <w:vAlign w:val="center"/>
          </w:tcPr>
          <w:p>
            <w:pPr>
              <w:jc w:val="center"/>
              <w:rPr>
                <w:noProof/>
                <w:sz w:val="20"/>
              </w:rPr>
            </w:pPr>
            <w:r>
              <w:rPr>
                <w:noProof/>
                <w:sz w:val="20"/>
              </w:rPr>
              <w:t>2022</w:t>
            </w:r>
          </w:p>
        </w:tc>
        <w:tc>
          <w:tcPr>
            <w:tcW w:w="975" w:type="dxa"/>
            <w:vAlign w:val="center"/>
          </w:tcPr>
          <w:p>
            <w:pPr>
              <w:jc w:val="center"/>
              <w:rPr>
                <w:noProof/>
                <w:sz w:val="20"/>
              </w:rPr>
            </w:pPr>
            <w:r>
              <w:rPr>
                <w:noProof/>
                <w:sz w:val="20"/>
              </w:rPr>
              <w:t>2023</w:t>
            </w:r>
          </w:p>
        </w:tc>
        <w:tc>
          <w:tcPr>
            <w:tcW w:w="992" w:type="dxa"/>
            <w:gridSpan w:val="2"/>
            <w:vAlign w:val="center"/>
          </w:tcPr>
          <w:p>
            <w:pPr>
              <w:jc w:val="center"/>
              <w:rPr>
                <w:noProof/>
                <w:sz w:val="20"/>
              </w:rPr>
            </w:pPr>
            <w:r>
              <w:rPr>
                <w:noProof/>
                <w:sz w:val="20"/>
              </w:rPr>
              <w:t>2024</w:t>
            </w:r>
          </w:p>
        </w:tc>
        <w:tc>
          <w:tcPr>
            <w:tcW w:w="2772" w:type="dxa"/>
            <w:gridSpan w:val="7"/>
            <w:vAlign w:val="center"/>
          </w:tcPr>
          <w:p>
            <w:pPr>
              <w:jc w:val="center"/>
              <w:rPr>
                <w:noProof/>
                <w:sz w:val="18"/>
                <w:szCs w:val="18"/>
              </w:rPr>
            </w:pPr>
            <w:r>
              <w:rPr>
                <w:noProof/>
                <w:sz w:val="18"/>
                <w:szCs w:val="18"/>
              </w:rPr>
              <w:t>2025          2026       2027</w:t>
            </w:r>
          </w:p>
        </w:tc>
        <w:tc>
          <w:tcPr>
            <w:tcW w:w="1295"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Operational appropriations </w:t>
            </w:r>
          </w:p>
        </w:tc>
        <w:tc>
          <w:tcPr>
            <w:tcW w:w="685" w:type="dxa"/>
            <w:vAlign w:val="center"/>
          </w:tcPr>
          <w:p>
            <w:pPr>
              <w:rPr>
                <w:noProof/>
                <w:sz w:val="20"/>
              </w:rPr>
            </w:pPr>
          </w:p>
        </w:tc>
        <w:tc>
          <w:tcPr>
            <w:tcW w:w="1134" w:type="dxa"/>
            <w:vAlign w:val="center"/>
          </w:tcPr>
          <w:p>
            <w:pPr>
              <w:rPr>
                <w:noProof/>
                <w:sz w:val="20"/>
              </w:rPr>
            </w:pPr>
          </w:p>
        </w:tc>
        <w:tc>
          <w:tcPr>
            <w:tcW w:w="975" w:type="dxa"/>
            <w:vAlign w:val="center"/>
          </w:tcPr>
          <w:p>
            <w:pPr>
              <w:rPr>
                <w:noProof/>
                <w:sz w:val="20"/>
              </w:rPr>
            </w:pPr>
          </w:p>
        </w:tc>
        <w:tc>
          <w:tcPr>
            <w:tcW w:w="992" w:type="dxa"/>
            <w:gridSpan w:val="2"/>
            <w:vAlign w:val="center"/>
          </w:tcPr>
          <w:p>
            <w:pPr>
              <w:rPr>
                <w:noProof/>
                <w:sz w:val="20"/>
              </w:rPr>
            </w:pPr>
          </w:p>
        </w:tc>
        <w:tc>
          <w:tcPr>
            <w:tcW w:w="874" w:type="dxa"/>
            <w:gridSpan w:val="3"/>
            <w:vAlign w:val="center"/>
          </w:tcPr>
          <w:p>
            <w:pPr>
              <w:rPr>
                <w:noProof/>
                <w:sz w:val="20"/>
              </w:rPr>
            </w:pPr>
          </w:p>
        </w:tc>
        <w:tc>
          <w:tcPr>
            <w:tcW w:w="955" w:type="dxa"/>
            <w:vAlign w:val="center"/>
          </w:tcPr>
          <w:p>
            <w:pPr>
              <w:rPr>
                <w:noProof/>
                <w:sz w:val="20"/>
              </w:rPr>
            </w:pPr>
          </w:p>
        </w:tc>
        <w:tc>
          <w:tcPr>
            <w:tcW w:w="943" w:type="dxa"/>
            <w:gridSpan w:val="3"/>
            <w:vAlign w:val="center"/>
          </w:tcPr>
          <w:p>
            <w:pPr>
              <w:rPr>
                <w:b/>
                <w:noProof/>
                <w:sz w:val="20"/>
              </w:rPr>
            </w:pPr>
          </w:p>
        </w:tc>
        <w:tc>
          <w:tcPr>
            <w:tcW w:w="1295" w:type="dxa"/>
            <w:vAlign w:val="center"/>
          </w:tcPr>
          <w:p>
            <w:pPr>
              <w:rPr>
                <w:b/>
                <w:noProof/>
                <w:sz w:val="20"/>
              </w:rPr>
            </w:pPr>
          </w:p>
        </w:tc>
      </w:tr>
      <w:tr>
        <w:trPr>
          <w:trHeight w:val="277"/>
        </w:trPr>
        <w:tc>
          <w:tcPr>
            <w:tcW w:w="3960" w:type="dxa"/>
            <w:vMerge w:val="restart"/>
            <w:vAlign w:val="center"/>
          </w:tcPr>
          <w:p>
            <w:pPr>
              <w:rPr>
                <w:noProof/>
              </w:rPr>
            </w:pPr>
            <w:r>
              <w:rPr>
                <w:noProof/>
                <w:sz w:val="20"/>
                <w:szCs w:val="20"/>
              </w:rPr>
              <w:t xml:space="preserve">Budget line </w:t>
            </w:r>
            <w:r>
              <w:rPr>
                <w:noProof/>
                <w:sz w:val="22"/>
              </w:rPr>
              <w:t>07 03 01 02</w:t>
            </w:r>
          </w:p>
        </w:tc>
        <w:tc>
          <w:tcPr>
            <w:tcW w:w="1440" w:type="dxa"/>
            <w:vAlign w:val="center"/>
          </w:tcPr>
          <w:p>
            <w:pPr>
              <w:spacing w:before="20" w:after="20"/>
              <w:rPr>
                <w:noProof/>
                <w:sz w:val="18"/>
                <w:szCs w:val="18"/>
              </w:rPr>
            </w:pPr>
            <w:r>
              <w:rPr>
                <w:noProof/>
                <w:sz w:val="18"/>
                <w:szCs w:val="18"/>
              </w:rPr>
              <w:t>Commitments</w:t>
            </w:r>
          </w:p>
        </w:tc>
        <w:tc>
          <w:tcPr>
            <w:tcW w:w="654" w:type="dxa"/>
            <w:gridSpan w:val="2"/>
            <w:vAlign w:val="center"/>
          </w:tcPr>
          <w:p>
            <w:pPr>
              <w:spacing w:before="20" w:after="20"/>
              <w:jc w:val="center"/>
              <w:rPr>
                <w:noProof/>
                <w:sz w:val="14"/>
                <w:szCs w:val="14"/>
              </w:rPr>
            </w:pPr>
            <w:r>
              <w:rPr>
                <w:noProof/>
                <w:sz w:val="14"/>
                <w:szCs w:val="14"/>
              </w:rPr>
              <w:t>(1a)</w:t>
            </w:r>
          </w:p>
        </w:tc>
        <w:tc>
          <w:tcPr>
            <w:tcW w:w="685" w:type="dxa"/>
            <w:vAlign w:val="center"/>
          </w:tcPr>
          <w:p>
            <w:pPr>
              <w:spacing w:before="20" w:after="20"/>
              <w:jc w:val="right"/>
              <w:rPr>
                <w:noProof/>
                <w:sz w:val="20"/>
              </w:rPr>
            </w:pPr>
          </w:p>
        </w:tc>
        <w:tc>
          <w:tcPr>
            <w:tcW w:w="1134" w:type="dxa"/>
            <w:vAlign w:val="center"/>
          </w:tcPr>
          <w:p>
            <w:pPr>
              <w:spacing w:before="20" w:after="20"/>
              <w:jc w:val="right"/>
              <w:rPr>
                <w:noProof/>
                <w:sz w:val="18"/>
                <w:szCs w:val="18"/>
              </w:rPr>
            </w:pPr>
            <w:r>
              <w:rPr>
                <w:noProof/>
                <w:sz w:val="18"/>
                <w:szCs w:val="18"/>
              </w:rPr>
              <w:t>3.500</w:t>
            </w:r>
          </w:p>
        </w:tc>
        <w:tc>
          <w:tcPr>
            <w:tcW w:w="992" w:type="dxa"/>
            <w:gridSpan w:val="2"/>
            <w:vAlign w:val="center"/>
          </w:tcPr>
          <w:p>
            <w:pPr>
              <w:spacing w:before="20" w:after="20"/>
              <w:jc w:val="right"/>
              <w:rPr>
                <w:noProof/>
                <w:sz w:val="18"/>
                <w:szCs w:val="18"/>
              </w:rPr>
            </w:pPr>
          </w:p>
        </w:tc>
        <w:tc>
          <w:tcPr>
            <w:tcW w:w="993" w:type="dxa"/>
            <w:gridSpan w:val="2"/>
            <w:vAlign w:val="center"/>
          </w:tcPr>
          <w:p>
            <w:pPr>
              <w:spacing w:before="20" w:after="20"/>
              <w:jc w:val="right"/>
              <w:rPr>
                <w:noProof/>
                <w:sz w:val="18"/>
                <w:szCs w:val="18"/>
              </w:rPr>
            </w:pPr>
          </w:p>
          <w:p>
            <w:pPr>
              <w:spacing w:before="20" w:after="20"/>
              <w:jc w:val="right"/>
              <w:rPr>
                <w:noProof/>
                <w:sz w:val="18"/>
                <w:szCs w:val="18"/>
              </w:rPr>
            </w:pPr>
          </w:p>
          <w:p>
            <w:pPr>
              <w:spacing w:before="20" w:after="20"/>
              <w:jc w:val="right"/>
              <w:rPr>
                <w:noProof/>
                <w:sz w:val="18"/>
                <w:szCs w:val="18"/>
              </w:rPr>
            </w:pPr>
          </w:p>
        </w:tc>
        <w:tc>
          <w:tcPr>
            <w:tcW w:w="850" w:type="dxa"/>
            <w:vAlign w:val="center"/>
          </w:tcPr>
          <w:p>
            <w:pPr>
              <w:spacing w:before="20" w:after="20"/>
              <w:jc w:val="right"/>
              <w:rPr>
                <w:noProof/>
                <w:sz w:val="18"/>
                <w:szCs w:val="18"/>
              </w:rPr>
            </w:pPr>
          </w:p>
        </w:tc>
        <w:tc>
          <w:tcPr>
            <w:tcW w:w="992" w:type="dxa"/>
            <w:gridSpan w:val="3"/>
            <w:vAlign w:val="center"/>
          </w:tcPr>
          <w:p>
            <w:pPr>
              <w:spacing w:before="20" w:after="20"/>
              <w:jc w:val="right"/>
              <w:rPr>
                <w:noProof/>
                <w:sz w:val="18"/>
                <w:szCs w:val="18"/>
              </w:rPr>
            </w:pPr>
          </w:p>
        </w:tc>
        <w:tc>
          <w:tcPr>
            <w:tcW w:w="851" w:type="dxa"/>
            <w:vAlign w:val="center"/>
          </w:tcPr>
          <w:p>
            <w:pPr>
              <w:spacing w:before="20" w:after="20"/>
              <w:jc w:val="right"/>
              <w:rPr>
                <w:b/>
                <w:noProof/>
                <w:sz w:val="18"/>
                <w:szCs w:val="18"/>
              </w:rPr>
            </w:pPr>
          </w:p>
        </w:tc>
        <w:tc>
          <w:tcPr>
            <w:tcW w:w="1356" w:type="dxa"/>
            <w:gridSpan w:val="2"/>
            <w:vAlign w:val="center"/>
          </w:tcPr>
          <w:p>
            <w:pPr>
              <w:spacing w:before="20" w:after="20"/>
              <w:jc w:val="center"/>
              <w:rPr>
                <w:b/>
                <w:bCs/>
                <w:noProof/>
                <w:sz w:val="18"/>
                <w:szCs w:val="18"/>
              </w:rPr>
            </w:pPr>
            <w:r>
              <w:rPr>
                <w:b/>
                <w:bCs/>
                <w:noProof/>
                <w:sz w:val="18"/>
                <w:szCs w:val="18"/>
              </w:rPr>
              <w:t>3.500</w:t>
            </w:r>
          </w:p>
        </w:tc>
      </w:tr>
      <w:tr>
        <w:tc>
          <w:tcPr>
            <w:tcW w:w="3960" w:type="dxa"/>
            <w:vMerge/>
          </w:tcPr>
          <w:p>
            <w:pPr>
              <w:jc w:val="center"/>
              <w:rPr>
                <w:noProof/>
                <w:sz w:val="20"/>
              </w:rPr>
            </w:pPr>
          </w:p>
        </w:tc>
        <w:tc>
          <w:tcPr>
            <w:tcW w:w="1440" w:type="dxa"/>
            <w:vAlign w:val="center"/>
          </w:tcPr>
          <w:p>
            <w:pPr>
              <w:spacing w:before="20" w:after="20"/>
              <w:rPr>
                <w:noProof/>
                <w:sz w:val="18"/>
                <w:szCs w:val="18"/>
              </w:rPr>
            </w:pPr>
            <w:r>
              <w:rPr>
                <w:noProof/>
                <w:sz w:val="18"/>
                <w:szCs w:val="18"/>
              </w:rPr>
              <w:t>Payments</w:t>
            </w:r>
          </w:p>
        </w:tc>
        <w:tc>
          <w:tcPr>
            <w:tcW w:w="654" w:type="dxa"/>
            <w:gridSpan w:val="2"/>
            <w:vAlign w:val="center"/>
          </w:tcPr>
          <w:p>
            <w:pPr>
              <w:spacing w:before="20" w:after="20"/>
              <w:jc w:val="center"/>
              <w:rPr>
                <w:noProof/>
                <w:sz w:val="14"/>
                <w:szCs w:val="14"/>
              </w:rPr>
            </w:pPr>
            <w:r>
              <w:rPr>
                <w:noProof/>
                <w:sz w:val="14"/>
                <w:szCs w:val="14"/>
              </w:rPr>
              <w:t>(2a)</w:t>
            </w:r>
          </w:p>
        </w:tc>
        <w:tc>
          <w:tcPr>
            <w:tcW w:w="685" w:type="dxa"/>
            <w:vAlign w:val="center"/>
          </w:tcPr>
          <w:p>
            <w:pPr>
              <w:spacing w:before="20" w:after="20"/>
              <w:jc w:val="right"/>
              <w:rPr>
                <w:noProof/>
                <w:sz w:val="20"/>
              </w:rPr>
            </w:pPr>
          </w:p>
        </w:tc>
        <w:tc>
          <w:tcPr>
            <w:tcW w:w="1134" w:type="dxa"/>
            <w:vAlign w:val="center"/>
          </w:tcPr>
          <w:p>
            <w:pPr>
              <w:spacing w:before="20" w:after="20"/>
              <w:jc w:val="right"/>
              <w:rPr>
                <w:noProof/>
                <w:sz w:val="18"/>
                <w:szCs w:val="18"/>
              </w:rPr>
            </w:pPr>
            <w:r>
              <w:rPr>
                <w:noProof/>
                <w:sz w:val="18"/>
                <w:szCs w:val="18"/>
              </w:rPr>
              <w:t>1.437</w:t>
            </w:r>
          </w:p>
        </w:tc>
        <w:tc>
          <w:tcPr>
            <w:tcW w:w="992" w:type="dxa"/>
            <w:gridSpan w:val="2"/>
            <w:vAlign w:val="center"/>
          </w:tcPr>
          <w:p>
            <w:pPr>
              <w:spacing w:before="20" w:after="20"/>
              <w:jc w:val="right"/>
              <w:rPr>
                <w:noProof/>
                <w:sz w:val="18"/>
                <w:szCs w:val="18"/>
              </w:rPr>
            </w:pPr>
            <w:r>
              <w:rPr>
                <w:noProof/>
                <w:sz w:val="18"/>
                <w:szCs w:val="18"/>
              </w:rPr>
              <w:t>0.515</w:t>
            </w:r>
          </w:p>
        </w:tc>
        <w:tc>
          <w:tcPr>
            <w:tcW w:w="993" w:type="dxa"/>
            <w:gridSpan w:val="2"/>
            <w:vAlign w:val="center"/>
          </w:tcPr>
          <w:p>
            <w:pPr>
              <w:spacing w:before="20" w:after="20"/>
              <w:jc w:val="right"/>
              <w:rPr>
                <w:noProof/>
                <w:sz w:val="18"/>
                <w:szCs w:val="18"/>
              </w:rPr>
            </w:pPr>
            <w:r>
              <w:rPr>
                <w:noProof/>
                <w:sz w:val="18"/>
                <w:szCs w:val="18"/>
              </w:rPr>
              <w:t>0.987</w:t>
            </w:r>
          </w:p>
        </w:tc>
        <w:tc>
          <w:tcPr>
            <w:tcW w:w="850" w:type="dxa"/>
            <w:vAlign w:val="center"/>
          </w:tcPr>
          <w:p>
            <w:pPr>
              <w:spacing w:before="20" w:after="20"/>
              <w:rPr>
                <w:noProof/>
                <w:sz w:val="18"/>
                <w:szCs w:val="18"/>
              </w:rPr>
            </w:pPr>
            <w:r>
              <w:rPr>
                <w:noProof/>
                <w:sz w:val="18"/>
                <w:szCs w:val="18"/>
              </w:rPr>
              <w:t xml:space="preserve">     0.310</w:t>
            </w:r>
          </w:p>
        </w:tc>
        <w:tc>
          <w:tcPr>
            <w:tcW w:w="992" w:type="dxa"/>
            <w:gridSpan w:val="3"/>
            <w:vAlign w:val="center"/>
          </w:tcPr>
          <w:p>
            <w:pPr>
              <w:spacing w:before="20" w:after="20"/>
              <w:rPr>
                <w:noProof/>
                <w:sz w:val="18"/>
                <w:szCs w:val="18"/>
              </w:rPr>
            </w:pPr>
            <w:r>
              <w:rPr>
                <w:noProof/>
                <w:sz w:val="18"/>
                <w:szCs w:val="18"/>
              </w:rPr>
              <w:t xml:space="preserve">        0.251</w:t>
            </w:r>
          </w:p>
        </w:tc>
        <w:tc>
          <w:tcPr>
            <w:tcW w:w="851" w:type="dxa"/>
            <w:vAlign w:val="center"/>
          </w:tcPr>
          <w:p>
            <w:pPr>
              <w:spacing w:before="20" w:after="20"/>
              <w:rPr>
                <w:noProof/>
                <w:sz w:val="18"/>
                <w:szCs w:val="18"/>
              </w:rPr>
            </w:pPr>
          </w:p>
        </w:tc>
        <w:tc>
          <w:tcPr>
            <w:tcW w:w="1356" w:type="dxa"/>
            <w:gridSpan w:val="2"/>
            <w:vAlign w:val="center"/>
          </w:tcPr>
          <w:p>
            <w:pPr>
              <w:spacing w:before="20" w:after="20"/>
              <w:jc w:val="center"/>
              <w:rPr>
                <w:b/>
                <w:bCs/>
                <w:noProof/>
                <w:sz w:val="18"/>
                <w:szCs w:val="18"/>
              </w:rPr>
            </w:pPr>
            <w:r>
              <w:rPr>
                <w:b/>
                <w:bCs/>
                <w:noProof/>
                <w:sz w:val="18"/>
                <w:szCs w:val="18"/>
              </w:rPr>
              <w:t>3.500</w:t>
            </w:r>
          </w:p>
        </w:tc>
      </w:tr>
      <w:tr>
        <w:tc>
          <w:tcPr>
            <w:tcW w:w="3960" w:type="dxa"/>
            <w:vMerge w:val="restart"/>
            <w:vAlign w:val="center"/>
          </w:tcPr>
          <w:p>
            <w:pPr>
              <w:rPr>
                <w:noProof/>
                <w:sz w:val="20"/>
                <w:szCs w:val="20"/>
              </w:rPr>
            </w:pPr>
            <w:r>
              <w:rPr>
                <w:noProof/>
                <w:sz w:val="20"/>
                <w:szCs w:val="20"/>
              </w:rPr>
              <w:t xml:space="preserve">Budget line </w:t>
            </w:r>
            <w:r>
              <w:rPr>
                <w:noProof/>
                <w:sz w:val="22"/>
              </w:rPr>
              <w:t>07 03 02</w:t>
            </w:r>
          </w:p>
        </w:tc>
        <w:tc>
          <w:tcPr>
            <w:tcW w:w="1440" w:type="dxa"/>
            <w:vAlign w:val="center"/>
          </w:tcPr>
          <w:p>
            <w:pPr>
              <w:spacing w:before="20" w:after="20"/>
              <w:rPr>
                <w:noProof/>
                <w:sz w:val="18"/>
                <w:szCs w:val="18"/>
              </w:rPr>
            </w:pPr>
            <w:r>
              <w:rPr>
                <w:noProof/>
                <w:sz w:val="18"/>
                <w:szCs w:val="18"/>
              </w:rPr>
              <w:t>Commitments</w:t>
            </w:r>
          </w:p>
        </w:tc>
        <w:tc>
          <w:tcPr>
            <w:tcW w:w="654" w:type="dxa"/>
            <w:gridSpan w:val="2"/>
            <w:vAlign w:val="center"/>
          </w:tcPr>
          <w:p>
            <w:pPr>
              <w:spacing w:before="20" w:after="20"/>
              <w:jc w:val="center"/>
              <w:rPr>
                <w:noProof/>
                <w:sz w:val="14"/>
                <w:szCs w:val="14"/>
              </w:rPr>
            </w:pPr>
            <w:r>
              <w:rPr>
                <w:noProof/>
                <w:sz w:val="14"/>
                <w:szCs w:val="14"/>
              </w:rPr>
              <w:t>(1b)</w:t>
            </w:r>
          </w:p>
        </w:tc>
        <w:tc>
          <w:tcPr>
            <w:tcW w:w="685" w:type="dxa"/>
            <w:vAlign w:val="center"/>
          </w:tcPr>
          <w:p>
            <w:pPr>
              <w:spacing w:before="20" w:after="20"/>
              <w:jc w:val="right"/>
              <w:rPr>
                <w:noProof/>
                <w:sz w:val="20"/>
              </w:rPr>
            </w:pPr>
          </w:p>
        </w:tc>
        <w:tc>
          <w:tcPr>
            <w:tcW w:w="1134" w:type="dxa"/>
            <w:vAlign w:val="center"/>
          </w:tcPr>
          <w:p>
            <w:pPr>
              <w:spacing w:before="20" w:after="20"/>
              <w:jc w:val="right"/>
              <w:rPr>
                <w:noProof/>
                <w:sz w:val="18"/>
                <w:szCs w:val="18"/>
              </w:rPr>
            </w:pPr>
            <w:r>
              <w:rPr>
                <w:noProof/>
                <w:sz w:val="18"/>
                <w:szCs w:val="18"/>
              </w:rPr>
              <w:t>4.000</w:t>
            </w:r>
          </w:p>
        </w:tc>
        <w:tc>
          <w:tcPr>
            <w:tcW w:w="992" w:type="dxa"/>
            <w:gridSpan w:val="2"/>
            <w:vAlign w:val="center"/>
          </w:tcPr>
          <w:p>
            <w:pPr>
              <w:spacing w:before="20" w:after="20"/>
              <w:jc w:val="right"/>
              <w:rPr>
                <w:noProof/>
                <w:sz w:val="18"/>
                <w:szCs w:val="18"/>
              </w:rPr>
            </w:pPr>
            <w:r>
              <w:rPr>
                <w:noProof/>
                <w:sz w:val="18"/>
                <w:szCs w:val="18"/>
              </w:rPr>
              <w:t>0.500</w:t>
            </w:r>
          </w:p>
        </w:tc>
        <w:tc>
          <w:tcPr>
            <w:tcW w:w="993" w:type="dxa"/>
            <w:gridSpan w:val="2"/>
            <w:vAlign w:val="center"/>
          </w:tcPr>
          <w:p>
            <w:pPr>
              <w:spacing w:before="20" w:after="20"/>
              <w:jc w:val="right"/>
              <w:rPr>
                <w:noProof/>
                <w:sz w:val="18"/>
                <w:szCs w:val="18"/>
              </w:rPr>
            </w:pPr>
          </w:p>
        </w:tc>
        <w:tc>
          <w:tcPr>
            <w:tcW w:w="850" w:type="dxa"/>
            <w:vAlign w:val="center"/>
          </w:tcPr>
          <w:p>
            <w:pPr>
              <w:spacing w:before="20" w:after="20"/>
              <w:jc w:val="right"/>
              <w:rPr>
                <w:noProof/>
                <w:sz w:val="18"/>
                <w:szCs w:val="18"/>
              </w:rPr>
            </w:pPr>
          </w:p>
        </w:tc>
        <w:tc>
          <w:tcPr>
            <w:tcW w:w="992" w:type="dxa"/>
            <w:gridSpan w:val="3"/>
            <w:vAlign w:val="center"/>
          </w:tcPr>
          <w:p>
            <w:pPr>
              <w:spacing w:before="20" w:after="20"/>
              <w:jc w:val="right"/>
              <w:rPr>
                <w:noProof/>
                <w:sz w:val="18"/>
                <w:szCs w:val="18"/>
              </w:rPr>
            </w:pPr>
          </w:p>
        </w:tc>
        <w:tc>
          <w:tcPr>
            <w:tcW w:w="851" w:type="dxa"/>
            <w:vAlign w:val="center"/>
          </w:tcPr>
          <w:p>
            <w:pPr>
              <w:spacing w:before="20" w:after="20"/>
              <w:jc w:val="right"/>
              <w:rPr>
                <w:b/>
                <w:noProof/>
                <w:sz w:val="18"/>
                <w:szCs w:val="18"/>
              </w:rPr>
            </w:pPr>
          </w:p>
        </w:tc>
        <w:tc>
          <w:tcPr>
            <w:tcW w:w="1356" w:type="dxa"/>
            <w:gridSpan w:val="2"/>
            <w:vAlign w:val="center"/>
          </w:tcPr>
          <w:p>
            <w:pPr>
              <w:spacing w:before="20" w:after="20"/>
              <w:jc w:val="center"/>
              <w:rPr>
                <w:b/>
                <w:bCs/>
                <w:noProof/>
                <w:sz w:val="18"/>
                <w:szCs w:val="18"/>
              </w:rPr>
            </w:pPr>
            <w:r>
              <w:rPr>
                <w:b/>
                <w:bCs/>
                <w:noProof/>
                <w:sz w:val="18"/>
                <w:szCs w:val="18"/>
              </w:rPr>
              <w:t>4.500</w:t>
            </w:r>
          </w:p>
        </w:tc>
      </w:tr>
      <w:tr>
        <w:tc>
          <w:tcPr>
            <w:tcW w:w="3960" w:type="dxa"/>
            <w:vMerge/>
          </w:tcPr>
          <w:p>
            <w:pPr>
              <w:jc w:val="center"/>
              <w:rPr>
                <w:noProof/>
                <w:sz w:val="20"/>
              </w:rPr>
            </w:pPr>
          </w:p>
        </w:tc>
        <w:tc>
          <w:tcPr>
            <w:tcW w:w="1440" w:type="dxa"/>
            <w:vAlign w:val="center"/>
          </w:tcPr>
          <w:p>
            <w:pPr>
              <w:spacing w:before="20" w:after="20"/>
              <w:rPr>
                <w:noProof/>
                <w:sz w:val="18"/>
                <w:szCs w:val="18"/>
              </w:rPr>
            </w:pPr>
            <w:r>
              <w:rPr>
                <w:noProof/>
                <w:sz w:val="18"/>
                <w:szCs w:val="18"/>
              </w:rPr>
              <w:t>Payments</w:t>
            </w:r>
          </w:p>
        </w:tc>
        <w:tc>
          <w:tcPr>
            <w:tcW w:w="654" w:type="dxa"/>
            <w:gridSpan w:val="2"/>
            <w:vAlign w:val="center"/>
          </w:tcPr>
          <w:p>
            <w:pPr>
              <w:spacing w:before="20" w:after="20"/>
              <w:jc w:val="center"/>
              <w:rPr>
                <w:noProof/>
                <w:sz w:val="14"/>
                <w:szCs w:val="14"/>
              </w:rPr>
            </w:pPr>
            <w:r>
              <w:rPr>
                <w:noProof/>
                <w:sz w:val="14"/>
                <w:szCs w:val="14"/>
              </w:rPr>
              <w:t>(2b)</w:t>
            </w:r>
          </w:p>
        </w:tc>
        <w:tc>
          <w:tcPr>
            <w:tcW w:w="685" w:type="dxa"/>
            <w:vAlign w:val="center"/>
          </w:tcPr>
          <w:p>
            <w:pPr>
              <w:spacing w:before="20" w:after="20"/>
              <w:jc w:val="right"/>
              <w:rPr>
                <w:noProof/>
                <w:sz w:val="20"/>
              </w:rPr>
            </w:pPr>
          </w:p>
        </w:tc>
        <w:tc>
          <w:tcPr>
            <w:tcW w:w="1134" w:type="dxa"/>
            <w:vAlign w:val="center"/>
          </w:tcPr>
          <w:p>
            <w:pPr>
              <w:spacing w:before="20" w:after="20"/>
              <w:jc w:val="right"/>
              <w:rPr>
                <w:noProof/>
                <w:sz w:val="18"/>
                <w:szCs w:val="18"/>
              </w:rPr>
            </w:pPr>
            <w:r>
              <w:rPr>
                <w:noProof/>
                <w:sz w:val="18"/>
                <w:szCs w:val="18"/>
              </w:rPr>
              <w:t>2.724</w:t>
            </w:r>
          </w:p>
        </w:tc>
        <w:tc>
          <w:tcPr>
            <w:tcW w:w="992" w:type="dxa"/>
            <w:gridSpan w:val="2"/>
            <w:vAlign w:val="center"/>
          </w:tcPr>
          <w:p>
            <w:pPr>
              <w:spacing w:before="20" w:after="20"/>
              <w:jc w:val="right"/>
              <w:rPr>
                <w:noProof/>
                <w:sz w:val="18"/>
                <w:szCs w:val="18"/>
              </w:rPr>
            </w:pPr>
            <w:r>
              <w:rPr>
                <w:noProof/>
                <w:sz w:val="18"/>
                <w:szCs w:val="18"/>
              </w:rPr>
              <w:t>1.403</w:t>
            </w:r>
          </w:p>
        </w:tc>
        <w:tc>
          <w:tcPr>
            <w:tcW w:w="993" w:type="dxa"/>
            <w:gridSpan w:val="2"/>
            <w:vAlign w:val="center"/>
          </w:tcPr>
          <w:p>
            <w:pPr>
              <w:spacing w:before="20" w:after="20"/>
              <w:jc w:val="right"/>
              <w:rPr>
                <w:noProof/>
                <w:sz w:val="18"/>
                <w:szCs w:val="18"/>
              </w:rPr>
            </w:pPr>
            <w:r>
              <w:rPr>
                <w:noProof/>
                <w:sz w:val="18"/>
                <w:szCs w:val="18"/>
              </w:rPr>
              <w:t>0.346</w:t>
            </w:r>
          </w:p>
        </w:tc>
        <w:tc>
          <w:tcPr>
            <w:tcW w:w="850" w:type="dxa"/>
            <w:vAlign w:val="center"/>
          </w:tcPr>
          <w:p>
            <w:pPr>
              <w:spacing w:before="20" w:after="20"/>
              <w:jc w:val="right"/>
              <w:rPr>
                <w:noProof/>
                <w:sz w:val="18"/>
                <w:szCs w:val="18"/>
              </w:rPr>
            </w:pPr>
            <w:r>
              <w:rPr>
                <w:noProof/>
                <w:sz w:val="18"/>
                <w:szCs w:val="18"/>
              </w:rPr>
              <w:t>0.027</w:t>
            </w:r>
          </w:p>
        </w:tc>
        <w:tc>
          <w:tcPr>
            <w:tcW w:w="992" w:type="dxa"/>
            <w:gridSpan w:val="3"/>
            <w:vAlign w:val="center"/>
          </w:tcPr>
          <w:p>
            <w:pPr>
              <w:spacing w:before="20" w:after="20"/>
              <w:jc w:val="right"/>
              <w:rPr>
                <w:noProof/>
                <w:sz w:val="18"/>
                <w:szCs w:val="18"/>
              </w:rPr>
            </w:pPr>
          </w:p>
        </w:tc>
        <w:tc>
          <w:tcPr>
            <w:tcW w:w="851" w:type="dxa"/>
            <w:vAlign w:val="center"/>
          </w:tcPr>
          <w:p>
            <w:pPr>
              <w:spacing w:before="20" w:after="20"/>
              <w:jc w:val="right"/>
              <w:rPr>
                <w:b/>
                <w:noProof/>
                <w:sz w:val="18"/>
                <w:szCs w:val="18"/>
              </w:rPr>
            </w:pPr>
          </w:p>
        </w:tc>
        <w:tc>
          <w:tcPr>
            <w:tcW w:w="1356" w:type="dxa"/>
            <w:gridSpan w:val="2"/>
            <w:vAlign w:val="center"/>
          </w:tcPr>
          <w:p>
            <w:pPr>
              <w:spacing w:before="20" w:after="20"/>
              <w:jc w:val="center"/>
              <w:rPr>
                <w:b/>
                <w:bCs/>
                <w:noProof/>
                <w:sz w:val="18"/>
                <w:szCs w:val="18"/>
              </w:rPr>
            </w:pPr>
            <w:r>
              <w:rPr>
                <w:b/>
                <w:bCs/>
                <w:noProof/>
                <w:sz w:val="18"/>
                <w:szCs w:val="18"/>
              </w:rPr>
              <w:t>4.500</w:t>
            </w:r>
          </w:p>
        </w:tc>
      </w:tr>
      <w:tr>
        <w:tc>
          <w:tcPr>
            <w:tcW w:w="3960" w:type="dxa"/>
            <w:vMerge w:val="restart"/>
            <w:vAlign w:val="center"/>
          </w:tcPr>
          <w:p>
            <w:pPr>
              <w:rPr>
                <w:noProof/>
              </w:rPr>
            </w:pPr>
            <w:r>
              <w:rPr>
                <w:noProof/>
                <w:sz w:val="20"/>
                <w:szCs w:val="20"/>
              </w:rPr>
              <w:t xml:space="preserve">Budget line </w:t>
            </w:r>
            <w:r>
              <w:rPr>
                <w:noProof/>
                <w:sz w:val="22"/>
              </w:rPr>
              <w:t>07 04 01</w:t>
            </w:r>
          </w:p>
        </w:tc>
        <w:tc>
          <w:tcPr>
            <w:tcW w:w="1440" w:type="dxa"/>
            <w:vAlign w:val="center"/>
          </w:tcPr>
          <w:p>
            <w:pPr>
              <w:spacing w:before="20" w:after="20"/>
              <w:rPr>
                <w:noProof/>
                <w:sz w:val="18"/>
                <w:szCs w:val="18"/>
              </w:rPr>
            </w:pPr>
            <w:r>
              <w:rPr>
                <w:noProof/>
                <w:sz w:val="18"/>
                <w:szCs w:val="18"/>
              </w:rPr>
              <w:t>Commitments</w:t>
            </w:r>
          </w:p>
        </w:tc>
        <w:tc>
          <w:tcPr>
            <w:tcW w:w="654" w:type="dxa"/>
            <w:gridSpan w:val="2"/>
            <w:vAlign w:val="center"/>
          </w:tcPr>
          <w:p>
            <w:pPr>
              <w:spacing w:before="20" w:after="20"/>
              <w:jc w:val="center"/>
              <w:rPr>
                <w:noProof/>
                <w:sz w:val="14"/>
                <w:szCs w:val="14"/>
              </w:rPr>
            </w:pPr>
            <w:r>
              <w:rPr>
                <w:noProof/>
                <w:sz w:val="14"/>
                <w:szCs w:val="14"/>
              </w:rPr>
              <w:t>(1c)</w:t>
            </w:r>
          </w:p>
        </w:tc>
        <w:tc>
          <w:tcPr>
            <w:tcW w:w="685" w:type="dxa"/>
            <w:vAlign w:val="center"/>
          </w:tcPr>
          <w:p>
            <w:pPr>
              <w:spacing w:before="20" w:after="20"/>
              <w:jc w:val="right"/>
              <w:rPr>
                <w:noProof/>
                <w:sz w:val="20"/>
              </w:rPr>
            </w:pPr>
          </w:p>
        </w:tc>
        <w:tc>
          <w:tcPr>
            <w:tcW w:w="1134" w:type="dxa"/>
            <w:vAlign w:val="center"/>
          </w:tcPr>
          <w:p>
            <w:pPr>
              <w:spacing w:before="20" w:after="20"/>
              <w:jc w:val="right"/>
              <w:rPr>
                <w:noProof/>
                <w:sz w:val="18"/>
                <w:szCs w:val="18"/>
              </w:rPr>
            </w:pPr>
            <w:r>
              <w:rPr>
                <w:noProof/>
                <w:sz w:val="18"/>
                <w:szCs w:val="18"/>
              </w:rPr>
              <w:t>0.500</w:t>
            </w:r>
          </w:p>
        </w:tc>
        <w:tc>
          <w:tcPr>
            <w:tcW w:w="992" w:type="dxa"/>
            <w:gridSpan w:val="2"/>
            <w:vAlign w:val="center"/>
          </w:tcPr>
          <w:p>
            <w:pPr>
              <w:spacing w:before="20" w:after="20"/>
              <w:jc w:val="right"/>
              <w:rPr>
                <w:noProof/>
                <w:sz w:val="18"/>
                <w:szCs w:val="18"/>
              </w:rPr>
            </w:pPr>
          </w:p>
        </w:tc>
        <w:tc>
          <w:tcPr>
            <w:tcW w:w="993" w:type="dxa"/>
            <w:gridSpan w:val="2"/>
            <w:vAlign w:val="center"/>
          </w:tcPr>
          <w:p>
            <w:pPr>
              <w:spacing w:before="20" w:after="20"/>
              <w:jc w:val="right"/>
              <w:rPr>
                <w:noProof/>
                <w:sz w:val="18"/>
                <w:szCs w:val="18"/>
              </w:rPr>
            </w:pPr>
          </w:p>
        </w:tc>
        <w:tc>
          <w:tcPr>
            <w:tcW w:w="850" w:type="dxa"/>
            <w:vAlign w:val="center"/>
          </w:tcPr>
          <w:p>
            <w:pPr>
              <w:spacing w:before="20" w:after="20"/>
              <w:jc w:val="right"/>
              <w:rPr>
                <w:noProof/>
                <w:sz w:val="18"/>
                <w:szCs w:val="18"/>
              </w:rPr>
            </w:pPr>
          </w:p>
        </w:tc>
        <w:tc>
          <w:tcPr>
            <w:tcW w:w="992" w:type="dxa"/>
            <w:gridSpan w:val="3"/>
            <w:vAlign w:val="center"/>
          </w:tcPr>
          <w:p>
            <w:pPr>
              <w:spacing w:before="20" w:after="20"/>
              <w:jc w:val="right"/>
              <w:rPr>
                <w:noProof/>
                <w:sz w:val="18"/>
                <w:szCs w:val="18"/>
              </w:rPr>
            </w:pPr>
          </w:p>
        </w:tc>
        <w:tc>
          <w:tcPr>
            <w:tcW w:w="851" w:type="dxa"/>
            <w:vAlign w:val="center"/>
          </w:tcPr>
          <w:p>
            <w:pPr>
              <w:spacing w:before="20" w:after="20"/>
              <w:jc w:val="right"/>
              <w:rPr>
                <w:b/>
                <w:noProof/>
                <w:sz w:val="18"/>
                <w:szCs w:val="18"/>
              </w:rPr>
            </w:pPr>
          </w:p>
        </w:tc>
        <w:tc>
          <w:tcPr>
            <w:tcW w:w="1356" w:type="dxa"/>
            <w:gridSpan w:val="2"/>
            <w:vAlign w:val="center"/>
          </w:tcPr>
          <w:p>
            <w:pPr>
              <w:spacing w:before="20" w:after="20"/>
              <w:jc w:val="center"/>
              <w:rPr>
                <w:b/>
                <w:bCs/>
                <w:noProof/>
                <w:sz w:val="18"/>
                <w:szCs w:val="18"/>
              </w:rPr>
            </w:pPr>
            <w:r>
              <w:rPr>
                <w:b/>
                <w:bCs/>
                <w:noProof/>
                <w:sz w:val="18"/>
                <w:szCs w:val="18"/>
              </w:rPr>
              <w:t>0.500</w:t>
            </w:r>
          </w:p>
        </w:tc>
      </w:tr>
      <w:tr>
        <w:tc>
          <w:tcPr>
            <w:tcW w:w="3960" w:type="dxa"/>
            <w:vMerge/>
          </w:tcPr>
          <w:p>
            <w:pPr>
              <w:jc w:val="center"/>
              <w:rPr>
                <w:noProof/>
                <w:sz w:val="20"/>
              </w:rPr>
            </w:pPr>
          </w:p>
        </w:tc>
        <w:tc>
          <w:tcPr>
            <w:tcW w:w="1440" w:type="dxa"/>
            <w:vAlign w:val="center"/>
          </w:tcPr>
          <w:p>
            <w:pPr>
              <w:spacing w:before="20" w:after="20"/>
              <w:rPr>
                <w:noProof/>
                <w:sz w:val="18"/>
                <w:szCs w:val="18"/>
              </w:rPr>
            </w:pPr>
            <w:r>
              <w:rPr>
                <w:noProof/>
                <w:sz w:val="18"/>
                <w:szCs w:val="18"/>
              </w:rPr>
              <w:t>Payments</w:t>
            </w:r>
          </w:p>
        </w:tc>
        <w:tc>
          <w:tcPr>
            <w:tcW w:w="654" w:type="dxa"/>
            <w:gridSpan w:val="2"/>
            <w:vAlign w:val="center"/>
          </w:tcPr>
          <w:p>
            <w:pPr>
              <w:spacing w:before="20" w:after="20"/>
              <w:jc w:val="center"/>
              <w:rPr>
                <w:noProof/>
                <w:sz w:val="14"/>
                <w:szCs w:val="14"/>
              </w:rPr>
            </w:pPr>
            <w:r>
              <w:rPr>
                <w:noProof/>
                <w:sz w:val="14"/>
                <w:szCs w:val="14"/>
              </w:rPr>
              <w:t>(2c)</w:t>
            </w:r>
          </w:p>
        </w:tc>
        <w:tc>
          <w:tcPr>
            <w:tcW w:w="685" w:type="dxa"/>
            <w:vAlign w:val="center"/>
          </w:tcPr>
          <w:p>
            <w:pPr>
              <w:spacing w:before="20" w:after="20"/>
              <w:jc w:val="right"/>
              <w:rPr>
                <w:noProof/>
                <w:sz w:val="20"/>
              </w:rPr>
            </w:pPr>
          </w:p>
        </w:tc>
        <w:tc>
          <w:tcPr>
            <w:tcW w:w="1134" w:type="dxa"/>
            <w:vAlign w:val="center"/>
          </w:tcPr>
          <w:p>
            <w:pPr>
              <w:spacing w:before="20" w:after="20"/>
              <w:jc w:val="right"/>
              <w:rPr>
                <w:noProof/>
                <w:sz w:val="18"/>
                <w:szCs w:val="18"/>
              </w:rPr>
            </w:pPr>
            <w:r>
              <w:rPr>
                <w:noProof/>
                <w:sz w:val="18"/>
                <w:szCs w:val="18"/>
              </w:rPr>
              <w:t>0.275</w:t>
            </w:r>
          </w:p>
        </w:tc>
        <w:tc>
          <w:tcPr>
            <w:tcW w:w="992" w:type="dxa"/>
            <w:gridSpan w:val="2"/>
            <w:vAlign w:val="center"/>
          </w:tcPr>
          <w:p>
            <w:pPr>
              <w:spacing w:before="20" w:after="20"/>
              <w:jc w:val="right"/>
              <w:rPr>
                <w:noProof/>
                <w:sz w:val="18"/>
                <w:szCs w:val="18"/>
              </w:rPr>
            </w:pPr>
            <w:r>
              <w:rPr>
                <w:noProof/>
                <w:sz w:val="18"/>
                <w:szCs w:val="18"/>
              </w:rPr>
              <w:t>0.130</w:t>
            </w:r>
          </w:p>
        </w:tc>
        <w:tc>
          <w:tcPr>
            <w:tcW w:w="993" w:type="dxa"/>
            <w:gridSpan w:val="2"/>
            <w:vAlign w:val="center"/>
          </w:tcPr>
          <w:p>
            <w:pPr>
              <w:spacing w:before="20" w:after="20"/>
              <w:jc w:val="right"/>
              <w:rPr>
                <w:noProof/>
                <w:sz w:val="18"/>
                <w:szCs w:val="18"/>
              </w:rPr>
            </w:pPr>
            <w:r>
              <w:rPr>
                <w:noProof/>
                <w:sz w:val="18"/>
                <w:szCs w:val="18"/>
              </w:rPr>
              <w:t>0.054</w:t>
            </w:r>
          </w:p>
        </w:tc>
        <w:tc>
          <w:tcPr>
            <w:tcW w:w="850" w:type="dxa"/>
            <w:vAlign w:val="center"/>
          </w:tcPr>
          <w:p>
            <w:pPr>
              <w:spacing w:before="20" w:after="20"/>
              <w:jc w:val="right"/>
              <w:rPr>
                <w:noProof/>
                <w:sz w:val="18"/>
                <w:szCs w:val="18"/>
              </w:rPr>
            </w:pPr>
            <w:r>
              <w:rPr>
                <w:noProof/>
                <w:sz w:val="18"/>
                <w:szCs w:val="18"/>
              </w:rPr>
              <w:t>0.041</w:t>
            </w:r>
          </w:p>
        </w:tc>
        <w:tc>
          <w:tcPr>
            <w:tcW w:w="992" w:type="dxa"/>
            <w:gridSpan w:val="3"/>
            <w:vAlign w:val="center"/>
          </w:tcPr>
          <w:p>
            <w:pPr>
              <w:spacing w:before="20" w:after="20"/>
              <w:jc w:val="right"/>
              <w:rPr>
                <w:noProof/>
                <w:sz w:val="18"/>
                <w:szCs w:val="18"/>
              </w:rPr>
            </w:pPr>
          </w:p>
        </w:tc>
        <w:tc>
          <w:tcPr>
            <w:tcW w:w="851" w:type="dxa"/>
            <w:vAlign w:val="center"/>
          </w:tcPr>
          <w:p>
            <w:pPr>
              <w:spacing w:before="20" w:after="20"/>
              <w:jc w:val="right"/>
              <w:rPr>
                <w:b/>
                <w:noProof/>
                <w:sz w:val="18"/>
                <w:szCs w:val="18"/>
              </w:rPr>
            </w:pPr>
          </w:p>
        </w:tc>
        <w:tc>
          <w:tcPr>
            <w:tcW w:w="1356" w:type="dxa"/>
            <w:gridSpan w:val="2"/>
            <w:vAlign w:val="center"/>
          </w:tcPr>
          <w:p>
            <w:pPr>
              <w:spacing w:before="20" w:after="20"/>
              <w:jc w:val="center"/>
              <w:rPr>
                <w:b/>
                <w:bCs/>
                <w:noProof/>
                <w:sz w:val="18"/>
                <w:szCs w:val="18"/>
              </w:rPr>
            </w:pPr>
            <w:r>
              <w:rPr>
                <w:b/>
                <w:bCs/>
                <w:noProof/>
                <w:sz w:val="18"/>
                <w:szCs w:val="18"/>
              </w:rPr>
              <w:t>0.500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543"/>
        <w:gridCol w:w="1193"/>
        <w:gridCol w:w="868"/>
        <w:gridCol w:w="868"/>
        <w:gridCol w:w="868"/>
        <w:gridCol w:w="868"/>
        <w:gridCol w:w="868"/>
        <w:gridCol w:w="1777"/>
      </w:tblGrid>
      <w:tr>
        <w:trPr>
          <w:trHeight w:val="277"/>
        </w:trPr>
        <w:tc>
          <w:tcPr>
            <w:tcW w:w="3960" w:type="dxa"/>
            <w:vMerge w:val="restart"/>
            <w:vAlign w:val="center"/>
          </w:tcPr>
          <w:p>
            <w:pPr>
              <w:spacing w:before="20" w:after="20"/>
              <w:rPr>
                <w:noProof/>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pPr>
              <w:spacing w:beforeLines="20" w:before="48" w:afterLines="20" w:after="48"/>
              <w:rPr>
                <w:noProof/>
                <w:sz w:val="18"/>
              </w:rPr>
            </w:pPr>
            <w:r>
              <w:rPr>
                <w:noProof/>
                <w:sz w:val="18"/>
              </w:rPr>
              <w:t>Commitments</w:t>
            </w:r>
          </w:p>
        </w:tc>
        <w:tc>
          <w:tcPr>
            <w:tcW w:w="654" w:type="dxa"/>
            <w:vAlign w:val="center"/>
          </w:tcPr>
          <w:p>
            <w:pPr>
              <w:spacing w:beforeLines="20" w:before="48" w:afterLines="20" w:after="48"/>
              <w:jc w:val="center"/>
              <w:rPr>
                <w:noProof/>
                <w:sz w:val="14"/>
              </w:rPr>
            </w:pPr>
            <w:r>
              <w:rPr>
                <w:noProof/>
                <w:sz w:val="14"/>
              </w:rPr>
              <w:t>1a+1b+1c</w:t>
            </w:r>
          </w:p>
        </w:tc>
        <w:tc>
          <w:tcPr>
            <w:tcW w:w="543" w:type="dxa"/>
            <w:vAlign w:val="center"/>
          </w:tcPr>
          <w:p>
            <w:pPr>
              <w:spacing w:before="20" w:after="20"/>
              <w:jc w:val="right"/>
              <w:rPr>
                <w:noProof/>
                <w:sz w:val="20"/>
              </w:rPr>
            </w:pPr>
          </w:p>
        </w:tc>
        <w:tc>
          <w:tcPr>
            <w:tcW w:w="1193" w:type="dxa"/>
            <w:vAlign w:val="center"/>
          </w:tcPr>
          <w:p>
            <w:pPr>
              <w:spacing w:before="20" w:after="20"/>
              <w:jc w:val="right"/>
              <w:rPr>
                <w:b/>
                <w:bCs/>
                <w:noProof/>
                <w:sz w:val="18"/>
                <w:szCs w:val="18"/>
              </w:rPr>
            </w:pPr>
            <w:r>
              <w:rPr>
                <w:b/>
                <w:bCs/>
                <w:noProof/>
                <w:sz w:val="18"/>
                <w:szCs w:val="18"/>
              </w:rPr>
              <w:t>8.000</w:t>
            </w:r>
          </w:p>
        </w:tc>
        <w:tc>
          <w:tcPr>
            <w:tcW w:w="868" w:type="dxa"/>
            <w:vAlign w:val="center"/>
          </w:tcPr>
          <w:p>
            <w:pPr>
              <w:spacing w:before="20" w:after="20"/>
              <w:jc w:val="right"/>
              <w:rPr>
                <w:b/>
                <w:bCs/>
                <w:noProof/>
                <w:sz w:val="18"/>
                <w:szCs w:val="18"/>
              </w:rPr>
            </w:pPr>
            <w:r>
              <w:rPr>
                <w:b/>
                <w:bCs/>
                <w:noProof/>
                <w:sz w:val="18"/>
                <w:szCs w:val="18"/>
              </w:rPr>
              <w:t>0.500</w:t>
            </w:r>
          </w:p>
        </w:tc>
        <w:tc>
          <w:tcPr>
            <w:tcW w:w="868" w:type="dxa"/>
            <w:vAlign w:val="center"/>
          </w:tcPr>
          <w:p>
            <w:pPr>
              <w:spacing w:before="20" w:after="20"/>
              <w:jc w:val="right"/>
              <w:rPr>
                <w:b/>
                <w:noProof/>
                <w:sz w:val="18"/>
                <w:szCs w:val="18"/>
              </w:rPr>
            </w:pPr>
          </w:p>
        </w:tc>
        <w:tc>
          <w:tcPr>
            <w:tcW w:w="868" w:type="dxa"/>
            <w:vAlign w:val="center"/>
          </w:tcPr>
          <w:p>
            <w:pPr>
              <w:spacing w:before="20" w:after="20"/>
              <w:jc w:val="right"/>
              <w:rPr>
                <w:b/>
                <w:noProof/>
                <w:sz w:val="18"/>
                <w:szCs w:val="18"/>
              </w:rPr>
            </w:pPr>
          </w:p>
        </w:tc>
        <w:tc>
          <w:tcPr>
            <w:tcW w:w="868" w:type="dxa"/>
            <w:vAlign w:val="center"/>
          </w:tcPr>
          <w:p>
            <w:pPr>
              <w:spacing w:before="20" w:after="20"/>
              <w:jc w:val="right"/>
              <w:rPr>
                <w:b/>
                <w:noProof/>
                <w:sz w:val="18"/>
                <w:szCs w:val="18"/>
              </w:rPr>
            </w:pPr>
          </w:p>
        </w:tc>
        <w:tc>
          <w:tcPr>
            <w:tcW w:w="868" w:type="dxa"/>
            <w:vAlign w:val="center"/>
          </w:tcPr>
          <w:p>
            <w:pPr>
              <w:spacing w:before="20" w:after="20"/>
              <w:jc w:val="right"/>
              <w:rPr>
                <w:b/>
                <w:noProof/>
                <w:sz w:val="18"/>
                <w:szCs w:val="18"/>
              </w:rPr>
            </w:pPr>
          </w:p>
        </w:tc>
        <w:tc>
          <w:tcPr>
            <w:tcW w:w="1777" w:type="dxa"/>
            <w:vAlign w:val="center"/>
          </w:tcPr>
          <w:p>
            <w:pPr>
              <w:spacing w:before="20" w:after="20"/>
              <w:jc w:val="right"/>
              <w:rPr>
                <w:b/>
                <w:noProof/>
                <w:sz w:val="18"/>
                <w:szCs w:val="18"/>
              </w:rPr>
            </w:pPr>
            <w:r>
              <w:rPr>
                <w:b/>
                <w:noProof/>
                <w:sz w:val="18"/>
                <w:szCs w:val="18"/>
              </w:rPr>
              <w:t>8.500</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Payments</w:t>
            </w:r>
          </w:p>
        </w:tc>
        <w:tc>
          <w:tcPr>
            <w:tcW w:w="654" w:type="dxa"/>
            <w:vAlign w:val="center"/>
          </w:tcPr>
          <w:p>
            <w:pPr>
              <w:spacing w:beforeLines="20" w:before="48" w:afterLines="20" w:after="48"/>
              <w:rPr>
                <w:noProof/>
                <w:sz w:val="14"/>
              </w:rPr>
            </w:pPr>
            <w:r>
              <w:rPr>
                <w:noProof/>
                <w:sz w:val="14"/>
              </w:rPr>
              <w:t>2a+2b</w:t>
            </w:r>
          </w:p>
          <w:p>
            <w:pPr>
              <w:spacing w:beforeLines="20" w:before="48" w:afterLines="20" w:after="48"/>
              <w:jc w:val="center"/>
              <w:rPr>
                <w:noProof/>
                <w:sz w:val="14"/>
              </w:rPr>
            </w:pPr>
            <w:r>
              <w:rPr>
                <w:noProof/>
                <w:sz w:val="14"/>
              </w:rPr>
              <w:t>+2</w:t>
            </w:r>
          </w:p>
        </w:tc>
        <w:tc>
          <w:tcPr>
            <w:tcW w:w="543" w:type="dxa"/>
            <w:vAlign w:val="center"/>
          </w:tcPr>
          <w:p>
            <w:pPr>
              <w:spacing w:before="20" w:after="20"/>
              <w:jc w:val="right"/>
              <w:rPr>
                <w:noProof/>
                <w:sz w:val="20"/>
              </w:rPr>
            </w:pPr>
          </w:p>
        </w:tc>
        <w:tc>
          <w:tcPr>
            <w:tcW w:w="1193" w:type="dxa"/>
            <w:vAlign w:val="center"/>
          </w:tcPr>
          <w:p>
            <w:pPr>
              <w:spacing w:before="20" w:after="20"/>
              <w:jc w:val="right"/>
              <w:rPr>
                <w:b/>
                <w:noProof/>
                <w:sz w:val="18"/>
                <w:szCs w:val="18"/>
              </w:rPr>
            </w:pPr>
            <w:r>
              <w:rPr>
                <w:b/>
                <w:noProof/>
                <w:sz w:val="18"/>
                <w:szCs w:val="18"/>
              </w:rPr>
              <w:t>4.436</w:t>
            </w:r>
          </w:p>
        </w:tc>
        <w:tc>
          <w:tcPr>
            <w:tcW w:w="868" w:type="dxa"/>
            <w:vAlign w:val="center"/>
          </w:tcPr>
          <w:p>
            <w:pPr>
              <w:spacing w:before="20" w:after="20"/>
              <w:jc w:val="right"/>
              <w:rPr>
                <w:b/>
                <w:noProof/>
                <w:sz w:val="16"/>
                <w:szCs w:val="16"/>
              </w:rPr>
            </w:pPr>
            <w:r>
              <w:rPr>
                <w:b/>
                <w:noProof/>
                <w:sz w:val="16"/>
                <w:szCs w:val="16"/>
              </w:rPr>
              <w:t>2.048</w:t>
            </w:r>
          </w:p>
        </w:tc>
        <w:tc>
          <w:tcPr>
            <w:tcW w:w="868" w:type="dxa"/>
            <w:vAlign w:val="center"/>
          </w:tcPr>
          <w:p>
            <w:pPr>
              <w:spacing w:before="20" w:after="20"/>
              <w:jc w:val="right"/>
              <w:rPr>
                <w:b/>
                <w:noProof/>
                <w:sz w:val="16"/>
                <w:szCs w:val="16"/>
              </w:rPr>
            </w:pPr>
            <w:r>
              <w:rPr>
                <w:b/>
                <w:noProof/>
                <w:sz w:val="16"/>
                <w:szCs w:val="16"/>
              </w:rPr>
              <w:t>1.387</w:t>
            </w:r>
          </w:p>
        </w:tc>
        <w:tc>
          <w:tcPr>
            <w:tcW w:w="868" w:type="dxa"/>
            <w:vAlign w:val="center"/>
          </w:tcPr>
          <w:p>
            <w:pPr>
              <w:spacing w:before="20" w:after="20"/>
              <w:jc w:val="right"/>
              <w:rPr>
                <w:b/>
                <w:bCs/>
                <w:noProof/>
                <w:sz w:val="16"/>
                <w:szCs w:val="16"/>
              </w:rPr>
            </w:pPr>
            <w:r>
              <w:rPr>
                <w:b/>
                <w:bCs/>
                <w:noProof/>
                <w:sz w:val="16"/>
                <w:szCs w:val="16"/>
              </w:rPr>
              <w:t>0.378</w:t>
            </w:r>
          </w:p>
        </w:tc>
        <w:tc>
          <w:tcPr>
            <w:tcW w:w="868" w:type="dxa"/>
            <w:vAlign w:val="center"/>
          </w:tcPr>
          <w:p>
            <w:pPr>
              <w:spacing w:before="20" w:after="20"/>
              <w:jc w:val="right"/>
              <w:rPr>
                <w:b/>
                <w:bCs/>
                <w:noProof/>
                <w:sz w:val="16"/>
                <w:szCs w:val="16"/>
              </w:rPr>
            </w:pPr>
            <w:r>
              <w:rPr>
                <w:b/>
                <w:bCs/>
                <w:noProof/>
                <w:sz w:val="16"/>
                <w:szCs w:val="16"/>
              </w:rPr>
              <w:t>0.251</w:t>
            </w:r>
          </w:p>
        </w:tc>
        <w:tc>
          <w:tcPr>
            <w:tcW w:w="868" w:type="dxa"/>
            <w:vAlign w:val="center"/>
          </w:tcPr>
          <w:p>
            <w:pPr>
              <w:spacing w:before="20" w:after="20"/>
              <w:jc w:val="right"/>
              <w:rPr>
                <w:b/>
                <w:noProof/>
                <w:sz w:val="18"/>
                <w:szCs w:val="18"/>
              </w:rPr>
            </w:pPr>
          </w:p>
        </w:tc>
        <w:tc>
          <w:tcPr>
            <w:tcW w:w="1777" w:type="dxa"/>
            <w:vAlign w:val="center"/>
          </w:tcPr>
          <w:p>
            <w:pPr>
              <w:spacing w:before="20" w:after="20"/>
              <w:jc w:val="right"/>
              <w:rPr>
                <w:b/>
                <w:noProof/>
                <w:sz w:val="18"/>
                <w:szCs w:val="18"/>
              </w:rPr>
            </w:pPr>
            <w:r>
              <w:rPr>
                <w:b/>
                <w:noProof/>
                <w:sz w:val="18"/>
                <w:szCs w:val="18"/>
              </w:rPr>
              <w:t>8.500</w:t>
            </w:r>
          </w:p>
        </w:tc>
      </w:tr>
    </w:tbl>
    <w:p>
      <w:pPr>
        <w:rPr>
          <w:noProof/>
        </w:rPr>
      </w:pPr>
    </w:p>
    <w:tbl>
      <w:tblPr>
        <w:tblW w:w="13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685"/>
        <w:gridCol w:w="1134"/>
        <w:gridCol w:w="981"/>
        <w:gridCol w:w="11"/>
        <w:gridCol w:w="979"/>
        <w:gridCol w:w="14"/>
        <w:gridCol w:w="850"/>
        <w:gridCol w:w="6"/>
        <w:gridCol w:w="955"/>
        <w:gridCol w:w="31"/>
        <w:gridCol w:w="851"/>
        <w:gridCol w:w="61"/>
        <w:gridCol w:w="1295"/>
      </w:tblGrid>
      <w:tr>
        <w:trPr>
          <w:trHeight w:val="231"/>
        </w:trPr>
        <w:tc>
          <w:tcPr>
            <w:tcW w:w="6054" w:type="dxa"/>
            <w:gridSpan w:val="3"/>
            <w:vAlign w:val="center"/>
          </w:tcPr>
          <w:p>
            <w:pPr>
              <w:pStyle w:val="ListParagraph"/>
              <w:numPr>
                <w:ilvl w:val="0"/>
                <w:numId w:val="15"/>
              </w:numPr>
              <w:spacing w:before="20" w:after="20"/>
              <w:rPr>
                <w:noProof/>
              </w:rPr>
            </w:pPr>
            <w:r>
              <w:rPr>
                <w:noProof/>
                <w:sz w:val="21"/>
                <w:szCs w:val="21"/>
              </w:rPr>
              <w:t xml:space="preserve">Appropriations of an administrative nature financed from the envelope of specific programmes </w:t>
            </w:r>
          </w:p>
          <w:p>
            <w:pPr>
              <w:spacing w:before="0" w:after="0"/>
              <w:rPr>
                <w:noProof/>
              </w:rPr>
            </w:pPr>
          </w:p>
        </w:tc>
        <w:tc>
          <w:tcPr>
            <w:tcW w:w="685" w:type="dxa"/>
            <w:vAlign w:val="center"/>
          </w:tcPr>
          <w:p>
            <w:pPr>
              <w:rPr>
                <w:b/>
                <w:noProof/>
                <w:sz w:val="20"/>
              </w:rPr>
            </w:pPr>
          </w:p>
        </w:tc>
        <w:tc>
          <w:tcPr>
            <w:tcW w:w="1134" w:type="dxa"/>
            <w:vAlign w:val="center"/>
          </w:tcPr>
          <w:p>
            <w:pPr>
              <w:rPr>
                <w:b/>
                <w:noProof/>
                <w:sz w:val="20"/>
              </w:rPr>
            </w:pPr>
          </w:p>
        </w:tc>
        <w:tc>
          <w:tcPr>
            <w:tcW w:w="981" w:type="dxa"/>
            <w:vAlign w:val="center"/>
          </w:tcPr>
          <w:p>
            <w:pPr>
              <w:rPr>
                <w:b/>
                <w:noProof/>
                <w:sz w:val="20"/>
              </w:rPr>
            </w:pPr>
          </w:p>
        </w:tc>
        <w:tc>
          <w:tcPr>
            <w:tcW w:w="990" w:type="dxa"/>
            <w:gridSpan w:val="2"/>
            <w:vAlign w:val="center"/>
          </w:tcPr>
          <w:p>
            <w:pPr>
              <w:rPr>
                <w:b/>
                <w:noProof/>
                <w:sz w:val="20"/>
              </w:rPr>
            </w:pPr>
          </w:p>
        </w:tc>
        <w:tc>
          <w:tcPr>
            <w:tcW w:w="870" w:type="dxa"/>
            <w:gridSpan w:val="3"/>
            <w:vAlign w:val="center"/>
          </w:tcPr>
          <w:p>
            <w:pPr>
              <w:rPr>
                <w:b/>
                <w:noProof/>
                <w:sz w:val="20"/>
              </w:rPr>
            </w:pPr>
          </w:p>
        </w:tc>
        <w:tc>
          <w:tcPr>
            <w:tcW w:w="955" w:type="dxa"/>
            <w:vAlign w:val="center"/>
          </w:tcPr>
          <w:p>
            <w:pPr>
              <w:rPr>
                <w:b/>
                <w:noProof/>
                <w:sz w:val="20"/>
              </w:rPr>
            </w:pPr>
          </w:p>
        </w:tc>
        <w:tc>
          <w:tcPr>
            <w:tcW w:w="943" w:type="dxa"/>
            <w:gridSpan w:val="3"/>
            <w:vAlign w:val="center"/>
          </w:tcPr>
          <w:p>
            <w:pPr>
              <w:rPr>
                <w:b/>
                <w:noProof/>
                <w:sz w:val="20"/>
              </w:rPr>
            </w:pPr>
          </w:p>
        </w:tc>
        <w:tc>
          <w:tcPr>
            <w:tcW w:w="1295" w:type="dxa"/>
            <w:vAlign w:val="center"/>
          </w:tcPr>
          <w:p>
            <w:pPr>
              <w:rPr>
                <w:b/>
                <w:noProof/>
                <w:sz w:val="20"/>
              </w:rPr>
            </w:pPr>
          </w:p>
        </w:tc>
      </w:tr>
      <w:tr>
        <w:trPr>
          <w:trHeight w:val="319"/>
        </w:trPr>
        <w:tc>
          <w:tcPr>
            <w:tcW w:w="3960" w:type="dxa"/>
            <w:vAlign w:val="center"/>
          </w:tcPr>
          <w:p>
            <w:pPr>
              <w:spacing w:before="60" w:after="60"/>
              <w:rPr>
                <w:noProof/>
              </w:rPr>
            </w:pPr>
            <w:r>
              <w:rPr>
                <w:noProof/>
                <w:sz w:val="20"/>
              </w:rPr>
              <w:t xml:space="preserve">Budgte line 07 01 02 01 </w:t>
            </w:r>
          </w:p>
        </w:tc>
        <w:tc>
          <w:tcPr>
            <w:tcW w:w="1440" w:type="dxa"/>
            <w:vAlign w:val="center"/>
          </w:tcPr>
          <w:p>
            <w:pPr>
              <w:spacing w:before="40" w:after="40"/>
              <w:jc w:val="right"/>
              <w:rPr>
                <w:noProof/>
                <w:sz w:val="18"/>
              </w:rPr>
            </w:pPr>
            <w:r>
              <w:rPr>
                <w:noProof/>
                <w:sz w:val="18"/>
              </w:rPr>
              <w:t>Commitments / Payments</w:t>
            </w:r>
          </w:p>
        </w:tc>
        <w:tc>
          <w:tcPr>
            <w:tcW w:w="654" w:type="dxa"/>
            <w:vAlign w:val="center"/>
          </w:tcPr>
          <w:p>
            <w:pPr>
              <w:spacing w:before="40" w:after="40"/>
              <w:jc w:val="center"/>
              <w:rPr>
                <w:noProof/>
                <w:sz w:val="14"/>
              </w:rPr>
            </w:pPr>
            <w:r>
              <w:rPr>
                <w:noProof/>
                <w:sz w:val="14"/>
              </w:rPr>
              <w:t>(3)</w:t>
            </w:r>
          </w:p>
        </w:tc>
        <w:tc>
          <w:tcPr>
            <w:tcW w:w="685" w:type="dxa"/>
            <w:vAlign w:val="center"/>
          </w:tcPr>
          <w:p>
            <w:pPr>
              <w:spacing w:before="40" w:after="40"/>
              <w:jc w:val="right"/>
              <w:rPr>
                <w:b/>
                <w:noProof/>
                <w:sz w:val="20"/>
              </w:rPr>
            </w:pPr>
          </w:p>
        </w:tc>
        <w:tc>
          <w:tcPr>
            <w:tcW w:w="1134" w:type="dxa"/>
            <w:vAlign w:val="center"/>
          </w:tcPr>
          <w:p>
            <w:pPr>
              <w:spacing w:before="40" w:after="40"/>
              <w:jc w:val="right"/>
              <w:rPr>
                <w:noProof/>
                <w:sz w:val="18"/>
                <w:szCs w:val="18"/>
              </w:rPr>
            </w:pPr>
            <w:r>
              <w:rPr>
                <w:noProof/>
                <w:sz w:val="18"/>
                <w:szCs w:val="18"/>
              </w:rPr>
              <w:t>0.200</w:t>
            </w:r>
          </w:p>
        </w:tc>
        <w:tc>
          <w:tcPr>
            <w:tcW w:w="981" w:type="dxa"/>
            <w:vAlign w:val="center"/>
          </w:tcPr>
          <w:p>
            <w:pPr>
              <w:spacing w:before="40" w:after="40"/>
              <w:jc w:val="right"/>
              <w:rPr>
                <w:noProof/>
                <w:sz w:val="18"/>
                <w:szCs w:val="18"/>
              </w:rPr>
            </w:pPr>
            <w:r>
              <w:rPr>
                <w:noProof/>
                <w:sz w:val="18"/>
                <w:szCs w:val="18"/>
              </w:rPr>
              <w:t>0.200</w:t>
            </w:r>
          </w:p>
        </w:tc>
        <w:tc>
          <w:tcPr>
            <w:tcW w:w="990" w:type="dxa"/>
            <w:gridSpan w:val="2"/>
            <w:vAlign w:val="center"/>
          </w:tcPr>
          <w:p>
            <w:pPr>
              <w:spacing w:before="40" w:after="40"/>
              <w:jc w:val="right"/>
              <w:rPr>
                <w:noProof/>
                <w:sz w:val="18"/>
                <w:szCs w:val="18"/>
              </w:rPr>
            </w:pPr>
            <w:r>
              <w:rPr>
                <w:noProof/>
                <w:sz w:val="18"/>
                <w:szCs w:val="18"/>
              </w:rPr>
              <w:t>0.200</w:t>
            </w:r>
          </w:p>
        </w:tc>
        <w:tc>
          <w:tcPr>
            <w:tcW w:w="870" w:type="dxa"/>
            <w:gridSpan w:val="3"/>
            <w:vAlign w:val="center"/>
          </w:tcPr>
          <w:p>
            <w:pPr>
              <w:spacing w:before="40" w:after="40"/>
              <w:jc w:val="right"/>
              <w:rPr>
                <w:b/>
                <w:noProof/>
                <w:sz w:val="20"/>
              </w:rPr>
            </w:pPr>
          </w:p>
        </w:tc>
        <w:tc>
          <w:tcPr>
            <w:tcW w:w="955" w:type="dxa"/>
            <w:vAlign w:val="center"/>
          </w:tcPr>
          <w:p>
            <w:pPr>
              <w:spacing w:before="40" w:after="40"/>
              <w:jc w:val="right"/>
              <w:rPr>
                <w:b/>
                <w:noProof/>
                <w:sz w:val="20"/>
              </w:rPr>
            </w:pPr>
          </w:p>
        </w:tc>
        <w:tc>
          <w:tcPr>
            <w:tcW w:w="943" w:type="dxa"/>
            <w:gridSpan w:val="3"/>
            <w:vAlign w:val="center"/>
          </w:tcPr>
          <w:p>
            <w:pPr>
              <w:spacing w:before="40" w:after="40"/>
              <w:jc w:val="right"/>
              <w:rPr>
                <w:b/>
                <w:noProof/>
                <w:sz w:val="20"/>
              </w:rPr>
            </w:pPr>
          </w:p>
        </w:tc>
        <w:tc>
          <w:tcPr>
            <w:tcW w:w="1295" w:type="dxa"/>
            <w:vAlign w:val="center"/>
          </w:tcPr>
          <w:p>
            <w:pPr>
              <w:spacing w:before="40" w:after="40"/>
              <w:jc w:val="right"/>
              <w:rPr>
                <w:b/>
                <w:bCs/>
                <w:noProof/>
                <w:sz w:val="18"/>
                <w:szCs w:val="18"/>
              </w:rPr>
            </w:pPr>
            <w:r>
              <w:rPr>
                <w:b/>
                <w:bCs/>
                <w:noProof/>
                <w:sz w:val="18"/>
                <w:szCs w:val="18"/>
              </w:rPr>
              <w:t>0.600</w:t>
            </w:r>
          </w:p>
        </w:tc>
      </w:tr>
      <w:tr>
        <w:trPr>
          <w:trHeight w:val="319"/>
        </w:trPr>
        <w:tc>
          <w:tcPr>
            <w:tcW w:w="3960" w:type="dxa"/>
            <w:vAlign w:val="center"/>
          </w:tcPr>
          <w:p>
            <w:pPr>
              <w:spacing w:before="60" w:after="60"/>
              <w:rPr>
                <w:noProof/>
                <w:sz w:val="20"/>
              </w:rPr>
            </w:pPr>
            <w:r>
              <w:rPr>
                <w:noProof/>
                <w:sz w:val="20"/>
              </w:rPr>
              <w:t>Budget line 07 01 03 01</w:t>
            </w:r>
          </w:p>
        </w:tc>
        <w:tc>
          <w:tcPr>
            <w:tcW w:w="1440" w:type="dxa"/>
            <w:vAlign w:val="center"/>
          </w:tcPr>
          <w:p>
            <w:pPr>
              <w:spacing w:before="40" w:after="40"/>
              <w:jc w:val="right"/>
              <w:rPr>
                <w:noProof/>
                <w:sz w:val="18"/>
              </w:rPr>
            </w:pPr>
            <w:r>
              <w:rPr>
                <w:noProof/>
                <w:sz w:val="18"/>
              </w:rPr>
              <w:t>Commitments / Payments</w:t>
            </w:r>
          </w:p>
        </w:tc>
        <w:tc>
          <w:tcPr>
            <w:tcW w:w="654" w:type="dxa"/>
            <w:vAlign w:val="center"/>
          </w:tcPr>
          <w:p>
            <w:pPr>
              <w:spacing w:before="40" w:after="40"/>
              <w:jc w:val="center"/>
              <w:rPr>
                <w:noProof/>
                <w:sz w:val="14"/>
              </w:rPr>
            </w:pPr>
            <w:r>
              <w:rPr>
                <w:noProof/>
                <w:sz w:val="14"/>
              </w:rPr>
              <w:t>(3)</w:t>
            </w:r>
          </w:p>
        </w:tc>
        <w:tc>
          <w:tcPr>
            <w:tcW w:w="685" w:type="dxa"/>
            <w:vAlign w:val="center"/>
          </w:tcPr>
          <w:p>
            <w:pPr>
              <w:spacing w:before="40" w:after="40"/>
              <w:jc w:val="right"/>
              <w:rPr>
                <w:b/>
                <w:noProof/>
                <w:sz w:val="20"/>
              </w:rPr>
            </w:pPr>
          </w:p>
        </w:tc>
        <w:tc>
          <w:tcPr>
            <w:tcW w:w="1134" w:type="dxa"/>
            <w:vAlign w:val="center"/>
          </w:tcPr>
          <w:p>
            <w:pPr>
              <w:spacing w:before="40" w:after="40"/>
              <w:jc w:val="right"/>
              <w:rPr>
                <w:noProof/>
                <w:sz w:val="18"/>
                <w:szCs w:val="18"/>
              </w:rPr>
            </w:pPr>
            <w:r>
              <w:rPr>
                <w:noProof/>
                <w:sz w:val="18"/>
                <w:szCs w:val="18"/>
              </w:rPr>
              <w:t>0.050</w:t>
            </w:r>
          </w:p>
        </w:tc>
        <w:tc>
          <w:tcPr>
            <w:tcW w:w="981" w:type="dxa"/>
            <w:vAlign w:val="center"/>
          </w:tcPr>
          <w:p>
            <w:pPr>
              <w:spacing w:before="40" w:after="40"/>
              <w:jc w:val="right"/>
              <w:rPr>
                <w:noProof/>
                <w:sz w:val="18"/>
                <w:szCs w:val="18"/>
              </w:rPr>
            </w:pPr>
            <w:r>
              <w:rPr>
                <w:noProof/>
                <w:sz w:val="18"/>
                <w:szCs w:val="18"/>
              </w:rPr>
              <w:t>0.050</w:t>
            </w:r>
          </w:p>
        </w:tc>
        <w:tc>
          <w:tcPr>
            <w:tcW w:w="990" w:type="dxa"/>
            <w:gridSpan w:val="2"/>
            <w:vAlign w:val="center"/>
          </w:tcPr>
          <w:p>
            <w:pPr>
              <w:spacing w:before="40" w:after="40"/>
              <w:jc w:val="right"/>
              <w:rPr>
                <w:noProof/>
                <w:sz w:val="18"/>
                <w:szCs w:val="18"/>
              </w:rPr>
            </w:pPr>
            <w:r>
              <w:rPr>
                <w:noProof/>
                <w:sz w:val="18"/>
                <w:szCs w:val="18"/>
              </w:rPr>
              <w:t>0.050</w:t>
            </w:r>
          </w:p>
        </w:tc>
        <w:tc>
          <w:tcPr>
            <w:tcW w:w="870" w:type="dxa"/>
            <w:gridSpan w:val="3"/>
            <w:vAlign w:val="center"/>
          </w:tcPr>
          <w:p>
            <w:pPr>
              <w:spacing w:before="40" w:after="40"/>
              <w:jc w:val="right"/>
              <w:rPr>
                <w:b/>
                <w:noProof/>
                <w:sz w:val="20"/>
              </w:rPr>
            </w:pPr>
          </w:p>
        </w:tc>
        <w:tc>
          <w:tcPr>
            <w:tcW w:w="955" w:type="dxa"/>
            <w:vAlign w:val="center"/>
          </w:tcPr>
          <w:p>
            <w:pPr>
              <w:spacing w:before="40" w:after="40"/>
              <w:jc w:val="right"/>
              <w:rPr>
                <w:b/>
                <w:noProof/>
                <w:sz w:val="20"/>
              </w:rPr>
            </w:pPr>
          </w:p>
        </w:tc>
        <w:tc>
          <w:tcPr>
            <w:tcW w:w="943" w:type="dxa"/>
            <w:gridSpan w:val="3"/>
            <w:vAlign w:val="center"/>
          </w:tcPr>
          <w:p>
            <w:pPr>
              <w:spacing w:before="40" w:after="40"/>
              <w:jc w:val="right"/>
              <w:rPr>
                <w:b/>
                <w:noProof/>
                <w:sz w:val="20"/>
              </w:rPr>
            </w:pPr>
          </w:p>
        </w:tc>
        <w:tc>
          <w:tcPr>
            <w:tcW w:w="1295" w:type="dxa"/>
            <w:vAlign w:val="center"/>
          </w:tcPr>
          <w:p>
            <w:pPr>
              <w:spacing w:before="40" w:after="40"/>
              <w:jc w:val="right"/>
              <w:rPr>
                <w:b/>
                <w:bCs/>
                <w:noProof/>
                <w:sz w:val="18"/>
                <w:szCs w:val="18"/>
              </w:rPr>
            </w:pPr>
            <w:r>
              <w:rPr>
                <w:b/>
                <w:bCs/>
                <w:noProof/>
                <w:sz w:val="18"/>
                <w:szCs w:val="18"/>
              </w:rPr>
              <w:t>0.150</w:t>
            </w:r>
          </w:p>
        </w:tc>
      </w:tr>
      <w:tr>
        <w:tc>
          <w:tcPr>
            <w:tcW w:w="3960" w:type="dxa"/>
            <w:vMerge w:val="restart"/>
            <w:vAlign w:val="center"/>
          </w:tcPr>
          <w:p>
            <w:pPr>
              <w:jc w:val="center"/>
              <w:rPr>
                <w:b/>
                <w:bCs/>
                <w:noProof/>
              </w:rPr>
            </w:pPr>
            <w:r>
              <w:rPr>
                <w:b/>
                <w:bCs/>
                <w:noProof/>
                <w:sz w:val="22"/>
              </w:rPr>
              <w:t>TOTAL appropriations</w:t>
            </w:r>
            <w:r>
              <w:rPr>
                <w:noProof/>
                <w:sz w:val="22"/>
                <w:highlight w:val="yellow"/>
              </w:rPr>
              <w:br/>
            </w:r>
            <w:r>
              <w:rPr>
                <w:b/>
                <w:bCs/>
                <w:noProof/>
                <w:sz w:val="22"/>
              </w:rPr>
              <w:t xml:space="preserve">for DG </w:t>
            </w:r>
            <w:r>
              <w:rPr>
                <w:noProof/>
                <w:sz w:val="22"/>
              </w:rPr>
              <w:t>EAC</w:t>
            </w:r>
          </w:p>
        </w:tc>
        <w:tc>
          <w:tcPr>
            <w:tcW w:w="1440" w:type="dxa"/>
            <w:vAlign w:val="center"/>
          </w:tcPr>
          <w:p>
            <w:pPr>
              <w:rPr>
                <w:b/>
                <w:noProof/>
                <w:sz w:val="18"/>
              </w:rPr>
            </w:pPr>
            <w:r>
              <w:rPr>
                <w:b/>
                <w:noProof/>
                <w:sz w:val="18"/>
              </w:rPr>
              <w:t>Commitments</w:t>
            </w:r>
          </w:p>
        </w:tc>
        <w:tc>
          <w:tcPr>
            <w:tcW w:w="654" w:type="dxa"/>
            <w:vAlign w:val="center"/>
          </w:tcPr>
          <w:p>
            <w:pPr>
              <w:jc w:val="center"/>
              <w:rPr>
                <w:b/>
                <w:bCs/>
                <w:noProof/>
                <w:sz w:val="14"/>
                <w:szCs w:val="14"/>
              </w:rPr>
            </w:pPr>
            <w:r>
              <w:rPr>
                <w:b/>
                <w:bCs/>
                <w:noProof/>
                <w:sz w:val="14"/>
                <w:szCs w:val="14"/>
              </w:rPr>
              <w:t>=1a+1b+1c +3</w:t>
            </w:r>
          </w:p>
        </w:tc>
        <w:tc>
          <w:tcPr>
            <w:tcW w:w="685" w:type="dxa"/>
            <w:vAlign w:val="center"/>
          </w:tcPr>
          <w:p>
            <w:pPr>
              <w:spacing w:before="20" w:after="20"/>
              <w:jc w:val="right"/>
              <w:rPr>
                <w:b/>
                <w:noProof/>
                <w:sz w:val="20"/>
              </w:rPr>
            </w:pPr>
          </w:p>
        </w:tc>
        <w:tc>
          <w:tcPr>
            <w:tcW w:w="1134" w:type="dxa"/>
            <w:vAlign w:val="center"/>
          </w:tcPr>
          <w:p>
            <w:pPr>
              <w:spacing w:before="20" w:after="20"/>
              <w:jc w:val="right"/>
              <w:rPr>
                <w:b/>
                <w:bCs/>
                <w:noProof/>
                <w:sz w:val="18"/>
                <w:szCs w:val="18"/>
              </w:rPr>
            </w:pPr>
            <w:r>
              <w:rPr>
                <w:b/>
                <w:bCs/>
                <w:noProof/>
                <w:sz w:val="18"/>
                <w:szCs w:val="18"/>
              </w:rPr>
              <w:t>8.250</w:t>
            </w:r>
          </w:p>
        </w:tc>
        <w:tc>
          <w:tcPr>
            <w:tcW w:w="992" w:type="dxa"/>
            <w:gridSpan w:val="2"/>
            <w:vAlign w:val="center"/>
          </w:tcPr>
          <w:p>
            <w:pPr>
              <w:spacing w:before="20" w:after="20"/>
              <w:jc w:val="right"/>
              <w:rPr>
                <w:b/>
                <w:bCs/>
                <w:noProof/>
                <w:sz w:val="18"/>
                <w:szCs w:val="18"/>
              </w:rPr>
            </w:pPr>
            <w:r>
              <w:rPr>
                <w:b/>
                <w:bCs/>
                <w:noProof/>
                <w:sz w:val="18"/>
                <w:szCs w:val="18"/>
              </w:rPr>
              <w:t>0.750</w:t>
            </w:r>
          </w:p>
        </w:tc>
        <w:tc>
          <w:tcPr>
            <w:tcW w:w="993" w:type="dxa"/>
            <w:gridSpan w:val="2"/>
            <w:vAlign w:val="center"/>
          </w:tcPr>
          <w:p>
            <w:pPr>
              <w:spacing w:before="20" w:after="20"/>
              <w:jc w:val="right"/>
              <w:rPr>
                <w:b/>
                <w:bCs/>
                <w:noProof/>
                <w:sz w:val="18"/>
                <w:szCs w:val="18"/>
              </w:rPr>
            </w:pPr>
            <w:r>
              <w:rPr>
                <w:b/>
                <w:bCs/>
                <w:noProof/>
                <w:sz w:val="18"/>
                <w:szCs w:val="18"/>
              </w:rPr>
              <w:t>0.250</w:t>
            </w:r>
          </w:p>
        </w:tc>
        <w:tc>
          <w:tcPr>
            <w:tcW w:w="850" w:type="dxa"/>
            <w:vAlign w:val="center"/>
          </w:tcPr>
          <w:p>
            <w:pPr>
              <w:spacing w:before="20" w:after="20"/>
              <w:jc w:val="right"/>
              <w:rPr>
                <w:b/>
                <w:noProof/>
                <w:sz w:val="20"/>
              </w:rPr>
            </w:pPr>
          </w:p>
        </w:tc>
        <w:tc>
          <w:tcPr>
            <w:tcW w:w="992" w:type="dxa"/>
            <w:gridSpan w:val="3"/>
            <w:vAlign w:val="center"/>
          </w:tcPr>
          <w:p>
            <w:pPr>
              <w:spacing w:before="20" w:after="20"/>
              <w:jc w:val="right"/>
              <w:rPr>
                <w:b/>
                <w:noProof/>
                <w:sz w:val="20"/>
              </w:rPr>
            </w:pPr>
          </w:p>
        </w:tc>
        <w:tc>
          <w:tcPr>
            <w:tcW w:w="851" w:type="dxa"/>
            <w:vAlign w:val="center"/>
          </w:tcPr>
          <w:p>
            <w:pPr>
              <w:spacing w:before="20" w:after="20"/>
              <w:jc w:val="right"/>
              <w:rPr>
                <w:b/>
                <w:noProof/>
                <w:sz w:val="20"/>
              </w:rPr>
            </w:pPr>
          </w:p>
        </w:tc>
        <w:tc>
          <w:tcPr>
            <w:tcW w:w="1356" w:type="dxa"/>
            <w:gridSpan w:val="2"/>
            <w:vAlign w:val="center"/>
          </w:tcPr>
          <w:p>
            <w:pPr>
              <w:spacing w:before="20" w:after="20"/>
              <w:jc w:val="right"/>
              <w:rPr>
                <w:b/>
                <w:bCs/>
                <w:noProof/>
                <w:sz w:val="18"/>
                <w:szCs w:val="18"/>
              </w:rPr>
            </w:pPr>
            <w:r>
              <w:rPr>
                <w:b/>
                <w:bCs/>
                <w:noProof/>
                <w:sz w:val="18"/>
                <w:szCs w:val="18"/>
              </w:rPr>
              <w:t>9.250</w:t>
            </w:r>
          </w:p>
        </w:tc>
      </w:tr>
      <w:tr>
        <w:tc>
          <w:tcPr>
            <w:tcW w:w="3960" w:type="dxa"/>
            <w:vMerge/>
          </w:tcPr>
          <w:p>
            <w:pPr>
              <w:rPr>
                <w:noProof/>
                <w:sz w:val="20"/>
              </w:rPr>
            </w:pPr>
          </w:p>
        </w:tc>
        <w:tc>
          <w:tcPr>
            <w:tcW w:w="1440" w:type="dxa"/>
            <w:vAlign w:val="center"/>
          </w:tcPr>
          <w:p>
            <w:pPr>
              <w:rPr>
                <w:b/>
                <w:noProof/>
                <w:sz w:val="18"/>
              </w:rPr>
            </w:pPr>
            <w:r>
              <w:rPr>
                <w:b/>
                <w:noProof/>
                <w:sz w:val="18"/>
              </w:rPr>
              <w:t>Payments</w:t>
            </w:r>
          </w:p>
        </w:tc>
        <w:tc>
          <w:tcPr>
            <w:tcW w:w="654" w:type="dxa"/>
            <w:vAlign w:val="center"/>
          </w:tcPr>
          <w:p>
            <w:pPr>
              <w:jc w:val="center"/>
              <w:rPr>
                <w:b/>
                <w:noProof/>
                <w:sz w:val="14"/>
              </w:rPr>
            </w:pPr>
            <w:r>
              <w:rPr>
                <w:b/>
                <w:noProof/>
                <w:sz w:val="14"/>
              </w:rPr>
              <w:t>=2a+2b</w:t>
            </w:r>
          </w:p>
          <w:p>
            <w:pPr>
              <w:jc w:val="center"/>
              <w:rPr>
                <w:b/>
                <w:bCs/>
                <w:noProof/>
                <w:sz w:val="14"/>
                <w:szCs w:val="14"/>
              </w:rPr>
            </w:pPr>
            <w:r>
              <w:rPr>
                <w:b/>
                <w:bCs/>
                <w:noProof/>
                <w:sz w:val="14"/>
                <w:szCs w:val="14"/>
              </w:rPr>
              <w:t>+2c+3</w:t>
            </w:r>
          </w:p>
        </w:tc>
        <w:tc>
          <w:tcPr>
            <w:tcW w:w="685" w:type="dxa"/>
            <w:vAlign w:val="center"/>
          </w:tcPr>
          <w:p>
            <w:pPr>
              <w:spacing w:before="20" w:after="20"/>
              <w:jc w:val="right"/>
              <w:rPr>
                <w:b/>
                <w:noProof/>
                <w:sz w:val="20"/>
              </w:rPr>
            </w:pPr>
          </w:p>
        </w:tc>
        <w:tc>
          <w:tcPr>
            <w:tcW w:w="1134" w:type="dxa"/>
            <w:vAlign w:val="center"/>
          </w:tcPr>
          <w:p>
            <w:pPr>
              <w:spacing w:before="20" w:after="20"/>
              <w:jc w:val="center"/>
              <w:rPr>
                <w:b/>
                <w:bCs/>
                <w:noProof/>
                <w:sz w:val="18"/>
                <w:szCs w:val="18"/>
              </w:rPr>
            </w:pPr>
            <w:r>
              <w:rPr>
                <w:b/>
                <w:bCs/>
                <w:noProof/>
                <w:sz w:val="18"/>
                <w:szCs w:val="18"/>
              </w:rPr>
              <w:t>4.686</w:t>
            </w:r>
          </w:p>
        </w:tc>
        <w:tc>
          <w:tcPr>
            <w:tcW w:w="992" w:type="dxa"/>
            <w:gridSpan w:val="2"/>
            <w:vAlign w:val="center"/>
          </w:tcPr>
          <w:p>
            <w:pPr>
              <w:spacing w:before="20" w:after="20"/>
              <w:jc w:val="center"/>
              <w:rPr>
                <w:b/>
                <w:bCs/>
                <w:noProof/>
                <w:sz w:val="18"/>
                <w:szCs w:val="18"/>
              </w:rPr>
            </w:pPr>
            <w:r>
              <w:rPr>
                <w:b/>
                <w:bCs/>
                <w:noProof/>
                <w:sz w:val="18"/>
                <w:szCs w:val="18"/>
              </w:rPr>
              <w:t>2.298</w:t>
            </w:r>
          </w:p>
        </w:tc>
        <w:tc>
          <w:tcPr>
            <w:tcW w:w="993" w:type="dxa"/>
            <w:gridSpan w:val="2"/>
            <w:vAlign w:val="center"/>
          </w:tcPr>
          <w:p>
            <w:pPr>
              <w:spacing w:before="20" w:after="20"/>
              <w:jc w:val="center"/>
              <w:rPr>
                <w:b/>
                <w:bCs/>
                <w:noProof/>
                <w:sz w:val="18"/>
                <w:szCs w:val="18"/>
              </w:rPr>
            </w:pPr>
            <w:r>
              <w:rPr>
                <w:b/>
                <w:bCs/>
                <w:noProof/>
                <w:sz w:val="18"/>
                <w:szCs w:val="18"/>
              </w:rPr>
              <w:t>1.637</w:t>
            </w:r>
          </w:p>
        </w:tc>
        <w:tc>
          <w:tcPr>
            <w:tcW w:w="850" w:type="dxa"/>
            <w:vAlign w:val="center"/>
          </w:tcPr>
          <w:p>
            <w:pPr>
              <w:spacing w:before="20" w:after="20"/>
              <w:jc w:val="center"/>
              <w:rPr>
                <w:b/>
                <w:bCs/>
                <w:noProof/>
                <w:sz w:val="18"/>
                <w:szCs w:val="18"/>
              </w:rPr>
            </w:pPr>
            <w:r>
              <w:rPr>
                <w:b/>
                <w:bCs/>
                <w:noProof/>
                <w:sz w:val="18"/>
                <w:szCs w:val="18"/>
              </w:rPr>
              <w:t>0.378</w:t>
            </w:r>
          </w:p>
        </w:tc>
        <w:tc>
          <w:tcPr>
            <w:tcW w:w="992" w:type="dxa"/>
            <w:gridSpan w:val="3"/>
            <w:vAlign w:val="center"/>
          </w:tcPr>
          <w:p>
            <w:pPr>
              <w:spacing w:before="20" w:after="20"/>
              <w:jc w:val="center"/>
              <w:rPr>
                <w:b/>
                <w:bCs/>
                <w:noProof/>
                <w:sz w:val="18"/>
                <w:szCs w:val="18"/>
              </w:rPr>
            </w:pPr>
            <w:r>
              <w:rPr>
                <w:b/>
                <w:bCs/>
                <w:noProof/>
                <w:sz w:val="18"/>
                <w:szCs w:val="18"/>
              </w:rPr>
              <w:t>0.251</w:t>
            </w:r>
          </w:p>
        </w:tc>
        <w:tc>
          <w:tcPr>
            <w:tcW w:w="851" w:type="dxa"/>
            <w:vAlign w:val="center"/>
          </w:tcPr>
          <w:p>
            <w:pPr>
              <w:spacing w:before="40" w:after="40"/>
              <w:jc w:val="right"/>
              <w:rPr>
                <w:noProof/>
                <w:sz w:val="18"/>
                <w:szCs w:val="18"/>
              </w:rPr>
            </w:pPr>
          </w:p>
        </w:tc>
        <w:tc>
          <w:tcPr>
            <w:tcW w:w="1356" w:type="dxa"/>
            <w:gridSpan w:val="2"/>
            <w:vAlign w:val="center"/>
          </w:tcPr>
          <w:p>
            <w:pPr>
              <w:spacing w:before="20" w:after="20"/>
              <w:jc w:val="right"/>
              <w:rPr>
                <w:b/>
                <w:bCs/>
                <w:noProof/>
                <w:sz w:val="20"/>
                <w:szCs w:val="20"/>
              </w:rPr>
            </w:pPr>
            <w:r>
              <w:rPr>
                <w:b/>
                <w:bCs/>
                <w:noProof/>
                <w:sz w:val="18"/>
                <w:szCs w:val="18"/>
              </w:rPr>
              <w:t>9.250</w:t>
            </w:r>
          </w:p>
        </w:tc>
      </w:tr>
    </w:tbl>
    <w:p>
      <w:pPr>
        <w:rPr>
          <w:b/>
          <w:noProof/>
          <w:sz w:val="22"/>
          <w:highlight w:val="cyan"/>
          <w:u w:val="single"/>
        </w:rPr>
      </w:pPr>
      <w:r>
        <w:rPr>
          <w:noProof/>
        </w:rPr>
        <w:br/>
      </w: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spacing w:before="60" w:after="60"/>
              <w:jc w:val="center"/>
              <w:rPr>
                <w:noProof/>
              </w:rPr>
            </w:pPr>
            <w:r>
              <w:rPr>
                <w:b/>
                <w:noProof/>
                <w:sz w:val="22"/>
              </w:rPr>
              <w:t>7</w:t>
            </w:r>
          </w:p>
        </w:tc>
        <w:tc>
          <w:tcPr>
            <w:tcW w:w="7817" w:type="dxa"/>
            <w:vAlign w:val="center"/>
          </w:tcPr>
          <w:p>
            <w:pPr>
              <w:spacing w:before="60" w:after="60"/>
              <w:rPr>
                <w:noProof/>
              </w:rPr>
            </w:pPr>
            <w:r>
              <w:rPr>
                <w:noProof/>
                <w:sz w:val="22"/>
              </w:rPr>
              <w:t>‘Administrative expenditure’</w:t>
            </w:r>
          </w:p>
        </w:tc>
      </w:tr>
    </w:tbl>
    <w:p>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868" w:type="dxa"/>
            <w:vAlign w:val="center"/>
          </w:tcPr>
          <w:p>
            <w:pPr>
              <w:jc w:val="center"/>
              <w:rPr>
                <w:noProof/>
                <w:sz w:val="20"/>
              </w:rPr>
            </w:pPr>
            <w:r>
              <w:rPr>
                <w:noProof/>
                <w:sz w:val="20"/>
              </w:rPr>
              <w:t>Year</w:t>
            </w:r>
            <w:r>
              <w:rPr>
                <w:noProof/>
                <w:sz w:val="22"/>
              </w:rPr>
              <w:br/>
            </w:r>
            <w:r>
              <w:rPr>
                <w:b/>
                <w:noProof/>
                <w:sz w:val="20"/>
              </w:rPr>
              <w:t>2024</w:t>
            </w:r>
          </w:p>
        </w:tc>
        <w:tc>
          <w:tcPr>
            <w:tcW w:w="2604" w:type="dxa"/>
            <w:gridSpan w:val="3"/>
            <w:vAlign w:val="center"/>
          </w:tcPr>
          <w:p>
            <w:pPr>
              <w:jc w:val="center"/>
              <w:rPr>
                <w:b/>
                <w:noProof/>
                <w:sz w:val="18"/>
              </w:rPr>
            </w:pPr>
            <w:r>
              <w:rPr>
                <w:noProof/>
                <w:sz w:val="18"/>
              </w:rPr>
              <w:t xml:space="preserve">Enter as many years as necessary to show the duration of the impact (see point 1.6) </w:t>
            </w:r>
          </w:p>
        </w:tc>
        <w:tc>
          <w:tcPr>
            <w:tcW w:w="1777" w:type="dxa"/>
            <w:vAlign w:val="center"/>
          </w:tcPr>
          <w:p>
            <w:pPr>
              <w:jc w:val="center"/>
              <w:rPr>
                <w:b/>
                <w:noProof/>
                <w:sz w:val="20"/>
              </w:rPr>
            </w:pPr>
            <w:r>
              <w:rPr>
                <w:b/>
                <w:noProof/>
                <w:sz w:val="20"/>
              </w:rPr>
              <w:t>TOTAL</w:t>
            </w:r>
          </w:p>
        </w:tc>
      </w:tr>
      <w:tr>
        <w:trPr>
          <w:gridAfter w:val="10"/>
          <w:wAfter w:w="9947" w:type="dxa"/>
        </w:trPr>
        <w:tc>
          <w:tcPr>
            <w:tcW w:w="3960" w:type="dxa"/>
            <w:vAlign w:val="center"/>
          </w:tcPr>
          <w:p>
            <w:pPr>
              <w:spacing w:before="60" w:after="60"/>
              <w:jc w:val="center"/>
              <w:rPr>
                <w:noProof/>
              </w:rPr>
            </w:pPr>
            <w:r>
              <w:rPr>
                <w:noProof/>
                <w:sz w:val="22"/>
              </w:rPr>
              <w:t>DG EAC</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Human resources </w:t>
            </w:r>
          </w:p>
        </w:tc>
        <w:tc>
          <w:tcPr>
            <w:tcW w:w="868" w:type="dxa"/>
            <w:vAlign w:val="center"/>
          </w:tcPr>
          <w:p>
            <w:pPr>
              <w:spacing w:before="20" w:after="20"/>
              <w:jc w:val="right"/>
              <w:rPr>
                <w:noProof/>
                <w:sz w:val="20"/>
                <w:szCs w:val="20"/>
              </w:rPr>
            </w:pPr>
            <w:r>
              <w:rPr>
                <w:noProof/>
                <w:sz w:val="20"/>
                <w:szCs w:val="20"/>
              </w:rPr>
              <w:t>0,948</w:t>
            </w:r>
          </w:p>
        </w:tc>
        <w:tc>
          <w:tcPr>
            <w:tcW w:w="868" w:type="dxa"/>
            <w:vAlign w:val="center"/>
          </w:tcPr>
          <w:p>
            <w:pPr>
              <w:spacing w:before="20" w:after="20"/>
              <w:jc w:val="right"/>
              <w:rPr>
                <w:noProof/>
                <w:sz w:val="20"/>
                <w:szCs w:val="20"/>
              </w:rPr>
            </w:pPr>
            <w:r>
              <w:rPr>
                <w:noProof/>
                <w:sz w:val="20"/>
                <w:szCs w:val="20"/>
              </w:rPr>
              <w:t>1,358</w:t>
            </w:r>
          </w:p>
        </w:tc>
        <w:tc>
          <w:tcPr>
            <w:tcW w:w="868" w:type="dxa"/>
            <w:vAlign w:val="center"/>
          </w:tcPr>
          <w:p>
            <w:pPr>
              <w:spacing w:before="20" w:after="20"/>
              <w:jc w:val="right"/>
              <w:rPr>
                <w:noProof/>
                <w:sz w:val="20"/>
                <w:szCs w:val="20"/>
              </w:rPr>
            </w:pPr>
            <w:r>
              <w:rPr>
                <w:noProof/>
                <w:sz w:val="20"/>
                <w:szCs w:val="20"/>
              </w:rPr>
              <w:t>0,240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bCs/>
                <w:noProof/>
                <w:sz w:val="20"/>
                <w:szCs w:val="20"/>
              </w:rPr>
            </w:pPr>
            <w:r>
              <w:rPr>
                <w:b/>
                <w:bCs/>
                <w:noProof/>
                <w:sz w:val="20"/>
                <w:szCs w:val="20"/>
              </w:rPr>
              <w:t>2,546</w:t>
            </w: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Other administrative expenditure </w:t>
            </w:r>
          </w:p>
          <w:p>
            <w:pPr>
              <w:spacing w:before="20" w:after="20"/>
              <w:rPr>
                <w:noProof/>
                <w:sz w:val="22"/>
              </w:rPr>
            </w:pPr>
          </w:p>
        </w:tc>
        <w:tc>
          <w:tcPr>
            <w:tcW w:w="868" w:type="dxa"/>
            <w:vAlign w:val="center"/>
          </w:tcPr>
          <w:p>
            <w:pPr>
              <w:spacing w:before="20" w:after="20"/>
              <w:jc w:val="right"/>
              <w:rPr>
                <w:b/>
                <w:noProof/>
                <w:sz w:val="20"/>
                <w:szCs w:val="20"/>
              </w:rPr>
            </w:pPr>
          </w:p>
        </w:tc>
        <w:tc>
          <w:tcPr>
            <w:tcW w:w="868" w:type="dxa"/>
            <w:vAlign w:val="center"/>
          </w:tcPr>
          <w:p>
            <w:pPr>
              <w:spacing w:before="20" w:after="20"/>
              <w:jc w:val="right"/>
              <w:rPr>
                <w:noProof/>
                <w:sz w:val="20"/>
                <w:szCs w:val="20"/>
              </w:rPr>
            </w:pPr>
            <w:r>
              <w:rPr>
                <w:bCs/>
                <w:noProof/>
                <w:sz w:val="20"/>
                <w:szCs w:val="20"/>
              </w:rPr>
              <w:t>0,012</w:t>
            </w:r>
          </w:p>
        </w:tc>
        <w:tc>
          <w:tcPr>
            <w:tcW w:w="868" w:type="dxa"/>
            <w:vAlign w:val="center"/>
          </w:tcPr>
          <w:p>
            <w:pPr>
              <w:spacing w:before="20" w:after="20"/>
              <w:jc w:val="right"/>
              <w:rPr>
                <w:b/>
                <w:noProof/>
                <w:sz w:val="20"/>
                <w:szCs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bCs/>
                <w:noProof/>
                <w:sz w:val="20"/>
                <w:szCs w:val="20"/>
              </w:rPr>
            </w:pPr>
            <w:r>
              <w:rPr>
                <w:b/>
                <w:bCs/>
                <w:noProof/>
                <w:sz w:val="20"/>
                <w:szCs w:val="20"/>
              </w:rPr>
              <w:t>0,012</w:t>
            </w:r>
          </w:p>
        </w:tc>
      </w:tr>
      <w:tr>
        <w:tc>
          <w:tcPr>
            <w:tcW w:w="3960" w:type="dxa"/>
            <w:vAlign w:val="center"/>
          </w:tcPr>
          <w:p>
            <w:pPr>
              <w:jc w:val="center"/>
              <w:rPr>
                <w:b/>
                <w:noProof/>
              </w:rPr>
            </w:pPr>
            <w:r>
              <w:rPr>
                <w:b/>
                <w:noProof/>
                <w:sz w:val="22"/>
              </w:rPr>
              <w:t xml:space="preserve">TOTAL DG </w:t>
            </w:r>
            <w:r>
              <w:rPr>
                <w:noProof/>
                <w:sz w:val="22"/>
              </w:rPr>
              <w:t>EAC</w:t>
            </w:r>
          </w:p>
        </w:tc>
        <w:tc>
          <w:tcPr>
            <w:tcW w:w="2094" w:type="dxa"/>
            <w:gridSpan w:val="2"/>
            <w:vAlign w:val="center"/>
          </w:tcPr>
          <w:p>
            <w:pPr>
              <w:rPr>
                <w:noProof/>
                <w:sz w:val="14"/>
              </w:rPr>
            </w:pPr>
            <w:r>
              <w:rPr>
                <w:noProof/>
                <w:sz w:val="18"/>
              </w:rPr>
              <w:t xml:space="preserve">Appropriations </w:t>
            </w:r>
          </w:p>
        </w:tc>
        <w:tc>
          <w:tcPr>
            <w:tcW w:w="868" w:type="dxa"/>
            <w:vAlign w:val="center"/>
          </w:tcPr>
          <w:p>
            <w:pPr>
              <w:spacing w:before="20" w:after="20"/>
              <w:jc w:val="right"/>
              <w:rPr>
                <w:noProof/>
                <w:sz w:val="20"/>
                <w:szCs w:val="20"/>
              </w:rPr>
            </w:pPr>
            <w:r>
              <w:rPr>
                <w:noProof/>
                <w:sz w:val="20"/>
                <w:szCs w:val="20"/>
              </w:rPr>
              <w:t>0,948</w:t>
            </w:r>
          </w:p>
        </w:tc>
        <w:tc>
          <w:tcPr>
            <w:tcW w:w="868" w:type="dxa"/>
            <w:vAlign w:val="center"/>
          </w:tcPr>
          <w:p>
            <w:pPr>
              <w:spacing w:before="20" w:after="20"/>
              <w:jc w:val="right"/>
              <w:rPr>
                <w:noProof/>
                <w:sz w:val="20"/>
                <w:szCs w:val="20"/>
              </w:rPr>
            </w:pPr>
            <w:r>
              <w:rPr>
                <w:noProof/>
                <w:sz w:val="20"/>
                <w:szCs w:val="20"/>
              </w:rPr>
              <w:t>1,370</w:t>
            </w:r>
          </w:p>
        </w:tc>
        <w:tc>
          <w:tcPr>
            <w:tcW w:w="868" w:type="dxa"/>
            <w:vAlign w:val="center"/>
          </w:tcPr>
          <w:p>
            <w:pPr>
              <w:spacing w:before="20" w:after="20"/>
              <w:jc w:val="right"/>
              <w:rPr>
                <w:noProof/>
                <w:sz w:val="20"/>
                <w:szCs w:val="20"/>
              </w:rPr>
            </w:pPr>
            <w:r>
              <w:rPr>
                <w:noProof/>
                <w:sz w:val="20"/>
                <w:szCs w:val="20"/>
              </w:rPr>
              <w:t>0,240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bCs/>
                <w:noProof/>
                <w:sz w:val="20"/>
                <w:szCs w:val="20"/>
              </w:rPr>
            </w:pPr>
            <w:r>
              <w:rPr>
                <w:b/>
                <w:bCs/>
                <w:noProof/>
                <w:sz w:val="20"/>
                <w:szCs w:val="20"/>
              </w:rPr>
              <w:t>2,558</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clear" w:color="auto" w:fill="auto"/>
            <w:vAlign w:val="center"/>
          </w:tcPr>
          <w:p>
            <w:pPr>
              <w:jc w:val="center"/>
              <w:rPr>
                <w:b/>
                <w:noProof/>
              </w:rPr>
            </w:pPr>
            <w:r>
              <w:rPr>
                <w:b/>
                <w:noProof/>
                <w:sz w:val="22"/>
              </w:rPr>
              <w:t>TOTAL appropriations</w:t>
            </w:r>
            <w:r>
              <w:rPr>
                <w:noProof/>
                <w:sz w:val="22"/>
              </w:rPr>
              <w:br/>
            </w:r>
            <w:r>
              <w:rPr>
                <w:b/>
                <w:noProof/>
                <w:sz w:val="22"/>
              </w:rPr>
              <w:t>under HEADING 7</w:t>
            </w:r>
            <w:r>
              <w:rPr>
                <w:noProof/>
                <w:sz w:val="22"/>
              </w:rPr>
              <w:br/>
              <w:t>of the multiannual financial framework</w:t>
            </w:r>
            <w:r>
              <w:rPr>
                <w:b/>
                <w:noProof/>
                <w:sz w:val="22"/>
              </w:rPr>
              <w:t xml:space="preserve"> </w:t>
            </w:r>
          </w:p>
        </w:tc>
        <w:tc>
          <w:tcPr>
            <w:tcW w:w="2094" w:type="dxa"/>
            <w:vAlign w:val="center"/>
          </w:tcPr>
          <w:p>
            <w:pPr>
              <w:spacing w:before="40" w:after="40"/>
              <w:rPr>
                <w:noProof/>
              </w:rPr>
            </w:pPr>
            <w:r>
              <w:rPr>
                <w:noProof/>
                <w:sz w:val="18"/>
              </w:rPr>
              <w:t>(Total commitments = Total payments)</w:t>
            </w:r>
          </w:p>
        </w:tc>
        <w:tc>
          <w:tcPr>
            <w:tcW w:w="868" w:type="dxa"/>
            <w:vAlign w:val="center"/>
          </w:tcPr>
          <w:p>
            <w:pPr>
              <w:spacing w:before="20" w:after="20"/>
              <w:jc w:val="right"/>
              <w:rPr>
                <w:noProof/>
                <w:sz w:val="20"/>
                <w:szCs w:val="20"/>
              </w:rPr>
            </w:pPr>
            <w:r>
              <w:rPr>
                <w:noProof/>
                <w:sz w:val="20"/>
                <w:szCs w:val="20"/>
              </w:rPr>
              <w:t>0,948</w:t>
            </w:r>
          </w:p>
        </w:tc>
        <w:tc>
          <w:tcPr>
            <w:tcW w:w="868" w:type="dxa"/>
            <w:vAlign w:val="center"/>
          </w:tcPr>
          <w:p>
            <w:pPr>
              <w:spacing w:before="20" w:after="20"/>
              <w:jc w:val="right"/>
              <w:rPr>
                <w:noProof/>
                <w:sz w:val="20"/>
                <w:szCs w:val="20"/>
              </w:rPr>
            </w:pPr>
            <w:r>
              <w:rPr>
                <w:noProof/>
                <w:sz w:val="20"/>
                <w:szCs w:val="20"/>
              </w:rPr>
              <w:t>1,370</w:t>
            </w:r>
          </w:p>
        </w:tc>
        <w:tc>
          <w:tcPr>
            <w:tcW w:w="868" w:type="dxa"/>
            <w:vAlign w:val="center"/>
          </w:tcPr>
          <w:p>
            <w:pPr>
              <w:spacing w:before="20" w:after="20"/>
              <w:jc w:val="right"/>
              <w:rPr>
                <w:noProof/>
                <w:sz w:val="20"/>
                <w:szCs w:val="20"/>
              </w:rPr>
            </w:pPr>
            <w:r>
              <w:rPr>
                <w:noProof/>
                <w:sz w:val="20"/>
                <w:szCs w:val="20"/>
              </w:rPr>
              <w:t>0,240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jc w:val="right"/>
              <w:rPr>
                <w:b/>
                <w:bCs/>
                <w:noProof/>
                <w:sz w:val="20"/>
                <w:szCs w:val="20"/>
              </w:rPr>
            </w:pPr>
            <w:r>
              <w:rPr>
                <w:b/>
                <w:bCs/>
                <w:noProof/>
                <w:sz w:val="20"/>
                <w:szCs w:val="20"/>
              </w:rPr>
              <w:t>2.558</w:t>
            </w:r>
          </w:p>
        </w:tc>
      </w:tr>
    </w:tbl>
    <w:p>
      <w:pPr>
        <w:jc w:val="right"/>
        <w:rPr>
          <w:noProof/>
          <w:sz w:val="20"/>
        </w:rPr>
      </w:pPr>
      <w:r>
        <w:rPr>
          <w:noProof/>
          <w:sz w:val="20"/>
        </w:rPr>
        <w:t>EUR million (to three decimal places)</w:t>
      </w:r>
    </w:p>
    <w:tbl>
      <w:tblPr>
        <w:tblStyle w:val="TableGrid"/>
        <w:tblW w:w="0" w:type="auto"/>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Pr>
          <w:p>
            <w:pPr>
              <w:jc w:val="center"/>
              <w:rPr>
                <w:noProof/>
              </w:rPr>
            </w:pPr>
          </w:p>
        </w:tc>
        <w:tc>
          <w:tcPr>
            <w:tcW w:w="1560" w:type="dxa"/>
          </w:tcPr>
          <w:p>
            <w:pPr>
              <w:rPr>
                <w:noProof/>
                <w:sz w:val="20"/>
              </w:rPr>
            </w:pPr>
          </w:p>
        </w:tc>
        <w:tc>
          <w:tcPr>
            <w:tcW w:w="534" w:type="dxa"/>
          </w:tcPr>
          <w:p>
            <w:pPr>
              <w:jc w:val="center"/>
              <w:rPr>
                <w:noProof/>
                <w:sz w:val="20"/>
              </w:rPr>
            </w:pPr>
          </w:p>
        </w:tc>
        <w:tc>
          <w:tcPr>
            <w:tcW w:w="868" w:type="dxa"/>
          </w:tcPr>
          <w:p>
            <w:pPr>
              <w:jc w:val="center"/>
              <w:rPr>
                <w:noProof/>
                <w:sz w:val="20"/>
                <w:szCs w:val="20"/>
              </w:rPr>
            </w:pPr>
            <w:r>
              <w:rPr>
                <w:noProof/>
                <w:sz w:val="20"/>
                <w:szCs w:val="20"/>
              </w:rPr>
              <w:t>2021</w:t>
            </w:r>
            <w:r>
              <w:rPr>
                <w:rStyle w:val="FootnoteReference0"/>
                <w:bCs/>
                <w:noProof/>
                <w:sz w:val="20"/>
                <w:szCs w:val="20"/>
              </w:rPr>
              <w:footnoteReference w:id="36"/>
            </w:r>
          </w:p>
        </w:tc>
        <w:tc>
          <w:tcPr>
            <w:tcW w:w="868" w:type="dxa"/>
          </w:tcPr>
          <w:p>
            <w:pPr>
              <w:jc w:val="center"/>
              <w:rPr>
                <w:noProof/>
                <w:sz w:val="20"/>
                <w:szCs w:val="20"/>
              </w:rPr>
            </w:pPr>
            <w:r>
              <w:rPr>
                <w:noProof/>
                <w:sz w:val="20"/>
                <w:szCs w:val="20"/>
              </w:rPr>
              <w:t>2022</w:t>
            </w:r>
          </w:p>
        </w:tc>
        <w:tc>
          <w:tcPr>
            <w:tcW w:w="868" w:type="dxa"/>
          </w:tcPr>
          <w:p>
            <w:pPr>
              <w:jc w:val="center"/>
              <w:rPr>
                <w:noProof/>
                <w:sz w:val="20"/>
                <w:szCs w:val="20"/>
              </w:rPr>
            </w:pPr>
            <w:r>
              <w:rPr>
                <w:noProof/>
                <w:sz w:val="20"/>
                <w:szCs w:val="20"/>
              </w:rPr>
              <w:t>2023</w:t>
            </w:r>
          </w:p>
        </w:tc>
        <w:tc>
          <w:tcPr>
            <w:tcW w:w="868" w:type="dxa"/>
          </w:tcPr>
          <w:p>
            <w:pPr>
              <w:jc w:val="center"/>
              <w:rPr>
                <w:noProof/>
                <w:sz w:val="20"/>
                <w:szCs w:val="20"/>
              </w:rPr>
            </w:pPr>
            <w:r>
              <w:rPr>
                <w:noProof/>
                <w:sz w:val="20"/>
                <w:szCs w:val="20"/>
              </w:rPr>
              <w:t>2024</w:t>
            </w:r>
          </w:p>
        </w:tc>
        <w:tc>
          <w:tcPr>
            <w:tcW w:w="2604" w:type="dxa"/>
            <w:gridSpan w:val="3"/>
          </w:tcPr>
          <w:p>
            <w:pPr>
              <w:jc w:val="center"/>
              <w:rPr>
                <w:b/>
                <w:noProof/>
                <w:sz w:val="18"/>
              </w:rPr>
            </w:pPr>
            <w:r>
              <w:rPr>
                <w:noProof/>
                <w:sz w:val="18"/>
              </w:rPr>
              <w:t>Enter as many years as necessary to show the duration of the impact (see point 1.6)</w:t>
            </w:r>
          </w:p>
        </w:tc>
        <w:tc>
          <w:tcPr>
            <w:tcW w:w="1777" w:type="dxa"/>
          </w:tcPr>
          <w:p>
            <w:pPr>
              <w:jc w:val="center"/>
              <w:rPr>
                <w:b/>
                <w:noProof/>
                <w:sz w:val="20"/>
              </w:rPr>
            </w:pPr>
            <w:r>
              <w:rPr>
                <w:b/>
                <w:noProof/>
                <w:sz w:val="20"/>
              </w:rPr>
              <w:t>TOTAL</w:t>
            </w:r>
          </w:p>
        </w:tc>
      </w:tr>
      <w:tr>
        <w:tc>
          <w:tcPr>
            <w:tcW w:w="3960" w:type="dxa"/>
            <w:vMerge w:val="restart"/>
          </w:tcPr>
          <w:p>
            <w:pPr>
              <w:jc w:val="center"/>
              <w:rPr>
                <w:b/>
                <w:noProof/>
              </w:rPr>
            </w:pPr>
            <w:r>
              <w:rPr>
                <w:b/>
                <w:noProof/>
                <w:sz w:val="22"/>
              </w:rPr>
              <w:t xml:space="preserve">TOTAL appropriations </w:t>
            </w:r>
            <w:r>
              <w:rPr>
                <w:noProof/>
                <w:sz w:val="22"/>
              </w:rPr>
              <w:br/>
            </w:r>
            <w:r>
              <w:rPr>
                <w:b/>
                <w:noProof/>
                <w:sz w:val="22"/>
              </w:rPr>
              <w:t>under HEADINGS 1 to 7</w:t>
            </w:r>
            <w:r>
              <w:rPr>
                <w:noProof/>
                <w:sz w:val="22"/>
              </w:rPr>
              <w:br/>
              <w:t>of the multiannual financial framework</w:t>
            </w:r>
            <w:r>
              <w:rPr>
                <w:b/>
                <w:noProof/>
                <w:sz w:val="22"/>
              </w:rPr>
              <w:t xml:space="preserve"> </w:t>
            </w:r>
          </w:p>
        </w:tc>
        <w:tc>
          <w:tcPr>
            <w:tcW w:w="2094" w:type="dxa"/>
            <w:gridSpan w:val="2"/>
          </w:tcPr>
          <w:p>
            <w:pPr>
              <w:rPr>
                <w:noProof/>
                <w:sz w:val="14"/>
              </w:rPr>
            </w:pPr>
            <w:r>
              <w:rPr>
                <w:noProof/>
                <w:sz w:val="18"/>
              </w:rPr>
              <w:t>Commitments</w:t>
            </w:r>
          </w:p>
        </w:tc>
        <w:tc>
          <w:tcPr>
            <w:tcW w:w="868" w:type="dxa"/>
          </w:tcPr>
          <w:p>
            <w:pPr>
              <w:spacing w:before="20" w:after="20"/>
              <w:jc w:val="right"/>
              <w:rPr>
                <w:noProof/>
                <w:sz w:val="20"/>
                <w:szCs w:val="20"/>
              </w:rPr>
            </w:pPr>
            <w:r>
              <w:rPr>
                <w:noProof/>
                <w:sz w:val="20"/>
                <w:szCs w:val="20"/>
              </w:rPr>
              <w:t>0,948</w:t>
            </w:r>
          </w:p>
        </w:tc>
        <w:tc>
          <w:tcPr>
            <w:tcW w:w="868" w:type="dxa"/>
          </w:tcPr>
          <w:p>
            <w:pPr>
              <w:spacing w:before="20" w:after="20"/>
              <w:jc w:val="right"/>
              <w:rPr>
                <w:noProof/>
                <w:sz w:val="20"/>
                <w:szCs w:val="20"/>
              </w:rPr>
            </w:pPr>
            <w:r>
              <w:rPr>
                <w:noProof/>
                <w:sz w:val="20"/>
                <w:szCs w:val="20"/>
              </w:rPr>
              <w:t>9.620</w:t>
            </w:r>
          </w:p>
        </w:tc>
        <w:tc>
          <w:tcPr>
            <w:tcW w:w="868" w:type="dxa"/>
          </w:tcPr>
          <w:p>
            <w:pPr>
              <w:spacing w:before="20" w:after="20"/>
              <w:jc w:val="right"/>
              <w:rPr>
                <w:noProof/>
                <w:sz w:val="20"/>
                <w:szCs w:val="20"/>
              </w:rPr>
            </w:pPr>
            <w:r>
              <w:rPr>
                <w:noProof/>
                <w:sz w:val="20"/>
                <w:szCs w:val="20"/>
              </w:rPr>
              <w:t>0.990</w:t>
            </w:r>
          </w:p>
        </w:tc>
        <w:tc>
          <w:tcPr>
            <w:tcW w:w="868" w:type="dxa"/>
          </w:tcPr>
          <w:p>
            <w:pPr>
              <w:spacing w:before="60" w:after="60"/>
              <w:jc w:val="right"/>
              <w:rPr>
                <w:noProof/>
                <w:sz w:val="20"/>
                <w:szCs w:val="20"/>
              </w:rPr>
            </w:pPr>
            <w:r>
              <w:rPr>
                <w:noProof/>
                <w:sz w:val="20"/>
                <w:szCs w:val="20"/>
              </w:rPr>
              <w:t>0.250</w:t>
            </w:r>
          </w:p>
        </w:tc>
        <w:tc>
          <w:tcPr>
            <w:tcW w:w="868" w:type="dxa"/>
          </w:tcPr>
          <w:p>
            <w:pPr>
              <w:spacing w:before="60" w:after="60"/>
              <w:jc w:val="right"/>
              <w:rPr>
                <w:noProof/>
                <w:sz w:val="20"/>
              </w:rPr>
            </w:pPr>
          </w:p>
        </w:tc>
        <w:tc>
          <w:tcPr>
            <w:tcW w:w="868" w:type="dxa"/>
          </w:tcPr>
          <w:p>
            <w:pPr>
              <w:spacing w:before="60" w:after="60"/>
              <w:jc w:val="right"/>
              <w:rPr>
                <w:noProof/>
                <w:sz w:val="20"/>
              </w:rPr>
            </w:pPr>
          </w:p>
        </w:tc>
        <w:tc>
          <w:tcPr>
            <w:tcW w:w="868" w:type="dxa"/>
          </w:tcPr>
          <w:p>
            <w:pPr>
              <w:spacing w:before="60" w:after="60"/>
              <w:jc w:val="right"/>
              <w:rPr>
                <w:b/>
                <w:noProof/>
                <w:sz w:val="20"/>
              </w:rPr>
            </w:pPr>
          </w:p>
        </w:tc>
        <w:tc>
          <w:tcPr>
            <w:tcW w:w="1777" w:type="dxa"/>
          </w:tcPr>
          <w:p>
            <w:pPr>
              <w:spacing w:before="60" w:after="60"/>
              <w:jc w:val="right"/>
              <w:rPr>
                <w:b/>
                <w:bCs/>
                <w:noProof/>
                <w:sz w:val="20"/>
                <w:szCs w:val="20"/>
              </w:rPr>
            </w:pPr>
            <w:r>
              <w:rPr>
                <w:b/>
                <w:bCs/>
                <w:noProof/>
                <w:sz w:val="20"/>
                <w:szCs w:val="20"/>
              </w:rPr>
              <w:t>11.808</w:t>
            </w:r>
          </w:p>
        </w:tc>
      </w:tr>
      <w:tr>
        <w:tc>
          <w:tcPr>
            <w:tcW w:w="3960" w:type="dxa"/>
            <w:vMerge/>
          </w:tcPr>
          <w:p>
            <w:pPr>
              <w:rPr>
                <w:noProof/>
                <w:sz w:val="20"/>
              </w:rPr>
            </w:pPr>
          </w:p>
        </w:tc>
        <w:tc>
          <w:tcPr>
            <w:tcW w:w="2094" w:type="dxa"/>
            <w:gridSpan w:val="2"/>
          </w:tcPr>
          <w:p>
            <w:pPr>
              <w:rPr>
                <w:noProof/>
                <w:sz w:val="14"/>
              </w:rPr>
            </w:pPr>
            <w:r>
              <w:rPr>
                <w:noProof/>
                <w:sz w:val="18"/>
              </w:rPr>
              <w:t>Payments</w:t>
            </w:r>
          </w:p>
        </w:tc>
        <w:tc>
          <w:tcPr>
            <w:tcW w:w="868" w:type="dxa"/>
          </w:tcPr>
          <w:p>
            <w:pPr>
              <w:spacing w:before="60" w:after="60"/>
              <w:jc w:val="right"/>
              <w:rPr>
                <w:noProof/>
                <w:sz w:val="20"/>
                <w:szCs w:val="20"/>
              </w:rPr>
            </w:pPr>
            <w:r>
              <w:rPr>
                <w:noProof/>
                <w:sz w:val="20"/>
                <w:szCs w:val="20"/>
              </w:rPr>
              <w:t>0,948</w:t>
            </w:r>
          </w:p>
        </w:tc>
        <w:tc>
          <w:tcPr>
            <w:tcW w:w="868" w:type="dxa"/>
          </w:tcPr>
          <w:p>
            <w:pPr>
              <w:spacing w:before="60" w:after="60"/>
              <w:jc w:val="right"/>
              <w:rPr>
                <w:noProof/>
                <w:sz w:val="20"/>
                <w:szCs w:val="20"/>
              </w:rPr>
            </w:pPr>
            <w:r>
              <w:rPr>
                <w:noProof/>
                <w:sz w:val="20"/>
                <w:szCs w:val="20"/>
              </w:rPr>
              <w:t>6.056</w:t>
            </w:r>
          </w:p>
        </w:tc>
        <w:tc>
          <w:tcPr>
            <w:tcW w:w="868" w:type="dxa"/>
          </w:tcPr>
          <w:p>
            <w:pPr>
              <w:spacing w:before="60" w:after="60"/>
              <w:jc w:val="right"/>
              <w:rPr>
                <w:noProof/>
                <w:sz w:val="20"/>
                <w:szCs w:val="20"/>
              </w:rPr>
            </w:pPr>
            <w:r>
              <w:rPr>
                <w:noProof/>
                <w:sz w:val="20"/>
                <w:szCs w:val="20"/>
              </w:rPr>
              <w:t>2.538</w:t>
            </w:r>
          </w:p>
        </w:tc>
        <w:tc>
          <w:tcPr>
            <w:tcW w:w="868" w:type="dxa"/>
          </w:tcPr>
          <w:p>
            <w:pPr>
              <w:spacing w:before="60" w:after="60"/>
              <w:jc w:val="right"/>
              <w:rPr>
                <w:noProof/>
                <w:sz w:val="20"/>
                <w:szCs w:val="20"/>
              </w:rPr>
            </w:pPr>
            <w:r>
              <w:rPr>
                <w:b/>
                <w:bCs/>
                <w:noProof/>
                <w:sz w:val="18"/>
                <w:szCs w:val="18"/>
              </w:rPr>
              <w:t>1.637</w:t>
            </w:r>
          </w:p>
        </w:tc>
        <w:tc>
          <w:tcPr>
            <w:tcW w:w="868" w:type="dxa"/>
          </w:tcPr>
          <w:p>
            <w:pPr>
              <w:spacing w:before="60" w:after="60"/>
              <w:jc w:val="right"/>
              <w:rPr>
                <w:noProof/>
                <w:sz w:val="20"/>
                <w:szCs w:val="20"/>
              </w:rPr>
            </w:pPr>
            <w:r>
              <w:rPr>
                <w:b/>
                <w:bCs/>
                <w:noProof/>
                <w:sz w:val="18"/>
                <w:szCs w:val="18"/>
              </w:rPr>
              <w:t>0.378</w:t>
            </w:r>
          </w:p>
        </w:tc>
        <w:tc>
          <w:tcPr>
            <w:tcW w:w="868" w:type="dxa"/>
          </w:tcPr>
          <w:p>
            <w:pPr>
              <w:spacing w:before="60" w:after="60"/>
              <w:jc w:val="right"/>
              <w:rPr>
                <w:noProof/>
                <w:sz w:val="20"/>
                <w:szCs w:val="20"/>
              </w:rPr>
            </w:pPr>
            <w:r>
              <w:rPr>
                <w:b/>
                <w:bCs/>
                <w:noProof/>
                <w:sz w:val="18"/>
                <w:szCs w:val="18"/>
              </w:rPr>
              <w:t>0.251</w:t>
            </w:r>
          </w:p>
        </w:tc>
        <w:tc>
          <w:tcPr>
            <w:tcW w:w="868" w:type="dxa"/>
          </w:tcPr>
          <w:p>
            <w:pPr>
              <w:spacing w:before="60" w:after="60"/>
              <w:jc w:val="right"/>
              <w:rPr>
                <w:b/>
                <w:noProof/>
                <w:sz w:val="20"/>
              </w:rPr>
            </w:pPr>
          </w:p>
        </w:tc>
        <w:tc>
          <w:tcPr>
            <w:tcW w:w="1777" w:type="dxa"/>
          </w:tcPr>
          <w:p>
            <w:pPr>
              <w:spacing w:before="60" w:after="60"/>
              <w:jc w:val="right"/>
              <w:rPr>
                <w:b/>
                <w:bCs/>
                <w:noProof/>
                <w:sz w:val="20"/>
                <w:szCs w:val="20"/>
              </w:rPr>
            </w:pPr>
            <w:r>
              <w:rPr>
                <w:b/>
                <w:bCs/>
                <w:noProof/>
                <w:sz w:val="20"/>
                <w:szCs w:val="20"/>
              </w:rPr>
              <w:t>11.808</w:t>
            </w:r>
          </w:p>
        </w:tc>
      </w:tr>
    </w:tbl>
    <w:p>
      <w:pPr>
        <w:rPr>
          <w:noProof/>
        </w:rPr>
      </w:pPr>
    </w:p>
    <w:p>
      <w:pPr>
        <w:pStyle w:val="ManualHeading3"/>
        <w:rPr>
          <w:bCs/>
          <w:noProof/>
          <w:szCs w:val="24"/>
        </w:rPr>
      </w:pPr>
      <w:bookmarkStart w:id="53" w:name="_Toc514938054"/>
      <w:bookmarkStart w:id="54" w:name="_Toc520485053"/>
      <w:r>
        <w:t>3.2.2.</w:t>
      </w:r>
      <w:r>
        <w:tab/>
      </w:r>
      <w:r>
        <w:rPr>
          <w:noProof/>
        </w:rPr>
        <w:t>Estimated output funded with operational appropriations</w:t>
      </w:r>
      <w:bookmarkEnd w:id="53"/>
      <w:bookmarkEnd w:id="54"/>
      <w:r>
        <w:rPr>
          <w:noProof/>
        </w:rPr>
        <w:t xml:space="preserve"> </w:t>
      </w:r>
    </w:p>
    <w:p>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Year</w:t>
            </w:r>
            <w:r>
              <w:rPr>
                <w:noProof/>
                <w:sz w:val="22"/>
              </w:rPr>
              <w:br/>
            </w:r>
            <w:r>
              <w:rPr>
                <w:b/>
                <w:noProof/>
                <w:sz w:val="18"/>
              </w:rPr>
              <w:t>2021</w:t>
            </w:r>
          </w:p>
        </w:tc>
        <w:tc>
          <w:tcPr>
            <w:tcW w:w="1260" w:type="dxa"/>
            <w:gridSpan w:val="2"/>
            <w:vAlign w:val="center"/>
          </w:tcPr>
          <w:p>
            <w:pPr>
              <w:ind w:right="-29"/>
              <w:jc w:val="center"/>
              <w:rPr>
                <w:noProof/>
                <w:sz w:val="18"/>
                <w:szCs w:val="18"/>
              </w:rPr>
            </w:pPr>
            <w:r>
              <w:rPr>
                <w:noProof/>
                <w:sz w:val="18"/>
              </w:rPr>
              <w:t>Year</w:t>
            </w:r>
            <w:r>
              <w:rPr>
                <w:noProof/>
                <w:sz w:val="22"/>
              </w:rPr>
              <w:br/>
            </w:r>
            <w:r>
              <w:rPr>
                <w:b/>
                <w:noProof/>
                <w:sz w:val="18"/>
              </w:rPr>
              <w:t>2022</w:t>
            </w:r>
          </w:p>
        </w:tc>
        <w:tc>
          <w:tcPr>
            <w:tcW w:w="1440" w:type="dxa"/>
            <w:gridSpan w:val="2"/>
            <w:vAlign w:val="center"/>
          </w:tcPr>
          <w:p>
            <w:pPr>
              <w:ind w:right="-29"/>
              <w:jc w:val="center"/>
              <w:rPr>
                <w:noProof/>
                <w:sz w:val="18"/>
                <w:szCs w:val="18"/>
              </w:rPr>
            </w:pPr>
            <w:r>
              <w:rPr>
                <w:noProof/>
                <w:sz w:val="18"/>
              </w:rPr>
              <w:t>Year</w:t>
            </w:r>
            <w:r>
              <w:rPr>
                <w:noProof/>
                <w:sz w:val="22"/>
              </w:rPr>
              <w:br/>
            </w:r>
            <w:r>
              <w:rPr>
                <w:b/>
                <w:noProof/>
                <w:sz w:val="18"/>
              </w:rPr>
              <w:t>2023</w:t>
            </w:r>
          </w:p>
        </w:tc>
        <w:tc>
          <w:tcPr>
            <w:tcW w:w="1620" w:type="dxa"/>
            <w:gridSpan w:val="3"/>
            <w:vAlign w:val="center"/>
          </w:tcPr>
          <w:p>
            <w:pPr>
              <w:ind w:right="-29"/>
              <w:jc w:val="center"/>
              <w:rPr>
                <w:noProof/>
                <w:sz w:val="18"/>
                <w:szCs w:val="18"/>
              </w:rPr>
            </w:pPr>
            <w:r>
              <w:rPr>
                <w:noProof/>
                <w:sz w:val="18"/>
              </w:rPr>
              <w:t>Year</w:t>
            </w:r>
            <w:r>
              <w:rPr>
                <w:noProof/>
                <w:sz w:val="22"/>
              </w:rPr>
              <w:br/>
            </w:r>
            <w:r>
              <w:rPr>
                <w:b/>
                <w:noProof/>
                <w:sz w:val="18"/>
              </w:rPr>
              <w:t>2024</w:t>
            </w:r>
          </w:p>
        </w:tc>
        <w:tc>
          <w:tcPr>
            <w:tcW w:w="3600" w:type="dxa"/>
            <w:gridSpan w:val="6"/>
            <w:vAlign w:val="center"/>
          </w:tcPr>
          <w:p>
            <w:pPr>
              <w:jc w:val="center"/>
              <w:rPr>
                <w:noProof/>
                <w:sz w:val="18"/>
                <w:szCs w:val="18"/>
              </w:rPr>
            </w:pPr>
            <w:r>
              <w:rPr>
                <w:noProof/>
                <w:sz w:val="18"/>
              </w:rPr>
              <w:t>Enter as many years as necessary to show the duration of the impact (see point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szCs w:val="18"/>
              </w:rPr>
              <w:t>Type</w:t>
            </w:r>
            <w:r>
              <w:rPr>
                <w:rStyle w:val="FootnoteReference0"/>
                <w:noProof/>
                <w:sz w:val="18"/>
                <w:szCs w:val="18"/>
              </w:rPr>
              <w:footnoteReference w:id="37"/>
            </w:r>
          </w:p>
          <w:p>
            <w:pPr>
              <w:spacing w:before="0" w:after="0"/>
              <w:jc w:val="center"/>
              <w:rPr>
                <w:noProof/>
                <w:sz w:val="18"/>
                <w:szCs w:val="18"/>
              </w:rPr>
            </w:pPr>
          </w:p>
        </w:tc>
        <w:tc>
          <w:tcPr>
            <w:tcW w:w="701" w:type="dxa"/>
            <w:vAlign w:val="center"/>
          </w:tcPr>
          <w:p>
            <w:pPr>
              <w:jc w:val="center"/>
              <w:rPr>
                <w:noProof/>
                <w:sz w:val="18"/>
                <w:szCs w:val="18"/>
              </w:rPr>
            </w:pPr>
            <w:r>
              <w:rPr>
                <w:noProof/>
                <w:sz w:val="18"/>
              </w:rPr>
              <w:t>Average cost</w:t>
            </w:r>
          </w:p>
        </w:tc>
        <w:tc>
          <w:tcPr>
            <w:tcW w:w="504" w:type="dxa"/>
            <w:tcBorders>
              <w:left w:val="nil"/>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clear" w:color="auto" w:fill="auto"/>
            <w:vAlign w:val="center"/>
          </w:tcPr>
          <w:p>
            <w:pPr>
              <w:jc w:val="center"/>
              <w:rPr>
                <w:noProof/>
                <w:sz w:val="18"/>
                <w:szCs w:val="18"/>
              </w:rPr>
            </w:pPr>
            <w:r>
              <w:rPr>
                <w:noProof/>
                <w:sz w:val="18"/>
              </w:rPr>
              <w:t>Cost</w:t>
            </w:r>
          </w:p>
        </w:tc>
        <w:tc>
          <w:tcPr>
            <w:tcW w:w="540" w:type="dxa"/>
            <w:tcBorders>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clear" w:color="auto" w:fill="auto"/>
            <w:vAlign w:val="center"/>
          </w:tcPr>
          <w:p>
            <w:pPr>
              <w:jc w:val="center"/>
              <w:rPr>
                <w:noProof/>
                <w:sz w:val="18"/>
                <w:szCs w:val="18"/>
              </w:rPr>
            </w:pPr>
            <w:r>
              <w:rPr>
                <w:noProof/>
                <w:sz w:val="18"/>
              </w:rPr>
              <w:t>Cost</w:t>
            </w:r>
          </w:p>
        </w:tc>
        <w:tc>
          <w:tcPr>
            <w:tcW w:w="720" w:type="dxa"/>
            <w:tcBorders>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clear" w:color="auto" w:fill="auto"/>
            <w:vAlign w:val="center"/>
          </w:tcPr>
          <w:p>
            <w:pPr>
              <w:jc w:val="center"/>
              <w:rPr>
                <w:noProof/>
                <w:sz w:val="18"/>
                <w:szCs w:val="18"/>
              </w:rPr>
            </w:pPr>
            <w:r>
              <w:rPr>
                <w:noProof/>
                <w:sz w:val="18"/>
              </w:rPr>
              <w:t>Cost</w:t>
            </w:r>
          </w:p>
        </w:tc>
        <w:tc>
          <w:tcPr>
            <w:tcW w:w="900" w:type="dxa"/>
            <w:tcBorders>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720" w:type="dxa"/>
            <w:gridSpan w:val="2"/>
            <w:tcBorders>
              <w:left w:val="dashSmallGap" w:sz="4" w:space="0" w:color="auto"/>
            </w:tcBorders>
            <w:shd w:val="clear" w:color="auto" w:fill="auto"/>
            <w:vAlign w:val="center"/>
          </w:tcPr>
          <w:p>
            <w:pPr>
              <w:jc w:val="center"/>
              <w:rPr>
                <w:noProof/>
                <w:sz w:val="18"/>
                <w:szCs w:val="18"/>
              </w:rPr>
            </w:pPr>
            <w:r>
              <w:rPr>
                <w:noProof/>
                <w:sz w:val="18"/>
              </w:rPr>
              <w:t>Cost</w:t>
            </w:r>
          </w:p>
        </w:tc>
        <w:tc>
          <w:tcPr>
            <w:tcW w:w="540" w:type="dxa"/>
            <w:tcBorders>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648" w:type="dxa"/>
            <w:tcBorders>
              <w:left w:val="dashSmallGap" w:sz="4" w:space="0" w:color="auto"/>
            </w:tcBorders>
            <w:shd w:val="clear" w:color="auto" w:fill="auto"/>
            <w:vAlign w:val="center"/>
          </w:tcPr>
          <w:p>
            <w:pPr>
              <w:jc w:val="center"/>
              <w:rPr>
                <w:noProof/>
                <w:sz w:val="18"/>
                <w:szCs w:val="18"/>
              </w:rPr>
            </w:pPr>
            <w:r>
              <w:rPr>
                <w:noProof/>
                <w:sz w:val="18"/>
              </w:rPr>
              <w:t>Cost</w:t>
            </w:r>
          </w:p>
        </w:tc>
        <w:tc>
          <w:tcPr>
            <w:tcW w:w="432" w:type="dxa"/>
            <w:tcBorders>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clear" w:color="auto" w:fill="auto"/>
            <w:vAlign w:val="center"/>
          </w:tcPr>
          <w:p>
            <w:pPr>
              <w:jc w:val="center"/>
              <w:rPr>
                <w:noProof/>
                <w:sz w:val="18"/>
                <w:szCs w:val="18"/>
              </w:rPr>
            </w:pPr>
            <w:r>
              <w:rPr>
                <w:noProof/>
                <w:sz w:val="18"/>
              </w:rPr>
              <w:t>Cost</w:t>
            </w:r>
          </w:p>
        </w:tc>
        <w:tc>
          <w:tcPr>
            <w:tcW w:w="540" w:type="dxa"/>
            <w:tcBorders>
              <w:right w:val="dashSmallGap" w:sz="4" w:space="0" w:color="auto"/>
            </w:tcBorders>
            <w:shd w:val="clear"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clear" w:color="auto" w:fill="auto"/>
            <w:vAlign w:val="center"/>
          </w:tcPr>
          <w:p>
            <w:pPr>
              <w:jc w:val="center"/>
              <w:rPr>
                <w:noProof/>
                <w:sz w:val="18"/>
                <w:szCs w:val="18"/>
              </w:rPr>
            </w:pPr>
            <w:r>
              <w:rPr>
                <w:noProof/>
                <w:sz w:val="18"/>
              </w:rPr>
              <w:t>Cost</w:t>
            </w:r>
          </w:p>
        </w:tc>
        <w:tc>
          <w:tcPr>
            <w:tcW w:w="720" w:type="dxa"/>
            <w:tcBorders>
              <w:right w:val="dashSmallGap" w:sz="4" w:space="0" w:color="auto"/>
            </w:tcBorders>
            <w:shd w:val="clear" w:color="auto" w:fill="auto"/>
            <w:vAlign w:val="center"/>
          </w:tcPr>
          <w:p>
            <w:pPr>
              <w:jc w:val="center"/>
              <w:rPr>
                <w:noProof/>
                <w:sz w:val="18"/>
                <w:szCs w:val="18"/>
              </w:rPr>
            </w:pPr>
            <w:r>
              <w:rPr>
                <w:noProof/>
                <w:sz w:val="18"/>
              </w:rPr>
              <w:t>Total No</w:t>
            </w:r>
          </w:p>
        </w:tc>
        <w:tc>
          <w:tcPr>
            <w:tcW w:w="900" w:type="dxa"/>
            <w:tcBorders>
              <w:left w:val="dashSmallGap" w:sz="4" w:space="0" w:color="auto"/>
            </w:tcBorders>
            <w:shd w:val="clear" w:color="auto" w:fill="auto"/>
            <w:vAlign w:val="center"/>
          </w:tcPr>
          <w:p>
            <w:pPr>
              <w:jc w:val="center"/>
              <w:rPr>
                <w:noProof/>
                <w:sz w:val="18"/>
                <w:szCs w:val="18"/>
              </w:rPr>
            </w:pPr>
            <w:r>
              <w:rPr>
                <w:noProof/>
                <w:sz w:val="18"/>
              </w:rPr>
              <w:t>Total cost</w:t>
            </w:r>
          </w:p>
        </w:tc>
      </w:tr>
      <w:tr>
        <w:trPr>
          <w:jc w:val="center"/>
        </w:trPr>
        <w:tc>
          <w:tcPr>
            <w:tcW w:w="2844" w:type="dxa"/>
            <w:gridSpan w:val="3"/>
            <w:vAlign w:val="center"/>
          </w:tcPr>
          <w:p>
            <w:pPr>
              <w:spacing w:before="60" w:after="60"/>
              <w:ind w:right="-29"/>
              <w:jc w:val="center"/>
              <w:rPr>
                <w:noProof/>
                <w:sz w:val="18"/>
                <w:szCs w:val="18"/>
              </w:rPr>
            </w:pPr>
            <w:r>
              <w:rPr>
                <w:noProof/>
                <w:sz w:val="18"/>
                <w:szCs w:val="18"/>
              </w:rPr>
              <w:t>SPECIFIC OBJECTIVE No 1</w:t>
            </w:r>
            <w:r>
              <w:rPr>
                <w:rStyle w:val="FootnoteReference0"/>
                <w:noProof/>
                <w:sz w:val="18"/>
                <w:szCs w:val="18"/>
              </w:rPr>
              <w:footnoteReference w:id="38"/>
            </w:r>
            <w:r>
              <w:rPr>
                <w:noProof/>
                <w:sz w:val="18"/>
                <w:szCs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for specific objective No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for specific objective No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8"/>
          <w:footerReference w:type="default" r:id="rId19"/>
          <w:headerReference w:type="first" r:id="rId20"/>
          <w:footerReference w:type="first" r:id="rId21"/>
          <w:pgSz w:w="16840" w:h="11907" w:orient="landscape" w:code="9"/>
          <w:pgMar w:top="1134" w:right="1418" w:bottom="567" w:left="1418" w:header="709" w:footer="709" w:gutter="0"/>
          <w:cols w:space="708"/>
          <w:docGrid w:linePitch="360"/>
        </w:sectPr>
      </w:pPr>
    </w:p>
    <w:p>
      <w:pPr>
        <w:pStyle w:val="ManualHeading3"/>
        <w:rPr>
          <w:bCs/>
          <w:noProof/>
          <w:szCs w:val="24"/>
        </w:rPr>
      </w:pPr>
      <w:bookmarkStart w:id="55" w:name="_Toc514938055"/>
      <w:bookmarkStart w:id="56" w:name="_Toc520485054"/>
      <w:r>
        <w:t>3.2.3.</w:t>
      </w:r>
      <w:r>
        <w:tab/>
      </w:r>
      <w:r>
        <w:rPr>
          <w:noProof/>
        </w:rPr>
        <w:t>Summary of estimated impact on administrative appropriations</w:t>
      </w:r>
      <w:bookmarkEnd w:id="55"/>
      <w:bookmarkEnd w:id="56"/>
      <w:r>
        <w:rPr>
          <w:noProof/>
        </w:rPr>
        <w:t xml:space="preserve"> </w:t>
      </w:r>
    </w:p>
    <w:p>
      <w:pPr>
        <w:pStyle w:val="ListDash1"/>
        <w:rPr>
          <w:noProof/>
        </w:rPr>
      </w:pPr>
      <w:r>
        <w:rPr>
          <w:noProof/>
        </w:rPr>
        <w:sym w:font="Wingdings" w:char="F0A8"/>
      </w:r>
      <w:r>
        <w:rPr>
          <w:noProof/>
        </w:rPr>
        <w:tab/>
        <w:t xml:space="preserve">The proposal/initiative does not require the use of appropriations of an administrative nature </w:t>
      </w:r>
    </w:p>
    <w:p>
      <w:pPr>
        <w:pStyle w:val="ListDash1"/>
        <w:rPr>
          <w:noProof/>
        </w:rPr>
      </w:pPr>
      <w:r>
        <w:rPr>
          <w:noProof/>
        </w:rPr>
        <w:t>X The proposal/initiative requires the use of appropriations of an administrative nature, as explained below:</w:t>
      </w:r>
    </w:p>
    <w:p>
      <w:pPr>
        <w:jc w:val="right"/>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szCs w:val="16"/>
              </w:rPr>
              <w:t>Year</w:t>
            </w:r>
            <w:r>
              <w:rPr>
                <w:noProof/>
                <w:sz w:val="22"/>
              </w:rPr>
              <w:br/>
            </w:r>
            <w:r>
              <w:rPr>
                <w:b/>
                <w:bCs/>
                <w:noProof/>
                <w:sz w:val="16"/>
                <w:szCs w:val="16"/>
              </w:rPr>
              <w:t>2021</w:t>
            </w:r>
            <w:r>
              <w:rPr>
                <w:rStyle w:val="FootnoteReference0"/>
                <w:b/>
                <w:bCs/>
                <w:noProof/>
                <w:sz w:val="16"/>
                <w:szCs w:val="16"/>
              </w:rPr>
              <w:footnoteReference w:id="39"/>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2022</w:t>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2023</w:t>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2024</w:t>
            </w:r>
          </w:p>
        </w:tc>
        <w:tc>
          <w:tcPr>
            <w:tcW w:w="3240" w:type="dxa"/>
            <w:vAlign w:val="center"/>
          </w:tcPr>
          <w:p>
            <w:pPr>
              <w:spacing w:line="200" w:lineRule="exact"/>
              <w:jc w:val="center"/>
              <w:rPr>
                <w:b/>
                <w:noProof/>
                <w:sz w:val="16"/>
                <w:szCs w:val="16"/>
              </w:rPr>
            </w:pPr>
            <w:r>
              <w:rPr>
                <w:noProof/>
                <w:sz w:val="16"/>
              </w:rPr>
              <w:t>Enter as many years as necessary to show the duration of the impact (see point 1.6)</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7</w:t>
            </w:r>
            <w:r>
              <w:rPr>
                <w:noProof/>
                <w:sz w:val="22"/>
              </w:rPr>
              <w:br/>
            </w:r>
            <w:r>
              <w:rPr>
                <w:b/>
                <w:noProof/>
                <w:sz w:val="16"/>
              </w:rPr>
              <w:t>of the multiannual financial framework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20"/>
                <w:szCs w:val="20"/>
              </w:rPr>
            </w:pPr>
            <w:r>
              <w:rPr>
                <w:noProof/>
                <w:sz w:val="20"/>
                <w:szCs w:val="20"/>
              </w:rPr>
              <w:t>0,948</w:t>
            </w:r>
          </w:p>
        </w:tc>
        <w:tc>
          <w:tcPr>
            <w:tcW w:w="1080" w:type="dxa"/>
            <w:vAlign w:val="center"/>
          </w:tcPr>
          <w:p>
            <w:pPr>
              <w:spacing w:before="60" w:after="60" w:line="200" w:lineRule="exact"/>
              <w:jc w:val="right"/>
              <w:rPr>
                <w:noProof/>
                <w:sz w:val="20"/>
                <w:szCs w:val="20"/>
              </w:rPr>
            </w:pPr>
            <w:r>
              <w:rPr>
                <w:noProof/>
                <w:sz w:val="20"/>
                <w:szCs w:val="20"/>
              </w:rPr>
              <w:t>1,358</w:t>
            </w:r>
          </w:p>
        </w:tc>
        <w:tc>
          <w:tcPr>
            <w:tcW w:w="1080" w:type="dxa"/>
            <w:vAlign w:val="center"/>
          </w:tcPr>
          <w:p>
            <w:pPr>
              <w:spacing w:before="60" w:after="60" w:line="200" w:lineRule="exact"/>
              <w:jc w:val="right"/>
              <w:rPr>
                <w:noProof/>
                <w:sz w:val="16"/>
                <w:szCs w:val="16"/>
              </w:rPr>
            </w:pPr>
            <w:r>
              <w:rPr>
                <w:noProof/>
                <w:sz w:val="20"/>
                <w:szCs w:val="20"/>
              </w:rPr>
              <w:t>0,240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bCs/>
                <w:noProof/>
                <w:sz w:val="20"/>
                <w:szCs w:val="20"/>
              </w:rPr>
            </w:pPr>
            <w:r>
              <w:rPr>
                <w:b/>
                <w:bCs/>
                <w:noProof/>
                <w:sz w:val="20"/>
                <w:szCs w:val="20"/>
              </w:rPr>
              <w:t>2,546</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noProof/>
                <w:sz w:val="16"/>
                <w:szCs w:val="16"/>
              </w:rPr>
              <w:t>0.012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bCs/>
                <w:noProof/>
                <w:sz w:val="16"/>
                <w:szCs w:val="16"/>
              </w:rPr>
            </w:pPr>
            <w:r>
              <w:rPr>
                <w:b/>
                <w:bCs/>
                <w:noProof/>
                <w:sz w:val="16"/>
                <w:szCs w:val="16"/>
              </w:rPr>
              <w:t>0.012</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7</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r>
              <w:rPr>
                <w:noProof/>
                <w:sz w:val="16"/>
                <w:szCs w:val="16"/>
              </w:rPr>
              <w:t>0,948</w:t>
            </w:r>
          </w:p>
        </w:tc>
        <w:tc>
          <w:tcPr>
            <w:tcW w:w="1080" w:type="dxa"/>
            <w:vAlign w:val="center"/>
          </w:tcPr>
          <w:p>
            <w:pPr>
              <w:spacing w:before="60" w:after="60" w:line="200" w:lineRule="exact"/>
              <w:jc w:val="right"/>
              <w:rPr>
                <w:noProof/>
                <w:sz w:val="16"/>
                <w:szCs w:val="16"/>
              </w:rPr>
            </w:pPr>
            <w:r>
              <w:rPr>
                <w:noProof/>
                <w:sz w:val="16"/>
                <w:szCs w:val="16"/>
              </w:rPr>
              <w:t>1,370</w:t>
            </w:r>
          </w:p>
        </w:tc>
        <w:tc>
          <w:tcPr>
            <w:tcW w:w="1080" w:type="dxa"/>
            <w:vAlign w:val="center"/>
          </w:tcPr>
          <w:p>
            <w:pPr>
              <w:spacing w:before="60" w:after="60" w:line="200" w:lineRule="exact"/>
              <w:jc w:val="right"/>
              <w:rPr>
                <w:noProof/>
                <w:sz w:val="16"/>
                <w:szCs w:val="16"/>
              </w:rPr>
            </w:pPr>
            <w:r>
              <w:rPr>
                <w:noProof/>
                <w:sz w:val="16"/>
                <w:szCs w:val="16"/>
              </w:rPr>
              <w:t>0,240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bCs/>
                <w:noProof/>
                <w:sz w:val="20"/>
                <w:szCs w:val="20"/>
              </w:rPr>
            </w:pPr>
            <w:r>
              <w:rPr>
                <w:b/>
                <w:bCs/>
                <w:noProof/>
                <w:sz w:val="20"/>
                <w:szCs w:val="20"/>
              </w:rPr>
              <w:t>2,558</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bCs/>
                <w:noProof/>
                <w:sz w:val="16"/>
                <w:szCs w:val="16"/>
              </w:rPr>
              <w:t>Outside HEADING 7</w:t>
            </w:r>
            <w:r>
              <w:rPr>
                <w:rStyle w:val="FootnoteReference0"/>
                <w:b/>
                <w:bCs/>
                <w:noProof/>
                <w:sz w:val="16"/>
                <w:szCs w:val="16"/>
              </w:rPr>
              <w:footnoteReference w:id="40"/>
            </w:r>
            <w:r>
              <w:rPr>
                <w:noProof/>
                <w:sz w:val="22"/>
              </w:rPr>
              <w:br/>
            </w:r>
            <w:r>
              <w:rPr>
                <w:b/>
                <w:bCs/>
                <w:noProof/>
                <w:sz w:val="16"/>
                <w:szCs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noProof/>
                <w:sz w:val="16"/>
                <w:szCs w:val="16"/>
              </w:rPr>
              <w:t>0.250</w:t>
            </w:r>
          </w:p>
        </w:tc>
        <w:tc>
          <w:tcPr>
            <w:tcW w:w="1080" w:type="dxa"/>
            <w:vAlign w:val="center"/>
          </w:tcPr>
          <w:p>
            <w:pPr>
              <w:spacing w:before="60" w:after="60" w:line="200" w:lineRule="exact"/>
              <w:jc w:val="right"/>
              <w:rPr>
                <w:noProof/>
                <w:sz w:val="16"/>
                <w:szCs w:val="16"/>
              </w:rPr>
            </w:pPr>
            <w:r>
              <w:rPr>
                <w:noProof/>
                <w:sz w:val="16"/>
                <w:szCs w:val="16"/>
              </w:rPr>
              <w:t>0.250</w:t>
            </w:r>
          </w:p>
        </w:tc>
        <w:tc>
          <w:tcPr>
            <w:tcW w:w="1080" w:type="dxa"/>
            <w:vAlign w:val="center"/>
          </w:tcPr>
          <w:p>
            <w:pPr>
              <w:spacing w:before="60" w:after="60" w:line="200" w:lineRule="exact"/>
              <w:jc w:val="right"/>
              <w:rPr>
                <w:b/>
                <w:bCs/>
                <w:noProof/>
                <w:sz w:val="16"/>
                <w:szCs w:val="16"/>
              </w:rPr>
            </w:pPr>
            <w:r>
              <w:rPr>
                <w:noProof/>
                <w:sz w:val="16"/>
                <w:szCs w:val="16"/>
              </w:rPr>
              <w:t>0.250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bCs/>
                <w:noProof/>
                <w:sz w:val="16"/>
                <w:szCs w:val="16"/>
              </w:rPr>
            </w:pPr>
            <w:r>
              <w:rPr>
                <w:b/>
                <w:bCs/>
                <w:noProof/>
                <w:sz w:val="16"/>
                <w:szCs w:val="16"/>
              </w:rPr>
              <w:t>0.750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7</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r>
              <w:rPr>
                <w:noProof/>
                <w:sz w:val="16"/>
                <w:szCs w:val="16"/>
              </w:rPr>
              <w:t>0.250</w:t>
            </w:r>
          </w:p>
        </w:tc>
        <w:tc>
          <w:tcPr>
            <w:tcW w:w="1080" w:type="dxa"/>
            <w:vAlign w:val="center"/>
          </w:tcPr>
          <w:p>
            <w:pPr>
              <w:spacing w:before="60" w:after="60" w:line="200" w:lineRule="exact"/>
              <w:jc w:val="right"/>
              <w:rPr>
                <w:noProof/>
                <w:sz w:val="16"/>
                <w:szCs w:val="16"/>
              </w:rPr>
            </w:pPr>
            <w:r>
              <w:rPr>
                <w:noProof/>
                <w:sz w:val="16"/>
                <w:szCs w:val="16"/>
              </w:rPr>
              <w:t>0.250</w:t>
            </w:r>
          </w:p>
        </w:tc>
        <w:tc>
          <w:tcPr>
            <w:tcW w:w="1080" w:type="dxa"/>
            <w:vAlign w:val="center"/>
          </w:tcPr>
          <w:p>
            <w:pPr>
              <w:spacing w:before="60" w:after="60" w:line="200" w:lineRule="exact"/>
              <w:jc w:val="right"/>
              <w:rPr>
                <w:noProof/>
                <w:sz w:val="16"/>
                <w:szCs w:val="16"/>
              </w:rPr>
            </w:pPr>
            <w:r>
              <w:rPr>
                <w:noProof/>
                <w:sz w:val="16"/>
                <w:szCs w:val="16"/>
              </w:rPr>
              <w:t>0.250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bCs/>
                <w:noProof/>
                <w:sz w:val="16"/>
                <w:szCs w:val="16"/>
              </w:rPr>
            </w:pPr>
            <w:r>
              <w:rPr>
                <w:b/>
                <w:bCs/>
                <w:noProof/>
                <w:sz w:val="16"/>
                <w:szCs w:val="16"/>
              </w:rPr>
              <w:t>0.750</w:t>
            </w:r>
          </w:p>
        </w:tc>
      </w:tr>
    </w:tbl>
    <w:p>
      <w:pPr>
        <w:spacing w:line="200" w:lineRule="exact"/>
        <w:rPr>
          <w:noProof/>
          <w:sz w:val="16"/>
          <w:szCs w:val="16"/>
        </w:rPr>
      </w:pPr>
    </w:p>
    <w:tbl>
      <w:tblPr>
        <w:tblStyle w:val="TableGrid"/>
        <w:tblW w:w="10743" w:type="dxa"/>
        <w:tblInd w:w="-675" w:type="dxa"/>
        <w:tblLayout w:type="fixed"/>
        <w:tblLook w:val="01E0" w:firstRow="1" w:lastRow="1" w:firstColumn="1" w:lastColumn="1" w:noHBand="0" w:noVBand="0"/>
      </w:tblPr>
      <w:tblGrid>
        <w:gridCol w:w="1980"/>
        <w:gridCol w:w="1080"/>
        <w:gridCol w:w="1080"/>
        <w:gridCol w:w="1080"/>
        <w:gridCol w:w="1080"/>
        <w:gridCol w:w="1080"/>
        <w:gridCol w:w="1080"/>
        <w:gridCol w:w="1080"/>
        <w:gridCol w:w="1203"/>
      </w:tblGrid>
      <w:tr>
        <w:trPr>
          <w:trHeight w:val="585"/>
        </w:trPr>
        <w:tc>
          <w:tcPr>
            <w:tcW w:w="1980" w:type="dxa"/>
          </w:tcPr>
          <w:p>
            <w:pPr>
              <w:spacing w:before="60" w:after="60" w:line="200" w:lineRule="exact"/>
              <w:jc w:val="center"/>
              <w:rPr>
                <w:noProof/>
                <w:sz w:val="16"/>
                <w:szCs w:val="16"/>
              </w:rPr>
            </w:pPr>
            <w:r>
              <w:rPr>
                <w:b/>
                <w:noProof/>
                <w:sz w:val="16"/>
              </w:rPr>
              <w:t>TOTAL</w:t>
            </w:r>
          </w:p>
        </w:tc>
        <w:tc>
          <w:tcPr>
            <w:tcW w:w="1080" w:type="dxa"/>
          </w:tcPr>
          <w:p>
            <w:pPr>
              <w:spacing w:before="60" w:after="60" w:line="200" w:lineRule="exact"/>
              <w:jc w:val="right"/>
              <w:rPr>
                <w:b/>
                <w:bCs/>
                <w:noProof/>
                <w:sz w:val="16"/>
                <w:szCs w:val="16"/>
              </w:rPr>
            </w:pPr>
            <w:r>
              <w:rPr>
                <w:noProof/>
                <w:sz w:val="16"/>
                <w:szCs w:val="16"/>
              </w:rPr>
              <w:t>0.948</w:t>
            </w:r>
          </w:p>
        </w:tc>
        <w:tc>
          <w:tcPr>
            <w:tcW w:w="1080" w:type="dxa"/>
          </w:tcPr>
          <w:p>
            <w:pPr>
              <w:spacing w:before="60" w:after="60" w:line="200" w:lineRule="exact"/>
              <w:jc w:val="right"/>
              <w:rPr>
                <w:b/>
                <w:bCs/>
                <w:noProof/>
                <w:sz w:val="16"/>
                <w:szCs w:val="16"/>
              </w:rPr>
            </w:pPr>
            <w:r>
              <w:rPr>
                <w:noProof/>
                <w:sz w:val="16"/>
                <w:szCs w:val="16"/>
              </w:rPr>
              <w:t>1.620</w:t>
            </w:r>
          </w:p>
        </w:tc>
        <w:tc>
          <w:tcPr>
            <w:tcW w:w="1080" w:type="dxa"/>
          </w:tcPr>
          <w:p>
            <w:pPr>
              <w:spacing w:before="60" w:after="60" w:line="200" w:lineRule="exact"/>
              <w:jc w:val="right"/>
              <w:rPr>
                <w:b/>
                <w:bCs/>
                <w:noProof/>
                <w:sz w:val="16"/>
                <w:szCs w:val="16"/>
              </w:rPr>
            </w:pPr>
            <w:r>
              <w:rPr>
                <w:noProof/>
                <w:sz w:val="16"/>
                <w:szCs w:val="16"/>
              </w:rPr>
              <w:t>0.490</w:t>
            </w:r>
          </w:p>
        </w:tc>
        <w:tc>
          <w:tcPr>
            <w:tcW w:w="1080" w:type="dxa"/>
          </w:tcPr>
          <w:p>
            <w:pPr>
              <w:spacing w:before="60" w:after="60" w:line="200" w:lineRule="exact"/>
              <w:jc w:val="right"/>
              <w:rPr>
                <w:b/>
                <w:bCs/>
                <w:noProof/>
                <w:sz w:val="16"/>
                <w:szCs w:val="16"/>
              </w:rPr>
            </w:pPr>
            <w:r>
              <w:rPr>
                <w:noProof/>
                <w:sz w:val="16"/>
                <w:szCs w:val="16"/>
              </w:rPr>
              <w:t>0.250</w:t>
            </w: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203" w:type="dxa"/>
          </w:tcPr>
          <w:p>
            <w:pPr>
              <w:spacing w:before="60" w:after="60" w:line="200" w:lineRule="exact"/>
              <w:jc w:val="right"/>
              <w:rPr>
                <w:b/>
                <w:bCs/>
                <w:noProof/>
                <w:sz w:val="16"/>
                <w:szCs w:val="16"/>
              </w:rPr>
            </w:pPr>
            <w:r>
              <w:rPr>
                <w:b/>
                <w:bCs/>
                <w:noProof/>
                <w:sz w:val="20"/>
                <w:szCs w:val="20"/>
              </w:rPr>
              <w:t>3.308</w:t>
            </w: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18"/>
        </w:rPr>
        <w:sectPr>
          <w:headerReference w:type="default" r:id="rId22"/>
          <w:footerReference w:type="default" r:id="rId23"/>
          <w:headerReference w:type="first" r:id="rId24"/>
          <w:footerReference w:type="first" r:id="rId25"/>
          <w:pgSz w:w="11907" w:h="16840"/>
          <w:pgMar w:top="1134" w:right="1418" w:bottom="1134" w:left="1418" w:header="709" w:footer="709" w:gutter="0"/>
          <w:cols w:space="708"/>
          <w:docGrid w:linePitch="360"/>
        </w:sectPr>
      </w:pPr>
    </w:p>
    <w:p>
      <w:pPr>
        <w:pStyle w:val="ManualHeading4"/>
        <w:rPr>
          <w:bCs/>
          <w:noProof/>
          <w:szCs w:val="24"/>
        </w:rPr>
      </w:pPr>
      <w:r>
        <w:t>3.2.3.1.</w:t>
      </w:r>
      <w:r>
        <w:tab/>
      </w:r>
      <w:r>
        <w:rPr>
          <w:noProof/>
        </w:rPr>
        <w:t xml:space="preserve">Estimated requirements of human resources </w:t>
      </w:r>
    </w:p>
    <w:p>
      <w:pPr>
        <w:pStyle w:val="ListDash1"/>
        <w:rPr>
          <w:noProof/>
        </w:rPr>
      </w:pPr>
      <w:r>
        <w:rPr>
          <w:noProof/>
        </w:rPr>
        <w:sym w:font="Wingdings" w:char="F0A8"/>
      </w:r>
      <w:r>
        <w:rPr>
          <w:noProof/>
        </w:rPr>
        <w:tab/>
        <w:t xml:space="preserve">The proposal/initiative does not require the use of human resources. </w:t>
      </w:r>
    </w:p>
    <w:p>
      <w:pPr>
        <w:pStyle w:val="ListDash1"/>
        <w:rPr>
          <w:noProof/>
        </w:rPr>
      </w:pPr>
      <w:r>
        <w:rPr>
          <w:noProof/>
        </w:rPr>
        <w:t>X 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981"/>
        <w:gridCol w:w="481"/>
        <w:gridCol w:w="731"/>
        <w:gridCol w:w="731"/>
        <w:gridCol w:w="731"/>
      </w:tblGrid>
      <w:tr>
        <w:trPr>
          <w:gridBefore w:val="1"/>
          <w:wBefore w:w="15" w:type="dxa"/>
          <w:trHeight w:val="289"/>
          <w:jc w:val="center"/>
        </w:trPr>
        <w:tc>
          <w:tcPr>
            <w:tcW w:w="4754" w:type="dxa"/>
            <w:gridSpan w:val="2"/>
            <w:shd w:val="clear" w:color="auto" w:fill="auto"/>
          </w:tcPr>
          <w:p>
            <w:pPr>
              <w:pStyle w:val="Text1"/>
              <w:spacing w:before="40" w:after="40"/>
              <w:ind w:left="0"/>
              <w:jc w:val="center"/>
              <w:rPr>
                <w:i/>
                <w:noProof/>
                <w:sz w:val="16"/>
                <w:szCs w:val="16"/>
              </w:rPr>
            </w:pPr>
          </w:p>
        </w:tc>
        <w:tc>
          <w:tcPr>
            <w:tcW w:w="731" w:type="dxa"/>
            <w:shd w:val="clear" w:color="auto" w:fill="auto"/>
            <w:vAlign w:val="center"/>
          </w:tcPr>
          <w:p>
            <w:pPr>
              <w:spacing w:before="20" w:after="20"/>
              <w:jc w:val="center"/>
              <w:rPr>
                <w:noProof/>
                <w:sz w:val="16"/>
                <w:szCs w:val="16"/>
              </w:rPr>
            </w:pPr>
            <w:r>
              <w:rPr>
                <w:noProof/>
                <w:sz w:val="16"/>
              </w:rPr>
              <w:t>Year</w:t>
            </w:r>
            <w:r>
              <w:rPr>
                <w:noProof/>
                <w:sz w:val="22"/>
              </w:rPr>
              <w:br/>
            </w:r>
            <w:r>
              <w:rPr>
                <w:b/>
                <w:noProof/>
                <w:sz w:val="16"/>
              </w:rPr>
              <w:t>2021</w:t>
            </w:r>
          </w:p>
        </w:tc>
        <w:tc>
          <w:tcPr>
            <w:tcW w:w="731" w:type="dxa"/>
            <w:shd w:val="clear" w:color="auto" w:fill="auto"/>
            <w:vAlign w:val="center"/>
          </w:tcPr>
          <w:p>
            <w:pPr>
              <w:spacing w:before="20" w:after="20"/>
              <w:jc w:val="center"/>
              <w:rPr>
                <w:noProof/>
                <w:sz w:val="16"/>
                <w:szCs w:val="16"/>
              </w:rPr>
            </w:pPr>
            <w:r>
              <w:rPr>
                <w:noProof/>
                <w:sz w:val="16"/>
              </w:rPr>
              <w:t>Year</w:t>
            </w:r>
            <w:r>
              <w:rPr>
                <w:noProof/>
                <w:sz w:val="22"/>
              </w:rPr>
              <w:br/>
            </w:r>
            <w:r>
              <w:rPr>
                <w:b/>
                <w:noProof/>
                <w:sz w:val="16"/>
              </w:rPr>
              <w:t>2022</w:t>
            </w:r>
          </w:p>
        </w:tc>
        <w:tc>
          <w:tcPr>
            <w:tcW w:w="981" w:type="dxa"/>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2023</w:t>
            </w:r>
          </w:p>
        </w:tc>
        <w:tc>
          <w:tcPr>
            <w:tcW w:w="481" w:type="dxa"/>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N+3</w:t>
            </w:r>
          </w:p>
        </w:tc>
        <w:tc>
          <w:tcPr>
            <w:tcW w:w="2193" w:type="dxa"/>
            <w:gridSpan w:val="3"/>
            <w:shd w:val="clear" w:color="auto" w:fill="auto"/>
            <w:vAlign w:val="center"/>
          </w:tcPr>
          <w:p>
            <w:pPr>
              <w:jc w:val="center"/>
              <w:rPr>
                <w:b/>
                <w:noProof/>
                <w:sz w:val="16"/>
                <w:szCs w:val="16"/>
              </w:rPr>
            </w:pPr>
            <w:r>
              <w:rPr>
                <w:noProof/>
                <w:sz w:val="16"/>
              </w:rPr>
              <w:t>Enter as many years as necessary to show the duration of the impact (see point 1.6)</w:t>
            </w:r>
          </w:p>
        </w:tc>
      </w:tr>
      <w:tr>
        <w:trPr>
          <w:gridBefore w:val="1"/>
          <w:wBefore w:w="15" w:type="dxa"/>
          <w:trHeight w:val="289"/>
          <w:jc w:val="center"/>
        </w:trPr>
        <w:tc>
          <w:tcPr>
            <w:tcW w:w="9871" w:type="dxa"/>
            <w:gridSpan w:val="9"/>
            <w:shd w:val="clear" w:color="auto" w:fill="auto"/>
          </w:tcPr>
          <w:p>
            <w:pPr>
              <w:jc w:val="left"/>
              <w:rPr>
                <w:noProof/>
                <w:sz w:val="16"/>
                <w:szCs w:val="16"/>
              </w:rPr>
            </w:pPr>
            <w:r>
              <w:rPr>
                <w:b/>
                <w:noProof/>
                <w:sz w:val="16"/>
              </w:rPr>
              <w:sym w:font="Wingdings" w:char="F09F"/>
            </w:r>
            <w:r>
              <w:rPr>
                <w:b/>
                <w:noProof/>
                <w:sz w:val="16"/>
              </w:rPr>
              <w:t xml:space="preserve"> Establishment plan posts (officials and temporary staff)</w:t>
            </w: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b/>
                <w:noProof/>
                <w:sz w:val="16"/>
                <w:szCs w:val="16"/>
              </w:rPr>
            </w:pPr>
            <w:r>
              <w:rPr>
                <w:noProof/>
                <w:sz w:val="16"/>
              </w:rPr>
              <w:t>20 01 02 01</w:t>
            </w:r>
            <w:r>
              <w:rPr>
                <w:rFonts w:ascii="Arial Narrow" w:hAnsi="Arial Narrow"/>
                <w:noProof/>
                <w:color w:val="000000"/>
                <w:sz w:val="20"/>
                <w:szCs w:val="20"/>
              </w:rPr>
              <w:t xml:space="preserve"> </w:t>
            </w:r>
            <w:r>
              <w:rPr>
                <w:noProof/>
                <w:sz w:val="16"/>
              </w:rPr>
              <w:t>(Headquarters and Commission’s Representation Offices)</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3</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3</w:t>
            </w:r>
          </w:p>
        </w:tc>
        <w:tc>
          <w:tcPr>
            <w:tcW w:w="981" w:type="dxa"/>
            <w:shd w:val="clear" w:color="auto" w:fill="auto"/>
            <w:vAlign w:val="center"/>
          </w:tcPr>
          <w:p>
            <w:pPr>
              <w:spacing w:beforeLines="20" w:before="48" w:afterLines="20" w:after="48"/>
              <w:jc w:val="center"/>
              <w:rPr>
                <w:noProof/>
                <w:sz w:val="16"/>
                <w:szCs w:val="16"/>
              </w:rPr>
            </w:pPr>
            <w:r>
              <w:rPr>
                <w:noProof/>
                <w:sz w:val="16"/>
                <w:szCs w:val="16"/>
              </w:rPr>
              <w:t>0.50</w:t>
            </w: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rPr>
            </w:pPr>
            <w:r>
              <w:rPr>
                <w:noProof/>
                <w:sz w:val="16"/>
              </w:rPr>
              <w:t>20 01 02 03 (Delegations)</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01 01 01 01</w:t>
            </w:r>
            <w:r>
              <w:rPr>
                <w:rFonts w:ascii="Arial Narrow" w:hAnsi="Arial Narrow"/>
                <w:noProof/>
                <w:color w:val="000000"/>
                <w:sz w:val="20"/>
                <w:szCs w:val="20"/>
              </w:rPr>
              <w:t xml:space="preserve"> </w:t>
            </w:r>
            <w:r>
              <w:rPr>
                <w:noProof/>
                <w:sz w:val="16"/>
              </w:rPr>
              <w:t xml:space="preserve"> (Indirect research)</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 xml:space="preserve"> 01 01 01 11 (Direct research)</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rPr>
            </w:pPr>
            <w:r>
              <w:rPr>
                <w:noProof/>
                <w:sz w:val="16"/>
              </w:rPr>
              <w:t>Other budget lines (specify)</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trHeight w:val="248"/>
          <w:jc w:val="center"/>
        </w:trPr>
        <w:tc>
          <w:tcPr>
            <w:tcW w:w="9886" w:type="dxa"/>
            <w:gridSpan w:val="10"/>
            <w:shd w:val="clear" w:color="auto" w:fill="auto"/>
            <w:vAlign w:val="center"/>
          </w:tcPr>
          <w:p>
            <w:pPr>
              <w:pStyle w:val="Text1"/>
              <w:spacing w:before="60" w:after="60"/>
              <w:ind w:left="0"/>
              <w:jc w:val="left"/>
              <w:rPr>
                <w:b/>
                <w:noProof/>
                <w:sz w:val="16"/>
                <w:szCs w:val="16"/>
              </w:rPr>
            </w:pPr>
            <w:r>
              <w:rPr>
                <w:b/>
                <w:noProof/>
                <w:sz w:val="16"/>
              </w:rPr>
              <w:sym w:font="Wingdings" w:char="F09F"/>
            </w:r>
            <w:r>
              <w:rPr>
                <w:b/>
                <w:bCs/>
                <w:noProof/>
                <w:sz w:val="16"/>
                <w:szCs w:val="16"/>
              </w:rPr>
              <w:t xml:space="preserve"> External staff (in Full Time Equivalent unit: FTE)</w:t>
            </w:r>
            <w:r>
              <w:rPr>
                <w:rStyle w:val="FootnoteReference0"/>
                <w:b/>
                <w:bCs/>
                <w:noProof/>
                <w:sz w:val="16"/>
                <w:szCs w:val="16"/>
              </w:rPr>
              <w:footnoteReference w:id="41"/>
            </w:r>
          </w:p>
          <w:p>
            <w:pPr>
              <w:pStyle w:val="Text1"/>
              <w:spacing w:before="0" w:after="0"/>
              <w:ind w:left="0"/>
              <w:jc w:val="left"/>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b/>
                <w:noProof/>
                <w:sz w:val="16"/>
                <w:szCs w:val="16"/>
              </w:rPr>
            </w:pPr>
            <w:r>
              <w:rPr>
                <w:noProof/>
                <w:sz w:val="16"/>
              </w:rPr>
              <w:t>20 02 01</w:t>
            </w:r>
            <w:r>
              <w:rPr>
                <w:rFonts w:ascii="Arial Narrow" w:hAnsi="Arial Narrow"/>
                <w:noProof/>
                <w:color w:val="000000"/>
                <w:sz w:val="20"/>
                <w:szCs w:val="20"/>
              </w:rPr>
              <w:t xml:space="preserve"> </w:t>
            </w:r>
            <w:r>
              <w:rPr>
                <w:noProof/>
                <w:sz w:val="16"/>
              </w:rPr>
              <w:t>(AC, END, INT from the ‘global envelope’)</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6</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11</w:t>
            </w:r>
          </w:p>
        </w:tc>
        <w:tc>
          <w:tcPr>
            <w:tcW w:w="981" w:type="dxa"/>
            <w:shd w:val="clear" w:color="auto" w:fill="auto"/>
            <w:vAlign w:val="center"/>
          </w:tcPr>
          <w:p>
            <w:pPr>
              <w:spacing w:beforeLines="20" w:before="48" w:afterLines="20" w:after="48"/>
              <w:jc w:val="center"/>
              <w:rPr>
                <w:noProof/>
                <w:sz w:val="16"/>
                <w:szCs w:val="16"/>
              </w:rPr>
            </w:pPr>
            <w:r>
              <w:rPr>
                <w:noProof/>
                <w:sz w:val="16"/>
                <w:szCs w:val="16"/>
              </w:rPr>
              <w:t>2</w:t>
            </w: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sz w:val="16"/>
              </w:rPr>
            </w:pPr>
            <w:r>
              <w:rPr>
                <w:noProof/>
                <w:sz w:val="16"/>
              </w:rPr>
              <w:t>20 02 03 (AC, AL, END, INT and JPD in the delegations)</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2376" w:type="dxa"/>
            <w:vMerge w:val="restart"/>
            <w:shd w:val="clear" w:color="auto" w:fill="auto"/>
            <w:vAlign w:val="center"/>
          </w:tcPr>
          <w:p>
            <w:pPr>
              <w:pStyle w:val="Text1"/>
              <w:spacing w:beforeLines="20" w:before="48" w:afterLines="20" w:after="48"/>
              <w:ind w:left="136"/>
              <w:jc w:val="left"/>
              <w:rPr>
                <w:b/>
                <w:noProof/>
                <w:sz w:val="16"/>
                <w:szCs w:val="16"/>
              </w:rPr>
            </w:pPr>
            <w:r>
              <w:rPr>
                <w:b/>
                <w:bCs/>
                <w:noProof/>
                <w:sz w:val="16"/>
                <w:szCs w:val="16"/>
              </w:rPr>
              <w:t>XX</w:t>
            </w:r>
            <w:r>
              <w:rPr>
                <w:noProof/>
                <w:sz w:val="16"/>
                <w:szCs w:val="16"/>
              </w:rPr>
              <w:t xml:space="preserve"> 01  xx </w:t>
            </w:r>
            <w:r>
              <w:rPr>
                <w:b/>
                <w:bCs/>
                <w:noProof/>
                <w:sz w:val="16"/>
                <w:szCs w:val="16"/>
              </w:rPr>
              <w:t xml:space="preserve">yy zz </w:t>
            </w:r>
            <w:r>
              <w:rPr>
                <w:b/>
                <w:bCs/>
                <w:i/>
                <w:iCs/>
                <w:noProof/>
                <w:sz w:val="16"/>
                <w:szCs w:val="16"/>
              </w:rPr>
              <w:t xml:space="preserve"> </w:t>
            </w:r>
            <w:r>
              <w:rPr>
                <w:rStyle w:val="FootnoteReference0"/>
                <w:b/>
                <w:bCs/>
                <w:i/>
                <w:iCs/>
                <w:noProof/>
                <w:sz w:val="16"/>
                <w:szCs w:val="16"/>
              </w:rPr>
              <w:footnoteReference w:id="42"/>
            </w:r>
          </w:p>
          <w:p>
            <w:pPr>
              <w:pStyle w:val="Text1"/>
              <w:spacing w:beforeLines="20" w:before="48" w:afterLines="20" w:after="48"/>
              <w:ind w:left="136"/>
              <w:jc w:val="left"/>
              <w:rPr>
                <w:b/>
                <w:noProof/>
                <w:sz w:val="16"/>
                <w:szCs w:val="16"/>
              </w:rPr>
            </w:pPr>
          </w:p>
        </w:tc>
        <w:tc>
          <w:tcPr>
            <w:tcW w:w="2378" w:type="dxa"/>
            <w:shd w:val="clear" w:color="auto" w:fill="auto"/>
            <w:vAlign w:val="center"/>
          </w:tcPr>
          <w:p>
            <w:pPr>
              <w:pStyle w:val="Text1"/>
              <w:spacing w:beforeLines="20" w:before="48" w:afterLines="20" w:after="48"/>
              <w:ind w:left="136"/>
              <w:jc w:val="left"/>
              <w:rPr>
                <w:b/>
                <w:noProof/>
                <w:sz w:val="16"/>
                <w:szCs w:val="16"/>
              </w:rPr>
            </w:pPr>
            <w:r>
              <w:rPr>
                <w:noProof/>
                <w:sz w:val="16"/>
              </w:rPr>
              <w:t>- at Headquarters</w:t>
            </w:r>
          </w:p>
          <w:p>
            <w:pPr>
              <w:pStyle w:val="Text1"/>
              <w:spacing w:beforeLines="20" w:before="48" w:afterLines="20" w:after="48"/>
              <w:ind w:left="136"/>
              <w:jc w:val="left"/>
              <w:rPr>
                <w:b/>
                <w:noProof/>
                <w:sz w:val="16"/>
                <w:szCs w:val="16"/>
              </w:rPr>
            </w:pPr>
          </w:p>
        </w:tc>
        <w:tc>
          <w:tcPr>
            <w:tcW w:w="731" w:type="dxa"/>
            <w:shd w:val="clear" w:color="auto" w:fill="auto"/>
            <w:vAlign w:val="center"/>
          </w:tcPr>
          <w:p>
            <w:pPr>
              <w:pStyle w:val="Text1"/>
              <w:spacing w:beforeLines="20" w:before="48" w:afterLines="20" w:after="48"/>
              <w:ind w:left="0"/>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2376" w:type="dxa"/>
            <w:vMerge/>
            <w:shd w:val="clear" w:color="auto" w:fill="auto"/>
            <w:vAlign w:val="center"/>
          </w:tcPr>
          <w:p>
            <w:pPr>
              <w:pStyle w:val="Text1"/>
              <w:spacing w:beforeLines="20" w:before="48" w:afterLines="20" w:after="48"/>
              <w:ind w:left="136"/>
              <w:jc w:val="left"/>
              <w:rPr>
                <w:b/>
                <w:noProof/>
                <w:sz w:val="16"/>
                <w:szCs w:val="16"/>
              </w:rPr>
            </w:pPr>
          </w:p>
        </w:tc>
        <w:tc>
          <w:tcPr>
            <w:tcW w:w="2378" w:type="dxa"/>
            <w:shd w:val="clear" w:color="auto" w:fill="auto"/>
            <w:vAlign w:val="center"/>
          </w:tcPr>
          <w:p>
            <w:pPr>
              <w:pStyle w:val="Text1"/>
              <w:spacing w:beforeLines="20" w:before="48" w:afterLines="20" w:after="48"/>
              <w:ind w:left="136"/>
              <w:jc w:val="left"/>
              <w:rPr>
                <w:b/>
                <w:noProof/>
                <w:sz w:val="16"/>
                <w:szCs w:val="16"/>
              </w:rPr>
            </w:pPr>
            <w:r>
              <w:rPr>
                <w:noProof/>
                <w:sz w:val="16"/>
              </w:rPr>
              <w:t xml:space="preserve">- in Delegations </w:t>
            </w:r>
          </w:p>
        </w:tc>
        <w:tc>
          <w:tcPr>
            <w:tcW w:w="731" w:type="dxa"/>
            <w:shd w:val="clear" w:color="auto" w:fill="auto"/>
            <w:vAlign w:val="center"/>
          </w:tcPr>
          <w:p>
            <w:pPr>
              <w:pStyle w:val="Text1"/>
              <w:spacing w:beforeLines="20" w:before="48" w:afterLines="20" w:after="48"/>
              <w:ind w:left="0"/>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01 01 01 02</w:t>
            </w:r>
            <w:r>
              <w:rPr>
                <w:rFonts w:ascii="Arial Narrow" w:hAnsi="Arial Narrow"/>
                <w:noProof/>
                <w:color w:val="000000"/>
                <w:sz w:val="20"/>
                <w:szCs w:val="20"/>
              </w:rPr>
              <w:t xml:space="preserve"> </w:t>
            </w:r>
            <w:r>
              <w:rPr>
                <w:noProof/>
                <w:sz w:val="16"/>
                <w:szCs w:val="16"/>
              </w:rPr>
              <w:t>(AC, END, INT - Indirect research)</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color w:val="FF0000"/>
                <w:sz w:val="16"/>
                <w:szCs w:val="16"/>
              </w:rPr>
            </w:pPr>
            <w:r>
              <w:rPr>
                <w:noProof/>
                <w:sz w:val="16"/>
              </w:rPr>
              <w:t xml:space="preserve"> 01 01 01 12 (AC, END, INT - Direct research)</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sz w:val="16"/>
              </w:rPr>
            </w:pPr>
            <w:r>
              <w:rPr>
                <w:noProof/>
                <w:sz w:val="16"/>
              </w:rPr>
              <w:t>Other budget lines (specify)</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981" w:type="dxa"/>
            <w:shd w:val="clear" w:color="auto" w:fill="auto"/>
            <w:vAlign w:val="center"/>
          </w:tcPr>
          <w:p>
            <w:pPr>
              <w:spacing w:beforeLines="20" w:before="48" w:afterLines="20" w:after="48"/>
              <w:jc w:val="center"/>
              <w:rPr>
                <w:noProof/>
                <w:sz w:val="16"/>
                <w:szCs w:val="16"/>
              </w:rPr>
            </w:pPr>
          </w:p>
        </w:tc>
        <w:tc>
          <w:tcPr>
            <w:tcW w:w="48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9</w:t>
            </w: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14</w:t>
            </w:r>
          </w:p>
        </w:tc>
        <w:tc>
          <w:tcPr>
            <w:tcW w:w="981" w:type="dxa"/>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2.50</w:t>
            </w:r>
          </w:p>
        </w:tc>
        <w:tc>
          <w:tcPr>
            <w:tcW w:w="481"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pPr>
        <w:pStyle w:val="Text1"/>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szCs w:val="20"/>
              </w:rPr>
            </w:pPr>
            <w:r>
              <w:rPr>
                <w:noProof/>
                <w:shd w:val="clear" w:color="auto" w:fill="FFFFFF"/>
              </w:rPr>
              <w:t>Formulating and coordinating with other services the work plan of the Year; drawing up the terms of reference for service and purchase contracts and accompanying the selection process; ensuring the interinstitutional coordination; preparing briefings and speeches for Commissioner and DG; ensuring input for press work; accompanying ex-post evaluation</w:t>
            </w:r>
          </w:p>
        </w:tc>
      </w:tr>
      <w:tr>
        <w:tc>
          <w:tcPr>
            <w:tcW w:w="3240" w:type="dxa"/>
          </w:tcPr>
          <w:p>
            <w:pPr>
              <w:spacing w:before="60" w:after="60"/>
              <w:rPr>
                <w:noProof/>
                <w:sz w:val="20"/>
                <w:highlight w:val="yellow"/>
              </w:rPr>
            </w:pPr>
            <w:r>
              <w:rPr>
                <w:noProof/>
                <w:sz w:val="20"/>
              </w:rPr>
              <w:t>External staff</w:t>
            </w:r>
          </w:p>
        </w:tc>
        <w:tc>
          <w:tcPr>
            <w:tcW w:w="7200" w:type="dxa"/>
          </w:tcPr>
          <w:p>
            <w:pPr>
              <w:rPr>
                <w:noProof/>
                <w:sz w:val="20"/>
                <w:highlight w:val="yellow"/>
              </w:rPr>
            </w:pPr>
          </w:p>
        </w:tc>
      </w:tr>
    </w:tbl>
    <w:p>
      <w:pPr>
        <w:rPr>
          <w:noProof/>
        </w:rPr>
        <w:sectPr>
          <w:pgSz w:w="11907" w:h="16840"/>
          <w:pgMar w:top="1134" w:right="1418" w:bottom="1134" w:left="1418" w:header="709" w:footer="709" w:gutter="0"/>
          <w:cols w:space="708"/>
          <w:docGrid w:linePitch="360"/>
        </w:sectPr>
      </w:pPr>
    </w:p>
    <w:p>
      <w:pPr>
        <w:pStyle w:val="ManualHeading3"/>
        <w:rPr>
          <w:noProof/>
        </w:rPr>
      </w:pPr>
      <w:bookmarkStart w:id="57" w:name="_Toc514938056"/>
      <w:bookmarkStart w:id="58" w:name="_Toc520485055"/>
      <w:r>
        <w:t>3.2.4.</w:t>
      </w:r>
      <w:r>
        <w:tab/>
      </w:r>
      <w:r>
        <w:rPr>
          <w:noProof/>
        </w:rPr>
        <w:t>Compatibility with the current multiannual financial framework</w:t>
      </w:r>
      <w:bookmarkEnd w:id="57"/>
      <w:bookmarkEnd w:id="58"/>
      <w:r>
        <w:rPr>
          <w:noProof/>
        </w:rPr>
        <w:t xml:space="preserve"> </w:t>
      </w:r>
    </w:p>
    <w:p>
      <w:pPr>
        <w:pStyle w:val="Text1"/>
        <w:rPr>
          <w:noProof/>
        </w:rPr>
      </w:pPr>
      <w:r>
        <w:rPr>
          <w:noProof/>
        </w:rPr>
        <w:t>The proposal/initiative:</w:t>
      </w:r>
    </w:p>
    <w:p>
      <w:pPr>
        <w:pStyle w:val="ListDash1"/>
        <w:rPr>
          <w:noProof/>
        </w:rPr>
      </w:pPr>
      <w:r>
        <w:rPr>
          <w:noProof/>
        </w:rPr>
        <w:t xml:space="preserve">X the proposal is compatible with the current multiannual financial framework </w:t>
      </w:r>
    </w:p>
    <w:p>
      <w:pPr>
        <w:pStyle w:val="ListDash1"/>
        <w:rPr>
          <w:noProof/>
        </w:rPr>
      </w:pPr>
      <w:r>
        <w:rPr>
          <w:noProof/>
        </w:rPr>
        <w:sym w:font="Wingdings" w:char="F0A8"/>
      </w:r>
      <w:r>
        <w:rPr>
          <w:noProof/>
        </w:rPr>
        <w:tab/>
        <w:t>can be fully financed through redeployment within the relevant heading of the Multiannual Financial Framework (MFF).</w:t>
      </w:r>
    </w:p>
    <w:p>
      <w:pPr>
        <w:pStyle w:val="ListDash1"/>
        <w:rPr>
          <w:noProof/>
        </w:rPr>
      </w:pPr>
      <w:r>
        <w:rPr>
          <w:noProof/>
        </w:rPr>
        <w:sym w:font="Wingdings" w:char="F0A8"/>
      </w:r>
      <w:r>
        <w:rPr>
          <w:noProof/>
        </w:rPr>
        <w:tab/>
        <w:t>requires use of the unallocated margin under the relevant heading of the MFF and/or use of the special instruments as defined in the MFF Regulation.</w:t>
      </w:r>
    </w:p>
    <w:p>
      <w:pPr>
        <w:pStyle w:val="ListDash1"/>
        <w:rPr>
          <w:noProof/>
        </w:rPr>
      </w:pPr>
      <w:r>
        <w:rPr>
          <w:noProof/>
        </w:rPr>
        <w:sym w:font="Wingdings" w:char="F0A8"/>
      </w:r>
      <w:r>
        <w:rPr>
          <w:noProof/>
        </w:rPr>
        <w:tab/>
        <w:t>requires a revision of the MFF.</w:t>
      </w:r>
    </w:p>
    <w:p>
      <w:pPr>
        <w:pStyle w:val="ManualHeading3"/>
        <w:rPr>
          <w:bCs/>
          <w:noProof/>
          <w:szCs w:val="24"/>
        </w:rPr>
      </w:pPr>
      <w:bookmarkStart w:id="59" w:name="_Toc514938058"/>
      <w:bookmarkStart w:id="60" w:name="_Toc520485056"/>
      <w:r>
        <w:t>3.2.5.</w:t>
      </w:r>
      <w:r>
        <w:tab/>
      </w:r>
      <w:r>
        <w:rPr>
          <w:noProof/>
        </w:rPr>
        <w:t>Third-party contributions</w:t>
      </w:r>
      <w:bookmarkEnd w:id="59"/>
      <w:bookmarkEnd w:id="60"/>
      <w:r>
        <w:rPr>
          <w:noProof/>
        </w:rPr>
        <w:t xml:space="preserve"> </w:t>
      </w:r>
    </w:p>
    <w:p>
      <w:pPr>
        <w:pStyle w:val="Text1"/>
        <w:rPr>
          <w:noProof/>
        </w:rPr>
      </w:pPr>
      <w:r>
        <w:rPr>
          <w:noProof/>
        </w:rPr>
        <w:t>The proposal/initiative:</w:t>
      </w:r>
    </w:p>
    <w:p>
      <w:pPr>
        <w:pStyle w:val="ListDash1"/>
        <w:rPr>
          <w:noProof/>
        </w:rPr>
      </w:pPr>
      <w:r>
        <w:rPr>
          <w:noProof/>
        </w:rPr>
        <w:t>x</w:t>
      </w:r>
      <w:r>
        <w:rPr>
          <w:noProof/>
        </w:rPr>
        <w:tab/>
        <w:t>does not provide for co-financing by third parties</w:t>
      </w:r>
    </w:p>
    <w:p>
      <w:pPr>
        <w:pStyle w:val="ListDash1"/>
        <w:rPr>
          <w:noProof/>
        </w:rPr>
      </w:pPr>
      <w:r>
        <w:rPr>
          <w:noProof/>
        </w:rPr>
        <w:sym w:font="Wingdings" w:char="F0A8"/>
      </w:r>
      <w:r>
        <w:rPr>
          <w:noProof/>
        </w:rPr>
        <w:tab/>
        <w:t>provides for the co-financing by third parties estimated below:</w:t>
      </w:r>
    </w:p>
    <w:p>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szCs w:val="20"/>
              </w:rPr>
              <w:t>Year</w:t>
            </w:r>
            <w:r>
              <w:rPr>
                <w:noProof/>
                <w:sz w:val="22"/>
              </w:rPr>
              <w:br/>
            </w:r>
            <w:r>
              <w:rPr>
                <w:b/>
                <w:bCs/>
                <w:noProof/>
                <w:sz w:val="20"/>
                <w:szCs w:val="20"/>
              </w:rPr>
              <w:t>N</w:t>
            </w:r>
            <w:r>
              <w:rPr>
                <w:rStyle w:val="FootnoteReference0"/>
                <w:b/>
                <w:bCs/>
                <w:noProof/>
                <w:sz w:val="20"/>
                <w:szCs w:val="20"/>
              </w:rPr>
              <w:footnoteReference w:id="43"/>
            </w:r>
          </w:p>
        </w:tc>
        <w:tc>
          <w:tcPr>
            <w:tcW w:w="964" w:type="dxa"/>
            <w:vAlign w:val="center"/>
          </w:tcPr>
          <w:p>
            <w:pPr>
              <w:jc w:val="center"/>
              <w:rPr>
                <w:noProof/>
                <w:sz w:val="20"/>
              </w:rPr>
            </w:pPr>
            <w:r>
              <w:rPr>
                <w:noProof/>
                <w:sz w:val="20"/>
              </w:rPr>
              <w:t>Year</w:t>
            </w:r>
            <w:r>
              <w:rPr>
                <w:noProof/>
                <w:sz w:val="22"/>
              </w:rPr>
              <w:br/>
            </w:r>
            <w:r>
              <w:rPr>
                <w:b/>
                <w:noProof/>
                <w:sz w:val="20"/>
              </w:rPr>
              <w:t>N+1</w:t>
            </w:r>
          </w:p>
        </w:tc>
        <w:tc>
          <w:tcPr>
            <w:tcW w:w="964" w:type="dxa"/>
            <w:vAlign w:val="center"/>
          </w:tcPr>
          <w:p>
            <w:pPr>
              <w:jc w:val="center"/>
              <w:rPr>
                <w:noProof/>
                <w:sz w:val="20"/>
              </w:rPr>
            </w:pPr>
            <w:r>
              <w:rPr>
                <w:noProof/>
                <w:sz w:val="20"/>
              </w:rPr>
              <w:t>Year</w:t>
            </w:r>
            <w:r>
              <w:rPr>
                <w:noProof/>
                <w:sz w:val="22"/>
              </w:rPr>
              <w:br/>
            </w:r>
            <w:r>
              <w:rPr>
                <w:b/>
                <w:noProof/>
                <w:sz w:val="20"/>
              </w:rPr>
              <w:t>N+2</w:t>
            </w:r>
          </w:p>
        </w:tc>
        <w:tc>
          <w:tcPr>
            <w:tcW w:w="964" w:type="dxa"/>
            <w:vAlign w:val="center"/>
          </w:tcPr>
          <w:p>
            <w:pPr>
              <w:jc w:val="center"/>
              <w:rPr>
                <w:noProof/>
                <w:sz w:val="20"/>
              </w:rPr>
            </w:pPr>
            <w:r>
              <w:rPr>
                <w:noProof/>
                <w:sz w:val="20"/>
              </w:rPr>
              <w:t>Year</w:t>
            </w:r>
            <w:r>
              <w:rPr>
                <w:noProof/>
                <w:sz w:val="22"/>
              </w:rPr>
              <w:br/>
            </w:r>
            <w:r>
              <w:rPr>
                <w:b/>
                <w:noProof/>
                <w:sz w:val="20"/>
              </w:rPr>
              <w:t>N+3</w:t>
            </w:r>
          </w:p>
        </w:tc>
        <w:tc>
          <w:tcPr>
            <w:tcW w:w="2892" w:type="dxa"/>
            <w:gridSpan w:val="3"/>
            <w:vAlign w:val="center"/>
          </w:tcPr>
          <w:p>
            <w:pPr>
              <w:jc w:val="center"/>
              <w:rPr>
                <w:b/>
                <w:noProof/>
                <w:sz w:val="20"/>
              </w:rPr>
            </w:pPr>
            <w:r>
              <w:rPr>
                <w:noProof/>
                <w:sz w:val="20"/>
              </w:rPr>
              <w:t>Enter as many years as necessary to show the duration of the impact (see point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Specify the co-financing body</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appropriations co-financed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bookmarkStart w:id="61" w:name="_Toc514938059"/>
      <w:bookmarkStart w:id="62" w:name="_Toc520485057"/>
      <w:r>
        <w:t>3.3.</w:t>
      </w:r>
      <w:r>
        <w:tab/>
      </w:r>
      <w:r>
        <w:rPr>
          <w:noProof/>
        </w:rPr>
        <w:t>Estimated impact on revenue</w:t>
      </w:r>
      <w:bookmarkEnd w:id="61"/>
      <w:bookmarkEnd w:id="62"/>
      <w:r>
        <w:rPr>
          <w:noProof/>
        </w:rPr>
        <w:t xml:space="preserve"> </w:t>
      </w:r>
    </w:p>
    <w:p>
      <w:pPr>
        <w:pStyle w:val="ListDash1"/>
        <w:rPr>
          <w:noProof/>
        </w:rPr>
      </w:pPr>
      <w:r>
        <w:rPr>
          <w:noProof/>
        </w:rPr>
        <w:t>X The proposal/initiative has no financial impact on revenue.</w:t>
      </w:r>
    </w:p>
    <w:p>
      <w:pPr>
        <w:pStyle w:val="ListDash1"/>
        <w:rPr>
          <w:noProof/>
        </w:rPr>
      </w:pPr>
      <w:r>
        <w:rPr>
          <w:noProof/>
        </w:rPr>
        <w:sym w:font="Wingdings" w:char="F0A8"/>
      </w:r>
      <w:r>
        <w:rPr>
          <w:noProof/>
        </w:rPr>
        <w:tab/>
        <w:t>The proposal/initiative has the following financial impact:</w:t>
      </w:r>
    </w:p>
    <w:p>
      <w:pPr>
        <w:pStyle w:val="ListDash2"/>
        <w:tabs>
          <w:tab w:val="clear" w:pos="1134"/>
        </w:tabs>
        <w:ind w:left="1440" w:hanging="360"/>
        <w:rPr>
          <w:noProof/>
        </w:rPr>
      </w:pPr>
      <w:r>
        <w:rPr>
          <w:noProof/>
        </w:rPr>
        <w:sym w:font="Wingdings" w:char="F0A8"/>
      </w:r>
      <w:r>
        <w:rPr>
          <w:noProof/>
        </w:rPr>
        <w:tab/>
        <w:t>on other revenue</w:t>
      </w:r>
    </w:p>
    <w:p>
      <w:pPr>
        <w:pStyle w:val="ListDash1"/>
        <w:rPr>
          <w:noProof/>
        </w:rPr>
      </w:pPr>
      <w:r>
        <w:rPr>
          <w:noProof/>
        </w:rPr>
        <w:t xml:space="preserve">please indicate, if the revenue is assigned to expenditure lines </w:t>
      </w:r>
      <w:r>
        <w:rPr>
          <w:noProof/>
        </w:rPr>
        <w:sym w:font="Wingdings" w:char="F0A8"/>
      </w:r>
      <w:r>
        <w:rPr>
          <w:noProof/>
        </w:rPr>
        <w:tab/>
      </w:r>
    </w:p>
    <w:p>
      <w:pPr>
        <w:ind w:left="4320"/>
        <w:rPr>
          <w:i/>
          <w:noProof/>
          <w:sz w:val="20"/>
        </w:rPr>
      </w:pPr>
      <w:r>
        <w:rPr>
          <w:noProof/>
        </w:rPr>
        <w:t xml:space="preserve">     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Budget revenue line:</w:t>
            </w:r>
          </w:p>
        </w:tc>
        <w:tc>
          <w:tcPr>
            <w:tcW w:w="1325" w:type="dxa"/>
            <w:vMerge w:val="restart"/>
            <w:vAlign w:val="center"/>
          </w:tcPr>
          <w:p>
            <w:pPr>
              <w:jc w:val="center"/>
              <w:rPr>
                <w:noProof/>
                <w:sz w:val="18"/>
              </w:rPr>
            </w:pPr>
            <w:r>
              <w:rPr>
                <w:noProof/>
                <w:sz w:val="18"/>
              </w:rPr>
              <w:t>Appropriations available for the current financial year</w:t>
            </w:r>
          </w:p>
        </w:tc>
        <w:tc>
          <w:tcPr>
            <w:tcW w:w="7151" w:type="dxa"/>
            <w:gridSpan w:val="7"/>
            <w:vAlign w:val="center"/>
          </w:tcPr>
          <w:p>
            <w:pPr>
              <w:jc w:val="center"/>
              <w:rPr>
                <w:noProof/>
                <w:sz w:val="18"/>
              </w:rPr>
            </w:pPr>
            <w:r>
              <w:rPr>
                <w:noProof/>
                <w:sz w:val="18"/>
                <w:szCs w:val="18"/>
              </w:rPr>
              <w:t>Impact of the proposal/initiative</w:t>
            </w:r>
            <w:r>
              <w:rPr>
                <w:rStyle w:val="FootnoteReference0"/>
                <w:noProof/>
                <w:sz w:val="18"/>
                <w:szCs w:val="18"/>
              </w:rPr>
              <w:footnoteReference w:id="44"/>
            </w:r>
          </w:p>
        </w:tc>
      </w:tr>
      <w:tr>
        <w:trPr>
          <w:trHeight w:val="388"/>
        </w:trPr>
        <w:tc>
          <w:tcPr>
            <w:tcW w:w="2144" w:type="dxa"/>
            <w:vMerge/>
          </w:tcPr>
          <w:p>
            <w:pPr>
              <w:spacing w:before="40" w:after="40"/>
              <w:rPr>
                <w:noProof/>
                <w:sz w:val="18"/>
              </w:rPr>
            </w:pPr>
          </w:p>
        </w:tc>
        <w:tc>
          <w:tcPr>
            <w:tcW w:w="1325" w:type="dxa"/>
            <w:vMerge/>
          </w:tcPr>
          <w:p>
            <w:pPr>
              <w:spacing w:beforeLines="40" w:before="96" w:afterLines="40" w:after="96"/>
              <w:rPr>
                <w:i/>
                <w:noProof/>
                <w:sz w:val="18"/>
              </w:rPr>
            </w:pPr>
          </w:p>
        </w:tc>
        <w:tc>
          <w:tcPr>
            <w:tcW w:w="1031" w:type="dxa"/>
            <w:vAlign w:val="center"/>
          </w:tcPr>
          <w:p>
            <w:pPr>
              <w:jc w:val="center"/>
              <w:rPr>
                <w:noProof/>
                <w:sz w:val="18"/>
              </w:rPr>
            </w:pPr>
            <w:r>
              <w:rPr>
                <w:noProof/>
                <w:sz w:val="18"/>
              </w:rPr>
              <w:t>Year</w:t>
            </w:r>
            <w:r>
              <w:rPr>
                <w:noProof/>
                <w:sz w:val="22"/>
              </w:rPr>
              <w:br/>
            </w:r>
            <w:r>
              <w:rPr>
                <w:b/>
                <w:noProof/>
                <w:sz w:val="18"/>
              </w:rPr>
              <w:t>N</w:t>
            </w:r>
          </w:p>
        </w:tc>
        <w:tc>
          <w:tcPr>
            <w:tcW w:w="900" w:type="dxa"/>
            <w:vAlign w:val="center"/>
          </w:tcPr>
          <w:p>
            <w:pPr>
              <w:jc w:val="center"/>
              <w:rPr>
                <w:noProof/>
                <w:sz w:val="18"/>
              </w:rPr>
            </w:pPr>
            <w:r>
              <w:rPr>
                <w:noProof/>
                <w:sz w:val="18"/>
              </w:rPr>
              <w:t>Year</w:t>
            </w:r>
            <w:r>
              <w:rPr>
                <w:noProof/>
                <w:sz w:val="22"/>
              </w:rPr>
              <w:br/>
            </w:r>
            <w:r>
              <w:rPr>
                <w:b/>
                <w:noProof/>
                <w:sz w:val="18"/>
              </w:rPr>
              <w:t>N+1</w:t>
            </w:r>
          </w:p>
        </w:tc>
        <w:tc>
          <w:tcPr>
            <w:tcW w:w="900" w:type="dxa"/>
            <w:vAlign w:val="center"/>
          </w:tcPr>
          <w:p>
            <w:pPr>
              <w:jc w:val="center"/>
              <w:rPr>
                <w:noProof/>
                <w:sz w:val="18"/>
              </w:rPr>
            </w:pPr>
            <w:r>
              <w:rPr>
                <w:noProof/>
                <w:sz w:val="18"/>
              </w:rPr>
              <w:t>Year</w:t>
            </w:r>
            <w:r>
              <w:rPr>
                <w:noProof/>
                <w:sz w:val="22"/>
              </w:rPr>
              <w:br/>
            </w:r>
            <w:r>
              <w:rPr>
                <w:b/>
                <w:noProof/>
                <w:sz w:val="18"/>
              </w:rPr>
              <w:t>N+2</w:t>
            </w:r>
          </w:p>
        </w:tc>
        <w:tc>
          <w:tcPr>
            <w:tcW w:w="1080" w:type="dxa"/>
            <w:vAlign w:val="center"/>
          </w:tcPr>
          <w:p>
            <w:pPr>
              <w:jc w:val="center"/>
              <w:rPr>
                <w:noProof/>
                <w:sz w:val="18"/>
              </w:rPr>
            </w:pPr>
            <w:r>
              <w:rPr>
                <w:noProof/>
                <w:sz w:val="18"/>
              </w:rPr>
              <w:t>Year</w:t>
            </w:r>
            <w:r>
              <w:rPr>
                <w:noProof/>
                <w:sz w:val="22"/>
              </w:rPr>
              <w:br/>
            </w:r>
            <w:r>
              <w:rPr>
                <w:b/>
                <w:noProof/>
                <w:sz w:val="18"/>
              </w:rPr>
              <w:t>N+3</w:t>
            </w:r>
          </w:p>
        </w:tc>
        <w:tc>
          <w:tcPr>
            <w:tcW w:w="3240" w:type="dxa"/>
            <w:gridSpan w:val="3"/>
            <w:vAlign w:val="center"/>
          </w:tcPr>
          <w:p>
            <w:pPr>
              <w:jc w:val="center"/>
              <w:rPr>
                <w:b/>
                <w:noProof/>
                <w:sz w:val="18"/>
              </w:rPr>
            </w:pPr>
            <w:r>
              <w:rPr>
                <w:noProof/>
                <w:sz w:val="18"/>
              </w:rPr>
              <w:t>Enter as many years as necessary to show the duration of the impact (see point 1.6)</w:t>
            </w:r>
          </w:p>
        </w:tc>
      </w:tr>
      <w:tr>
        <w:trPr>
          <w:trHeight w:val="388"/>
        </w:trPr>
        <w:tc>
          <w:tcPr>
            <w:tcW w:w="2144" w:type="dxa"/>
            <w:vAlign w:val="center"/>
          </w:tcPr>
          <w:p>
            <w:pPr>
              <w:spacing w:before="40" w:after="40"/>
              <w:rPr>
                <w:noProof/>
                <w:sz w:val="18"/>
              </w:rPr>
            </w:pPr>
            <w:r>
              <w:rPr>
                <w:noProof/>
                <w:sz w:val="18"/>
              </w:rPr>
              <w:t>Article ………….</w:t>
            </w:r>
          </w:p>
        </w:tc>
        <w:tc>
          <w:tcPr>
            <w:tcW w:w="1325" w:type="dxa"/>
          </w:tcPr>
          <w:p>
            <w:pPr>
              <w:spacing w:beforeLines="40" w:before="96" w:afterLines="40" w:after="96"/>
              <w:jc w:val="center"/>
              <w:rPr>
                <w:i/>
                <w:noProof/>
                <w:sz w:val="18"/>
              </w:rPr>
            </w:pPr>
          </w:p>
        </w:tc>
        <w:tc>
          <w:tcPr>
            <w:tcW w:w="1031"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Other remarks (e.g. method/formula used for calculating the impact on revenue or any other information).</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p>
    <w:p>
      <w:pPr>
        <w:rPr>
          <w:noProof/>
        </w:rPr>
      </w:pPr>
    </w:p>
    <w:p>
      <w:pPr>
        <w:pStyle w:val="Personnequisigne"/>
        <w:rPr>
          <w:noProof/>
        </w:rPr>
        <w:sectPr>
          <w:pgSz w:w="11907" w:h="16839"/>
          <w:pgMar w:top="1134" w:right="1417" w:bottom="1134" w:left="1417" w:header="709" w:footer="709" w:gutter="0"/>
          <w:cols w:space="708"/>
          <w:docGrid w:linePitch="360"/>
        </w:sectPr>
      </w:pPr>
    </w:p>
    <w:p>
      <w:pPr>
        <w:jc w:val="center"/>
        <w:rPr>
          <w:b/>
          <w:bCs/>
          <w:noProof/>
          <w:sz w:val="36"/>
          <w:szCs w:val="36"/>
          <w:u w:val="single"/>
        </w:rPr>
      </w:pPr>
      <w:r>
        <w:rPr>
          <w:b/>
          <w:bCs/>
          <w:noProof/>
          <w:sz w:val="36"/>
          <w:szCs w:val="36"/>
          <w:u w:val="single"/>
        </w:rPr>
        <w:t>ANNEX</w:t>
      </w:r>
      <w:r>
        <w:rPr>
          <w:noProof/>
        </w:rPr>
        <w:br/>
      </w:r>
      <w:r>
        <w:rPr>
          <w:b/>
          <w:bCs/>
          <w:noProof/>
          <w:sz w:val="36"/>
          <w:szCs w:val="36"/>
          <w:u w:val="single"/>
        </w:rPr>
        <w:t>to the LEGISLATIVE FINANCIAL STATEMENT</w:t>
      </w:r>
    </w:p>
    <w:p>
      <w:pPr>
        <w:jc w:val="center"/>
        <w:rPr>
          <w:noProof/>
        </w:rPr>
      </w:pPr>
    </w:p>
    <w:p>
      <w:pPr>
        <w:outlineLvl w:val="0"/>
        <w:rPr>
          <w:b/>
          <w:bCs/>
          <w:noProof/>
        </w:rPr>
      </w:pPr>
    </w:p>
    <w:p>
      <w:pPr>
        <w:outlineLvl w:val="0"/>
        <w:rPr>
          <w:b/>
          <w:bCs/>
          <w:noProof/>
        </w:rPr>
      </w:pPr>
    </w:p>
    <w:p>
      <w:pPr>
        <w:outlineLvl w:val="0"/>
        <w:rPr>
          <w:b/>
          <w:bCs/>
          <w:noProof/>
        </w:rPr>
      </w:pPr>
    </w:p>
    <w:p>
      <w:pPr>
        <w:spacing w:before="240"/>
        <w:ind w:left="360"/>
        <w:jc w:val="center"/>
        <w:rPr>
          <w:noProof/>
        </w:rPr>
      </w:pPr>
      <w:r>
        <w:rPr>
          <w:noProof/>
        </w:rPr>
        <w:t>Name of the proposal/initiative:</w:t>
      </w:r>
    </w:p>
    <w:p>
      <w:pPr>
        <w:pBdr>
          <w:top w:val="dotted" w:sz="4" w:space="1" w:color="auto"/>
          <w:left w:val="dotted" w:sz="4" w:space="4" w:color="auto"/>
          <w:bottom w:val="dotted" w:sz="4" w:space="1" w:color="auto"/>
          <w:right w:val="dotted" w:sz="4" w:space="4" w:color="auto"/>
        </w:pBdr>
        <w:shd w:val="clear" w:color="auto" w:fill="FFFF99"/>
        <w:spacing w:after="60"/>
        <w:rPr>
          <w:b/>
          <w:noProof/>
          <w:color w:val="808080"/>
        </w:rPr>
      </w:pPr>
      <w:r>
        <w:rPr>
          <w:noProof/>
          <w:color w:val="808080"/>
        </w:rPr>
        <w:t xml:space="preserve">                                                            </w:t>
      </w:r>
      <w:r>
        <w:rPr>
          <w:b/>
          <w:noProof/>
          <w:color w:val="808080"/>
        </w:rPr>
        <w:t xml:space="preserve"> European Year of Youth 2022</w:t>
      </w:r>
    </w:p>
    <w:p>
      <w:pPr>
        <w:pBdr>
          <w:top w:val="dotted" w:sz="4" w:space="1" w:color="auto"/>
          <w:left w:val="dotted" w:sz="4" w:space="4" w:color="auto"/>
          <w:bottom w:val="dotted" w:sz="4" w:space="1" w:color="auto"/>
          <w:right w:val="dotted" w:sz="4" w:space="4" w:color="auto"/>
        </w:pBdr>
        <w:shd w:val="clear" w:color="auto" w:fill="FFFF99"/>
        <w:spacing w:after="60"/>
        <w:rPr>
          <w:noProof/>
          <w:color w:val="808080"/>
        </w:rPr>
      </w:pPr>
    </w:p>
    <w:p>
      <w:pPr>
        <w:outlineLvl w:val="0"/>
        <w:rPr>
          <w:b/>
          <w:bCs/>
          <w:noProof/>
        </w:rPr>
      </w:pPr>
    </w:p>
    <w:p>
      <w:pPr>
        <w:outlineLvl w:val="0"/>
        <w:rPr>
          <w:b/>
          <w:bCs/>
          <w:noProof/>
        </w:rPr>
      </w:pPr>
    </w:p>
    <w:p>
      <w:pPr>
        <w:outlineLvl w:val="0"/>
        <w:rPr>
          <w:b/>
          <w:bCs/>
          <w:noProof/>
        </w:rPr>
      </w:pPr>
    </w:p>
    <w:p>
      <w:pPr>
        <w:pStyle w:val="ManualHeading1"/>
        <w:rPr>
          <w:noProof/>
        </w:rPr>
      </w:pPr>
      <w:r>
        <w:rPr>
          <w:noProof/>
        </w:rPr>
        <w:t>1. NUMBER and COST of HUMAN RESOURCES CONSIDERED NECESSARY</w:t>
      </w:r>
    </w:p>
    <w:p>
      <w:pPr>
        <w:pStyle w:val="ManualHeading1"/>
        <w:rPr>
          <w:noProof/>
        </w:rPr>
      </w:pPr>
      <w:r>
        <w:rPr>
          <w:noProof/>
        </w:rPr>
        <w:t>2. COST of OTHER ADMINISTRATIVE EXPENDITURE</w:t>
      </w:r>
    </w:p>
    <w:p>
      <w:pPr>
        <w:pStyle w:val="ManualHeading1"/>
        <w:rPr>
          <w:noProof/>
        </w:rPr>
      </w:pPr>
      <w:r>
        <w:rPr>
          <w:noProof/>
        </w:rPr>
        <w:t>3. TOTAL ADMINISTRATIVE COSTS</w:t>
      </w:r>
    </w:p>
    <w:p>
      <w:pPr>
        <w:pStyle w:val="ManualHeading1"/>
        <w:rPr>
          <w:noProof/>
        </w:rPr>
      </w:pPr>
      <w:r>
        <w:rPr>
          <w:noProof/>
        </w:rPr>
        <w:t>4. METHODS of CALCULATION USED for ESTIMATING COSTS</w:t>
      </w:r>
    </w:p>
    <w:p>
      <w:pPr>
        <w:pStyle w:val="ManualHeading2"/>
        <w:rPr>
          <w:bCs/>
          <w:noProof/>
          <w:szCs w:val="32"/>
        </w:rPr>
      </w:pPr>
      <w:r>
        <w:rPr>
          <w:noProof/>
        </w:rPr>
        <w:tab/>
      </w:r>
      <w:r>
        <w:rPr>
          <w:noProof/>
        </w:rPr>
        <w:tab/>
      </w:r>
      <w:r>
        <w:rPr>
          <w:noProof/>
        </w:rPr>
        <w:tab/>
      </w:r>
      <w:r>
        <w:rPr>
          <w:noProof/>
        </w:rPr>
        <w:tab/>
        <w:t>4.1.</w:t>
      </w:r>
      <w:r>
        <w:rPr>
          <w:noProof/>
        </w:rPr>
        <w:tab/>
        <w:t>Human resources</w:t>
      </w:r>
    </w:p>
    <w:p>
      <w:pPr>
        <w:pStyle w:val="ManualHeading2"/>
        <w:rPr>
          <w:bCs/>
          <w:noProof/>
          <w:szCs w:val="32"/>
        </w:rPr>
      </w:pPr>
      <w:r>
        <w:rPr>
          <w:noProof/>
        </w:rPr>
        <w:tab/>
      </w:r>
      <w:r>
        <w:rPr>
          <w:noProof/>
        </w:rPr>
        <w:tab/>
      </w:r>
      <w:r>
        <w:rPr>
          <w:noProof/>
        </w:rPr>
        <w:tab/>
      </w:r>
      <w:r>
        <w:rPr>
          <w:noProof/>
        </w:rPr>
        <w:tab/>
        <w:t>4.2.</w:t>
      </w:r>
      <w:r>
        <w:rPr>
          <w:noProof/>
        </w:rPr>
        <w:tab/>
        <w:t xml:space="preserve"> Other administrative expenditure</w:t>
      </w:r>
    </w:p>
    <w:p>
      <w:pPr>
        <w:pBdr>
          <w:top w:val="single" w:sz="4" w:space="0" w:color="auto"/>
          <w:left w:val="single" w:sz="4" w:space="4" w:color="auto"/>
          <w:bottom w:val="single" w:sz="4" w:space="1" w:color="auto"/>
          <w:right w:val="single" w:sz="4" w:space="4" w:color="auto"/>
        </w:pBdr>
        <w:shd w:val="pct30" w:color="CCFFFF" w:fill="auto"/>
        <w:rPr>
          <w:noProof/>
          <w:sz w:val="16"/>
          <w:szCs w:val="16"/>
        </w:rPr>
      </w:pPr>
    </w:p>
    <w:p>
      <w:pPr>
        <w:pBdr>
          <w:top w:val="single" w:sz="4" w:space="0" w:color="auto"/>
          <w:left w:val="single" w:sz="4" w:space="4" w:color="auto"/>
          <w:bottom w:val="single" w:sz="4" w:space="1" w:color="auto"/>
          <w:right w:val="single" w:sz="4" w:space="4" w:color="auto"/>
        </w:pBdr>
        <w:shd w:val="pct30" w:color="CCFFFF" w:fill="auto"/>
        <w:rPr>
          <w:i/>
          <w:noProof/>
          <w:sz w:val="22"/>
        </w:rPr>
      </w:pPr>
      <w:r>
        <w:rPr>
          <w:i/>
          <w:noProof/>
          <w:sz w:val="22"/>
        </w:rPr>
        <w:t>This annex must accompany the legislative financial statement when the inter-services consultation is launched.</w:t>
      </w:r>
    </w:p>
    <w:p>
      <w:pPr>
        <w:pBdr>
          <w:top w:val="single" w:sz="4" w:space="0" w:color="auto"/>
          <w:left w:val="single" w:sz="4" w:space="4" w:color="auto"/>
          <w:bottom w:val="single" w:sz="4" w:space="1" w:color="auto"/>
          <w:right w:val="single" w:sz="4" w:space="4" w:color="auto"/>
        </w:pBdr>
        <w:shd w:val="pct30" w:color="CCFFFF" w:fill="auto"/>
        <w:rPr>
          <w:i/>
          <w:noProof/>
          <w:sz w:val="22"/>
        </w:rPr>
      </w:pPr>
      <w:r>
        <w:rPr>
          <w:i/>
          <w:noProof/>
          <w:sz w:val="22"/>
        </w:rPr>
        <w:t>The data tables are used as a source for the tables contained in the legislative financial statement. They are strictly for internal use within the Commission.</w:t>
      </w:r>
    </w:p>
    <w:p>
      <w:pPr>
        <w:pBdr>
          <w:top w:val="single" w:sz="4" w:space="0" w:color="auto"/>
          <w:left w:val="single" w:sz="4" w:space="4" w:color="auto"/>
          <w:bottom w:val="single" w:sz="4" w:space="1" w:color="auto"/>
          <w:right w:val="single" w:sz="4" w:space="4" w:color="auto"/>
        </w:pBdr>
        <w:shd w:val="pct30" w:color="CCFFFF" w:fill="auto"/>
        <w:rPr>
          <w:bCs/>
          <w:noProof/>
          <w:sz w:val="16"/>
          <w:szCs w:val="16"/>
        </w:rPr>
      </w:pPr>
    </w:p>
    <w:p>
      <w:pPr>
        <w:spacing w:after="80"/>
        <w:rPr>
          <w:b/>
          <w:bCs/>
          <w:noProof/>
        </w:rPr>
      </w:pPr>
    </w:p>
    <w:p>
      <w:pPr>
        <w:rPr>
          <w:noProof/>
        </w:rPr>
        <w:sectPr>
          <w:headerReference w:type="default" r:id="rId26"/>
          <w:footerReference w:type="default" r:id="rId27"/>
          <w:headerReference w:type="first" r:id="rId28"/>
          <w:footerReference w:type="first" r:id="rId29"/>
          <w:pgSz w:w="12240" w:h="15840" w:code="1"/>
          <w:pgMar w:top="902" w:right="1134" w:bottom="1247" w:left="902" w:header="709" w:footer="709" w:gutter="0"/>
          <w:cols w:space="720"/>
          <w:docGrid w:linePitch="360"/>
        </w:sectPr>
      </w:pPr>
    </w:p>
    <w:p>
      <w:pPr>
        <w:rPr>
          <w:noProof/>
          <w:sz w:val="16"/>
          <w:szCs w:val="16"/>
        </w:rPr>
      </w:pPr>
    </w:p>
    <w:p>
      <w:pPr>
        <w:pStyle w:val="ManualHeading1"/>
        <w:rPr>
          <w:noProof/>
        </w:rPr>
      </w:pPr>
      <w:r>
        <w:rPr>
          <w:b w:val="0"/>
          <w:smallCaps w:val="0"/>
          <w:noProof/>
        </w:rPr>
        <w:t>1.</w:t>
      </w:r>
      <w:r>
        <w:rPr>
          <w:noProof/>
        </w:rPr>
        <w:t xml:space="preserve"> Cost of human resources considered necessary</w:t>
      </w:r>
      <w:r>
        <w:rPr>
          <w:noProof/>
        </w:rPr>
        <w:tab/>
      </w:r>
    </w:p>
    <w:p>
      <w:pPr>
        <w:pStyle w:val="Point1"/>
        <w:spacing w:after="0"/>
        <w:ind w:left="2263" w:hanging="284"/>
        <w:rPr>
          <w:noProof/>
        </w:rPr>
      </w:pPr>
      <w:r>
        <w:rPr>
          <w:noProof/>
        </w:rPr>
        <w:sym w:font="Wingdings" w:char="F0A8"/>
      </w:r>
      <w:r>
        <w:rPr>
          <w:noProof/>
        </w:rPr>
        <w:tab/>
      </w:r>
      <w:r>
        <w:rPr>
          <w:noProof/>
          <w:sz w:val="22"/>
        </w:rPr>
        <w:t>The proposal/initiative does not require the use of human resources</w:t>
      </w:r>
    </w:p>
    <w:p>
      <w:pPr>
        <w:pStyle w:val="Text1"/>
        <w:spacing w:before="60" w:after="0"/>
        <w:ind w:left="2263" w:hanging="284"/>
        <w:rPr>
          <w:noProof/>
        </w:rPr>
      </w:pPr>
      <w:r>
        <w:rPr>
          <w:noProof/>
        </w:rPr>
        <w:t>x</w:t>
      </w:r>
      <w:r>
        <w:rPr>
          <w:noProof/>
        </w:rPr>
        <w:tab/>
      </w:r>
      <w:r>
        <w:rPr>
          <w:noProof/>
          <w:sz w:val="22"/>
        </w:rPr>
        <w:t>The proposal/initiative requires the use of human resources, as explained below:</w:t>
      </w:r>
    </w:p>
    <w:p>
      <w:pPr>
        <w:ind w:left="6480" w:firstLine="720"/>
        <w:rPr>
          <w:iCs/>
          <w:noProof/>
        </w:rPr>
      </w:pPr>
      <w:r>
        <w:rPr>
          <w:noProof/>
        </w:rPr>
        <w:t>EUR million (to three decimal places)</w:t>
      </w:r>
    </w:p>
    <w:tbl>
      <w:tblPr>
        <w:tblW w:w="15000" w:type="dxa"/>
        <w:jc w:val="center"/>
        <w:tblLook w:val="04A0" w:firstRow="1" w:lastRow="0" w:firstColumn="1" w:lastColumn="0" w:noHBand="0" w:noVBand="1"/>
      </w:tblPr>
      <w:tblGrid>
        <w:gridCol w:w="1754"/>
        <w:gridCol w:w="706"/>
        <w:gridCol w:w="479"/>
        <w:gridCol w:w="1063"/>
        <w:gridCol w:w="479"/>
        <w:gridCol w:w="1063"/>
        <w:gridCol w:w="581"/>
        <w:gridCol w:w="1063"/>
        <w:gridCol w:w="479"/>
        <w:gridCol w:w="1063"/>
        <w:gridCol w:w="479"/>
        <w:gridCol w:w="1063"/>
        <w:gridCol w:w="479"/>
        <w:gridCol w:w="1063"/>
        <w:gridCol w:w="479"/>
        <w:gridCol w:w="1063"/>
        <w:gridCol w:w="581"/>
        <w:gridCol w:w="1063"/>
      </w:tblGrid>
      <w:tr>
        <w:trPr>
          <w:trHeight w:val="330"/>
          <w:jc w:val="center"/>
        </w:trPr>
        <w:tc>
          <w:tcPr>
            <w:tcW w:w="2632" w:type="dxa"/>
            <w:gridSpan w:val="2"/>
            <w:vMerge w:val="restart"/>
            <w:tcBorders>
              <w:top w:val="single" w:sz="4" w:space="0" w:color="auto"/>
              <w:left w:val="single" w:sz="4" w:space="0" w:color="auto"/>
              <w:right w:val="single" w:sz="4" w:space="0" w:color="auto"/>
            </w:tcBorders>
            <w:shd w:val="clear" w:color="auto" w:fill="E2E2E2"/>
            <w:vAlign w:val="center"/>
            <w:hideMark/>
          </w:tcPr>
          <w:p>
            <w:pPr>
              <w:jc w:val="center"/>
              <w:rPr>
                <w:rFonts w:ascii="Arial Narrow" w:hAnsi="Arial Narrow"/>
                <w:b/>
                <w:bCs/>
                <w:noProof/>
                <w:color w:val="000000"/>
                <w:sz w:val="22"/>
              </w:rPr>
            </w:pPr>
            <w:r>
              <w:rPr>
                <w:rFonts w:ascii="Arial Narrow" w:hAnsi="Arial Narrow"/>
                <w:b/>
                <w:bCs/>
                <w:noProof/>
                <w:color w:val="000000"/>
                <w:sz w:val="22"/>
              </w:rPr>
              <w:t>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2021</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2022</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2023</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N+3</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N+4</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N+5</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N+7</w:t>
            </w:r>
          </w:p>
        </w:tc>
        <w:tc>
          <w:tcPr>
            <w:tcW w:w="1546"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660"/>
          <w:jc w:val="center"/>
        </w:trPr>
        <w:tc>
          <w:tcPr>
            <w:tcW w:w="2632" w:type="dxa"/>
            <w:gridSpan w:val="2"/>
            <w:vMerge/>
            <w:tcBorders>
              <w:left w:val="single" w:sz="4" w:space="0" w:color="auto"/>
              <w:bottom w:val="single" w:sz="4" w:space="0" w:color="auto"/>
              <w:right w:val="single" w:sz="4" w:space="0" w:color="auto"/>
            </w:tcBorders>
            <w:shd w:val="pct50" w:color="C0C0C0" w:fill="E2E2E2"/>
            <w:vAlign w:val="center"/>
            <w:hideMark/>
          </w:tcPr>
          <w:p>
            <w:pPr>
              <w:jc w:val="center"/>
              <w:rPr>
                <w:rFonts w:ascii="Arial Narrow" w:hAnsi="Arial Narrow"/>
                <w:noProof/>
                <w:color w:val="000000"/>
                <w:sz w:val="22"/>
              </w:rPr>
            </w:pP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r>
      <w:tr>
        <w:trPr>
          <w:trHeight w:val="330"/>
          <w:jc w:val="center"/>
        </w:trPr>
        <w:tc>
          <w:tcPr>
            <w:tcW w:w="15000" w:type="dxa"/>
            <w:gridSpan w:val="18"/>
            <w:tcBorders>
              <w:top w:val="single" w:sz="4" w:space="0" w:color="auto"/>
              <w:left w:val="single" w:sz="4" w:space="0" w:color="auto"/>
              <w:bottom w:val="single" w:sz="4" w:space="0" w:color="auto"/>
              <w:right w:val="single" w:sz="4" w:space="0" w:color="auto"/>
            </w:tcBorders>
            <w:shd w:val="clear" w:color="auto" w:fill="CCFFD0"/>
            <w:vAlign w:val="center"/>
            <w:hideMark/>
          </w:tcPr>
          <w:p>
            <w:pPr>
              <w:rPr>
                <w:rFonts w:ascii="Arial Narrow" w:hAnsi="Arial Narrow"/>
                <w:noProof/>
                <w:color w:val="000000"/>
                <w:sz w:val="20"/>
                <w:szCs w:val="20"/>
              </w:rPr>
            </w:pPr>
            <w:r>
              <w:rPr>
                <w:rFonts w:ascii="Arial Narrow" w:hAnsi="Arial Narrow"/>
                <w:b/>
                <w:noProof/>
                <w:color w:val="008000"/>
                <w:sz w:val="20"/>
              </w:rPr>
              <w:sym w:font="Wingdings" w:char="F09F"/>
            </w:r>
            <w:r>
              <w:rPr>
                <w:rFonts w:ascii="Arial Narrow" w:hAnsi="Arial Narrow"/>
                <w:b/>
                <w:noProof/>
                <w:color w:val="008000"/>
                <w:sz w:val="20"/>
              </w:rPr>
              <w:t xml:space="preserve"> </w:t>
            </w:r>
            <w:r>
              <w:rPr>
                <w:rFonts w:ascii="Arial Narrow" w:hAnsi="Arial Narrow"/>
                <w:b/>
                <w:noProof/>
                <w:color w:val="008000"/>
                <w:sz w:val="22"/>
              </w:rPr>
              <w:t>Establishment plan posts (officials and temporary staff)</w:t>
            </w:r>
          </w:p>
        </w:tc>
      </w:tr>
      <w:tr>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20 01 02 01 - Headquarters and Representation offices</w:t>
            </w: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AD</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w:t>
            </w:r>
            <w:r>
              <w:rPr>
                <w:rFonts w:ascii="Arial Narrow" w:hAnsi="Arial Narrow"/>
                <w:noProof/>
                <w:color w:val="000000" w:themeColor="text1"/>
                <w:sz w:val="20"/>
                <w:szCs w:val="20"/>
              </w:rPr>
              <w:t>456</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themeColor="text1"/>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themeColor="text1"/>
                <w:sz w:val="20"/>
                <w:szCs w:val="20"/>
              </w:rPr>
            </w:pPr>
            <w:r>
              <w:rPr>
                <w:rFonts w:ascii="Arial Narrow" w:hAnsi="Arial Narrow"/>
                <w:noProof/>
                <w:color w:val="000000"/>
                <w:sz w:val="20"/>
                <w:szCs w:val="20"/>
              </w:rPr>
              <w:t> </w:t>
            </w:r>
            <w:r>
              <w:rPr>
                <w:rFonts w:ascii="Arial Narrow" w:hAnsi="Arial Narrow"/>
                <w:noProof/>
                <w:color w:val="000000" w:themeColor="text1"/>
                <w:sz w:val="20"/>
                <w:szCs w:val="20"/>
              </w:rPr>
              <w:t> 0,456</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0.50</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0,076 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6</w:t>
            </w:r>
            <w:r>
              <w:rPr>
                <w:rFonts w:ascii="Arial Narrow" w:hAnsi="Arial Narrow"/>
                <w:noProof/>
                <w:color w:val="000000" w:themeColor="text1"/>
                <w:sz w:val="20"/>
                <w:szCs w:val="20"/>
              </w:rPr>
              <w:t>.5</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0,988 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AST</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p>
        </w:tc>
      </w:tr>
      <w:tr>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20 01 02 03 - Union Delegations</w:t>
            </w:r>
          </w:p>
        </w:tc>
        <w:tc>
          <w:tcPr>
            <w:tcW w:w="757"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18"/>
                <w:szCs w:val="18"/>
              </w:rPr>
            </w:pPr>
            <w:r>
              <w:rPr>
                <w:rFonts w:ascii="Arial Narrow" w:hAnsi="Arial Narrow"/>
                <w:noProof/>
                <w:color w:val="000000"/>
                <w:sz w:val="18"/>
                <w:szCs w:val="18"/>
              </w:rPr>
              <w:t xml:space="preserve">   AD</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p>
        </w:tc>
        <w:tc>
          <w:tcPr>
            <w:tcW w:w="1063" w:type="dxa"/>
            <w:tcBorders>
              <w:top w:val="nil"/>
              <w:left w:val="nil"/>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AST</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5000" w:type="dxa"/>
            <w:gridSpan w:val="18"/>
            <w:tcBorders>
              <w:top w:val="single" w:sz="4" w:space="0" w:color="auto"/>
              <w:left w:val="single" w:sz="4" w:space="0" w:color="auto"/>
              <w:bottom w:val="single" w:sz="4" w:space="0" w:color="auto"/>
              <w:right w:val="single" w:sz="4" w:space="0" w:color="auto"/>
            </w:tcBorders>
            <w:shd w:val="clear" w:color="auto" w:fill="FCFFA1"/>
            <w:vAlign w:val="center"/>
            <w:hideMark/>
          </w:tcPr>
          <w:p>
            <w:pPr>
              <w:rPr>
                <w:rFonts w:ascii="Arial Narrow" w:hAnsi="Arial Narrow"/>
                <w:noProof/>
                <w:color w:val="000000"/>
                <w:sz w:val="20"/>
                <w:szCs w:val="20"/>
              </w:rPr>
            </w:pPr>
            <w:r>
              <w:rPr>
                <w:rFonts w:ascii="Arial Narrow" w:hAnsi="Arial Narrow"/>
                <w:b/>
                <w:noProof/>
                <w:color w:val="FF6600"/>
                <w:sz w:val="20"/>
              </w:rPr>
              <w:sym w:font="Wingdings" w:char="F09F"/>
            </w:r>
            <w:r>
              <w:rPr>
                <w:rFonts w:ascii="Arial Narrow" w:hAnsi="Arial Narrow"/>
                <w:b/>
                <w:bCs/>
                <w:noProof/>
                <w:color w:val="FF6600"/>
                <w:sz w:val="20"/>
                <w:szCs w:val="20"/>
              </w:rPr>
              <w:t xml:space="preserve"> </w:t>
            </w:r>
            <w:r>
              <w:rPr>
                <w:rFonts w:ascii="Arial Narrow" w:hAnsi="Arial Narrow"/>
                <w:b/>
                <w:bCs/>
                <w:noProof/>
                <w:color w:val="FF6600"/>
                <w:sz w:val="22"/>
              </w:rPr>
              <w:t xml:space="preserve">External staff </w:t>
            </w:r>
            <w:r>
              <w:rPr>
                <w:rStyle w:val="FootnoteReference0"/>
                <w:rFonts w:ascii="Arial Narrow" w:hAnsi="Arial Narrow"/>
                <w:b/>
                <w:bCs/>
                <w:noProof/>
                <w:color w:val="FF0000"/>
                <w:sz w:val="22"/>
              </w:rPr>
              <w:footnoteReference w:id="45"/>
            </w:r>
          </w:p>
        </w:tc>
      </w:tr>
      <w:tr>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20 02 01 and 20 02 02 – External personnel – Headquarters and Representation offices</w:t>
            </w: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AC</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3</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0,246 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8 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0,656 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0,164</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13 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1,066 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END</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INT</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3</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themeColor="text1"/>
                <w:sz w:val="20"/>
                <w:szCs w:val="20"/>
              </w:rPr>
              <w:t>0,246</w:t>
            </w: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3</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r>
              <w:rPr>
                <w:rFonts w:ascii="Arial Narrow" w:hAnsi="Arial Narrow"/>
                <w:noProof/>
                <w:color w:val="000000" w:themeColor="text1"/>
                <w:sz w:val="20"/>
                <w:szCs w:val="20"/>
              </w:rPr>
              <w:t>0,246</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6</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0,492 </w:t>
            </w:r>
          </w:p>
        </w:tc>
      </w:tr>
      <w:tr>
        <w:trPr>
          <w:trHeight w:val="300"/>
          <w:jc w:val="center"/>
        </w:trPr>
        <w:tc>
          <w:tcPr>
            <w:tcW w:w="1875"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20 02 03 – External personnel - Union Delegations</w:t>
            </w: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AC</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xml:space="preserve">AL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END</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INT</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875"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JPD</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875" w:type="dxa"/>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Other HR related budget lines (</w:t>
            </w:r>
            <w:r>
              <w:rPr>
                <w:rFonts w:ascii="Arial Narrow" w:hAnsi="Arial Narrow"/>
                <w:i/>
                <w:iCs/>
                <w:noProof/>
                <w:color w:val="000000"/>
                <w:sz w:val="20"/>
                <w:szCs w:val="20"/>
              </w:rPr>
              <w:t>specify</w:t>
            </w:r>
            <w:r>
              <w:rPr>
                <w:rFonts w:ascii="Arial Narrow" w:hAnsi="Arial Narrow"/>
                <w:noProof/>
                <w:color w:val="000000"/>
                <w:sz w:val="20"/>
                <w:szCs w:val="20"/>
              </w:rPr>
              <w:t>)</w:t>
            </w:r>
          </w:p>
        </w:tc>
        <w:tc>
          <w:tcPr>
            <w:tcW w:w="757"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546"/>
          <w:jc w:val="center"/>
        </w:trPr>
        <w:tc>
          <w:tcPr>
            <w:tcW w:w="1875"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HR – HEADING 7</w:t>
            </w:r>
          </w:p>
        </w:tc>
        <w:tc>
          <w:tcPr>
            <w:tcW w:w="757"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9</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0,948</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14</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1,358 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2,50</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0,240</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8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25,5 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2,546 </w:t>
            </w:r>
          </w:p>
        </w:tc>
      </w:tr>
    </w:tbl>
    <w:p>
      <w:pPr>
        <w:pStyle w:val="Text1"/>
        <w:spacing w:before="0" w:after="0"/>
        <w:ind w:left="-540" w:right="-694"/>
        <w:rPr>
          <w:noProof/>
          <w:sz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Text1"/>
        <w:spacing w:before="0" w:after="0"/>
        <w:ind w:left="-540" w:right="-694"/>
        <w:rPr>
          <w:noProof/>
          <w:sz w:val="18"/>
        </w:rPr>
      </w:pPr>
    </w:p>
    <w:p>
      <w:pPr>
        <w:pStyle w:val="Text1"/>
        <w:spacing w:before="0" w:after="0"/>
        <w:ind w:left="-540" w:right="-694"/>
        <w:rPr>
          <w:noProof/>
          <w:sz w:val="18"/>
        </w:rPr>
      </w:pPr>
    </w:p>
    <w:p>
      <w:pPr>
        <w:pStyle w:val="Text1"/>
        <w:spacing w:before="0" w:after="0"/>
        <w:ind w:left="-540" w:right="-694"/>
        <w:rPr>
          <w:rFonts w:ascii="Arial Narrow" w:hAnsi="Arial Narrow"/>
          <w:iCs/>
          <w:noProof/>
          <w:sz w:val="6"/>
          <w:szCs w:val="6"/>
        </w:rPr>
      </w:pPr>
      <w:r>
        <w:rPr>
          <w:noProof/>
          <w:sz w:val="18"/>
        </w:rPr>
        <w:tab/>
      </w:r>
    </w:p>
    <w:tbl>
      <w:tblPr>
        <w:tblW w:w="15210" w:type="dxa"/>
        <w:jc w:val="center"/>
        <w:tblLook w:val="04A0" w:firstRow="1" w:lastRow="0" w:firstColumn="1" w:lastColumn="0" w:noHBand="0" w:noVBand="1"/>
      </w:tblPr>
      <w:tblGrid>
        <w:gridCol w:w="1256"/>
        <w:gridCol w:w="1210"/>
        <w:gridCol w:w="528"/>
        <w:gridCol w:w="464"/>
        <w:gridCol w:w="1063"/>
        <w:gridCol w:w="464"/>
        <w:gridCol w:w="1063"/>
        <w:gridCol w:w="464"/>
        <w:gridCol w:w="1063"/>
        <w:gridCol w:w="464"/>
        <w:gridCol w:w="1063"/>
        <w:gridCol w:w="464"/>
        <w:gridCol w:w="1063"/>
        <w:gridCol w:w="464"/>
        <w:gridCol w:w="1063"/>
        <w:gridCol w:w="464"/>
        <w:gridCol w:w="1063"/>
        <w:gridCol w:w="464"/>
        <w:gridCol w:w="1063"/>
      </w:tblGrid>
      <w:tr>
        <w:trPr>
          <w:trHeight w:val="330"/>
          <w:jc w:val="center"/>
        </w:trPr>
        <w:tc>
          <w:tcPr>
            <w:tcW w:w="2994" w:type="dxa"/>
            <w:gridSpan w:val="3"/>
            <w:vMerge w:val="restart"/>
            <w:tcBorders>
              <w:top w:val="single" w:sz="4" w:space="0" w:color="auto"/>
              <w:left w:val="single" w:sz="4" w:space="0" w:color="auto"/>
              <w:right w:val="single" w:sz="4" w:space="0" w:color="auto"/>
            </w:tcBorders>
            <w:shd w:val="clear" w:color="auto" w:fill="E2E2E2"/>
            <w:vAlign w:val="center"/>
            <w:hideMark/>
          </w:tcPr>
          <w:p>
            <w:pPr>
              <w:jc w:val="center"/>
              <w:rPr>
                <w:rFonts w:ascii="Arial Narrow" w:hAnsi="Arial Narrow"/>
                <w:b/>
                <w:bCs/>
                <w:noProof/>
                <w:color w:val="000000"/>
                <w:sz w:val="22"/>
              </w:rPr>
            </w:pPr>
            <w:r>
              <w:rPr>
                <w:rFonts w:ascii="Arial Narrow" w:hAnsi="Arial Narrow"/>
                <w:b/>
                <w:bCs/>
                <w:noProof/>
                <w:color w:val="000000"/>
                <w:sz w:val="22"/>
              </w:rPr>
              <w:t>Outside 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2021</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2022</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2023</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N+3</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N+4</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N+5</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N+7</w:t>
            </w:r>
          </w:p>
        </w:tc>
        <w:tc>
          <w:tcPr>
            <w:tcW w:w="1527" w:type="dxa"/>
            <w:gridSpan w:val="2"/>
            <w:tcBorders>
              <w:top w:val="single" w:sz="4" w:space="0" w:color="auto"/>
              <w:left w:val="nil"/>
              <w:bottom w:val="single" w:sz="4" w:space="0" w:color="auto"/>
              <w:right w:val="single" w:sz="4" w:space="0" w:color="auto"/>
            </w:tcBorders>
            <w:shd w:val="clear" w:color="auto" w:fill="FCFFFF"/>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510"/>
          <w:jc w:val="center"/>
        </w:trPr>
        <w:tc>
          <w:tcPr>
            <w:tcW w:w="2994" w:type="dxa"/>
            <w:gridSpan w:val="3"/>
            <w:vMerge/>
            <w:tcBorders>
              <w:left w:val="single" w:sz="4" w:space="0" w:color="auto"/>
              <w:bottom w:val="single" w:sz="4" w:space="0" w:color="auto"/>
              <w:right w:val="single" w:sz="4" w:space="0" w:color="auto"/>
            </w:tcBorders>
            <w:shd w:val="pct50" w:color="C0C0C0" w:fill="E2E2E2"/>
            <w:vAlign w:val="center"/>
            <w:hideMark/>
          </w:tcPr>
          <w:p>
            <w:pPr>
              <w:jc w:val="center"/>
              <w:rPr>
                <w:rFonts w:ascii="Arial Narrow" w:hAnsi="Arial Narrow"/>
                <w:noProof/>
                <w:color w:val="000000"/>
                <w:sz w:val="22"/>
              </w:rPr>
            </w:pP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FTE</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6"/>
                <w:szCs w:val="16"/>
              </w:rPr>
            </w:pPr>
            <w:r>
              <w:rPr>
                <w:rFonts w:ascii="Arial Narrow" w:hAnsi="Arial Narrow"/>
                <w:noProof/>
                <w:color w:val="000000"/>
                <w:sz w:val="16"/>
                <w:szCs w:val="16"/>
              </w:rPr>
              <w:t>Appropriations</w:t>
            </w:r>
          </w:p>
        </w:tc>
      </w:tr>
      <w:tr>
        <w:trPr>
          <w:trHeight w:val="300"/>
          <w:jc w:val="center"/>
        </w:trPr>
        <w:tc>
          <w:tcPr>
            <w:tcW w:w="15210" w:type="dxa"/>
            <w:gridSpan w:val="19"/>
            <w:tcBorders>
              <w:top w:val="single" w:sz="4" w:space="0" w:color="auto"/>
              <w:left w:val="single" w:sz="4" w:space="0" w:color="auto"/>
              <w:bottom w:val="single" w:sz="4" w:space="0" w:color="auto"/>
              <w:right w:val="single" w:sz="4" w:space="0" w:color="auto"/>
            </w:tcBorders>
            <w:shd w:val="clear" w:color="auto" w:fill="CCFFD0"/>
            <w:vAlign w:val="center"/>
            <w:hideMark/>
          </w:tcPr>
          <w:p>
            <w:pPr>
              <w:rPr>
                <w:rFonts w:ascii="Wingdings" w:hAnsi="Wingdings"/>
                <w:b/>
                <w:bCs/>
                <w:noProof/>
                <w:color w:val="008000"/>
                <w:sz w:val="20"/>
                <w:szCs w:val="20"/>
              </w:rPr>
            </w:pPr>
            <w:r>
              <w:rPr>
                <w:rFonts w:ascii="Arial Narrow" w:hAnsi="Arial Narrow"/>
                <w:b/>
                <w:noProof/>
                <w:color w:val="008000"/>
                <w:sz w:val="20"/>
              </w:rPr>
              <w:sym w:font="Wingdings" w:char="F09F"/>
            </w:r>
            <w:r>
              <w:rPr>
                <w:rFonts w:ascii="Arial Narrow" w:hAnsi="Arial Narrow"/>
                <w:b/>
                <w:noProof/>
                <w:color w:val="008000"/>
                <w:sz w:val="20"/>
              </w:rPr>
              <w:t xml:space="preserve"> </w:t>
            </w:r>
            <w:r>
              <w:rPr>
                <w:rFonts w:ascii="Arial Narrow" w:hAnsi="Arial Narrow"/>
                <w:b/>
                <w:noProof/>
                <w:color w:val="008000"/>
                <w:sz w:val="22"/>
              </w:rPr>
              <w:t>Establishment plan posts (officials and temporary staff)</w:t>
            </w:r>
          </w:p>
        </w:tc>
      </w:tr>
      <w:tr>
        <w:trPr>
          <w:trHeight w:val="300"/>
          <w:jc w:val="center"/>
        </w:trPr>
        <w:tc>
          <w:tcPr>
            <w:tcW w:w="2466" w:type="dxa"/>
            <w:gridSpan w:val="2"/>
            <w:vMerge w:val="restart"/>
            <w:tcBorders>
              <w:top w:val="single" w:sz="4" w:space="0" w:color="auto"/>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01 01 01 01 Indirect Research</w:t>
            </w:r>
            <w:r>
              <w:rPr>
                <w:rStyle w:val="FootnoteReference0"/>
                <w:rFonts w:ascii="Arial Narrow" w:hAnsi="Arial Narrow"/>
                <w:noProof/>
                <w:color w:val="000000"/>
                <w:sz w:val="20"/>
                <w:szCs w:val="20"/>
              </w:rPr>
              <w:footnoteReference w:id="46"/>
            </w:r>
          </w:p>
          <w:p>
            <w:pPr>
              <w:rPr>
                <w:rFonts w:ascii="Arial Narrow" w:hAnsi="Arial Narrow"/>
                <w:noProof/>
                <w:color w:val="000000"/>
                <w:sz w:val="20"/>
                <w:szCs w:val="20"/>
              </w:rPr>
            </w:pPr>
            <w:r>
              <w:rPr>
                <w:rFonts w:ascii="Arial Narrow" w:hAnsi="Arial Narrow"/>
                <w:noProof/>
                <w:color w:val="000000"/>
                <w:sz w:val="20"/>
                <w:szCs w:val="20"/>
              </w:rPr>
              <w:t>01 01 01 11 Direct Research</w:t>
            </w:r>
          </w:p>
          <w:p>
            <w:pPr>
              <w:rPr>
                <w:rFonts w:ascii="Arial Narrow" w:hAnsi="Arial Narrow"/>
                <w:noProof/>
                <w:color w:val="000000"/>
                <w:sz w:val="20"/>
                <w:szCs w:val="20"/>
              </w:rPr>
            </w:pPr>
            <w:r>
              <w:rPr>
                <w:rFonts w:ascii="Arial Narrow" w:hAnsi="Arial Narrow"/>
                <w:noProof/>
                <w:color w:val="000000"/>
                <w:sz w:val="20"/>
                <w:szCs w:val="20"/>
              </w:rPr>
              <w:t>Other (please specify)</w:t>
            </w: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AD</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AST</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5210" w:type="dxa"/>
            <w:gridSpan w:val="19"/>
            <w:tcBorders>
              <w:top w:val="single" w:sz="4" w:space="0" w:color="auto"/>
              <w:left w:val="single" w:sz="4" w:space="0" w:color="auto"/>
              <w:bottom w:val="single" w:sz="4" w:space="0" w:color="auto"/>
              <w:right w:val="single" w:sz="4" w:space="0" w:color="auto"/>
            </w:tcBorders>
            <w:shd w:val="clear" w:color="auto" w:fill="FCFFA1"/>
            <w:vAlign w:val="center"/>
            <w:hideMark/>
          </w:tcPr>
          <w:p>
            <w:pPr>
              <w:rPr>
                <w:rFonts w:ascii="Calibri" w:hAnsi="Calibri"/>
                <w:noProof/>
                <w:color w:val="0000FF"/>
                <w:sz w:val="22"/>
                <w:u w:val="single"/>
              </w:rPr>
            </w:pPr>
            <w:r>
              <w:rPr>
                <w:rFonts w:ascii="Arial Narrow" w:hAnsi="Arial Narrow"/>
                <w:b/>
                <w:noProof/>
                <w:color w:val="FF6600"/>
                <w:sz w:val="20"/>
              </w:rPr>
              <w:sym w:font="Wingdings" w:char="F09F"/>
            </w:r>
            <w:r>
              <w:rPr>
                <w:rFonts w:ascii="Arial Narrow" w:hAnsi="Arial Narrow"/>
                <w:b/>
                <w:bCs/>
                <w:noProof/>
                <w:color w:val="FF6600"/>
                <w:sz w:val="20"/>
                <w:szCs w:val="20"/>
              </w:rPr>
              <w:t xml:space="preserve"> </w:t>
            </w:r>
            <w:r>
              <w:rPr>
                <w:rFonts w:ascii="Arial Narrow" w:hAnsi="Arial Narrow"/>
                <w:b/>
                <w:bCs/>
                <w:noProof/>
                <w:color w:val="FF6600"/>
                <w:sz w:val="22"/>
              </w:rPr>
              <w:t xml:space="preserve">External staff </w:t>
            </w:r>
            <w:r>
              <w:rPr>
                <w:rStyle w:val="FootnoteReference0"/>
                <w:rFonts w:ascii="Arial Narrow" w:hAnsi="Arial Narrow"/>
                <w:b/>
                <w:bCs/>
                <w:noProof/>
                <w:color w:val="FF0000"/>
                <w:sz w:val="22"/>
              </w:rPr>
              <w:footnoteReference w:id="47"/>
            </w:r>
          </w:p>
        </w:tc>
      </w:tr>
      <w:tr>
        <w:trPr>
          <w:trHeight w:val="300"/>
          <w:jc w:val="center"/>
        </w:trPr>
        <w:tc>
          <w:tcPr>
            <w:tcW w:w="1256"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External staff from operational appropriations (former ‘BA’ lines).</w:t>
            </w:r>
          </w:p>
        </w:tc>
        <w:tc>
          <w:tcPr>
            <w:tcW w:w="1210"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at Headquarters</w:t>
            </w: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val="restart"/>
            <w:tcBorders>
              <w:top w:val="nil"/>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 in Union delegations</w:t>
            </w: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xml:space="preserve">AL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1256"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1210" w:type="dxa"/>
            <w:vMerge/>
            <w:tcBorders>
              <w:top w:val="nil"/>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JPD</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2466" w:type="dxa"/>
            <w:gridSpan w:val="2"/>
            <w:vMerge w:val="restart"/>
            <w:tcBorders>
              <w:top w:val="single" w:sz="4" w:space="0" w:color="auto"/>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01 01 01 02 Indirect Research</w:t>
            </w:r>
          </w:p>
          <w:p>
            <w:pPr>
              <w:rPr>
                <w:rFonts w:ascii="Arial Narrow" w:hAnsi="Arial Narrow"/>
                <w:noProof/>
                <w:color w:val="000000"/>
                <w:sz w:val="20"/>
                <w:szCs w:val="20"/>
              </w:rPr>
            </w:pPr>
            <w:r>
              <w:rPr>
                <w:rFonts w:ascii="Arial Narrow" w:hAnsi="Arial Narrow"/>
                <w:noProof/>
                <w:color w:val="000000"/>
                <w:sz w:val="20"/>
                <w:szCs w:val="20"/>
              </w:rPr>
              <w:t>01 01 01 12 Direct research</w:t>
            </w:r>
          </w:p>
          <w:p>
            <w:pPr>
              <w:rPr>
                <w:rFonts w:ascii="Arial Narrow" w:hAnsi="Arial Narrow"/>
                <w:noProof/>
                <w:color w:val="000000"/>
                <w:sz w:val="20"/>
                <w:szCs w:val="20"/>
              </w:rPr>
            </w:pPr>
            <w:r>
              <w:rPr>
                <w:rFonts w:ascii="Arial Narrow" w:hAnsi="Arial Narrow"/>
                <w:noProof/>
                <w:color w:val="000000"/>
                <w:sz w:val="20"/>
                <w:szCs w:val="20"/>
              </w:rPr>
              <w:t>Other (please specify)</w:t>
            </w:r>
            <w:r>
              <w:rPr>
                <w:rStyle w:val="FootnoteReference0"/>
                <w:rFonts w:ascii="Arial Narrow" w:hAnsi="Arial Narrow"/>
                <w:noProof/>
                <w:color w:val="000000"/>
                <w:sz w:val="20"/>
                <w:szCs w:val="20"/>
              </w:rPr>
              <w:footnoteReference w:id="48"/>
            </w: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AC</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END</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300"/>
          <w:jc w:val="center"/>
        </w:trPr>
        <w:tc>
          <w:tcPr>
            <w:tcW w:w="2466" w:type="dxa"/>
            <w:gridSpan w:val="2"/>
            <w:vMerge/>
            <w:tcBorders>
              <w:top w:val="single" w:sz="4" w:space="0" w:color="auto"/>
              <w:left w:val="single" w:sz="4" w:space="0" w:color="auto"/>
              <w:bottom w:val="single" w:sz="4" w:space="0" w:color="auto"/>
              <w:right w:val="single" w:sz="4" w:space="0" w:color="auto"/>
            </w:tcBorders>
            <w:vAlign w:val="center"/>
            <w:hideMark/>
          </w:tcPr>
          <w:p>
            <w:pPr>
              <w:rPr>
                <w:rFonts w:ascii="Arial Narrow" w:hAnsi="Arial Narrow"/>
                <w:noProof/>
                <w:color w:val="000000"/>
                <w:sz w:val="20"/>
                <w:szCs w:val="20"/>
              </w:rPr>
            </w:pP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INT</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870"/>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HR related (</w:t>
            </w:r>
            <w:r>
              <w:rPr>
                <w:rFonts w:ascii="Arial Narrow" w:hAnsi="Arial Narrow"/>
                <w:i/>
                <w:iCs/>
                <w:noProof/>
                <w:color w:val="000000"/>
                <w:sz w:val="20"/>
                <w:szCs w:val="20"/>
              </w:rPr>
              <w:t>specify</w:t>
            </w:r>
            <w:r>
              <w:rPr>
                <w:rFonts w:ascii="Arial Narrow" w:hAnsi="Arial Narrow"/>
                <w:noProof/>
                <w:color w:val="000000"/>
                <w:sz w:val="20"/>
                <w:szCs w:val="20"/>
              </w:rPr>
              <w:t>)</w:t>
            </w:r>
          </w:p>
        </w:tc>
        <w:tc>
          <w:tcPr>
            <w:tcW w:w="528"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nil"/>
              <w:left w:val="nil"/>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546"/>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HR – Outside HEADING 7</w:t>
            </w:r>
          </w:p>
        </w:tc>
        <w:tc>
          <w:tcPr>
            <w:tcW w:w="528"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18"/>
                <w:szCs w:val="18"/>
              </w:rPr>
            </w:pPr>
            <w:r>
              <w:rPr>
                <w:rFonts w:ascii="Arial Narrow" w:hAnsi="Arial Narrow"/>
                <w:noProof/>
                <w:color w:val="000000"/>
                <w:sz w:val="18"/>
                <w:szCs w:val="18"/>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r>
      <w:tr>
        <w:trPr>
          <w:trHeight w:val="628"/>
          <w:jc w:val="center"/>
        </w:trPr>
        <w:tc>
          <w:tcPr>
            <w:tcW w:w="2466" w:type="dxa"/>
            <w:gridSpan w:val="2"/>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b/>
                <w:bCs/>
                <w:noProof/>
                <w:color w:val="000000"/>
                <w:sz w:val="22"/>
              </w:rPr>
            </w:pPr>
            <w:r>
              <w:rPr>
                <w:rFonts w:ascii="Arial Narrow" w:hAnsi="Arial Narrow"/>
                <w:b/>
                <w:bCs/>
                <w:noProof/>
                <w:color w:val="000000"/>
                <w:sz w:val="22"/>
              </w:rPr>
              <w:t>Total HR (all MFF Headings)</w:t>
            </w:r>
          </w:p>
        </w:tc>
        <w:tc>
          <w:tcPr>
            <w:tcW w:w="528"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18"/>
                <w:szCs w:val="18"/>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464"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c>
          <w:tcPr>
            <w:tcW w:w="1063" w:type="dxa"/>
            <w:tcBorders>
              <w:top w:val="single" w:sz="4" w:space="0" w:color="auto"/>
              <w:left w:val="single" w:sz="4" w:space="0" w:color="auto"/>
              <w:bottom w:val="single" w:sz="4" w:space="0" w:color="auto"/>
              <w:right w:val="single" w:sz="4" w:space="0" w:color="auto"/>
            </w:tcBorders>
            <w:shd w:val="clear" w:color="auto" w:fill="FCFFFF"/>
            <w:vAlign w:val="center"/>
          </w:tcPr>
          <w:p>
            <w:pPr>
              <w:jc w:val="center"/>
              <w:rPr>
                <w:rFonts w:ascii="Arial Narrow" w:hAnsi="Arial Narrow"/>
                <w:noProof/>
                <w:color w:val="000000"/>
                <w:sz w:val="20"/>
                <w:szCs w:val="20"/>
              </w:rPr>
            </w:pPr>
          </w:p>
        </w:tc>
      </w:tr>
    </w:tbl>
    <w:p>
      <w:pPr>
        <w:keepNext/>
        <w:rPr>
          <w:noProof/>
          <w:sz w:val="28"/>
          <w:szCs w:val="28"/>
          <w:u w:val="single"/>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keepNext/>
        <w:spacing w:after="60"/>
        <w:ind w:left="540"/>
        <w:rPr>
          <w:noProof/>
        </w:rPr>
        <w:sectPr>
          <w:headerReference w:type="default" r:id="rId30"/>
          <w:footerReference w:type="default" r:id="rId31"/>
          <w:headerReference w:type="first" r:id="rId32"/>
          <w:footerReference w:type="first" r:id="rId33"/>
          <w:pgSz w:w="15840" w:h="12240" w:orient="landscape" w:code="1"/>
          <w:pgMar w:top="624" w:right="902" w:bottom="624" w:left="1191" w:header="709" w:footer="567" w:gutter="0"/>
          <w:cols w:space="708"/>
          <w:docGrid w:linePitch="360"/>
        </w:sectPr>
      </w:pPr>
    </w:p>
    <w:p>
      <w:pPr>
        <w:keepNext/>
        <w:rPr>
          <w:noProof/>
          <w:sz w:val="28"/>
          <w:szCs w:val="28"/>
          <w:u w:val="single"/>
        </w:rPr>
      </w:pPr>
      <w:r>
        <w:rPr>
          <w:noProof/>
          <w:sz w:val="27"/>
          <w:szCs w:val="27"/>
          <w:shd w:val="clear" w:color="auto" w:fill="FFFFFF"/>
        </w:rPr>
        <w:t>The human resources required are partially met by staff from the DG who have been redeployed within the DG, together with the request for additional allocation of 4 Contract staff, which may be granted to the managing DG under the annual allocation procedure and in the light of budgetary constraints.</w:t>
      </w:r>
    </w:p>
    <w:p>
      <w:pPr>
        <w:keepNext/>
        <w:rPr>
          <w:noProof/>
          <w:sz w:val="28"/>
          <w:szCs w:val="28"/>
          <w:u w:val="single"/>
        </w:rPr>
      </w:pPr>
    </w:p>
    <w:p>
      <w:pPr>
        <w:pStyle w:val="ManualHeading1"/>
        <w:rPr>
          <w:noProof/>
          <w:szCs w:val="28"/>
        </w:rPr>
      </w:pPr>
      <w:r>
        <w:rPr>
          <w:noProof/>
        </w:rPr>
        <w:t>2. Cost of other administrative expenditure</w:t>
      </w:r>
    </w:p>
    <w:p>
      <w:pPr>
        <w:pStyle w:val="Point1"/>
        <w:spacing w:after="0"/>
        <w:ind w:left="2263" w:hanging="284"/>
        <w:rPr>
          <w:noProof/>
        </w:rPr>
      </w:pPr>
      <w:r>
        <w:rPr>
          <w:noProof/>
        </w:rPr>
        <w:sym w:font="Wingdings" w:char="F0A8"/>
      </w:r>
      <w:r>
        <w:rPr>
          <w:noProof/>
        </w:rPr>
        <w:t xml:space="preserve"> The proposal/initiative does not require the use of administrative appropriations</w:t>
      </w:r>
    </w:p>
    <w:p>
      <w:pPr>
        <w:pStyle w:val="Text1"/>
        <w:spacing w:before="0" w:after="0"/>
        <w:ind w:left="2263" w:hanging="284"/>
        <w:rPr>
          <w:noProof/>
        </w:rPr>
      </w:pPr>
      <w:r>
        <w:rPr>
          <w:noProof/>
        </w:rPr>
        <w:t>x</w:t>
      </w:r>
      <w:r>
        <w:rPr>
          <w:noProof/>
        </w:rPr>
        <w:tab/>
        <w:t>The proposal/initiative requires the use of administrative appropriations, as explained below:</w:t>
      </w:r>
    </w:p>
    <w:p>
      <w:pPr>
        <w:tabs>
          <w:tab w:val="left" w:pos="870"/>
        </w:tabs>
        <w:rPr>
          <w:noProof/>
          <w:sz w:val="16"/>
          <w:szCs w:val="16"/>
        </w:rPr>
      </w:pPr>
    </w:p>
    <w:p>
      <w:pPr>
        <w:jc w:val="right"/>
        <w:rPr>
          <w:i/>
          <w:noProof/>
          <w:sz w:val="20"/>
          <w:szCs w:val="20"/>
        </w:rPr>
      </w:pPr>
      <w:r>
        <w:rPr>
          <w:i/>
          <w:noProof/>
          <w:sz w:val="20"/>
          <w:szCs w:val="20"/>
        </w:rPr>
        <w:t>EUR million (to three decimal places)</w:t>
      </w:r>
    </w:p>
    <w:tbl>
      <w:tblPr>
        <w:tblW w:w="14757" w:type="dxa"/>
        <w:jc w:val="center"/>
        <w:tblLook w:val="04A0" w:firstRow="1" w:lastRow="0" w:firstColumn="1" w:lastColumn="0" w:noHBand="0" w:noVBand="1"/>
      </w:tblPr>
      <w:tblGrid>
        <w:gridCol w:w="4410"/>
        <w:gridCol w:w="1275"/>
        <w:gridCol w:w="1276"/>
        <w:gridCol w:w="1276"/>
        <w:gridCol w:w="1417"/>
        <w:gridCol w:w="1276"/>
        <w:gridCol w:w="1276"/>
        <w:gridCol w:w="1276"/>
        <w:gridCol w:w="1275"/>
      </w:tblGrid>
      <w:tr>
        <w:trPr>
          <w:trHeight w:val="970"/>
          <w:jc w:val="center"/>
        </w:trPr>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jc w:val="center"/>
              <w:rPr>
                <w:rFonts w:ascii="Arial Narrow" w:hAnsi="Arial Narrow"/>
                <w:b/>
                <w:bCs/>
                <w:noProof/>
                <w:color w:val="000000"/>
                <w:sz w:val="22"/>
              </w:rPr>
            </w:pPr>
            <w:r>
              <w:rPr>
                <w:rFonts w:ascii="Arial Narrow" w:hAnsi="Arial Narrow"/>
                <w:b/>
                <w:bCs/>
                <w:noProof/>
                <w:color w:val="000000"/>
                <w:sz w:val="22"/>
              </w:rPr>
              <w:t>HEADING 7</w:t>
            </w:r>
          </w:p>
          <w:p>
            <w:pPr>
              <w:jc w:val="center"/>
              <w:rPr>
                <w:rFonts w:ascii="Arial Narrow" w:hAnsi="Arial Narrow"/>
                <w:i/>
                <w:iCs/>
                <w:noProof/>
                <w:color w:val="000000"/>
                <w:sz w:val="20"/>
                <w:szCs w:val="20"/>
              </w:rPr>
            </w:pPr>
            <w:r>
              <w:rPr>
                <w:rFonts w:ascii="Arial Narrow" w:hAnsi="Arial Narrow"/>
                <w:noProof/>
                <w:color w:val="000000"/>
                <w:sz w:val="22"/>
              </w:rPr>
              <w:t>of the multiannual financial framework</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2023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300"/>
          <w:jc w:val="center"/>
        </w:trPr>
        <w:tc>
          <w:tcPr>
            <w:tcW w:w="4410" w:type="dxa"/>
            <w:tcBorders>
              <w:top w:val="single" w:sz="4" w:space="0" w:color="auto"/>
              <w:left w:val="single" w:sz="4" w:space="0" w:color="auto"/>
              <w:bottom w:val="single" w:sz="4" w:space="0" w:color="auto"/>
              <w:right w:val="single" w:sz="4" w:space="0" w:color="auto"/>
            </w:tcBorders>
            <w:shd w:val="clear" w:color="auto" w:fill="EDFFED"/>
            <w:vAlign w:val="center"/>
            <w:hideMark/>
          </w:tcPr>
          <w:p>
            <w:pPr>
              <w:rPr>
                <w:rFonts w:ascii="Arial Narrow" w:hAnsi="Arial Narrow"/>
                <w:b/>
                <w:bCs/>
                <w:noProof/>
                <w:color w:val="008000"/>
                <w:sz w:val="20"/>
                <w:szCs w:val="20"/>
                <w:u w:val="single"/>
              </w:rPr>
            </w:pPr>
            <w:r>
              <w:rPr>
                <w:rFonts w:ascii="Arial Narrow" w:hAnsi="Arial Narrow"/>
                <w:b/>
                <w:bCs/>
                <w:noProof/>
                <w:color w:val="008000"/>
                <w:sz w:val="20"/>
                <w:szCs w:val="20"/>
                <w:u w:val="single"/>
              </w:rPr>
              <w:t>At headquarters or within EU territory:</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highlight w:val="yellow"/>
              </w:rPr>
            </w:pPr>
            <w:r>
              <w:rPr>
                <w:rFonts w:ascii="Arial Narrow" w:hAnsi="Arial Narrow"/>
                <w:noProof/>
                <w:color w:val="000000"/>
                <w:sz w:val="20"/>
                <w:szCs w:val="20"/>
              </w:rPr>
              <w:t>20 02 06 01 - Mission and representation expenses</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0.012</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0.012</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20 02 06 02 - Conference and meeting costs</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Calibri" w:hAnsi="Calibri"/>
                <w:noProof/>
                <w:color w:val="0000FF"/>
                <w:sz w:val="22"/>
                <w:u w:val="single"/>
              </w:rPr>
            </w:pPr>
            <w:r>
              <w:rPr>
                <w:rFonts w:ascii="Arial Narrow" w:hAnsi="Arial Narrow"/>
                <w:noProof/>
                <w:sz w:val="20"/>
                <w:szCs w:val="20"/>
              </w:rPr>
              <w:t>20 02 06 03 - Committees</w:t>
            </w:r>
            <w:r>
              <w:rPr>
                <w:rStyle w:val="FootnoteReference0"/>
                <w:rFonts w:ascii="Arial Narrow" w:hAnsi="Arial Narrow"/>
                <w:noProof/>
                <w:sz w:val="20"/>
                <w:szCs w:val="20"/>
              </w:rPr>
              <w:footnoteReference w:id="49"/>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20 02 06 04 Studies and consultations</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20 04 – IT expenditure (corporate)</w:t>
            </w:r>
            <w:r>
              <w:rPr>
                <w:rStyle w:val="FootnoteReference0"/>
                <w:rFonts w:ascii="Arial Narrow" w:hAnsi="Arial Narrow"/>
                <w:noProof/>
                <w:color w:val="000000"/>
                <w:sz w:val="20"/>
                <w:szCs w:val="20"/>
              </w:rPr>
              <w:footnoteReference w:id="50"/>
            </w:r>
            <w:r>
              <w:rPr>
                <w:rFonts w:ascii="Arial Narrow" w:hAnsi="Arial Narrow"/>
                <w:noProof/>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non-HR related (</w:t>
            </w:r>
            <w:r>
              <w:rPr>
                <w:rFonts w:ascii="Arial Narrow" w:hAnsi="Arial Narrow"/>
                <w:i/>
                <w:iCs/>
                <w:noProof/>
                <w:color w:val="000000"/>
                <w:sz w:val="20"/>
                <w:szCs w:val="20"/>
              </w:rPr>
              <w:t>specify where necessary</w:t>
            </w:r>
            <w:r>
              <w:rPr>
                <w:rFonts w:ascii="Arial Narrow" w:hAnsi="Arial Narrow"/>
                <w:noProof/>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EDFFED"/>
            <w:vAlign w:val="center"/>
            <w:hideMark/>
          </w:tcPr>
          <w:p>
            <w:pPr>
              <w:rPr>
                <w:rFonts w:ascii="Arial Narrow" w:hAnsi="Arial Narrow"/>
                <w:b/>
                <w:bCs/>
                <w:noProof/>
                <w:color w:val="008000"/>
                <w:sz w:val="20"/>
                <w:szCs w:val="20"/>
                <w:u w:val="single"/>
              </w:rPr>
            </w:pPr>
            <w:r>
              <w:rPr>
                <w:rFonts w:ascii="Arial Narrow" w:hAnsi="Arial Narrow"/>
                <w:b/>
                <w:bCs/>
                <w:noProof/>
                <w:color w:val="008000"/>
                <w:sz w:val="20"/>
                <w:szCs w:val="20"/>
                <w:u w:val="single"/>
              </w:rPr>
              <w:t>In Union delegations</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20 02 07 01 - Missions, conferences and representation expenses</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20 02 07 02 - Further training of staff</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20 03 05 – Infrastructure and logistics</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410"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non-HR related (</w:t>
            </w:r>
            <w:r>
              <w:rPr>
                <w:rFonts w:ascii="Arial Narrow" w:hAnsi="Arial Narrow"/>
                <w:i/>
                <w:iCs/>
                <w:noProof/>
                <w:color w:val="000000"/>
                <w:sz w:val="20"/>
                <w:szCs w:val="20"/>
              </w:rPr>
              <w:t>specify where necessary</w:t>
            </w:r>
            <w:r>
              <w:rPr>
                <w:rFonts w:ascii="Arial Narrow" w:hAnsi="Arial Narrow"/>
                <w:noProof/>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660"/>
          <w:jc w:val="center"/>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Other - 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xml:space="preserve"> 0.012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xml:space="preserve">0.012 </w:t>
            </w:r>
          </w:p>
        </w:tc>
      </w:tr>
    </w:tbl>
    <w:p>
      <w:pPr>
        <w:ind w:right="-496"/>
        <w:jc w:val="right"/>
        <w:rPr>
          <w:rFonts w:ascii="Arial Narrow" w:hAnsi="Arial Narrow"/>
          <w:i/>
          <w:iCs/>
          <w:noProof/>
          <w:sz w:val="20"/>
          <w:szCs w:val="20"/>
        </w:rPr>
      </w:pPr>
    </w:p>
    <w:p>
      <w:pPr>
        <w:pStyle w:val="Text2"/>
        <w:spacing w:before="0" w:after="0"/>
        <w:ind w:left="0"/>
        <w:jc w:val="center"/>
        <w:rPr>
          <w:noProof/>
          <w:sz w:val="18"/>
          <w:szCs w:val="18"/>
        </w:rPr>
      </w:pPr>
      <w:r>
        <w:rPr>
          <w:noProof/>
          <w:sz w:val="18"/>
          <w:szCs w:val="18"/>
        </w:rPr>
        <w:t>The administrative appropriations required will be met by the appropriations which are already assigned to management of the action and/or which have been redeployed, together if necessary with any additional allocation which may be granted to the managing DG under the annual allocation procedure and in the light of existing budgetary constraints.</w:t>
      </w:r>
    </w:p>
    <w:p>
      <w:pPr>
        <w:jc w:val="right"/>
        <w:rPr>
          <w:rFonts w:ascii="Arial Narrow" w:hAnsi="Arial Narrow"/>
          <w:i/>
          <w:noProof/>
          <w:sz w:val="20"/>
          <w:szCs w:val="20"/>
        </w:rPr>
      </w:pPr>
    </w:p>
    <w:p>
      <w:pPr>
        <w:ind w:right="-496"/>
        <w:rPr>
          <w:rFonts w:ascii="Arial Narrow" w:hAnsi="Arial Narrow"/>
          <w:b/>
          <w:noProof/>
          <w:color w:val="0000FF"/>
          <w:sz w:val="20"/>
          <w:szCs w:val="20"/>
        </w:rPr>
      </w:pPr>
    </w:p>
    <w:p>
      <w:pPr>
        <w:rPr>
          <w:rFonts w:ascii="Arial Narrow" w:hAnsi="Arial Narrow"/>
          <w:b/>
          <w:noProof/>
          <w:color w:val="0000FF"/>
          <w:sz w:val="20"/>
          <w:szCs w:val="20"/>
        </w:rPr>
      </w:pPr>
    </w:p>
    <w:p>
      <w:pPr>
        <w:ind w:right="-496"/>
        <w:jc w:val="right"/>
        <w:rPr>
          <w:i/>
          <w:iCs/>
          <w:noProof/>
          <w:sz w:val="20"/>
          <w:szCs w:val="20"/>
        </w:rPr>
      </w:pPr>
      <w:r>
        <w:rPr>
          <w:i/>
          <w:noProof/>
          <w:sz w:val="20"/>
          <w:szCs w:val="20"/>
        </w:rPr>
        <w:t>EUR million (to three decimal places)</w:t>
      </w:r>
    </w:p>
    <w:tbl>
      <w:tblPr>
        <w:tblW w:w="14670" w:type="dxa"/>
        <w:jc w:val="center"/>
        <w:tblLook w:val="04A0" w:firstRow="1" w:lastRow="0" w:firstColumn="1" w:lastColumn="0" w:noHBand="0" w:noVBand="1"/>
      </w:tblPr>
      <w:tblGrid>
        <w:gridCol w:w="4361"/>
        <w:gridCol w:w="1276"/>
        <w:gridCol w:w="1250"/>
        <w:gridCol w:w="1263"/>
        <w:gridCol w:w="1314"/>
        <w:gridCol w:w="1305"/>
        <w:gridCol w:w="1306"/>
        <w:gridCol w:w="1358"/>
        <w:gridCol w:w="1237"/>
      </w:tblGrid>
      <w:tr>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jc w:val="center"/>
              <w:rPr>
                <w:rFonts w:ascii="Arial Narrow" w:hAnsi="Arial Narrow"/>
                <w:noProof/>
                <w:color w:val="000000"/>
                <w:sz w:val="22"/>
              </w:rPr>
            </w:pPr>
            <w:r>
              <w:rPr>
                <w:rFonts w:ascii="Arial Narrow" w:hAnsi="Arial Narrow"/>
                <w:b/>
                <w:bCs/>
                <w:noProof/>
                <w:color w:val="000000"/>
                <w:sz w:val="22"/>
              </w:rPr>
              <w:t>Outside HEADING 7</w:t>
            </w:r>
            <w:r>
              <w:rPr>
                <w:rFonts w:ascii="Arial Narrow" w:hAnsi="Arial Narrow"/>
                <w:noProof/>
                <w:color w:val="000000"/>
                <w:sz w:val="22"/>
              </w:rPr>
              <w:t xml:space="preserve"> </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w:t>
            </w:r>
            <w:r>
              <w:rPr>
                <w:rStyle w:val="FootnoteReference0"/>
              </w:rPr>
              <w:footnoteReference w:id="51"/>
            </w:r>
          </w:p>
        </w:tc>
        <w:tc>
          <w:tcPr>
            <w:tcW w:w="1250"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N+1</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N+2</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N+3</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N+4</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N+5</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N+7</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trHeight w:val="765"/>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Expenditure on technical and administrative assistance (</w:t>
            </w:r>
            <w:r>
              <w:rPr>
                <w:rFonts w:ascii="Arial Narrow" w:hAnsi="Arial Narrow"/>
                <w:noProof/>
                <w:color w:val="000000"/>
                <w:sz w:val="20"/>
                <w:szCs w:val="20"/>
                <w:u w:val="single"/>
              </w:rPr>
              <w:t>not including</w:t>
            </w:r>
            <w:r>
              <w:rPr>
                <w:rFonts w:ascii="Arial Narrow" w:hAnsi="Arial Narrow"/>
                <w:noProof/>
                <w:color w:val="000000"/>
                <w:sz w:val="20"/>
                <w:szCs w:val="20"/>
              </w:rPr>
              <w:t xml:space="preserve"> external staff) from operational appropriations (former 'BA' lines):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ind w:firstLineChars="100" w:firstLine="200"/>
              <w:rPr>
                <w:rFonts w:ascii="Arial Narrow" w:hAnsi="Arial Narrow"/>
                <w:noProof/>
                <w:color w:val="000000"/>
                <w:sz w:val="20"/>
                <w:szCs w:val="20"/>
              </w:rPr>
            </w:pPr>
            <w:r>
              <w:rPr>
                <w:rFonts w:ascii="Arial Narrow" w:hAnsi="Arial Narrow"/>
                <w:noProof/>
                <w:color w:val="000000"/>
                <w:sz w:val="20"/>
                <w:szCs w:val="20"/>
              </w:rPr>
              <w:t>- at Headquarters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ind w:firstLineChars="100" w:firstLine="200"/>
              <w:rPr>
                <w:rFonts w:ascii="Arial Narrow" w:hAnsi="Arial Narrow"/>
                <w:noProof/>
                <w:color w:val="000000"/>
                <w:sz w:val="20"/>
                <w:szCs w:val="20"/>
              </w:rPr>
            </w:pPr>
            <w:r>
              <w:rPr>
                <w:rFonts w:ascii="Arial Narrow" w:hAnsi="Arial Narrow"/>
                <w:noProof/>
                <w:color w:val="000000"/>
                <w:sz w:val="20"/>
                <w:szCs w:val="20"/>
              </w:rPr>
              <w:t>- in Union delegations</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management expenditure for research</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pPr>
              <w:rPr>
                <w:rFonts w:ascii="Arial Narrow" w:hAnsi="Arial Narrow"/>
                <w:noProof/>
                <w:color w:val="000000"/>
                <w:sz w:val="20"/>
                <w:szCs w:val="20"/>
              </w:rPr>
            </w:pPr>
            <w:r>
              <w:rPr>
                <w:rFonts w:ascii="Arial Narrow" w:hAnsi="Arial Narrow"/>
                <w:noProof/>
                <w:color w:val="000000"/>
                <w:sz w:val="20"/>
                <w:szCs w:val="20"/>
              </w:rPr>
              <w:t>Policy IT expenditure on operational programmes</w:t>
            </w:r>
            <w:r>
              <w:rPr>
                <w:rStyle w:val="FootnoteReference0"/>
                <w:rFonts w:ascii="Arial Narrow" w:hAnsi="Arial Narrow"/>
                <w:noProof/>
                <w:color w:val="000000"/>
                <w:sz w:val="20"/>
                <w:szCs w:val="20"/>
              </w:rPr>
              <w:footnoteReference w:id="52"/>
            </w:r>
            <w:r>
              <w:rPr>
                <w:rFonts w:ascii="Arial Narrow" w:hAnsi="Arial Narrow"/>
                <w:noProof/>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63"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14"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5"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6"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58"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37"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b/>
                <w:bCs/>
                <w:noProof/>
                <w:color w:val="000000"/>
                <w:sz w:val="20"/>
                <w:szCs w:val="20"/>
              </w:rPr>
            </w:pP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tcPr>
          <w:p>
            <w:pPr>
              <w:rPr>
                <w:rFonts w:ascii="Arial Narrow" w:hAnsi="Arial Narrow"/>
                <w:noProof/>
                <w:color w:val="000000"/>
                <w:sz w:val="20"/>
                <w:szCs w:val="20"/>
              </w:rPr>
            </w:pPr>
            <w:r>
              <w:rPr>
                <w:rFonts w:ascii="Arial Narrow" w:hAnsi="Arial Narrow"/>
                <w:noProof/>
                <w:color w:val="000000"/>
                <w:sz w:val="20"/>
                <w:szCs w:val="20"/>
              </w:rPr>
              <w:t>Corporate IT expenditure on operational programmes</w:t>
            </w:r>
            <w:r>
              <w:rPr>
                <w:rStyle w:val="FootnoteReference0"/>
                <w:rFonts w:ascii="Arial Narrow" w:hAnsi="Arial Narrow"/>
                <w:noProof/>
                <w:color w:val="000000"/>
                <w:sz w:val="20"/>
                <w:szCs w:val="20"/>
              </w:rPr>
              <w:footnoteReference w:id="53"/>
            </w:r>
          </w:p>
        </w:tc>
        <w:tc>
          <w:tcPr>
            <w:tcW w:w="1276"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63"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14"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5"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6"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58"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37" w:type="dxa"/>
            <w:tcBorders>
              <w:top w:val="nil"/>
              <w:left w:val="nil"/>
              <w:bottom w:val="single" w:sz="4" w:space="0" w:color="auto"/>
              <w:right w:val="single" w:sz="4" w:space="0" w:color="auto"/>
            </w:tcBorders>
            <w:shd w:val="clear" w:color="auto" w:fill="auto"/>
            <w:vAlign w:val="center"/>
          </w:tcPr>
          <w:p>
            <w:pPr>
              <w:jc w:val="center"/>
              <w:rPr>
                <w:rFonts w:ascii="Arial Narrow" w:hAnsi="Arial Narrow"/>
                <w:b/>
                <w:bCs/>
                <w:noProof/>
                <w:color w:val="000000"/>
                <w:sz w:val="20"/>
                <w:szCs w:val="20"/>
              </w:rPr>
            </w:pPr>
          </w:p>
        </w:tc>
      </w:tr>
      <w:tr>
        <w:trPr>
          <w:trHeight w:val="300"/>
          <w:jc w:val="center"/>
        </w:trPr>
        <w:tc>
          <w:tcPr>
            <w:tcW w:w="4361"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Other budget lines non-HR related (</w:t>
            </w:r>
            <w:r>
              <w:rPr>
                <w:rFonts w:ascii="Arial Narrow" w:hAnsi="Arial Narrow"/>
                <w:i/>
                <w:iCs/>
                <w:noProof/>
                <w:color w:val="000000"/>
                <w:sz w:val="20"/>
                <w:szCs w:val="20"/>
              </w:rPr>
              <w:t>specify where necessary</w:t>
            </w:r>
            <w:r>
              <w:rPr>
                <w:rFonts w:ascii="Arial Narrow" w:hAnsi="Arial Narrow"/>
                <w:noProof/>
                <w:color w:val="00000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660"/>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Other – Outside HEADING 7</w:t>
            </w:r>
          </w:p>
          <w:p>
            <w:pPr>
              <w:jc w:val="center"/>
              <w:rPr>
                <w:rFonts w:ascii="Arial Narrow" w:hAnsi="Arial Narrow"/>
                <w:b/>
                <w:bCs/>
                <w:noProof/>
                <w:color w:val="000000"/>
                <w:sz w:val="22"/>
              </w:rPr>
            </w:pPr>
            <w:r>
              <w:rPr>
                <w:rFonts w:ascii="Arial Narrow" w:hAnsi="Arial Narrow"/>
                <w:noProof/>
                <w:color w:val="000000"/>
                <w:sz w:val="22"/>
              </w:rPr>
              <w:t>of the multiannual financial framework</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50"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3"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6"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8"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7"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trHeight w:val="814"/>
          <w:jc w:val="center"/>
        </w:trPr>
        <w:tc>
          <w:tcPr>
            <w:tcW w:w="4361"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b/>
                <w:bCs/>
                <w:noProof/>
                <w:color w:val="000000"/>
                <w:sz w:val="22"/>
              </w:rPr>
            </w:pPr>
            <w:r>
              <w:rPr>
                <w:rFonts w:ascii="Arial Narrow" w:hAnsi="Arial Narrow"/>
                <w:b/>
                <w:bCs/>
                <w:noProof/>
                <w:color w:val="000000"/>
                <w:sz w:val="22"/>
              </w:rPr>
              <w:t>Total Other admin expenditure (all MFFHeadings)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358"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Arial Narrow" w:hAnsi="Arial Narrow"/>
                <w:noProof/>
                <w:color w:val="000000"/>
                <w:sz w:val="20"/>
                <w:szCs w:val="20"/>
              </w:rPr>
            </w:pPr>
          </w:p>
        </w:tc>
      </w:tr>
    </w:tbl>
    <w:p>
      <w:pPr>
        <w:ind w:right="-496"/>
        <w:rPr>
          <w:rFonts w:ascii="Arial Narrow" w:hAnsi="Arial Narrow"/>
          <w:b/>
          <w:noProof/>
          <w:color w:val="0000FF"/>
          <w:sz w:val="20"/>
          <w:szCs w:val="20"/>
        </w:rPr>
      </w:pPr>
    </w:p>
    <w:p>
      <w:pPr>
        <w:ind w:right="-496"/>
        <w:rPr>
          <w:rFonts w:ascii="Arial Narrow" w:hAnsi="Arial Narrow"/>
          <w:b/>
          <w:noProof/>
          <w:color w:val="0000FF"/>
          <w:sz w:val="20"/>
          <w:szCs w:val="20"/>
        </w:rPr>
      </w:pPr>
    </w:p>
    <w:p>
      <w:pPr>
        <w:pStyle w:val="ManualHeading1"/>
        <w:rPr>
          <w:noProof/>
          <w:szCs w:val="28"/>
        </w:rPr>
      </w:pPr>
      <w:r>
        <w:rPr>
          <w:noProof/>
        </w:rPr>
        <w:t>3. Total administrative costs (all Headings MFF)</w:t>
      </w:r>
    </w:p>
    <w:p>
      <w:pPr>
        <w:ind w:right="-496"/>
        <w:rPr>
          <w:rFonts w:ascii="Arial Narrow" w:hAnsi="Arial Narrow"/>
          <w:b/>
          <w:noProof/>
          <w:color w:val="0000FF"/>
          <w:sz w:val="20"/>
          <w:szCs w:val="20"/>
        </w:rPr>
      </w:pPr>
    </w:p>
    <w:p>
      <w:pPr>
        <w:ind w:right="-496"/>
        <w:jc w:val="right"/>
        <w:rPr>
          <w:i/>
          <w:iCs/>
          <w:noProof/>
          <w:sz w:val="20"/>
          <w:szCs w:val="20"/>
        </w:rPr>
      </w:pPr>
      <w:r>
        <w:rPr>
          <w:i/>
          <w:noProof/>
          <w:sz w:val="20"/>
          <w:szCs w:val="20"/>
        </w:rPr>
        <w:t>EUR million (to three decimal places)</w:t>
      </w:r>
    </w:p>
    <w:tbl>
      <w:tblPr>
        <w:tblW w:w="14670" w:type="dxa"/>
        <w:jc w:val="center"/>
        <w:tblLook w:val="04A0" w:firstRow="1" w:lastRow="0" w:firstColumn="1" w:lastColumn="0" w:noHBand="0" w:noVBand="1"/>
      </w:tblPr>
      <w:tblGrid>
        <w:gridCol w:w="4346"/>
        <w:gridCol w:w="1273"/>
        <w:gridCol w:w="1247"/>
        <w:gridCol w:w="25"/>
        <w:gridCol w:w="1235"/>
        <w:gridCol w:w="38"/>
        <w:gridCol w:w="1273"/>
        <w:gridCol w:w="1273"/>
        <w:gridCol w:w="29"/>
        <w:gridCol w:w="1243"/>
        <w:gridCol w:w="60"/>
        <w:gridCol w:w="1355"/>
        <w:gridCol w:w="1234"/>
        <w:gridCol w:w="39"/>
      </w:tblGrid>
      <w:tr>
        <w:trPr>
          <w:gridAfter w:val="1"/>
          <w:wAfter w:w="39" w:type="dxa"/>
          <w:trHeight w:val="660"/>
          <w:jc w:val="center"/>
        </w:trPr>
        <w:tc>
          <w:tcPr>
            <w:tcW w:w="43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jc w:val="center"/>
              <w:rPr>
                <w:rFonts w:ascii="Arial Narrow" w:hAnsi="Arial Narrow"/>
                <w:b/>
                <w:bCs/>
                <w:noProof/>
                <w:color w:val="000000"/>
                <w:sz w:val="22"/>
              </w:rPr>
            </w:pPr>
            <w:r>
              <w:rPr>
                <w:rFonts w:ascii="Arial Narrow" w:hAnsi="Arial Narrow"/>
                <w:b/>
                <w:bCs/>
                <w:noProof/>
                <w:color w:val="000000"/>
                <w:sz w:val="22"/>
              </w:rPr>
              <w:t>Summary</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2021</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 xml:space="preserve">Year </w:t>
            </w:r>
            <w:r>
              <w:rPr>
                <w:b/>
                <w:bCs/>
                <w:noProof/>
                <w:sz w:val="16"/>
                <w:szCs w:val="16"/>
              </w:rPr>
              <w:t>2022</w:t>
            </w:r>
          </w:p>
        </w:tc>
        <w:tc>
          <w:tcPr>
            <w:tcW w:w="1260" w:type="dxa"/>
            <w:gridSpan w:val="2"/>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 xml:space="preserve">Year </w:t>
            </w:r>
            <w:r>
              <w:rPr>
                <w:b/>
                <w:bCs/>
                <w:noProof/>
                <w:sz w:val="16"/>
                <w:szCs w:val="16"/>
              </w:rPr>
              <w:t>2023</w:t>
            </w:r>
          </w:p>
        </w:tc>
        <w:tc>
          <w:tcPr>
            <w:tcW w:w="1311" w:type="dxa"/>
            <w:gridSpan w:val="2"/>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N+3</w:t>
            </w:r>
          </w:p>
        </w:tc>
        <w:tc>
          <w:tcPr>
            <w:tcW w:w="1302" w:type="dxa"/>
            <w:gridSpan w:val="2"/>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N+4</w:t>
            </w:r>
          </w:p>
        </w:tc>
        <w:tc>
          <w:tcPr>
            <w:tcW w:w="1303" w:type="dxa"/>
            <w:gridSpan w:val="2"/>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N+5</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FF"/>
                <w:sz w:val="20"/>
                <w:szCs w:val="20"/>
              </w:rPr>
            </w:pPr>
            <w:r>
              <w:rPr>
                <w:rFonts w:ascii="Arial Narrow" w:hAnsi="Arial Narrow"/>
                <w:b/>
                <w:bCs/>
                <w:noProof/>
                <w:color w:val="0000FF"/>
                <w:sz w:val="20"/>
                <w:szCs w:val="20"/>
                <w:lang w:val="fr-FR"/>
              </w:rPr>
              <w:t>Year N+7</w:t>
            </w:r>
          </w:p>
        </w:tc>
        <w:tc>
          <w:tcPr>
            <w:tcW w:w="1234" w:type="dxa"/>
            <w:tcBorders>
              <w:top w:val="single" w:sz="4" w:space="0" w:color="auto"/>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Total</w:t>
            </w:r>
          </w:p>
        </w:tc>
      </w:tr>
      <w:tr>
        <w:trPr>
          <w:gridAfter w:val="1"/>
          <w:wAfter w:w="39" w:type="dxa"/>
          <w:trHeight w:val="363"/>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Heading 7 - Human Resources</w:t>
            </w:r>
          </w:p>
        </w:tc>
        <w:tc>
          <w:tcPr>
            <w:tcW w:w="127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noProof/>
                <w:sz w:val="20"/>
                <w:szCs w:val="20"/>
              </w:rPr>
              <w:t>0,948</w:t>
            </w:r>
          </w:p>
        </w:tc>
        <w:tc>
          <w:tcPr>
            <w:tcW w:w="12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r>
              <w:rPr>
                <w:noProof/>
                <w:sz w:val="20"/>
                <w:szCs w:val="20"/>
              </w:rPr>
              <w:t>1,358</w:t>
            </w:r>
          </w:p>
        </w:tc>
        <w:tc>
          <w:tcPr>
            <w:tcW w:w="1260"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noProof/>
                <w:sz w:val="20"/>
                <w:szCs w:val="20"/>
              </w:rPr>
              <w:t>0,240</w:t>
            </w:r>
          </w:p>
        </w:tc>
        <w:tc>
          <w:tcPr>
            <w:tcW w:w="1311"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3"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4" w:type="dxa"/>
            <w:tcBorders>
              <w:top w:val="nil"/>
              <w:left w:val="nil"/>
              <w:bottom w:val="single" w:sz="4" w:space="0" w:color="auto"/>
              <w:right w:val="single" w:sz="4" w:space="0" w:color="auto"/>
            </w:tcBorders>
            <w:shd w:val="clear" w:color="auto" w:fill="auto"/>
            <w:vAlign w:val="center"/>
            <w:hideMark/>
          </w:tcPr>
          <w:p>
            <w:pPr>
              <w:jc w:val="center"/>
              <w:rPr>
                <w:rFonts w:eastAsiaTheme="minorEastAsia"/>
                <w:b/>
                <w:bCs/>
                <w:noProof/>
                <w:sz w:val="20"/>
                <w:szCs w:val="20"/>
              </w:rPr>
            </w:pPr>
            <w:r>
              <w:rPr>
                <w:rFonts w:eastAsiaTheme="minorEastAsia"/>
                <w:b/>
                <w:bCs/>
                <w:noProof/>
                <w:sz w:val="20"/>
                <w:szCs w:val="20"/>
              </w:rPr>
              <w:t>2,546</w:t>
            </w:r>
          </w:p>
        </w:tc>
      </w:tr>
      <w:tr>
        <w:trPr>
          <w:gridAfter w:val="1"/>
          <w:wAfter w:w="39" w:type="dxa"/>
          <w:trHeight w:val="300"/>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Heading 7 – Other administrative expenditure</w:t>
            </w:r>
          </w:p>
        </w:tc>
        <w:tc>
          <w:tcPr>
            <w:tcW w:w="127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noProof/>
                <w:sz w:val="16"/>
                <w:szCs w:val="16"/>
              </w:rPr>
              <w:t>0,012</w:t>
            </w:r>
            <w:r>
              <w:rPr>
                <w:rFonts w:ascii="Arial Narrow" w:hAnsi="Arial Narrow"/>
                <w:noProof/>
                <w:color w:val="000000"/>
                <w:sz w:val="20"/>
                <w:szCs w:val="20"/>
              </w:rPr>
              <w:t> </w:t>
            </w:r>
          </w:p>
        </w:tc>
        <w:tc>
          <w:tcPr>
            <w:tcW w:w="1260"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1"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3"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0.012</w:t>
            </w:r>
          </w:p>
        </w:tc>
      </w:tr>
      <w:tr>
        <w:trPr>
          <w:gridAfter w:val="1"/>
          <w:wAfter w:w="39" w:type="dxa"/>
          <w:trHeight w:val="401"/>
          <w:jc w:val="center"/>
        </w:trPr>
        <w:tc>
          <w:tcPr>
            <w:tcW w:w="4346" w:type="dxa"/>
            <w:tcBorders>
              <w:top w:val="single" w:sz="4" w:space="0" w:color="auto"/>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Heading 7</w:t>
            </w:r>
          </w:p>
        </w:tc>
        <w:tc>
          <w:tcPr>
            <w:tcW w:w="1273"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47"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1"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3"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4"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gridAfter w:val="1"/>
          <w:wAfter w:w="39" w:type="dxa"/>
          <w:trHeight w:val="363"/>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Outside Heading 7 – Human Resources</w:t>
            </w:r>
          </w:p>
        </w:tc>
        <w:tc>
          <w:tcPr>
            <w:tcW w:w="127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0"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1"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3"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gridAfter w:val="1"/>
          <w:wAfter w:w="39" w:type="dxa"/>
          <w:trHeight w:val="300"/>
          <w:jc w:val="center"/>
        </w:trPr>
        <w:tc>
          <w:tcPr>
            <w:tcW w:w="4346" w:type="dxa"/>
            <w:tcBorders>
              <w:top w:val="nil"/>
              <w:left w:val="single" w:sz="4" w:space="0" w:color="auto"/>
              <w:bottom w:val="single" w:sz="4" w:space="0" w:color="auto"/>
              <w:right w:val="single" w:sz="4" w:space="0" w:color="auto"/>
            </w:tcBorders>
            <w:shd w:val="clear" w:color="auto" w:fill="auto"/>
            <w:vAlign w:val="center"/>
            <w:hideMark/>
          </w:tcPr>
          <w:p>
            <w:pPr>
              <w:rPr>
                <w:rFonts w:ascii="Arial Narrow" w:hAnsi="Arial Narrow"/>
                <w:noProof/>
                <w:color w:val="000000"/>
                <w:sz w:val="20"/>
                <w:szCs w:val="20"/>
              </w:rPr>
            </w:pPr>
            <w:r>
              <w:rPr>
                <w:rFonts w:ascii="Arial Narrow" w:hAnsi="Arial Narrow"/>
                <w:noProof/>
                <w:color w:val="000000"/>
                <w:sz w:val="20"/>
                <w:szCs w:val="20"/>
              </w:rPr>
              <w:t>Outside Heading 7 – Other administrative expenditure</w:t>
            </w:r>
          </w:p>
        </w:tc>
        <w:tc>
          <w:tcPr>
            <w:tcW w:w="1273"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47"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0"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1"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3" w:type="dxa"/>
            <w:gridSpan w:val="2"/>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5"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4" w:type="dxa"/>
            <w:tcBorders>
              <w:top w:val="nil"/>
              <w:left w:val="nil"/>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rPr>
          <w:gridAfter w:val="1"/>
          <w:wAfter w:w="39" w:type="dxa"/>
          <w:trHeight w:val="431"/>
          <w:jc w:val="center"/>
        </w:trPr>
        <w:tc>
          <w:tcPr>
            <w:tcW w:w="4346" w:type="dxa"/>
            <w:tcBorders>
              <w:top w:val="single" w:sz="4" w:space="0" w:color="auto"/>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2"/>
              </w:rPr>
            </w:pPr>
            <w:r>
              <w:rPr>
                <w:rFonts w:ascii="Arial Narrow" w:hAnsi="Arial Narrow"/>
                <w:b/>
                <w:bCs/>
                <w:noProof/>
                <w:color w:val="000000"/>
                <w:sz w:val="22"/>
              </w:rPr>
              <w:t>Sub-total Other Headings</w:t>
            </w:r>
          </w:p>
        </w:tc>
        <w:tc>
          <w:tcPr>
            <w:tcW w:w="1273"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47"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11"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2"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03" w:type="dxa"/>
            <w:gridSpan w:val="2"/>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noProof/>
                <w:color w:val="000000"/>
                <w:sz w:val="20"/>
                <w:szCs w:val="20"/>
              </w:rPr>
            </w:pPr>
            <w:r>
              <w:rPr>
                <w:rFonts w:ascii="Arial Narrow" w:hAnsi="Arial Narrow"/>
                <w:noProof/>
                <w:color w:val="000000"/>
                <w:sz w:val="20"/>
                <w:szCs w:val="20"/>
              </w:rPr>
              <w:t> </w:t>
            </w:r>
          </w:p>
        </w:tc>
        <w:tc>
          <w:tcPr>
            <w:tcW w:w="1234" w:type="dxa"/>
            <w:tcBorders>
              <w:top w:val="nil"/>
              <w:left w:val="single" w:sz="4" w:space="0" w:color="auto"/>
              <w:bottom w:val="single" w:sz="4" w:space="0" w:color="auto"/>
              <w:right w:val="single" w:sz="4" w:space="0" w:color="auto"/>
            </w:tcBorders>
            <w:shd w:val="clear" w:color="auto" w:fill="auto"/>
            <w:vAlign w:val="center"/>
            <w:hideMark/>
          </w:tcPr>
          <w:p>
            <w:pPr>
              <w:jc w:val="center"/>
              <w:rPr>
                <w:rFonts w:ascii="Arial Narrow" w:hAnsi="Arial Narrow"/>
                <w:b/>
                <w:bCs/>
                <w:noProof/>
                <w:color w:val="000000"/>
                <w:sz w:val="20"/>
                <w:szCs w:val="20"/>
              </w:rPr>
            </w:pPr>
            <w:r>
              <w:rPr>
                <w:rFonts w:ascii="Arial Narrow" w:hAnsi="Arial Narrow"/>
                <w:b/>
                <w:bCs/>
                <w:noProof/>
                <w:color w:val="000000"/>
                <w:sz w:val="20"/>
                <w:szCs w:val="20"/>
              </w:rPr>
              <w:t> </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89"/>
          <w:jc w:val="center"/>
        </w:trPr>
        <w:tc>
          <w:tcPr>
            <w:tcW w:w="4346" w:type="dxa"/>
            <w:tcBorders>
              <w:top w:val="single" w:sz="12" w:space="0" w:color="auto"/>
              <w:left w:val="single" w:sz="6" w:space="0" w:color="auto"/>
              <w:bottom w:val="single" w:sz="6" w:space="0" w:color="auto"/>
              <w:right w:val="single" w:sz="6" w:space="0" w:color="auto"/>
            </w:tcBorders>
            <w:vAlign w:val="center"/>
          </w:tcPr>
          <w:p>
            <w:pPr>
              <w:pStyle w:val="Text1"/>
              <w:spacing w:after="0"/>
              <w:ind w:left="0"/>
              <w:jc w:val="center"/>
              <w:rPr>
                <w:rFonts w:ascii="Arial Narrow" w:hAnsi="Arial Narrow"/>
                <w:b/>
                <w:noProof/>
                <w:sz w:val="22"/>
              </w:rPr>
            </w:pPr>
            <w:r>
              <w:rPr>
                <w:rFonts w:ascii="Arial Narrow" w:hAnsi="Arial Narrow"/>
                <w:b/>
                <w:noProof/>
                <w:sz w:val="22"/>
              </w:rPr>
              <w:t>TOTAL</w:t>
            </w:r>
          </w:p>
          <w:p>
            <w:pPr>
              <w:pStyle w:val="Text1"/>
              <w:spacing w:before="0"/>
              <w:ind w:left="0"/>
              <w:jc w:val="center"/>
              <w:rPr>
                <w:rFonts w:ascii="Arial Narrow" w:hAnsi="Arial Narrow"/>
                <w:b/>
                <w:noProof/>
                <w:sz w:val="22"/>
              </w:rPr>
            </w:pPr>
            <w:r>
              <w:rPr>
                <w:rFonts w:ascii="Arial Narrow" w:hAnsi="Arial Narrow"/>
                <w:b/>
                <w:noProof/>
                <w:sz w:val="22"/>
              </w:rPr>
              <w:t>HEADING 7 and Outside HEADING 7</w:t>
            </w:r>
          </w:p>
        </w:tc>
        <w:tc>
          <w:tcPr>
            <w:tcW w:w="1273" w:type="dxa"/>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r>
              <w:rPr>
                <w:noProof/>
                <w:sz w:val="16"/>
                <w:szCs w:val="16"/>
              </w:rPr>
              <w:t>0,948</w:t>
            </w:r>
          </w:p>
        </w:tc>
        <w:tc>
          <w:tcPr>
            <w:tcW w:w="1272" w:type="dxa"/>
            <w:gridSpan w:val="2"/>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r>
              <w:rPr>
                <w:noProof/>
                <w:sz w:val="16"/>
                <w:szCs w:val="16"/>
              </w:rPr>
              <w:t>1,370</w:t>
            </w:r>
          </w:p>
        </w:tc>
        <w:tc>
          <w:tcPr>
            <w:tcW w:w="1273" w:type="dxa"/>
            <w:gridSpan w:val="2"/>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r>
              <w:rPr>
                <w:noProof/>
                <w:sz w:val="16"/>
                <w:szCs w:val="16"/>
              </w:rPr>
              <w:t>0,240</w:t>
            </w:r>
          </w:p>
        </w:tc>
        <w:tc>
          <w:tcPr>
            <w:tcW w:w="1273" w:type="dxa"/>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p>
        </w:tc>
        <w:tc>
          <w:tcPr>
            <w:tcW w:w="1273" w:type="dxa"/>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p>
        </w:tc>
        <w:tc>
          <w:tcPr>
            <w:tcW w:w="1272" w:type="dxa"/>
            <w:gridSpan w:val="2"/>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p>
        </w:tc>
        <w:tc>
          <w:tcPr>
            <w:tcW w:w="1415" w:type="dxa"/>
            <w:gridSpan w:val="2"/>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noProof/>
                <w:sz w:val="20"/>
                <w:szCs w:val="20"/>
              </w:rPr>
            </w:pPr>
          </w:p>
        </w:tc>
        <w:tc>
          <w:tcPr>
            <w:tcW w:w="1273" w:type="dxa"/>
            <w:gridSpan w:val="2"/>
            <w:tcBorders>
              <w:top w:val="single" w:sz="12" w:space="0" w:color="auto"/>
              <w:left w:val="single" w:sz="6" w:space="0" w:color="auto"/>
              <w:bottom w:val="single" w:sz="6" w:space="0" w:color="auto"/>
              <w:right w:val="single" w:sz="6" w:space="0" w:color="auto"/>
            </w:tcBorders>
            <w:vAlign w:val="center"/>
          </w:tcPr>
          <w:p>
            <w:pPr>
              <w:jc w:val="center"/>
              <w:rPr>
                <w:rFonts w:ascii="Arial Narrow" w:hAnsi="Arial Narrow"/>
                <w:b/>
                <w:bCs/>
                <w:noProof/>
                <w:sz w:val="20"/>
                <w:szCs w:val="20"/>
              </w:rPr>
            </w:pPr>
            <w:r>
              <w:rPr>
                <w:b/>
                <w:bCs/>
                <w:noProof/>
                <w:sz w:val="20"/>
                <w:szCs w:val="20"/>
              </w:rPr>
              <w:t>2,558</w:t>
            </w:r>
          </w:p>
        </w:tc>
      </w:tr>
    </w:tbl>
    <w:p>
      <w:pPr>
        <w:ind w:right="-496"/>
        <w:jc w:val="right"/>
        <w:rPr>
          <w:rFonts w:ascii="Arial Narrow" w:hAnsi="Arial Narrow"/>
          <w:i/>
          <w:iCs/>
          <w:noProof/>
          <w:sz w:val="20"/>
          <w:szCs w:val="20"/>
        </w:rPr>
      </w:pPr>
    </w:p>
    <w:p>
      <w:pPr>
        <w:pStyle w:val="Text2"/>
        <w:spacing w:before="0" w:after="0"/>
        <w:ind w:left="0"/>
        <w:jc w:val="center"/>
        <w:rPr>
          <w:iCs/>
          <w:noProof/>
          <w:sz w:val="18"/>
          <w:szCs w:val="18"/>
        </w:rPr>
      </w:pPr>
      <w:r>
        <w:rPr>
          <w:noProof/>
          <w:sz w:val="18"/>
        </w:rPr>
        <w:t>The administrative appropriations required will be met by the appropriations which are already assigned to management of the action and/or which have been redeployed, together if necessary with any additional allocation which may be granted to the managing DG under the annual allocation procedure and in the light of existing budgetary constraints.</w:t>
      </w:r>
    </w:p>
    <w:p>
      <w:pPr>
        <w:keepNext/>
        <w:spacing w:before="240" w:after="0"/>
        <w:ind w:left="357"/>
        <w:rPr>
          <w:noProof/>
        </w:rPr>
        <w:sectPr>
          <w:pgSz w:w="15840" w:h="12240" w:orient="landscape" w:code="1"/>
          <w:pgMar w:top="1418" w:right="1247" w:bottom="1418" w:left="1247" w:header="709" w:footer="709" w:gutter="0"/>
          <w:cols w:space="708"/>
          <w:docGrid w:linePitch="360"/>
        </w:sectPr>
      </w:pPr>
    </w:p>
    <w:p>
      <w:pPr>
        <w:pStyle w:val="ManualHeading1"/>
        <w:rPr>
          <w:noProof/>
        </w:rPr>
      </w:pPr>
      <w:r>
        <w:rPr>
          <w:noProof/>
        </w:rPr>
        <w:t>4. Methods of calculation used to estimate costs</w:t>
      </w:r>
    </w:p>
    <w:p>
      <w:pPr>
        <w:pStyle w:val="ManualHeading2"/>
        <w:rPr>
          <w:noProof/>
          <w:szCs w:val="28"/>
        </w:rPr>
      </w:pPr>
      <w:r>
        <w:rPr>
          <w:noProof/>
        </w:rPr>
        <w:t>4.1.  Human resources</w:t>
      </w:r>
    </w:p>
    <w:p>
      <w:pPr>
        <w:ind w:left="-357" w:firstLine="902"/>
        <w:rPr>
          <w:noProof/>
          <w:sz w:val="20"/>
          <w:szCs w:val="20"/>
        </w:rPr>
      </w:pPr>
    </w:p>
    <w:p>
      <w:pPr>
        <w:spacing w:after="60"/>
        <w:jc w:val="center"/>
        <w:rPr>
          <w:i/>
          <w:noProof/>
          <w:sz w:val="20"/>
          <w:szCs w:val="20"/>
        </w:rPr>
      </w:pPr>
      <w:r>
        <w:rPr>
          <w:i/>
          <w:noProof/>
          <w:sz w:val="20"/>
        </w:rPr>
        <w:t>This part sets out the method of calculation used to estimate the human resources considered necessary (workload assumptions, including specific jobs (Sysper 2 work profiles), staff categories and the corresponding average costs)</w:t>
      </w:r>
    </w:p>
    <w:p>
      <w:pPr>
        <w:spacing w:after="60"/>
        <w:ind w:left="540"/>
        <w:jc w:val="center"/>
        <w:rPr>
          <w:i/>
          <w:noProof/>
          <w:sz w:val="20"/>
          <w:szCs w:val="20"/>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trPr>
          <w:jc w:val="center"/>
        </w:trPr>
        <w:tc>
          <w:tcPr>
            <w:tcW w:w="12474"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HEADING 7</w:t>
            </w:r>
            <w:r>
              <w:rPr>
                <w:rFonts w:ascii="Arial Narrow" w:hAnsi="Arial Narrow"/>
                <w:noProof/>
                <w:sz w:val="22"/>
              </w:rPr>
              <w:t xml:space="preserve"> of the multiannual financial framework</w:t>
            </w:r>
          </w:p>
        </w:tc>
      </w:tr>
      <w:tr>
        <w:trPr>
          <w:jc w:val="center"/>
        </w:trPr>
        <w:tc>
          <w:tcPr>
            <w:tcW w:w="12474" w:type="dxa"/>
          </w:tcPr>
          <w:p>
            <w:pPr>
              <w:pStyle w:val="Text2"/>
              <w:spacing w:before="20" w:after="20"/>
              <w:ind w:left="0"/>
              <w:jc w:val="center"/>
              <w:rPr>
                <w:rFonts w:ascii="Arial Narrow" w:hAnsi="Arial Narrow"/>
                <w:noProof/>
                <w:sz w:val="18"/>
                <w:szCs w:val="18"/>
              </w:rPr>
            </w:pPr>
            <w:r>
              <w:rPr>
                <w:rFonts w:ascii="Arial Narrow" w:hAnsi="Arial Narrow"/>
                <w:noProof/>
                <w:sz w:val="18"/>
                <w:u w:val="single"/>
              </w:rPr>
              <w:t>NB:</w:t>
            </w:r>
            <w:r>
              <w:rPr>
                <w:rFonts w:ascii="Arial Narrow" w:hAnsi="Arial Narrow"/>
                <w:noProof/>
                <w:sz w:val="18"/>
              </w:rPr>
              <w:t xml:space="preserve"> The average costs for each category of staff at Headquarters are available on BudgWeb:</w:t>
            </w:r>
          </w:p>
          <w:p>
            <w:pPr>
              <w:pStyle w:val="Text2"/>
              <w:spacing w:before="0" w:after="20"/>
              <w:ind w:left="0"/>
              <w:jc w:val="center"/>
              <w:rPr>
                <w:rFonts w:ascii="Arial Narrow" w:hAnsi="Arial Narrow"/>
                <w:noProof/>
                <w:sz w:val="18"/>
                <w:szCs w:val="18"/>
              </w:rPr>
            </w:pPr>
            <w:hyperlink r:id="rId34" w:history="1">
              <w:r>
                <w:rPr>
                  <w:rStyle w:val="Hyperlink"/>
                  <w:rFonts w:ascii="Arial Narrow" w:hAnsi="Arial Narrow"/>
                  <w:noProof/>
                  <w:sz w:val="18"/>
                  <w:szCs w:val="18"/>
                </w:rPr>
                <w:t>https://myintracomm.ec.europa.eu/budgweb/EN/pre/legalbasis/Pages/pre-040-020_preparation.aspx</w:t>
              </w:r>
            </w:hyperlink>
          </w:p>
        </w:tc>
      </w:tr>
      <w:tr>
        <w:trPr>
          <w:jc w:val="center"/>
        </w:trPr>
        <w:tc>
          <w:tcPr>
            <w:tcW w:w="12474" w:type="dxa"/>
          </w:tcPr>
          <w:p>
            <w:pPr>
              <w:pStyle w:val="Text2"/>
              <w:spacing w:before="40" w:after="0"/>
              <w:ind w:left="0"/>
              <w:jc w:val="left"/>
              <w:rPr>
                <w:rFonts w:ascii="Arial Narrow" w:hAnsi="Arial Narrow"/>
                <w:bCs/>
                <w:iCs/>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Officials and temporary staff</w:t>
            </w:r>
          </w:p>
          <w:p>
            <w:pPr>
              <w:pStyle w:val="Normal1"/>
              <w:shd w:val="clear" w:color="auto" w:fill="FFFFFF" w:themeFill="background1"/>
              <w:spacing w:before="0" w:beforeAutospacing="0" w:after="0" w:afterAutospacing="0"/>
              <w:jc w:val="both"/>
              <w:rPr>
                <w:noProof/>
                <w:color w:val="444444"/>
              </w:rPr>
            </w:pPr>
          </w:p>
          <w:p>
            <w:pPr>
              <w:pStyle w:val="Normal1"/>
              <w:shd w:val="clear" w:color="auto" w:fill="FFFFFF" w:themeFill="background1"/>
              <w:spacing w:before="0" w:beforeAutospacing="0" w:after="0" w:afterAutospacing="0"/>
              <w:jc w:val="both"/>
              <w:rPr>
                <w:noProof/>
              </w:rPr>
            </w:pPr>
            <w:r>
              <w:rPr>
                <w:noProof/>
              </w:rPr>
              <w:t>3.00 FTE in 2021 for the preparation of the Year</w:t>
            </w:r>
          </w:p>
          <w:p>
            <w:pPr>
              <w:pStyle w:val="Normal1"/>
              <w:shd w:val="clear" w:color="auto" w:fill="FFFFFF" w:themeFill="background1"/>
              <w:spacing w:before="0" w:beforeAutospacing="0" w:after="0" w:afterAutospacing="0"/>
              <w:jc w:val="both"/>
              <w:rPr>
                <w:noProof/>
                <w:highlight w:val="yellow"/>
              </w:rPr>
            </w:pPr>
          </w:p>
          <w:p>
            <w:pPr>
              <w:pStyle w:val="Normal1"/>
              <w:shd w:val="clear" w:color="auto" w:fill="FFFFFF" w:themeFill="background1"/>
              <w:spacing w:before="0" w:beforeAutospacing="0" w:after="0" w:afterAutospacing="0"/>
              <w:jc w:val="both"/>
              <w:rPr>
                <w:noProof/>
              </w:rPr>
            </w:pPr>
            <w:r>
              <w:rPr>
                <w:noProof/>
              </w:rPr>
              <w:t xml:space="preserve">3 FTE in 2022 for the coordination of the activities </w:t>
            </w:r>
          </w:p>
          <w:p>
            <w:pPr>
              <w:pStyle w:val="Normal1"/>
              <w:shd w:val="clear" w:color="auto" w:fill="FFFFFF" w:themeFill="background1"/>
              <w:spacing w:before="0" w:beforeAutospacing="0" w:after="0" w:afterAutospacing="0"/>
              <w:jc w:val="both"/>
              <w:rPr>
                <w:noProof/>
              </w:rPr>
            </w:pPr>
          </w:p>
          <w:p>
            <w:pPr>
              <w:pStyle w:val="Normal1"/>
              <w:shd w:val="clear" w:color="auto" w:fill="FFFFFF" w:themeFill="background1"/>
              <w:spacing w:before="0" w:beforeAutospacing="0" w:after="0" w:afterAutospacing="0"/>
              <w:jc w:val="both"/>
              <w:rPr>
                <w:noProof/>
              </w:rPr>
            </w:pPr>
            <w:r>
              <w:rPr>
                <w:noProof/>
              </w:rPr>
              <w:t>0.5 FTE in 2023 for final reporting</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r>
        <w:trPr>
          <w:jc w:val="center"/>
        </w:trPr>
        <w:tc>
          <w:tcPr>
            <w:tcW w:w="12474" w:type="dxa"/>
            <w:tcBorders>
              <w:bottom w:val="single" w:sz="4" w:space="0" w:color="auto"/>
            </w:tcBorders>
          </w:tcPr>
          <w:p>
            <w:pPr>
              <w:pStyle w:val="Text2"/>
              <w:spacing w:before="40" w:after="0"/>
              <w:ind w:left="0"/>
              <w:jc w:val="left"/>
              <w:rPr>
                <w:rFonts w:ascii="Arial Narrow" w:hAnsi="Arial Narrow"/>
                <w:noProof/>
                <w:sz w:val="22"/>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External staff</w:t>
            </w:r>
          </w:p>
          <w:p>
            <w:pPr>
              <w:pStyle w:val="Text2"/>
              <w:spacing w:before="40" w:after="0"/>
              <w:ind w:left="0"/>
              <w:jc w:val="left"/>
              <w:rPr>
                <w:rFonts w:ascii="Arial Narrow" w:hAnsi="Arial Narrow"/>
                <w:noProof/>
                <w:sz w:val="22"/>
              </w:rPr>
            </w:pPr>
          </w:p>
          <w:p>
            <w:pPr>
              <w:pStyle w:val="Text2"/>
              <w:spacing w:before="40" w:after="0"/>
              <w:ind w:left="0"/>
              <w:jc w:val="left"/>
              <w:rPr>
                <w:noProof/>
              </w:rPr>
            </w:pPr>
            <w:r>
              <w:rPr>
                <w:noProof/>
              </w:rPr>
              <w:t xml:space="preserve">3 CAs and 3 interimaires to prepare the Year in a period of 3-4 months </w:t>
            </w:r>
          </w:p>
          <w:p>
            <w:pPr>
              <w:pStyle w:val="Text2"/>
              <w:spacing w:before="0" w:after="0"/>
              <w:ind w:left="0"/>
              <w:rPr>
                <w:noProof/>
              </w:rPr>
            </w:pPr>
            <w:r>
              <w:rPr>
                <w:noProof/>
              </w:rPr>
              <w:t xml:space="preserve"> </w:t>
            </w:r>
          </w:p>
          <w:p>
            <w:pPr>
              <w:pStyle w:val="Text2"/>
              <w:spacing w:before="0" w:after="0"/>
              <w:ind w:left="0"/>
              <w:rPr>
                <w:noProof/>
              </w:rPr>
            </w:pPr>
            <w:r>
              <w:rPr>
                <w:noProof/>
              </w:rPr>
              <w:t>8 CAs in 2022 and 3 interimaires to carry out all the activities and links with DGs and stakeholders</w:t>
            </w:r>
          </w:p>
          <w:p>
            <w:pPr>
              <w:pStyle w:val="Text2"/>
              <w:spacing w:before="0" w:after="0"/>
              <w:ind w:left="0"/>
              <w:rPr>
                <w:noProof/>
              </w:rPr>
            </w:pPr>
          </w:p>
          <w:p>
            <w:pPr>
              <w:pStyle w:val="Text2"/>
              <w:spacing w:before="0" w:after="0"/>
              <w:ind w:left="0"/>
              <w:rPr>
                <w:noProof/>
              </w:rPr>
            </w:pPr>
            <w:r>
              <w:rPr>
                <w:noProof/>
              </w:rPr>
              <w:t xml:space="preserve">2 CAs in 2023 to help out with the final reporting and conclusion of activities </w:t>
            </w:r>
          </w:p>
          <w:p>
            <w:pPr>
              <w:pStyle w:val="Text2"/>
              <w:spacing w:before="60" w:after="0"/>
              <w:ind w:left="0"/>
              <w:rPr>
                <w:rFonts w:ascii="Arial Narrow" w:hAnsi="Arial Narrow"/>
                <w:noProof/>
                <w:sz w:val="18"/>
                <w:szCs w:val="18"/>
                <w:u w:val="single"/>
              </w:rPr>
            </w:pPr>
          </w:p>
        </w:tc>
      </w:tr>
    </w:tbl>
    <w:p>
      <w:pPr>
        <w:rPr>
          <w:rFonts w:ascii="Arial Narrow" w:hAnsi="Arial Narrow"/>
          <w:noProof/>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trPr>
          <w:jc w:val="center"/>
        </w:trPr>
        <w:tc>
          <w:tcPr>
            <w:tcW w:w="12474"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Outside HEADING 7</w:t>
            </w:r>
            <w:r>
              <w:rPr>
                <w:rFonts w:ascii="Arial Narrow" w:hAnsi="Arial Narrow"/>
                <w:noProof/>
                <w:sz w:val="22"/>
              </w:rPr>
              <w:t xml:space="preserve"> of the multiannual financial framework</w:t>
            </w:r>
          </w:p>
        </w:tc>
      </w:tr>
      <w:tr>
        <w:trPr>
          <w:jc w:val="center"/>
        </w:trPr>
        <w:tc>
          <w:tcPr>
            <w:tcW w:w="12474" w:type="dxa"/>
          </w:tcPr>
          <w:p>
            <w:pPr>
              <w:pStyle w:val="Text2"/>
              <w:spacing w:before="40" w:after="0"/>
              <w:ind w:left="0"/>
              <w:jc w:val="left"/>
              <w:rPr>
                <w:rFonts w:ascii="Arial Narrow" w:hAnsi="Arial Narrow"/>
                <w:bCs/>
                <w:iCs/>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rPr>
              <w:t>Only posts financed from the research budget</w:t>
            </w:r>
            <w:r>
              <w:rPr>
                <w:rFonts w:ascii="Arial Narrow" w:hAnsi="Arial Narrow"/>
                <w:noProof/>
                <w:sz w:val="22"/>
              </w:rPr>
              <w:t xml:space="preserve"> </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r>
        <w:trPr>
          <w:jc w:val="center"/>
        </w:trPr>
        <w:tc>
          <w:tcPr>
            <w:tcW w:w="12474" w:type="dxa"/>
            <w:tcBorders>
              <w:bottom w:val="single" w:sz="4" w:space="0" w:color="auto"/>
            </w:tcBorders>
          </w:tcPr>
          <w:p>
            <w:pPr>
              <w:pStyle w:val="Text2"/>
              <w:spacing w:before="40" w:after="0"/>
              <w:ind w:left="0"/>
              <w:jc w:val="left"/>
              <w:rPr>
                <w:rFonts w:ascii="Arial Narrow" w:hAnsi="Arial Narrow"/>
                <w:noProof/>
                <w:sz w:val="20"/>
                <w:szCs w:val="20"/>
              </w:rPr>
            </w:pPr>
            <w:r>
              <w:rPr>
                <w:rFonts w:ascii="Arial Narrow" w:hAnsi="Arial Narrow"/>
                <w:b/>
                <w:noProof/>
              </w:rPr>
              <w:sym w:font="Wingdings" w:char="F09F"/>
            </w:r>
            <w:r>
              <w:rPr>
                <w:rFonts w:ascii="Arial Narrow" w:hAnsi="Arial Narrow"/>
                <w:b/>
                <w:noProof/>
              </w:rPr>
              <w:t xml:space="preserve"> </w:t>
            </w:r>
            <w:r>
              <w:rPr>
                <w:rFonts w:ascii="Arial Narrow" w:hAnsi="Arial Narrow"/>
                <w:noProof/>
                <w:sz w:val="22"/>
              </w:rPr>
              <w:t>External staff</w:t>
            </w: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bl>
    <w:p>
      <w:pPr>
        <w:spacing w:before="60"/>
        <w:ind w:left="-360" w:firstLine="900"/>
        <w:rPr>
          <w:noProof/>
          <w:sz w:val="20"/>
          <w:szCs w:val="20"/>
        </w:rPr>
      </w:pPr>
    </w:p>
    <w:p>
      <w:pPr>
        <w:pStyle w:val="ManualHeading2"/>
        <w:rPr>
          <w:noProof/>
          <w:szCs w:val="28"/>
        </w:rPr>
      </w:pPr>
      <w:r>
        <w:rPr>
          <w:noProof/>
        </w:rPr>
        <w:t>4.2. Other administrative expenditure</w:t>
      </w:r>
    </w:p>
    <w:p>
      <w:pPr>
        <w:ind w:left="-357" w:firstLine="902"/>
        <w:rPr>
          <w:noProof/>
          <w:sz w:val="20"/>
          <w:szCs w:val="20"/>
        </w:rPr>
      </w:pPr>
    </w:p>
    <w:p>
      <w:pPr>
        <w:spacing w:before="60"/>
        <w:ind w:left="539"/>
        <w:jc w:val="center"/>
        <w:rPr>
          <w:i/>
          <w:noProof/>
          <w:sz w:val="20"/>
          <w:szCs w:val="20"/>
        </w:rPr>
      </w:pPr>
      <w:r>
        <w:rPr>
          <w:i/>
          <w:noProof/>
          <w:sz w:val="20"/>
        </w:rPr>
        <w:t xml:space="preserve">Give details of the method of calculation used for each budget line </w:t>
      </w:r>
    </w:p>
    <w:p>
      <w:pPr>
        <w:spacing w:after="60"/>
        <w:ind w:left="539"/>
        <w:jc w:val="center"/>
        <w:rPr>
          <w:i/>
          <w:noProof/>
          <w:sz w:val="20"/>
          <w:szCs w:val="20"/>
        </w:rPr>
      </w:pPr>
      <w:r>
        <w:rPr>
          <w:i/>
          <w:noProof/>
          <w:sz w:val="20"/>
        </w:rPr>
        <w:t>and in particular the underlying assumptions (e.g. number of meetings per year, average costs, etc.)</w:t>
      </w: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8"/>
      </w:tblGrid>
      <w:tr>
        <w:trPr>
          <w:jc w:val="center"/>
        </w:trPr>
        <w:tc>
          <w:tcPr>
            <w:tcW w:w="9537"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HEADING 7</w:t>
            </w:r>
            <w:r>
              <w:rPr>
                <w:rFonts w:ascii="Arial Narrow" w:hAnsi="Arial Narrow"/>
                <w:noProof/>
                <w:sz w:val="22"/>
              </w:rPr>
              <w:t xml:space="preserve"> of the multiannual financial framework</w:t>
            </w:r>
          </w:p>
        </w:tc>
      </w:tr>
      <w:tr>
        <w:trPr>
          <w:jc w:val="center"/>
        </w:trPr>
        <w:tc>
          <w:tcPr>
            <w:tcW w:w="9537" w:type="dxa"/>
            <w:tcBorders>
              <w:bottom w:val="single" w:sz="4" w:space="0" w:color="auto"/>
            </w:tcBorders>
          </w:tcPr>
          <w:p>
            <w:pPr>
              <w:pStyle w:val="Text2"/>
              <w:spacing w:before="0" w:after="0"/>
              <w:ind w:left="0"/>
              <w:rPr>
                <w:rFonts w:ascii="Arial Narrow" w:hAnsi="Arial Narrow"/>
                <w:noProof/>
                <w:sz w:val="22"/>
                <w:u w:val="single"/>
              </w:rPr>
            </w:pPr>
          </w:p>
          <w:p>
            <w:pPr>
              <w:pStyle w:val="Text2"/>
              <w:spacing w:before="0" w:after="0"/>
              <w:ind w:left="0"/>
              <w:rPr>
                <w:rFonts w:ascii="Arial Narrow" w:hAnsi="Arial Narrow"/>
                <w:noProof/>
                <w:sz w:val="22"/>
                <w:u w:val="single"/>
              </w:rPr>
            </w:pPr>
            <w:r>
              <w:rPr>
                <w:rFonts w:ascii="Arial Narrow" w:hAnsi="Arial Narrow"/>
                <w:noProof/>
                <w:sz w:val="22"/>
              </w:rPr>
              <w:t>Around</w:t>
            </w:r>
            <w:r>
              <w:rPr>
                <w:rFonts w:ascii="Arial Narrow" w:hAnsi="Arial Narrow"/>
                <w:noProof/>
                <w:sz w:val="22"/>
                <w:u w:val="single"/>
              </w:rPr>
              <w:t xml:space="preserve"> 10 mission in Member States in 2022 </w:t>
            </w:r>
          </w:p>
          <w:p>
            <w:pPr>
              <w:pStyle w:val="Text2"/>
              <w:spacing w:before="0" w:after="0"/>
              <w:ind w:left="0"/>
              <w:rPr>
                <w:rFonts w:ascii="Arial Narrow" w:hAnsi="Arial Narrow"/>
                <w:noProof/>
                <w:sz w:val="22"/>
                <w:u w:val="single"/>
              </w:rPr>
            </w:pPr>
          </w:p>
          <w:p>
            <w:pPr>
              <w:pStyle w:val="Text2"/>
              <w:spacing w:before="60" w:after="0"/>
              <w:ind w:left="0"/>
              <w:rPr>
                <w:rFonts w:ascii="Arial Narrow" w:hAnsi="Arial Narrow"/>
                <w:noProof/>
                <w:sz w:val="22"/>
                <w:u w:val="single"/>
              </w:rPr>
            </w:pPr>
          </w:p>
        </w:tc>
      </w:tr>
    </w:tbl>
    <w:p>
      <w:pPr>
        <w:rPr>
          <w:rFonts w:ascii="Arial Narrow" w:hAnsi="Arial Narrow"/>
          <w:noProof/>
          <w:sz w:val="22"/>
        </w:rPr>
      </w:pP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95"/>
      </w:tblGrid>
      <w:tr>
        <w:trPr>
          <w:jc w:val="center"/>
        </w:trPr>
        <w:tc>
          <w:tcPr>
            <w:tcW w:w="9295" w:type="dxa"/>
            <w:tcBorders>
              <w:top w:val="single" w:sz="4" w:space="0" w:color="auto"/>
            </w:tcBorders>
          </w:tcPr>
          <w:p>
            <w:pPr>
              <w:pStyle w:val="Text2"/>
              <w:spacing w:before="60" w:after="60"/>
              <w:ind w:left="0"/>
              <w:jc w:val="left"/>
              <w:rPr>
                <w:rFonts w:ascii="Arial Narrow" w:hAnsi="Arial Narrow"/>
                <w:b/>
                <w:noProof/>
                <w:sz w:val="22"/>
              </w:rPr>
            </w:pPr>
            <w:r>
              <w:rPr>
                <w:rFonts w:ascii="Arial Narrow" w:hAnsi="Arial Narrow"/>
                <w:b/>
                <w:noProof/>
                <w:sz w:val="22"/>
              </w:rPr>
              <w:t>Outside HEADING 7</w:t>
            </w:r>
            <w:r>
              <w:rPr>
                <w:rFonts w:ascii="Arial Narrow" w:hAnsi="Arial Narrow"/>
                <w:noProof/>
                <w:sz w:val="22"/>
              </w:rPr>
              <w:t xml:space="preserve"> of the multiannual financial framework</w:t>
            </w:r>
          </w:p>
        </w:tc>
      </w:tr>
      <w:tr>
        <w:trPr>
          <w:jc w:val="center"/>
        </w:trPr>
        <w:tc>
          <w:tcPr>
            <w:tcW w:w="9295" w:type="dxa"/>
            <w:tcBorders>
              <w:bottom w:val="single" w:sz="4" w:space="0" w:color="auto"/>
            </w:tcBorders>
          </w:tcPr>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0" w:after="0"/>
              <w:ind w:left="0"/>
              <w:rPr>
                <w:rFonts w:ascii="Arial Narrow" w:hAnsi="Arial Narrow"/>
                <w:noProof/>
                <w:sz w:val="20"/>
                <w:szCs w:val="20"/>
                <w:u w:val="single"/>
              </w:rPr>
            </w:pPr>
          </w:p>
          <w:p>
            <w:pPr>
              <w:pStyle w:val="Text2"/>
              <w:spacing w:before="60" w:after="0"/>
              <w:ind w:left="0"/>
              <w:rPr>
                <w:rFonts w:ascii="Arial Narrow" w:hAnsi="Arial Narrow"/>
                <w:noProof/>
                <w:sz w:val="18"/>
                <w:szCs w:val="18"/>
                <w:u w:val="single"/>
              </w:rPr>
            </w:pPr>
          </w:p>
        </w:tc>
      </w:tr>
    </w:tbl>
    <w:p>
      <w:pPr>
        <w:pStyle w:val="Normal1"/>
        <w:rPr>
          <w:noProof/>
        </w:rPr>
      </w:pPr>
    </w:p>
    <w:sectPr>
      <w:headerReference w:type="default" r:id="rId35"/>
      <w:footerReference w:type="default" r:id="rId36"/>
      <w:headerReference w:type="first" r:id="rId37"/>
      <w:footerReference w:type="first" r:id="rId3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5E264" w16cex:dateUtc="2021-10-04T18:28:00Z"/>
  <w16cex:commentExtensible w16cex:durableId="2505E288" w16cex:dateUtc="2021-10-04T18:28:00Z"/>
  <w16cex:commentExtensible w16cex:durableId="2505E3C8" w16cex:dateUtc="2021-10-04T18:34:00Z"/>
  <w16cex:commentExtensible w16cex:durableId="2505E49A" w16cex:dateUtc="2021-10-04T18:37:00Z"/>
  <w16cex:commentExtensible w16cex:durableId="2505E570" w16cex:dateUtc="2021-10-04T18:41:00Z"/>
  <w16cex:commentExtensible w16cex:durableId="2505E5B4" w16cex:dateUtc="2021-10-04T18:42:00Z"/>
  <w16cex:commentExtensible w16cex:durableId="2505E634" w16cex:dateUtc="2021-10-04T18:44:00Z"/>
  <w16cex:commentExtensible w16cex:durableId="2505E68F" w16cex:dateUtc="2021-10-04T18:46:00Z"/>
  <w16cex:commentExtensible w16cex:durableId="2505E6CE" w16cex:dateUtc="2021-10-04T18:47:00Z"/>
  <w16cex:commentExtensible w16cex:durableId="2505E767" w16cex:dateUtc="2021-10-04T18:49:00Z"/>
  <w16cex:commentExtensible w16cex:durableId="2505E7BB" w16cex:dateUtc="2021-10-04T1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238F79" w16cid:durableId="2505E1F5"/>
  <w16cid:commentId w16cid:paraId="19298C83" w16cid:durableId="2505E264"/>
  <w16cid:commentId w16cid:paraId="75979E1B" w16cid:durableId="2505E1F6"/>
  <w16cid:commentId w16cid:paraId="074D1158" w16cid:durableId="2505E288"/>
  <w16cid:commentId w16cid:paraId="2EC160A7" w16cid:durableId="2505E1F7"/>
  <w16cid:commentId w16cid:paraId="3E5A332C" w16cid:durableId="2505E1F8"/>
  <w16cid:commentId w16cid:paraId="4A197CB5" w16cid:durableId="2505E1F9"/>
  <w16cid:commentId w16cid:paraId="182BBE5F" w16cid:durableId="2505E1FA"/>
  <w16cid:commentId w16cid:paraId="5467EA7C" w16cid:durableId="2505E3C8"/>
  <w16cid:commentId w16cid:paraId="05CCC649" w16cid:durableId="2505E1FB"/>
  <w16cid:commentId w16cid:paraId="7DE624CE" w16cid:durableId="2505E49A"/>
  <w16cid:commentId w16cid:paraId="3BBE2075" w16cid:durableId="2505E1FC"/>
  <w16cid:commentId w16cid:paraId="23B36CD3" w16cid:durableId="2505E1FD"/>
  <w16cid:commentId w16cid:paraId="20D9F604" w16cid:durableId="2505E1FE"/>
  <w16cid:commentId w16cid:paraId="054A36E7" w16cid:durableId="2505E1FF"/>
  <w16cid:commentId w16cid:paraId="1F49BB12" w16cid:durableId="2505E200"/>
  <w16cid:commentId w16cid:paraId="0705E8D6" w16cid:durableId="2505E201"/>
  <w16cid:commentId w16cid:paraId="5C302F85" w16cid:durableId="2505E202"/>
  <w16cid:commentId w16cid:paraId="6E1A9210" w16cid:durableId="2505E203"/>
  <w16cid:commentId w16cid:paraId="3549EBED" w16cid:durableId="2505E54E"/>
  <w16cid:commentId w16cid:paraId="6FECC64D" w16cid:durableId="2505E54D"/>
  <w16cid:commentId w16cid:paraId="26C1A1C2" w16cid:durableId="2505E204"/>
  <w16cid:commentId w16cid:paraId="6D6769FD" w16cid:durableId="2505E205"/>
  <w16cid:commentId w16cid:paraId="4033F718" w16cid:durableId="2505E570"/>
  <w16cid:commentId w16cid:paraId="7E968B3B" w16cid:durableId="2505E5B4"/>
  <w16cid:commentId w16cid:paraId="037E0EA2" w16cid:durableId="2505E206"/>
  <w16cid:commentId w16cid:paraId="497F418F" w16cid:durableId="2505E207"/>
  <w16cid:commentId w16cid:paraId="183613B5" w16cid:durableId="2505E208"/>
  <w16cid:commentId w16cid:paraId="641CDCDC" w16cid:durableId="2505E209"/>
  <w16cid:commentId w16cid:paraId="03F21275" w16cid:durableId="2505E634"/>
  <w16cid:commentId w16cid:paraId="16C85A71" w16cid:durableId="2505E20A"/>
  <w16cid:commentId w16cid:paraId="5334D2BF" w16cid:durableId="2505E20B"/>
  <w16cid:commentId w16cid:paraId="18EFD415" w16cid:durableId="2505E68F"/>
  <w16cid:commentId w16cid:paraId="661A2F41" w16cid:durableId="2505E6CE"/>
  <w16cid:commentId w16cid:paraId="4722DF99" w16cid:durableId="2505E20C"/>
  <w16cid:commentId w16cid:paraId="4B8B43D1" w16cid:durableId="2505E20D"/>
  <w16cid:commentId w16cid:paraId="03968A65" w16cid:durableId="2505E20E"/>
  <w16cid:commentId w16cid:paraId="2F4E293D" w16cid:durableId="2505E20F"/>
  <w16cid:commentId w16cid:paraId="5AA522A4" w16cid:durableId="2505E767"/>
  <w16cid:commentId w16cid:paraId="2FE5A95F" w16cid:durableId="2505E7BB"/>
  <w16cid:commentId w16cid:paraId="485876E3" w16cid:durableId="2505E211"/>
  <w16cid:commentId w16cid:paraId="21B8E136" w16cid:durableId="2505E21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en-IE"/>
        </w:rPr>
      </w:pPr>
      <w:r>
        <w:rPr>
          <w:rStyle w:val="FootnoteReference0"/>
        </w:rPr>
        <w:footnoteRef/>
      </w:r>
      <w:r>
        <w:tab/>
      </w:r>
      <w:r>
        <w:rPr>
          <w:rStyle w:val="FootnoteReference0"/>
          <w:vertAlign w:val="baseline"/>
        </w:rPr>
        <w:t>OECD, 2020. Youth and Covid-19. Response, Recovery and resilience. OECD, 2020. ILO, 2020. Covid and Youth. Impacts on Jobs, Education, Rights and mental Well-being. Eurostat, 2020. Being young in Europe today – health.</w:t>
      </w:r>
    </w:p>
  </w:footnote>
  <w:footnote w:id="3">
    <w:p>
      <w:pPr>
        <w:pStyle w:val="FootnoteText"/>
        <w:rPr>
          <w:lang w:val="en-IE"/>
        </w:rPr>
      </w:pPr>
      <w:r>
        <w:rPr>
          <w:rStyle w:val="FootnoteReference0"/>
        </w:rPr>
        <w:footnoteRef/>
      </w:r>
      <w:r>
        <w:rPr>
          <w:lang w:val="en-IE"/>
        </w:rPr>
        <w:tab/>
        <w:t>https://eur-lex.europa.eu/legal-content/EN/TXT/?uri=OJ:C:2018:456:FULL</w:t>
      </w:r>
    </w:p>
  </w:footnote>
  <w:footnote w:id="4">
    <w:p>
      <w:pPr>
        <w:pStyle w:val="FootnoteText"/>
        <w:rPr>
          <w:lang w:val="en-IE"/>
        </w:rPr>
      </w:pPr>
      <w:r>
        <w:rPr>
          <w:rStyle w:val="FootnoteReference0"/>
        </w:rPr>
        <w:footnoteRef/>
      </w:r>
      <w:r>
        <w:rPr>
          <w:lang w:val="en-IE"/>
        </w:rPr>
        <w:tab/>
        <w:t>https://europa.eu/youth/strategy/european-youth-goals_en</w:t>
      </w:r>
    </w:p>
  </w:footnote>
  <w:footnote w:id="5">
    <w:p>
      <w:pPr>
        <w:pStyle w:val="FootnoteText"/>
        <w:rPr>
          <w:sz w:val="24"/>
          <w:szCs w:val="24"/>
        </w:rPr>
      </w:pPr>
      <w:r>
        <w:rPr>
          <w:rStyle w:val="FootnoteReference0"/>
        </w:rPr>
        <w:footnoteRef/>
      </w:r>
      <w:r>
        <w:tab/>
      </w:r>
      <w:hyperlink r:id="rId1" w:history="1">
        <w:r>
          <w:rPr>
            <w:rStyle w:val="FootnoteReference0"/>
            <w:vertAlign w:val="baseline"/>
          </w:rPr>
          <w:t>https://ec.europa.eu/social/BlobServlet?docId=22829&amp;langId=en</w:t>
        </w:r>
      </w:hyperlink>
    </w:p>
  </w:footnote>
  <w:footnote w:id="6">
    <w:p>
      <w:pPr>
        <w:pStyle w:val="FootnoteText"/>
        <w:rPr>
          <w:sz w:val="24"/>
          <w:szCs w:val="24"/>
          <w:vertAlign w:val="superscript"/>
        </w:rPr>
      </w:pPr>
      <w:r>
        <w:rPr>
          <w:rStyle w:val="FootnoteReference0"/>
        </w:rPr>
        <w:footnoteRef/>
      </w:r>
      <w:r>
        <w:tab/>
      </w:r>
      <w:r>
        <w:rPr>
          <w:rStyle w:val="FootnoteReference0"/>
          <w:vertAlign w:val="baseline"/>
        </w:rPr>
        <w:t>https://ec.europa.eu/social/main.jsp?catId=1223&amp;langId=en</w:t>
      </w:r>
    </w:p>
  </w:footnote>
  <w:footnote w:id="7">
    <w:p>
      <w:pPr>
        <w:pStyle w:val="FootnoteText"/>
        <w:rPr>
          <w:lang w:val="hu-HU"/>
        </w:rPr>
      </w:pPr>
      <w:r>
        <w:rPr>
          <w:rStyle w:val="FootnoteReference0"/>
        </w:rPr>
        <w:footnoteRef/>
      </w:r>
      <w:r>
        <w:tab/>
      </w:r>
      <w:hyperlink r:id="rId2" w:history="1">
        <w:r>
          <w:rPr>
            <w:rStyle w:val="Hyperlink"/>
          </w:rPr>
          <w:t>https://ec.europa.eu/social/BlobServlet?docId=23699&amp;langId=en</w:t>
        </w:r>
      </w:hyperlink>
      <w:r>
        <w:t xml:space="preserve"> </w:t>
      </w:r>
    </w:p>
  </w:footnote>
  <w:footnote w:id="8">
    <w:p>
      <w:pPr>
        <w:pStyle w:val="FootnoteText"/>
        <w:rPr>
          <w:lang w:val="hu-HU"/>
        </w:rPr>
      </w:pPr>
      <w:r>
        <w:rPr>
          <w:rStyle w:val="FootnoteReference0"/>
        </w:rPr>
        <w:footnoteRef/>
      </w:r>
      <w:r>
        <w:rPr>
          <w:lang w:val="hu-HU"/>
        </w:rPr>
        <w:tab/>
        <w:t>https://ec.europa.eu/info/policies/justice-and-fundamental-rights/rights-child/eu-strategy-rights-child-and-european-child-guarantee_en</w:t>
      </w:r>
    </w:p>
  </w:footnote>
  <w:footnote w:id="9">
    <w:p>
      <w:pPr>
        <w:pStyle w:val="FootnoteText"/>
        <w:rPr>
          <w:lang w:val="en-US"/>
        </w:rPr>
      </w:pPr>
      <w:r>
        <w:rPr>
          <w:rStyle w:val="FootnoteReference0"/>
        </w:rPr>
        <w:footnoteRef/>
      </w:r>
      <w:r>
        <w:rPr>
          <w:lang w:val="en-US"/>
        </w:rPr>
        <w:tab/>
        <w:t>OJ C , , p. .</w:t>
      </w:r>
    </w:p>
  </w:footnote>
  <w:footnote w:id="10">
    <w:p>
      <w:pPr>
        <w:pStyle w:val="FootnoteText"/>
        <w:rPr>
          <w:lang w:val="en-US"/>
        </w:rPr>
      </w:pPr>
      <w:r>
        <w:rPr>
          <w:rStyle w:val="FootnoteReference0"/>
        </w:rPr>
        <w:footnoteRef/>
      </w:r>
      <w:r>
        <w:rPr>
          <w:lang w:val="en-US"/>
        </w:rPr>
        <w:tab/>
        <w:t>OJ C , , p. .</w:t>
      </w:r>
    </w:p>
  </w:footnote>
  <w:footnote w:id="11">
    <w:p>
      <w:pPr>
        <w:pStyle w:val="FootnoteText"/>
        <w:rPr>
          <w:lang w:val="en-US"/>
        </w:rPr>
      </w:pPr>
      <w:r>
        <w:rPr>
          <w:rStyle w:val="FootnoteReference0"/>
        </w:rPr>
        <w:footnoteRef/>
      </w:r>
      <w:r>
        <w:rPr>
          <w:lang w:val="en-US"/>
        </w:rPr>
        <w:tab/>
      </w:r>
      <w:hyperlink r:id="rId3" w:history="1">
        <w:r>
          <w:rPr>
            <w:rStyle w:val="Hyperlink"/>
          </w:rPr>
          <w:t>Bratislava Declaration and Roadmap - Consilium (europa.eu)</w:t>
        </w:r>
      </w:hyperlink>
    </w:p>
  </w:footnote>
  <w:footnote w:id="12">
    <w:p>
      <w:pPr>
        <w:pStyle w:val="FootnoteText"/>
        <w:rPr>
          <w:lang w:val="en-US"/>
        </w:rPr>
      </w:pPr>
      <w:r>
        <w:rPr>
          <w:rStyle w:val="FootnoteReference0"/>
        </w:rPr>
        <w:footnoteRef/>
      </w:r>
      <w:r>
        <w:rPr>
          <w:lang w:val="en-US"/>
        </w:rPr>
        <w:tab/>
      </w:r>
      <w:hyperlink r:id="rId4" w:history="1">
        <w:r>
          <w:rPr>
            <w:rStyle w:val="Hyperlink"/>
            <w:lang w:val="en-US"/>
          </w:rPr>
          <w:t>The Rome Declaration (europa.eu)</w:t>
        </w:r>
      </w:hyperlink>
    </w:p>
  </w:footnote>
  <w:footnote w:id="13">
    <w:p>
      <w:pPr>
        <w:pStyle w:val="FootnoteText"/>
        <w:rPr>
          <w:lang w:val="en-US"/>
        </w:rPr>
      </w:pPr>
      <w:r>
        <w:rPr>
          <w:rStyle w:val="FootnoteReference0"/>
        </w:rPr>
        <w:footnoteRef/>
      </w:r>
      <w:r>
        <w:rPr>
          <w:lang w:val="en-US"/>
        </w:rPr>
        <w:tab/>
      </w:r>
      <w:hyperlink r:id="rId5" w:history="1">
        <w:r>
          <w:rPr>
            <w:rStyle w:val="Hyperlink"/>
            <w:lang w:val="en-US"/>
          </w:rPr>
          <w:t>soteu_2021_address_en_0.pdf (europa.eu)</w:t>
        </w:r>
      </w:hyperlink>
      <w:r>
        <w:rPr>
          <w:lang w:val="en-US"/>
        </w:rPr>
        <w:t xml:space="preserve"> </w:t>
      </w:r>
    </w:p>
  </w:footnote>
  <w:footnote w:id="14">
    <w:p>
      <w:pPr>
        <w:pStyle w:val="FootnoteText"/>
        <w:rPr>
          <w:lang w:val="en-US"/>
        </w:rPr>
      </w:pPr>
      <w:r>
        <w:rPr>
          <w:rStyle w:val="FootnoteReference0"/>
        </w:rPr>
        <w:footnoteRef/>
      </w:r>
      <w:r>
        <w:rPr>
          <w:lang w:val="en-US"/>
        </w:rPr>
        <w:tab/>
      </w:r>
      <w:hyperlink r:id="rId6">
        <w:r>
          <w:rPr>
            <w:rStyle w:val="Hyperlink"/>
            <w:rFonts w:eastAsia="Calibri"/>
            <w:lang w:val="en-US"/>
          </w:rPr>
          <w:t>https://eur-lex.europa.eu/legal-content/EN/TXT/HTML/?uri=CELEX:52020DC0790&amp;from=EN</w:t>
        </w:r>
      </w:hyperlink>
    </w:p>
  </w:footnote>
  <w:footnote w:id="15">
    <w:p>
      <w:pPr>
        <w:pStyle w:val="FootnoteText"/>
        <w:rPr>
          <w:lang w:val="en-US"/>
        </w:rPr>
      </w:pPr>
      <w:r>
        <w:rPr>
          <w:rStyle w:val="FootnoteReference0"/>
        </w:rPr>
        <w:footnoteRef/>
      </w:r>
      <w:r>
        <w:rPr>
          <w:lang w:val="en-US"/>
        </w:rPr>
        <w:tab/>
      </w:r>
      <w:hyperlink r:id="rId7" w:history="1">
        <w:r>
          <w:rPr>
            <w:rStyle w:val="Hyperlink"/>
          </w:rPr>
          <w:t>21252030 Agenda for Sustainable Development web.pdf (un.org)</w:t>
        </w:r>
      </w:hyperlink>
    </w:p>
  </w:footnote>
  <w:footnote w:id="16">
    <w:p>
      <w:pPr>
        <w:pStyle w:val="FootnoteText"/>
        <w:rPr>
          <w:lang w:val="en-US"/>
        </w:rPr>
      </w:pPr>
      <w:r>
        <w:rPr>
          <w:rStyle w:val="FootnoteReference0"/>
        </w:rPr>
        <w:footnoteRef/>
      </w:r>
      <w:r>
        <w:rPr>
          <w:lang w:val="en-US"/>
        </w:rPr>
        <w:tab/>
      </w:r>
      <w:hyperlink r:id="rId8" w:history="1">
        <w:r>
          <w:rPr>
            <w:rStyle w:val="Hyperlink"/>
            <w:lang w:val="en-US"/>
          </w:rPr>
          <w:t>pdf (europa.eu)</w:t>
        </w:r>
      </w:hyperlink>
    </w:p>
  </w:footnote>
  <w:footnote w:id="17">
    <w:p>
      <w:pPr>
        <w:pStyle w:val="FootnoteText"/>
        <w:rPr>
          <w:lang w:val="en-IE"/>
        </w:rPr>
      </w:pPr>
      <w:r>
        <w:rPr>
          <w:rStyle w:val="FootnoteReference0"/>
        </w:rPr>
        <w:footnoteRef/>
      </w:r>
      <w:r>
        <w:tab/>
      </w:r>
      <w:hyperlink r:id="rId9" w:history="1">
        <w:r>
          <w:rPr>
            <w:rStyle w:val="Hyperlink"/>
          </w:rPr>
          <w:t>Texts adopted - Reinforcing the Youth Guarantee - Thursday, 8 October 2020 (europa.eu)</w:t>
        </w:r>
      </w:hyperlink>
    </w:p>
  </w:footnote>
  <w:footnote w:id="18">
    <w:p>
      <w:pPr>
        <w:pStyle w:val="FootnoteText"/>
        <w:rPr>
          <w:lang w:val="en-US"/>
        </w:rPr>
      </w:pPr>
      <w:r>
        <w:rPr>
          <w:rStyle w:val="FootnoteReference0"/>
        </w:rPr>
        <w:footnoteRef/>
      </w:r>
      <w:r>
        <w:rPr>
          <w:lang w:val="en-US"/>
        </w:rPr>
        <w:tab/>
      </w:r>
      <w:hyperlink r:id="rId10" w:history="1">
        <w:r>
          <w:rPr>
            <w:rStyle w:val="Hyperlink"/>
            <w:lang w:val="en-US"/>
          </w:rPr>
          <w:t>pdf (europa.eu)</w:t>
        </w:r>
      </w:hyperlink>
      <w:r>
        <w:rPr>
          <w:lang w:val="en-US"/>
        </w:rPr>
        <w:t xml:space="preserve"> </w:t>
      </w:r>
    </w:p>
  </w:footnote>
  <w:footnote w:id="19">
    <w:p>
      <w:pPr>
        <w:pStyle w:val="FootnoteText"/>
        <w:rPr>
          <w:lang w:val="en-IE"/>
        </w:rPr>
      </w:pPr>
      <w:r>
        <w:rPr>
          <w:rStyle w:val="FootnoteReference0"/>
        </w:rPr>
        <w:footnoteRef/>
      </w:r>
      <w:r>
        <w:tab/>
      </w:r>
      <w:hyperlink r:id="rId11" w:history="1">
        <w:r>
          <w:rPr>
            <w:rStyle w:val="Hyperlink"/>
          </w:rPr>
          <w:t>Texts adopted - The impact of Covid-19 on youth and on sport - Wednesday, 10 February 2021 (europa.eu)</w:t>
        </w:r>
      </w:hyperlink>
    </w:p>
  </w:footnote>
  <w:footnote w:id="20">
    <w:p>
      <w:pPr>
        <w:pStyle w:val="FootnoteText"/>
        <w:rPr>
          <w:lang w:val="en-IE"/>
        </w:rPr>
      </w:pPr>
      <w:r>
        <w:rPr>
          <w:rStyle w:val="FootnoteReference0"/>
        </w:rPr>
        <w:footnoteRef/>
      </w:r>
      <w:r>
        <w:rPr>
          <w:lang w:val="en-IE"/>
        </w:rPr>
        <w:tab/>
      </w:r>
      <w:hyperlink r:id="rId12" w:history="1">
        <w:r>
          <w:rPr>
            <w:rStyle w:val="Hyperlink"/>
            <w:lang w:val="en-IE"/>
          </w:rPr>
          <w:t>https://eur-lex.europa.eu/legal-content/EN/TXT/PDF/?uri=uriserv:OJ.C_.2020.415.01.0001.01.ENG</w:t>
        </w:r>
      </w:hyperlink>
      <w:r>
        <w:rPr>
          <w:lang w:val="en-IE"/>
        </w:rPr>
        <w:t xml:space="preserve"> </w:t>
      </w:r>
    </w:p>
  </w:footnote>
  <w:footnote w:id="21">
    <w:p>
      <w:pPr>
        <w:pStyle w:val="FootnoteText"/>
        <w:rPr>
          <w:lang w:val="en-US"/>
        </w:rPr>
      </w:pPr>
      <w:r>
        <w:rPr>
          <w:rStyle w:val="FootnoteReference0"/>
        </w:rPr>
        <w:footnoteRef/>
      </w:r>
      <w:r>
        <w:rPr>
          <w:lang w:val="en-US"/>
        </w:rPr>
        <w:tab/>
      </w:r>
      <w:hyperlink r:id="rId13" w:history="1">
        <w:r>
          <w:rPr>
            <w:rStyle w:val="Hyperlink"/>
            <w:lang w:val="en-US"/>
          </w:rPr>
          <w:t>pdf (europa.eu)</w:t>
        </w:r>
      </w:hyperlink>
      <w:r>
        <w:rPr>
          <w:lang w:val="en-US"/>
        </w:rPr>
        <w:t xml:space="preserve"> </w:t>
      </w:r>
    </w:p>
  </w:footnote>
  <w:footnote w:id="22">
    <w:p>
      <w:pPr>
        <w:pStyle w:val="FootnoteText"/>
        <w:rPr>
          <w:lang w:val="en-IE"/>
        </w:rPr>
      </w:pPr>
      <w:r>
        <w:rPr>
          <w:rStyle w:val="FootnoteReference0"/>
        </w:rPr>
        <w:footnoteRef/>
      </w:r>
      <w:r>
        <w:tab/>
      </w:r>
      <w:hyperlink r:id="rId14" w:history="1">
        <w:r>
          <w:rPr>
            <w:rStyle w:val="Hyperlink"/>
          </w:rPr>
          <w:t>Conclusions of the Council and of the Representatives of the Governments of the Member States meeting within the Council on Digital Youth Work 2019/C 414/02 - Publications Office of the EU (europa.eu)</w:t>
        </w:r>
      </w:hyperlink>
      <w:r>
        <w:t xml:space="preserve"> </w:t>
      </w:r>
    </w:p>
  </w:footnote>
  <w:footnote w:id="23">
    <w:p>
      <w:pPr>
        <w:pStyle w:val="FootnoteText"/>
        <w:rPr>
          <w:lang w:val="en-IE"/>
        </w:rPr>
      </w:pPr>
      <w:r>
        <w:rPr>
          <w:rStyle w:val="FootnoteReference0"/>
        </w:rPr>
        <w:footnoteRef/>
      </w:r>
      <w:r>
        <w:tab/>
      </w:r>
      <w:hyperlink r:id="rId15" w:history="1">
        <w:r>
          <w:rPr>
            <w:rStyle w:val="Hyperlink"/>
          </w:rPr>
          <w:t>Council conclusions on smart youth work (europa.eu)</w:t>
        </w:r>
      </w:hyperlink>
      <w:r>
        <w:t xml:space="preserve"> </w:t>
      </w:r>
    </w:p>
  </w:footnote>
  <w:footnote w:id="24">
    <w:p>
      <w:pPr>
        <w:pStyle w:val="FootnoteText"/>
        <w:rPr>
          <w:lang w:val="en-US"/>
        </w:rPr>
      </w:pPr>
      <w:r>
        <w:rPr>
          <w:rStyle w:val="FootnoteReference0"/>
        </w:rPr>
        <w:footnoteRef/>
      </w:r>
      <w:r>
        <w:rPr>
          <w:lang w:val="en-US"/>
        </w:rPr>
        <w:tab/>
      </w:r>
      <w:hyperlink r:id="rId16" w:history="1">
        <w:r>
          <w:rPr>
            <w:rStyle w:val="Hyperlink"/>
            <w:lang w:val="en-US"/>
          </w:rPr>
          <w:t>Paris Agreement | Climate Action (europa.eu)</w:t>
        </w:r>
      </w:hyperlink>
      <w:r>
        <w:rPr>
          <w:lang w:val="en-US"/>
        </w:rPr>
        <w:t xml:space="preserve"> </w:t>
      </w:r>
    </w:p>
  </w:footnote>
  <w:footnote w:id="25">
    <w:p>
      <w:pPr>
        <w:pStyle w:val="FootnoteText"/>
        <w:rPr>
          <w:lang w:val="en-US"/>
        </w:rPr>
      </w:pPr>
      <w:r>
        <w:rPr>
          <w:rStyle w:val="FootnoteReference0"/>
        </w:rPr>
        <w:footnoteRef/>
      </w:r>
      <w:r>
        <w:rPr>
          <w:lang w:val="en-US"/>
        </w:rPr>
        <w:tab/>
      </w:r>
      <w:hyperlink r:id="rId17" w:history="1">
        <w:r>
          <w:rPr>
            <w:rStyle w:val="Hyperlink"/>
            <w:lang w:val="en-US"/>
          </w:rPr>
          <w:t>A European Green Deal | European Commission (europa.eu)</w:t>
        </w:r>
      </w:hyperlink>
    </w:p>
  </w:footnote>
  <w:footnote w:id="26">
    <w:p>
      <w:pPr>
        <w:pStyle w:val="FootnoteText"/>
        <w:rPr>
          <w:lang w:val="en-US"/>
        </w:rPr>
      </w:pPr>
      <w:r>
        <w:rPr>
          <w:rStyle w:val="FootnoteReference0"/>
        </w:rPr>
        <w:footnoteRef/>
      </w:r>
      <w:r>
        <w:rPr>
          <w:lang w:val="en-US"/>
        </w:rPr>
        <w:tab/>
      </w:r>
      <w:hyperlink r:id="rId18" w:anchor=":~:text=The%20Fit%20for%2055%20package%20is%20a%20set,agreed%20by%20the%20Council%20and%20the%20European%20Parliament." w:history="1">
        <w:r>
          <w:rPr>
            <w:rStyle w:val="Hyperlink"/>
            <w:lang w:val="en-US"/>
          </w:rPr>
          <w:t>EU's plan for a green transition - Consilium (europa.eu)</w:t>
        </w:r>
      </w:hyperlink>
      <w:r>
        <w:rPr>
          <w:lang w:val="en-US"/>
        </w:rPr>
        <w:t xml:space="preserve"> </w:t>
      </w:r>
    </w:p>
  </w:footnote>
  <w:footnote w:id="27">
    <w:p>
      <w:pPr>
        <w:pStyle w:val="FootnoteText"/>
        <w:rPr>
          <w:lang w:val="en-IE"/>
        </w:rPr>
      </w:pPr>
      <w:r>
        <w:rPr>
          <w:rStyle w:val="FootnoteReference0"/>
        </w:rPr>
        <w:footnoteRef/>
      </w:r>
      <w:r>
        <w:tab/>
      </w:r>
      <w:hyperlink r:id="rId19" w:history="1">
        <w:r>
          <w:rPr>
            <w:rStyle w:val="Hyperlink"/>
          </w:rPr>
          <w:t>Texts adopted - Effective measures to ‘green’ Erasmus+, Creative Europe and the European Solidarity Corps - Tuesday, 15 September 2020 (europa.eu)</w:t>
        </w:r>
      </w:hyperlink>
    </w:p>
  </w:footnote>
  <w:footnote w:id="28">
    <w:p>
      <w:pPr>
        <w:pStyle w:val="FootnoteText"/>
        <w:rPr>
          <w:lang w:val="fr-BE"/>
        </w:rPr>
      </w:pPr>
      <w:r>
        <w:rPr>
          <w:rStyle w:val="FootnoteReference0"/>
        </w:rPr>
        <w:footnoteRef/>
      </w:r>
      <w:r>
        <w:rPr>
          <w:lang w:val="fr-BE"/>
        </w:rPr>
        <w:tab/>
      </w:r>
      <w:hyperlink r:id="rId20" w:history="1">
        <w:r>
          <w:rPr>
            <w:rStyle w:val="Hyperlink"/>
            <w:lang w:val="fr-BE"/>
          </w:rPr>
          <w:t>text_en.pdf (europa.eu)</w:t>
        </w:r>
      </w:hyperlink>
    </w:p>
  </w:footnote>
  <w:footnote w:id="29">
    <w:p>
      <w:pPr>
        <w:pStyle w:val="FootnoteText"/>
        <w:rPr>
          <w:lang w:val="en-US"/>
        </w:rPr>
      </w:pPr>
      <w:r>
        <w:rPr>
          <w:rStyle w:val="FootnoteReference0"/>
        </w:rPr>
        <w:footnoteRef/>
      </w:r>
      <w:r>
        <w:tab/>
      </w:r>
      <w:r>
        <w:rPr>
          <w:lang w:val="en-US"/>
        </w:rPr>
        <w:t>COM(2021) 142 final</w:t>
      </w:r>
    </w:p>
  </w:footnote>
  <w:footnote w:id="30">
    <w:p>
      <w:pPr>
        <w:pStyle w:val="FootnoteText"/>
        <w:rPr>
          <w:lang w:val="en-US"/>
        </w:rPr>
      </w:pPr>
      <w:r>
        <w:rPr>
          <w:rStyle w:val="FootnoteReference0"/>
        </w:rPr>
        <w:footnoteRef/>
      </w:r>
      <w:r>
        <w:tab/>
      </w:r>
      <w:r>
        <w:rPr>
          <w:lang w:val="en-US"/>
        </w:rPr>
        <w:t>Council Recommendation of 14 June 2021 (EU)2021/1004</w:t>
      </w:r>
    </w:p>
  </w:footnote>
  <w:footnote w:id="31">
    <w:p>
      <w:pPr>
        <w:pStyle w:val="FootnoteText"/>
        <w:rPr>
          <w:szCs w:val="24"/>
        </w:rPr>
      </w:pPr>
      <w:r>
        <w:rPr>
          <w:rStyle w:val="FootnoteReference0"/>
        </w:rPr>
        <w:footnoteRef/>
      </w:r>
      <w:r>
        <w:tab/>
        <w:t>As referred to in Article 58(2)(a) or (b) of the Financial Regulation.</w:t>
      </w:r>
    </w:p>
  </w:footnote>
  <w:footnote w:id="32">
    <w:p>
      <w:pPr>
        <w:pStyle w:val="FootnoteText"/>
        <w:jc w:val="left"/>
        <w:rPr>
          <w:szCs w:val="24"/>
        </w:rPr>
      </w:pPr>
      <w:r>
        <w:rPr>
          <w:rStyle w:val="FootnoteReference0"/>
        </w:rPr>
        <w:footnoteRef/>
      </w:r>
      <w:r>
        <w:tab/>
        <w:t xml:space="preserve">Details of management modes and references to the Financial Regulation may be found on the BudgWeb site: </w:t>
      </w:r>
      <w:hyperlink r:id="rId21" w:history="1">
        <w:r>
          <w:rPr>
            <w:rStyle w:val="Hyperlink"/>
          </w:rPr>
          <w:t>https://myintracomm.ec.europa.eu/budgweb/EN/man/budgmanag/Pages/budgmanag.aspx</w:t>
        </w:r>
      </w:hyperlink>
      <w:r>
        <w:t xml:space="preserve"> </w:t>
      </w:r>
    </w:p>
  </w:footnote>
  <w:footnote w:id="33">
    <w:p>
      <w:pPr>
        <w:pStyle w:val="FootnoteText"/>
        <w:rPr>
          <w:szCs w:val="24"/>
        </w:rPr>
      </w:pPr>
      <w:r>
        <w:rPr>
          <w:rStyle w:val="FootnoteReference0"/>
        </w:rPr>
        <w:footnoteRef/>
      </w:r>
      <w:r>
        <w:tab/>
        <w:t>Diff. = Differentiated appropriations / Non-diff. = Non-differentiated appropriations.</w:t>
      </w:r>
    </w:p>
  </w:footnote>
  <w:footnote w:id="34">
    <w:p>
      <w:pPr>
        <w:pStyle w:val="FootnoteText"/>
        <w:rPr>
          <w:szCs w:val="24"/>
        </w:rPr>
      </w:pPr>
      <w:r>
        <w:rPr>
          <w:rStyle w:val="FootnoteReference0"/>
        </w:rPr>
        <w:footnoteRef/>
      </w:r>
      <w:r>
        <w:tab/>
        <w:t xml:space="preserve">EFTA: European Free Trade Association. </w:t>
      </w:r>
    </w:p>
  </w:footnote>
  <w:footnote w:id="35">
    <w:p>
      <w:pPr>
        <w:pStyle w:val="FootnoteText"/>
        <w:rPr>
          <w:szCs w:val="24"/>
        </w:rPr>
      </w:pPr>
      <w:r>
        <w:rPr>
          <w:rStyle w:val="FootnoteReference0"/>
        </w:rPr>
        <w:footnoteRef/>
      </w:r>
      <w:r>
        <w:tab/>
        <w:t>Candidate countries and, where applicable, potential candidates from the Western Balkans.</w:t>
      </w:r>
    </w:p>
  </w:footnote>
  <w:footnote w:id="36">
    <w:p>
      <w:pPr>
        <w:pStyle w:val="FootnoteText"/>
        <w:rPr>
          <w:szCs w:val="24"/>
        </w:rPr>
      </w:pPr>
      <w:r>
        <w:rPr>
          <w:rStyle w:val="FootnoteReference0"/>
        </w:rPr>
        <w:footnoteRef/>
      </w:r>
      <w:r>
        <w:tab/>
      </w:r>
      <w:r>
        <w:rPr>
          <w:sz w:val="18"/>
          <w:szCs w:val="18"/>
        </w:rPr>
        <w:t>Year N is the year in which implementation of the proposal/initiative starts. Please replace "N" by the expected first year of implementation (for instance: 2021). The same for the following years.</w:t>
      </w:r>
    </w:p>
  </w:footnote>
  <w:footnote w:id="37">
    <w:p>
      <w:pPr>
        <w:pStyle w:val="FootnoteText"/>
        <w:rPr>
          <w:szCs w:val="24"/>
        </w:rPr>
      </w:pPr>
      <w:r>
        <w:rPr>
          <w:rStyle w:val="FootnoteReference0"/>
        </w:rPr>
        <w:footnoteRef/>
      </w:r>
      <w:r>
        <w:tab/>
        <w:t>Outputs are products and services to be supplied (e.g.: number of student exchanges financed, number of km of roads built, etc.).</w:t>
      </w:r>
    </w:p>
  </w:footnote>
  <w:footnote w:id="38">
    <w:p>
      <w:pPr>
        <w:pStyle w:val="FootnoteText"/>
        <w:rPr>
          <w:szCs w:val="24"/>
        </w:rPr>
      </w:pPr>
      <w:r>
        <w:rPr>
          <w:rStyle w:val="FootnoteReference0"/>
        </w:rPr>
        <w:footnoteRef/>
      </w:r>
      <w:r>
        <w:tab/>
        <w:t xml:space="preserve">As described in point 1.4.2. ‘Specific objective(s)…’ </w:t>
      </w:r>
    </w:p>
  </w:footnote>
  <w:footnote w:id="39">
    <w:p>
      <w:pPr>
        <w:pStyle w:val="FootnoteText"/>
        <w:rPr>
          <w:sz w:val="18"/>
          <w:szCs w:val="18"/>
        </w:rPr>
      </w:pPr>
      <w:r>
        <w:rPr>
          <w:rStyle w:val="FootnoteReference0"/>
        </w:rPr>
        <w:footnoteRef/>
      </w:r>
      <w:r>
        <w:tab/>
      </w:r>
      <w:r>
        <w:rPr>
          <w:sz w:val="18"/>
          <w:szCs w:val="18"/>
        </w:rPr>
        <w:t>Year N is the year in which implementation of the proposal/initiative starts. Please replace "N" by the expected first year of implementation (for instance: 2021). The same for the following years.</w:t>
      </w:r>
    </w:p>
  </w:footnote>
  <w:footnote w:id="40">
    <w:p>
      <w:pPr>
        <w:pStyle w:val="FootnoteText"/>
        <w:rPr>
          <w:szCs w:val="24"/>
        </w:rPr>
      </w:pPr>
      <w:r>
        <w:rPr>
          <w:rStyle w:val="FootnoteReference0"/>
        </w:rPr>
        <w:footnoteRef/>
      </w:r>
      <w:r>
        <w:rPr>
          <w:sz w:val="18"/>
          <w:szCs w:val="18"/>
        </w:rPr>
        <w:tab/>
        <w:t>Technical and/or administrative assistance and expenditure in support of the implementation of EU programmes and/or actions (former ‘BA’ lines), indirect research, direct research.</w:t>
      </w:r>
    </w:p>
  </w:footnote>
  <w:footnote w:id="41">
    <w:p>
      <w:pPr>
        <w:pStyle w:val="FootnoteText"/>
        <w:rPr>
          <w:szCs w:val="24"/>
        </w:rPr>
      </w:pPr>
      <w:r>
        <w:rPr>
          <w:rStyle w:val="FootnoteReference0"/>
        </w:rPr>
        <w:footnoteRef/>
      </w:r>
      <w:r>
        <w:tab/>
        <w:t xml:space="preserve">AC= Contract Staff; AL = Local Staff; END= Seconded National Expert; INT = agency staff; JPD= Junior Professionals in Delegations. </w:t>
      </w:r>
    </w:p>
  </w:footnote>
  <w:footnote w:id="42">
    <w:p>
      <w:pPr>
        <w:pStyle w:val="FootnoteText"/>
        <w:rPr>
          <w:szCs w:val="24"/>
        </w:rPr>
      </w:pPr>
      <w:r>
        <w:rPr>
          <w:rStyle w:val="FootnoteReference0"/>
        </w:rPr>
        <w:footnoteRef/>
      </w:r>
      <w:r>
        <w:tab/>
        <w:t>Sub-ceiling for external staff covered by operational appropriations (former ‘BA’ lines).</w:t>
      </w:r>
    </w:p>
  </w:footnote>
  <w:footnote w:id="43">
    <w:p>
      <w:pPr>
        <w:pStyle w:val="FootnoteText"/>
      </w:pPr>
      <w:r>
        <w:rPr>
          <w:rStyle w:val="FootnoteReference0"/>
        </w:rPr>
        <w:footnoteRef/>
      </w:r>
      <w:r>
        <w:tab/>
        <w:t>Year N is the year in which implementation of the proposal/initiative starts. Please replace "N" by the expected first year of implementation (for instance: 2021). The same for the following years.</w:t>
      </w:r>
    </w:p>
  </w:footnote>
  <w:footnote w:id="44">
    <w:p>
      <w:pPr>
        <w:pStyle w:val="FootnoteText"/>
        <w:rPr>
          <w:szCs w:val="24"/>
        </w:rPr>
      </w:pPr>
      <w:r>
        <w:rPr>
          <w:rStyle w:val="FootnoteReference0"/>
        </w:rPr>
        <w:footnoteRef/>
      </w:r>
      <w:r>
        <w:tab/>
        <w:t>As regards traditional own resources (customs duties, sugar levies), the amounts indicated must be net amounts, i.e. gross amounts after deduction of 20 % for collection costs.</w:t>
      </w:r>
    </w:p>
  </w:footnote>
  <w:footnote w:id="45">
    <w:p>
      <w:pPr>
        <w:pStyle w:val="FootnoteText"/>
        <w:spacing w:after="120"/>
      </w:pPr>
      <w:r>
        <w:rPr>
          <w:rStyle w:val="FootnoteReference0"/>
        </w:rPr>
        <w:footnoteRef/>
      </w:r>
      <w:r>
        <w:tab/>
      </w:r>
      <w:r>
        <w:rPr>
          <w:sz w:val="18"/>
          <w:szCs w:val="18"/>
        </w:rPr>
        <w:t>AC = Contract Staff; AL = Local Staff; END = Seconded National Expert; INT= agency staff; JPD= Junior Professionals in Delegations.</w:t>
      </w:r>
    </w:p>
  </w:footnote>
  <w:footnote w:id="46">
    <w:p>
      <w:pPr>
        <w:pStyle w:val="FootnoteText"/>
      </w:pPr>
      <w:r>
        <w:rPr>
          <w:rStyle w:val="FootnoteReference0"/>
        </w:rPr>
        <w:footnoteRef/>
      </w:r>
      <w:r>
        <w:tab/>
      </w:r>
      <w:r>
        <w:rPr>
          <w:sz w:val="18"/>
          <w:szCs w:val="18"/>
        </w:rPr>
        <w:t>Please choose the relevant budget line, or specify another if necessary; in case more budget lines are concerned, staff should be differentiated by each budget line concerned</w:t>
      </w:r>
    </w:p>
  </w:footnote>
  <w:footnote w:id="47">
    <w:p>
      <w:pPr>
        <w:pStyle w:val="FootnoteText"/>
        <w:spacing w:after="120"/>
      </w:pPr>
      <w:r>
        <w:rPr>
          <w:rStyle w:val="FootnoteReference0"/>
        </w:rPr>
        <w:footnoteRef/>
      </w:r>
      <w:r>
        <w:tab/>
      </w:r>
      <w:r>
        <w:rPr>
          <w:sz w:val="18"/>
          <w:szCs w:val="18"/>
        </w:rPr>
        <w:t>AC = Contract Staff; AL = Local Staff; END = Seconded National Expert; INT= agency staff; JPD= Junior Professionals in Delegations.</w:t>
      </w:r>
    </w:p>
  </w:footnote>
  <w:footnote w:id="48">
    <w:p>
      <w:pPr>
        <w:pStyle w:val="FootnoteText"/>
      </w:pPr>
      <w:r>
        <w:rPr>
          <w:rStyle w:val="FootnoteReference0"/>
        </w:rPr>
        <w:footnoteRef/>
      </w:r>
      <w:r>
        <w:tab/>
      </w:r>
      <w:r>
        <w:rPr>
          <w:sz w:val="18"/>
          <w:szCs w:val="18"/>
        </w:rPr>
        <w:t>Please choose the relevant budget line, or specify another if necessary; in case more budget lines are concerned, staff should be differentiated by each budget line concerned</w:t>
      </w:r>
    </w:p>
  </w:footnote>
  <w:footnote w:id="49">
    <w:p>
      <w:pPr>
        <w:pStyle w:val="FootnoteText"/>
      </w:pPr>
      <w:r>
        <w:rPr>
          <w:rStyle w:val="FootnoteReference0"/>
        </w:rPr>
        <w:footnoteRef/>
      </w:r>
      <w:r>
        <w:tab/>
      </w:r>
      <w:r>
        <w:rPr>
          <w:sz w:val="18"/>
          <w:szCs w:val="18"/>
        </w:rPr>
        <w:t>Specify the type of committee and the group to which it belongs.</w:t>
      </w:r>
    </w:p>
  </w:footnote>
  <w:footnote w:id="50">
    <w:p>
      <w:pPr>
        <w:pStyle w:val="FootnoteText"/>
        <w:rPr>
          <w:lang w:val="ca-ES-valencia"/>
        </w:rPr>
      </w:pPr>
      <w:r>
        <w:rPr>
          <w:rStyle w:val="FootnoteReference0"/>
        </w:rPr>
        <w:footnoteRef/>
      </w:r>
      <w:r>
        <w:rPr>
          <w:sz w:val="18"/>
          <w:szCs w:val="18"/>
        </w:rPr>
        <w:tab/>
        <w:t>The opinion of DG DIGIT – IT Investments Team is required (see the Guidelines on Financing of IT, C(2020)6126 final of 10.9.2020, page 7)</w:t>
      </w:r>
    </w:p>
  </w:footnote>
  <w:footnote w:id="51">
    <w:p>
      <w:pPr>
        <w:pStyle w:val="FootnoteText"/>
      </w:pPr>
      <w:r>
        <w:rPr>
          <w:rStyle w:val="FootnoteReference0"/>
        </w:rPr>
        <w:footnoteRef/>
      </w:r>
      <w:r>
        <w:tab/>
      </w:r>
      <w:r>
        <w:rPr>
          <w:sz w:val="18"/>
          <w:szCs w:val="18"/>
        </w:rPr>
        <w:t>Year N is the year in which implementation of the proposal/initiative starts. Please replace "N" by the expected first year of implementation (for instance: 2021). The same for the following years</w:t>
      </w:r>
    </w:p>
  </w:footnote>
  <w:footnote w:id="52">
    <w:p>
      <w:pPr>
        <w:pStyle w:val="FootnoteText"/>
      </w:pPr>
      <w:r>
        <w:rPr>
          <w:rStyle w:val="FootnoteReference0"/>
        </w:rPr>
        <w:footnoteRef/>
      </w:r>
      <w:r>
        <w:tab/>
      </w:r>
      <w:r>
        <w:rPr>
          <w:sz w:val="18"/>
          <w:szCs w:val="18"/>
        </w:rPr>
        <w:t>The opinion of DG DIGIT – IT Investments Team is required (see the Guidelines on Financing of IT, C(2020)6126 final of 10.9.2020, page 7)</w:t>
      </w:r>
    </w:p>
  </w:footnote>
  <w:footnote w:id="53">
    <w:p>
      <w:pPr>
        <w:pStyle w:val="FootnoteText"/>
      </w:pPr>
      <w:r>
        <w:rPr>
          <w:rStyle w:val="FootnoteReference0"/>
        </w:rPr>
        <w:footnoteRef/>
      </w:r>
      <w:r>
        <w:tab/>
      </w:r>
      <w:r>
        <w:rPr>
          <w:sz w:val="18"/>
          <w:szCs w:val="18"/>
        </w:rPr>
        <w:t>This item includes local administrative systems and contributions to the co-financing of corporate IT systems (see the Guidelines on Financing of IT, C(2020)6126 final of 10.9.2020)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B6B8F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2DE3712"/>
    <w:lvl w:ilvl="0">
      <w:start w:val="1"/>
      <w:numFmt w:val="decimal"/>
      <w:pStyle w:val="ListNumber3"/>
      <w:lvlText w:val="%1."/>
      <w:lvlJc w:val="left"/>
      <w:pPr>
        <w:tabs>
          <w:tab w:val="num" w:pos="926"/>
        </w:tabs>
        <w:ind w:left="926" w:hanging="360"/>
      </w:pPr>
    </w:lvl>
  </w:abstractNum>
  <w:abstractNum w:abstractNumId="2">
    <w:nsid w:val="FFFFFF7F"/>
    <w:multiLevelType w:val="singleLevel"/>
    <w:tmpl w:val="26D8A5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AAA4DC1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77270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F76EA5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900A846"/>
    <w:lvl w:ilvl="0">
      <w:start w:val="1"/>
      <w:numFmt w:val="decimal"/>
      <w:pStyle w:val="ListNumber"/>
      <w:lvlText w:val="%1."/>
      <w:lvlJc w:val="left"/>
      <w:pPr>
        <w:tabs>
          <w:tab w:val="num" w:pos="360"/>
        </w:tabs>
        <w:ind w:left="360" w:hanging="360"/>
      </w:pPr>
    </w:lvl>
  </w:abstractNum>
  <w:abstractNum w:abstractNumId="7">
    <w:nsid w:val="FFFFFF89"/>
    <w:multiLevelType w:val="singleLevel"/>
    <w:tmpl w:val="966AC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AFB1E70"/>
    <w:multiLevelType w:val="hybridMultilevel"/>
    <w:tmpl w:val="BE728E3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20"/>
  </w:num>
  <w:num w:numId="12">
    <w:abstractNumId w:val="19"/>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5"/>
  </w:num>
  <w:num w:numId="24">
    <w:abstractNumId w:val="26"/>
  </w:num>
  <w:num w:numId="25">
    <w:abstractNumId w:val="13"/>
  </w:num>
  <w:num w:numId="26">
    <w:abstractNumId w:val="16"/>
  </w:num>
  <w:num w:numId="27">
    <w:abstractNumId w:val="17"/>
  </w:num>
  <w:num w:numId="28">
    <w:abstractNumId w:val="10"/>
  </w:num>
  <w:num w:numId="29">
    <w:abstractNumId w:val="25"/>
  </w:num>
  <w:num w:numId="30">
    <w:abstractNumId w:val="9"/>
  </w:num>
  <w:num w:numId="31">
    <w:abstractNumId w:val="18"/>
  </w:num>
  <w:num w:numId="32">
    <w:abstractNumId w:val="22"/>
  </w:num>
  <w:num w:numId="33">
    <w:abstractNumId w:val="23"/>
  </w:num>
  <w:num w:numId="34">
    <w:abstractNumId w:val="12"/>
  </w:num>
  <w:num w:numId="35">
    <w:abstractNumId w:val="21"/>
  </w:num>
  <w:num w:numId="36">
    <w:abstractNumId w:val="27"/>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AN CLEVE Sabine (EAC)">
    <w15:presenceInfo w15:providerId="AD" w15:userId="S-1-5-21-1606980848-2025429265-839522115-2599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nl-BE" w:vendorID="64" w:dllVersion="6" w:nlCheck="1" w:checkStyle="0"/>
  <w:activeWritingStyle w:appName="MSWord" w:lang="fr-FR"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ttachedTemplate r:id="rId1"/>
  <w:defaultTabStop w:val="720"/>
  <w:hyphenationZone w:val="425"/>
  <w:characterSpacingControl w:val="doNotCompress"/>
  <w:hdrShapeDefaults>
    <o:shapedefaults v:ext="edit" spidmax="1146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0-13 20:23:19"/>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36"/>
    <w:docVar w:name="DQCResult_ModifiedMarkers" w:val="0;0"/>
    <w:docVar w:name="DQCResult_ModifiedNumbering" w:val="0;0"/>
    <w:docVar w:name="DQCResult_Objects" w:val="0;0"/>
    <w:docVar w:name="DQCResult_Sections" w:val="0;0"/>
    <w:docVar w:name="DQCResult_StructureCheck" w:val="0;0"/>
    <w:docVar w:name="DQCResult_SuperfluousWhitespace" w:val="0;66"/>
    <w:docVar w:name="DQCResult_UnknownFonts" w:val="0;0"/>
    <w:docVar w:name="DQCResult_UnknownStyles" w:val="0;3"/>
    <w:docVar w:name="DQCStatus" w:val="Yellow"/>
    <w:docVar w:name="DQCVersion" w:val="3"/>
    <w:docVar w:name="DQCWithWarnings" w:val="0"/>
    <w:docVar w:name="LW_CORRIGENDUM" w:val="&lt;UNUSED&gt;"/>
    <w:docVar w:name="LW_COVERPAGE_EXISTS" w:val="True"/>
    <w:docVar w:name="LW_COVERPAGE_GUID" w:val="FC6C176D-AA45-4B03-A211-83149E7C4246"/>
    <w:docVar w:name="LW_COVERPAGE_TYPE" w:val="1"/>
    <w:docVar w:name="LW_CROSSREFERENCE" w:val="&lt;UNUSED&gt;"/>
    <w:docVar w:name="LW_DocType" w:val="COM"/>
    <w:docVar w:name="LW_EMISSION" w:val="14.10.2021"/>
    <w:docVar w:name="LW_EMISSION_ISODATE" w:val="2021-10-14"/>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328"/>
    <w:docVar w:name="LW_REF.II.NEW.CP_YEAR" w:val="2021"/>
    <w:docVar w:name="LW_REF.INST.NEW" w:val="COM"/>
    <w:docVar w:name="LW_REF.INST.NEW_ADOPTED" w:val="final"/>
    <w:docVar w:name="LW_REF.INST.NEW_TEXT" w:val="(2021) 6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European Year of Youth 2022"/>
    <w:docVar w:name="LW_TYPE.DOC.CP" w:val="DECISION OF THE EUROPEAN PARLIAMENT AND OF THE COUNCI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table of figures"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style>
  <w:style w:type="character" w:styleId="Hyperlink">
    <w:name w:val="Hyperlink"/>
    <w:basedOn w:val="DefaultParagraphFont"/>
    <w:uiPriority w:val="99"/>
    <w:unhideWhenUsed/>
    <w:rPr>
      <w:color w:val="0000FF"/>
      <w:u w:val="single"/>
    </w:rPr>
  </w:style>
  <w:style w:type="paragraph" w:customStyle="1" w:styleId="li">
    <w:name w:val="li"/>
    <w:basedOn w:val="Normal"/>
    <w:pPr>
      <w:spacing w:before="100" w:beforeAutospacing="1" w:after="100" w:afterAutospacing="1"/>
      <w:jc w:val="left"/>
    </w:pPr>
    <w:rPr>
      <w:rFonts w:eastAsia="Times New Roman"/>
      <w:szCs w:val="24"/>
      <w:lang w:eastAsia="en-GB"/>
    </w:rPr>
  </w:style>
  <w:style w:type="character" w:customStyle="1" w:styleId="num">
    <w:name w:val="num"/>
    <w:basedOn w:val="DefaultParagraphFont"/>
  </w:style>
  <w:style w:type="paragraph" w:customStyle="1" w:styleId="corpo">
    <w:name w:val="corpo"/>
    <w:basedOn w:val="Normal"/>
    <w:pPr>
      <w:spacing w:before="100" w:beforeAutospacing="1" w:after="100" w:afterAutospacing="1"/>
      <w:jc w:val="left"/>
    </w:pPr>
    <w:rPr>
      <w:rFonts w:eastAsia="Times New Roman"/>
      <w:szCs w:val="24"/>
      <w:lang w:eastAsia="en-GB"/>
    </w:rPr>
  </w:style>
  <w:style w:type="paragraph" w:styleId="ListParagraph">
    <w:name w:val="List Paragraph"/>
    <w:basedOn w:val="Normal"/>
    <w:uiPriority w:val="34"/>
    <w:qFormat/>
    <w:pPr>
      <w:ind w:left="720"/>
      <w:contextualSpacing/>
    </w:pPr>
  </w:style>
  <w:style w:type="paragraph" w:customStyle="1" w:styleId="titrearticle">
    <w:name w:val="titrearticle"/>
    <w:basedOn w:val="Normal"/>
    <w:pPr>
      <w:spacing w:before="100" w:beforeAutospacing="1" w:after="100" w:afterAutospacing="1"/>
      <w:jc w:val="left"/>
    </w:pPr>
    <w:rPr>
      <w:rFonts w:eastAsia="Times New Roman"/>
      <w:szCs w:val="24"/>
      <w:lang w:eastAsia="en-GB"/>
    </w:rPr>
  </w:style>
  <w:style w:type="paragraph" w:styleId="NormalWeb">
    <w:name w:val="Normal (Web)"/>
    <w:basedOn w:val="Normal"/>
    <w:uiPriority w:val="99"/>
    <w:unhideWhenUsed/>
    <w:pPr>
      <w:spacing w:before="100" w:beforeAutospacing="1" w:after="100" w:afterAutospacing="1"/>
      <w:jc w:val="left"/>
    </w:pPr>
    <w:rPr>
      <w:szCs w:val="24"/>
      <w:lang w:val="en-U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customStyle="1" w:styleId="Style1">
    <w:name w:val="Style1"/>
    <w:basedOn w:val="Normal"/>
    <w:link w:val="Style1Char"/>
    <w:qFormat/>
    <w:pPr>
      <w:autoSpaceDE w:val="0"/>
      <w:autoSpaceDN w:val="0"/>
      <w:adjustRightInd w:val="0"/>
      <w:spacing w:line="264" w:lineRule="auto"/>
    </w:pPr>
    <w:rPr>
      <w:rFonts w:eastAsia="Calibri"/>
      <w:color w:val="000000" w:themeColor="text1"/>
      <w:szCs w:val="24"/>
      <w:lang w:val="en-IE"/>
    </w:rPr>
  </w:style>
  <w:style w:type="character" w:customStyle="1" w:styleId="Style1Char">
    <w:name w:val="Style1 Char"/>
    <w:basedOn w:val="DefaultParagraphFont"/>
    <w:link w:val="Style1"/>
    <w:rPr>
      <w:rFonts w:ascii="Times New Roman" w:eastAsia="Calibri" w:hAnsi="Times New Roman" w:cs="Times New Roman"/>
      <w:color w:val="000000" w:themeColor="text1"/>
      <w:sz w:val="24"/>
      <w:szCs w:val="24"/>
      <w:lang w:val="en-IE"/>
    </w:rPr>
  </w:style>
  <w:style w:type="paragraph" w:customStyle="1" w:styleId="text10">
    <w:name w:val="text1"/>
    <w:basedOn w:val="Normal"/>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character" w:styleId="FollowedHyperlink">
    <w:name w:val="FollowedHyperlink"/>
    <w:basedOn w:val="DefaultParagraphFont"/>
    <w:uiPriority w:val="99"/>
    <w:unhideWhenUsed/>
    <w:rPr>
      <w:color w:val="800080" w:themeColor="followedHyperlink"/>
      <w:u w:val="single"/>
    </w:rPr>
  </w:style>
  <w:style w:type="table" w:styleId="TableGrid">
    <w:name w:val="Table Grid"/>
    <w:basedOn w:val="TableNormal"/>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Titrearticle0">
    <w:name w:val="Titre article"/>
    <w:basedOn w:val="Normal"/>
    <w:next w:val="Normal"/>
    <w:pPr>
      <w:keepNext/>
      <w:spacing w:before="360"/>
      <w:jc w:val="center"/>
    </w:pPr>
    <w:rPr>
      <w:i/>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5"/>
      </w:numPr>
      <w:contextualSpacing/>
    </w:pPr>
  </w:style>
  <w:style w:type="paragraph" w:styleId="ListNumber2">
    <w:name w:val="List Number 2"/>
    <w:basedOn w:val="Normal"/>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nhideWhenUsed/>
    <w:pPr>
      <w:numPr>
        <w:numId w:val="8"/>
      </w:numPr>
      <w:contextualSpacing/>
    </w:pPr>
  </w:style>
  <w:style w:type="paragraph" w:customStyle="1" w:styleId="Titrearticle00">
    <w:name w:val="Titre article0"/>
    <w:basedOn w:val="Normal"/>
    <w:next w:val="Normal"/>
    <w:pPr>
      <w:keepNext/>
      <w:spacing w:before="360"/>
      <w:jc w:val="center"/>
    </w:pPr>
    <w:rPr>
      <w:i/>
    </w:rPr>
  </w:style>
  <w:style w:type="paragraph" w:customStyle="1" w:styleId="Titrearticle1">
    <w:name w:val="Titre article1"/>
    <w:basedOn w:val="Normal"/>
    <w:next w:val="Normal"/>
    <w:pPr>
      <w:keepNext/>
      <w:spacing w:before="360"/>
      <w:jc w:val="center"/>
    </w:pPr>
    <w:rPr>
      <w:i/>
    </w:rPr>
  </w:style>
  <w:style w:type="paragraph" w:customStyle="1" w:styleId="Titrearticle2">
    <w:name w:val="Titre article2"/>
    <w:basedOn w:val="Normal"/>
    <w:next w:val="Normal"/>
    <w:pPr>
      <w:keepNext/>
      <w:spacing w:before="360"/>
      <w:jc w:val="center"/>
    </w:pPr>
    <w:rPr>
      <w:i/>
    </w:rPr>
  </w:style>
  <w:style w:type="paragraph" w:customStyle="1" w:styleId="Titrearticle3">
    <w:name w:val="Titre article3"/>
    <w:basedOn w:val="Normal"/>
    <w:next w:val="Normal"/>
    <w:pPr>
      <w:keepNext/>
      <w:spacing w:before="360"/>
      <w:jc w:val="center"/>
    </w:pPr>
    <w:rPr>
      <w:i/>
    </w:rPr>
  </w:style>
  <w:style w:type="paragraph" w:customStyle="1" w:styleId="ListBullet1">
    <w:name w:val="List Bullet 1"/>
    <w:basedOn w:val="Normal"/>
    <w:pPr>
      <w:numPr>
        <w:numId w:val="9"/>
      </w:numPr>
    </w:pPr>
    <w:rPr>
      <w:lang w:eastAsia="en-GB"/>
    </w:rPr>
  </w:style>
  <w:style w:type="paragraph" w:customStyle="1" w:styleId="ListDash">
    <w:name w:val="List Dash"/>
    <w:basedOn w:val="Normal"/>
    <w:pPr>
      <w:numPr>
        <w:numId w:val="10"/>
      </w:numPr>
    </w:pPr>
    <w:rPr>
      <w:lang w:eastAsia="en-GB"/>
    </w:rPr>
  </w:style>
  <w:style w:type="paragraph" w:customStyle="1" w:styleId="ListDash1">
    <w:name w:val="List Dash 1"/>
    <w:basedOn w:val="Normal"/>
    <w:pPr>
      <w:numPr>
        <w:numId w:val="11"/>
      </w:numPr>
    </w:pPr>
    <w:rPr>
      <w:lang w:eastAsia="en-GB"/>
    </w:rPr>
  </w:style>
  <w:style w:type="paragraph" w:customStyle="1" w:styleId="ListDash2">
    <w:name w:val="List Dash 2"/>
    <w:basedOn w:val="Normal"/>
    <w:pPr>
      <w:numPr>
        <w:numId w:val="12"/>
      </w:numPr>
    </w:pPr>
    <w:rPr>
      <w:lang w:eastAsia="en-GB"/>
    </w:rPr>
  </w:style>
  <w:style w:type="paragraph" w:customStyle="1" w:styleId="ListNumberLevel2">
    <w:name w:val="List Number (Level 2)"/>
    <w:basedOn w:val="Normal"/>
    <w:pPr>
      <w:tabs>
        <w:tab w:val="num" w:pos="1417"/>
      </w:tabs>
      <w:ind w:left="1417" w:hanging="708"/>
    </w:pPr>
    <w:rPr>
      <w:lang w:eastAsia="en-GB"/>
    </w:rPr>
  </w:style>
  <w:style w:type="paragraph" w:customStyle="1" w:styleId="ListNumberLevel3">
    <w:name w:val="List Number (Level 3)"/>
    <w:basedOn w:val="Normal"/>
    <w:pPr>
      <w:tabs>
        <w:tab w:val="num" w:pos="2126"/>
      </w:tabs>
      <w:ind w:left="2126" w:hanging="709"/>
    </w:pPr>
    <w:rPr>
      <w:lang w:eastAsia="en-GB"/>
    </w:rPr>
  </w:style>
  <w:style w:type="paragraph" w:customStyle="1" w:styleId="ListNumberLevel4">
    <w:name w:val="List Number (Level 4)"/>
    <w:basedOn w:val="Normal"/>
    <w:pPr>
      <w:tabs>
        <w:tab w:val="num" w:pos="2835"/>
      </w:tabs>
      <w:ind w:left="2835" w:hanging="709"/>
    </w:pPr>
    <w:rPr>
      <w:lang w:eastAsia="en-GB"/>
    </w:rPr>
  </w:style>
  <w:style w:type="paragraph" w:customStyle="1" w:styleId="Sous-titreobjet">
    <w:name w:val="Sous-titre objet"/>
    <w:basedOn w:val="Normal"/>
    <w:pPr>
      <w:spacing w:before="0" w:after="0"/>
      <w:jc w:val="center"/>
    </w:pPr>
    <w:rPr>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en-GB"/>
    </w:rPr>
  </w:style>
  <w:style w:type="character" w:customStyle="1" w:styleId="FooterCoverPageChar">
    <w:name w:val="Footer Cover Page Char"/>
    <w:basedOn w:val="TOCHeadingChar"/>
    <w:link w:val="FooterCoverPage"/>
    <w:rPr>
      <w:rFonts w:ascii="Times New Roman" w:hAnsi="Times New Roman" w:cs="Times New Roman"/>
      <w:b w:val="0"/>
      <w:sz w:val="24"/>
      <w:lang w:val="en-GB"/>
    </w:rPr>
  </w:style>
  <w:style w:type="paragraph" w:customStyle="1" w:styleId="HeaderCoverPage">
    <w:name w:val="Header Cover Page"/>
    <w:basedOn w:val="Normal"/>
    <w:link w:val="HeaderCoverPageChar"/>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Pr>
      <w:rFonts w:ascii="Times New Roman" w:hAnsi="Times New Roman" w:cs="Times New Roman"/>
      <w:b w:val="0"/>
      <w:sz w:val="24"/>
      <w:lang w:val="en-GB" w:eastAsia="en-GB"/>
    </w:rPr>
  </w:style>
  <w:style w:type="paragraph" w:customStyle="1" w:styleId="paragraph">
    <w:name w:val="paragraph"/>
    <w:basedOn w:val="Normal"/>
    <w:pPr>
      <w:spacing w:before="100" w:beforeAutospacing="1" w:after="100" w:afterAutospacing="1"/>
      <w:jc w:val="left"/>
    </w:pPr>
    <w:rPr>
      <w:rFonts w:eastAsia="Times New Roman"/>
      <w:szCs w:val="24"/>
      <w:lang w:eastAsia="en-GB"/>
    </w:rPr>
  </w:style>
  <w:style w:type="character" w:customStyle="1" w:styleId="eop">
    <w:name w:val="eop"/>
    <w:basedOn w:val="DefaultParagraphFont"/>
  </w:style>
  <w:style w:type="character" w:customStyle="1" w:styleId="normaltextrun">
    <w:name w:val="normaltextrun"/>
    <w:basedOn w:val="DefaultParagraphFont"/>
  </w:style>
  <w:style w:type="character" w:customStyle="1" w:styleId="superscript">
    <w:name w:val="superscript"/>
    <w:basedOn w:val="DefaultParagraphFont"/>
  </w:style>
  <w:style w:type="paragraph" w:customStyle="1" w:styleId="Style2">
    <w:name w:val="Style2"/>
    <w:basedOn w:val="ManualHeading4"/>
    <w:qFormat/>
    <w:pPr>
      <w:tabs>
        <w:tab w:val="num" w:pos="850"/>
      </w:tabs>
    </w:pPr>
    <w:rPr>
      <w:noProof/>
    </w:rPr>
  </w:style>
  <w:style w:type="character" w:styleId="PageNumber">
    <w:name w:val="page number"/>
    <w:rPr>
      <w:rFonts w:cs="Times New Roman"/>
      <w:lang w:val="en-GB" w:eastAsia="en-GB"/>
    </w:rPr>
  </w:style>
  <w:style w:type="character" w:customStyle="1" w:styleId="tw4winMark">
    <w:name w:val="tw4winMark"/>
    <w:rPr>
      <w:rFonts w:ascii="Times New Roman" w:hAnsi="Times New Roman"/>
      <w:vanish/>
      <w:color w:val="800080"/>
      <w:sz w:val="24"/>
      <w:vertAlign w:val="subscript"/>
      <w:lang w:val="en-GB" w:eastAsia="en-GB"/>
    </w:rPr>
  </w:style>
  <w:style w:type="character" w:customStyle="1" w:styleId="tw4winError">
    <w:name w:val="tw4winError"/>
    <w:rPr>
      <w:color w:val="00FF00"/>
      <w:sz w:val="40"/>
      <w:lang w:val="en-GB" w:eastAsia="en-GB"/>
    </w:rPr>
  </w:style>
  <w:style w:type="character" w:customStyle="1" w:styleId="tw4winTerm">
    <w:name w:val="tw4winTerm"/>
    <w:rPr>
      <w:color w:val="0000FF"/>
      <w:lang w:val="en-GB" w:eastAsia="en-GB"/>
    </w:rPr>
  </w:style>
  <w:style w:type="character" w:customStyle="1" w:styleId="tw4winPopup">
    <w:name w:val="tw4winPopup"/>
    <w:rPr>
      <w:noProof/>
      <w:color w:val="008000"/>
      <w:lang w:val="en-GB" w:eastAsia="en-GB"/>
    </w:rPr>
  </w:style>
  <w:style w:type="character" w:customStyle="1" w:styleId="tw4winJump">
    <w:name w:val="tw4winJump"/>
    <w:rPr>
      <w:noProof/>
      <w:color w:val="008080"/>
      <w:lang w:val="en-GB" w:eastAsia="en-GB"/>
    </w:rPr>
  </w:style>
  <w:style w:type="character" w:customStyle="1" w:styleId="tw4winExternal">
    <w:name w:val="tw4winExternal"/>
    <w:rPr>
      <w:noProof/>
      <w:color w:val="808080"/>
      <w:lang w:val="en-GB" w:eastAsia="en-GB"/>
    </w:rPr>
  </w:style>
  <w:style w:type="character" w:customStyle="1" w:styleId="tw4winInternal">
    <w:name w:val="tw4winInternal"/>
    <w:rPr>
      <w:noProof/>
      <w:color w:val="FF0000"/>
      <w:lang w:val="en-GB" w:eastAsia="en-GB"/>
    </w:rPr>
  </w:style>
  <w:style w:type="character" w:customStyle="1" w:styleId="DONOTTRANSLATE">
    <w:name w:val="DO_NOT_TRANSLATE"/>
    <w:rPr>
      <w:noProof/>
      <w:color w:val="800000"/>
      <w:lang w:val="en-GB" w:eastAsia="en-GB"/>
    </w:rPr>
  </w:style>
  <w:style w:type="paragraph" w:customStyle="1" w:styleId="Titrearticle4">
    <w:name w:val="Titre article4"/>
    <w:basedOn w:val="Normal"/>
    <w:next w:val="Normal"/>
    <w:pPr>
      <w:keepNext/>
      <w:spacing w:before="360"/>
      <w:jc w:val="center"/>
    </w:pPr>
    <w:rPr>
      <w:i/>
    </w:rPr>
  </w:style>
  <w:style w:type="paragraph" w:customStyle="1" w:styleId="Titrearticle5">
    <w:name w:val="Titre article5"/>
    <w:basedOn w:val="Normal"/>
    <w:next w:val="Normal"/>
    <w:pPr>
      <w:keepNext/>
      <w:spacing w:before="360"/>
      <w:jc w:val="center"/>
    </w:pPr>
    <w:rPr>
      <w:i/>
    </w:rPr>
  </w:style>
  <w:style w:type="paragraph" w:customStyle="1" w:styleId="Titrearticle6">
    <w:name w:val="Titre article6"/>
    <w:basedOn w:val="Normal"/>
    <w:next w:val="Normal"/>
    <w:pPr>
      <w:keepNext/>
      <w:spacing w:before="360"/>
      <w:jc w:val="center"/>
    </w:pPr>
    <w:rPr>
      <w:i/>
    </w:rPr>
  </w:style>
  <w:style w:type="paragraph" w:customStyle="1" w:styleId="Titrearticle7">
    <w:name w:val="Titre article7"/>
    <w:basedOn w:val="Normal"/>
    <w:next w:val="Normal"/>
    <w:pPr>
      <w:keepNext/>
      <w:spacing w:before="360"/>
      <w:jc w:val="center"/>
    </w:pPr>
    <w:rPr>
      <w:i/>
    </w:rPr>
  </w:style>
  <w:style w:type="paragraph" w:customStyle="1" w:styleId="Titrearticle8">
    <w:name w:val="Titre article8"/>
    <w:basedOn w:val="Normal"/>
    <w:next w:val="Normal"/>
    <w:pPr>
      <w:keepNext/>
      <w:spacing w:before="360"/>
      <w:jc w:val="center"/>
    </w:pPr>
    <w:rPr>
      <w:i/>
    </w:rPr>
  </w:style>
  <w:style w:type="paragraph" w:customStyle="1" w:styleId="Titrearticle9">
    <w:name w:val="Titre article9"/>
    <w:basedOn w:val="Normal"/>
    <w:next w:val="Normal"/>
    <w:pPr>
      <w:keepNext/>
      <w:spacing w:before="360"/>
      <w:jc w:val="center"/>
    </w:pPr>
    <w:rPr>
      <w:i/>
    </w:rPr>
  </w:style>
  <w:style w:type="paragraph" w:customStyle="1" w:styleId="Titrearticle10">
    <w:name w:val="Titre article10"/>
    <w:basedOn w:val="Normal"/>
    <w:next w:val="Normal"/>
    <w:pPr>
      <w:keepNext/>
      <w:spacing w:before="360"/>
      <w:jc w:val="center"/>
    </w:pPr>
    <w:rPr>
      <w:i/>
    </w:rPr>
  </w:style>
  <w:style w:type="paragraph" w:customStyle="1" w:styleId="Titrearticle11">
    <w:name w:val="Titre article11"/>
    <w:basedOn w:val="Normal"/>
    <w:next w:val="Normal"/>
    <w:pPr>
      <w:keepNext/>
      <w:spacing w:before="360"/>
      <w:jc w:val="center"/>
    </w:pPr>
    <w:rPr>
      <w:i/>
    </w:rPr>
  </w:style>
  <w:style w:type="paragraph" w:customStyle="1" w:styleId="Titrearticle12">
    <w:name w:val="Titre article12"/>
    <w:basedOn w:val="Normal"/>
    <w:next w:val="Normal"/>
    <w:pPr>
      <w:keepNext/>
      <w:spacing w:before="360"/>
      <w:jc w:val="center"/>
    </w:pPr>
    <w:rPr>
      <w:i/>
    </w:rPr>
  </w:style>
  <w:style w:type="paragraph" w:customStyle="1" w:styleId="Titrearticle13">
    <w:name w:val="Titre article13"/>
    <w:basedOn w:val="Normal"/>
    <w:next w:val="Normal"/>
    <w:pPr>
      <w:keepNext/>
      <w:spacing w:before="360"/>
      <w:jc w:val="center"/>
    </w:pPr>
    <w:rPr>
      <w:i/>
    </w:rPr>
  </w:style>
  <w:style w:type="paragraph" w:customStyle="1" w:styleId="Titrearticle14">
    <w:name w:val="Titre article14"/>
    <w:basedOn w:val="Normal"/>
    <w:next w:val="Normal"/>
    <w:pPr>
      <w:keepNext/>
      <w:spacing w:before="360"/>
      <w:jc w:val="center"/>
    </w:pPr>
    <w:rPr>
      <w:i/>
    </w:rPr>
  </w:style>
  <w:style w:type="paragraph" w:customStyle="1" w:styleId="Titrearticle15">
    <w:name w:val="Titre article15"/>
    <w:basedOn w:val="Normal"/>
    <w:next w:val="Normal"/>
    <w:pPr>
      <w:keepNext/>
      <w:spacing w:before="360"/>
      <w:jc w:val="center"/>
    </w:pPr>
    <w:rPr>
      <w:i/>
    </w:rPr>
  </w:style>
  <w:style w:type="paragraph" w:customStyle="1" w:styleId="Titrearticle16">
    <w:name w:val="Titre article16"/>
    <w:basedOn w:val="Normal"/>
    <w:next w:val="Normal"/>
    <w:pPr>
      <w:keepNext/>
      <w:spacing w:before="360"/>
      <w:jc w:val="center"/>
    </w:pPr>
    <w:rPr>
      <w:i/>
    </w:rPr>
  </w:style>
  <w:style w:type="paragraph" w:customStyle="1" w:styleId="Titrearticle17">
    <w:name w:val="Titre article17"/>
    <w:basedOn w:val="Normal"/>
    <w:next w:val="Normal"/>
    <w:pPr>
      <w:keepNext/>
      <w:spacing w:before="360"/>
      <w:jc w:val="center"/>
    </w:pPr>
    <w:rPr>
      <w:i/>
    </w:rPr>
  </w:style>
  <w:style w:type="paragraph" w:customStyle="1" w:styleId="Titrearticle18">
    <w:name w:val="Titre article18"/>
    <w:basedOn w:val="Normal"/>
    <w:next w:val="Normal"/>
    <w:pPr>
      <w:keepNext/>
      <w:spacing w:before="360"/>
      <w:jc w:val="center"/>
    </w:pPr>
    <w:rPr>
      <w:i/>
    </w:rPr>
  </w:style>
  <w:style w:type="paragraph" w:customStyle="1" w:styleId="Titrearticle19">
    <w:name w:val="Titre article19"/>
    <w:basedOn w:val="Normal"/>
    <w:next w:val="Normal"/>
    <w:pPr>
      <w:keepNext/>
      <w:spacing w:before="360"/>
      <w:jc w:val="center"/>
    </w:pPr>
    <w:rPr>
      <w:i/>
    </w:rPr>
  </w:style>
  <w:style w:type="paragraph" w:customStyle="1" w:styleId="Titrearticle20">
    <w:name w:val="Titre article20"/>
    <w:basedOn w:val="Normal"/>
    <w:next w:val="Normal"/>
    <w:pPr>
      <w:keepNext/>
      <w:spacing w:before="360"/>
      <w:jc w:val="center"/>
    </w:pPr>
    <w:rPr>
      <w:i/>
    </w:rPr>
  </w:style>
  <w:style w:type="paragraph" w:customStyle="1" w:styleId="Titrearticle21">
    <w:name w:val="Titre article21"/>
    <w:basedOn w:val="Normal"/>
    <w:next w:val="Normal"/>
    <w:pPr>
      <w:keepNext/>
      <w:spacing w:before="360"/>
      <w:jc w:val="center"/>
    </w:pPr>
    <w:rPr>
      <w:i/>
    </w:rPr>
  </w:style>
  <w:style w:type="character" w:customStyle="1" w:styleId="findhit">
    <w:name w:val="findhit"/>
    <w:basedOn w:val="DefaultParagraphFont"/>
  </w:style>
  <w:style w:type="paragraph" w:customStyle="1" w:styleId="Titrearticlea">
    <w:name w:val="Titre article"/>
    <w:basedOn w:val="Normal"/>
    <w:next w:val="Normal"/>
    <w:pPr>
      <w:keepNext/>
      <w:spacing w:before="360"/>
      <w:jc w:val="center"/>
    </w:pPr>
    <w:rPr>
      <w:i/>
    </w:rPr>
  </w:style>
  <w:style w:type="paragraph" w:customStyle="1" w:styleId="Titrearticleb">
    <w:name w:val="Titre article"/>
    <w:basedOn w:val="Normal"/>
    <w:next w:val="Normal"/>
    <w:pPr>
      <w:keepNext/>
      <w:spacing w:before="360"/>
      <w:jc w:val="center"/>
    </w:pPr>
    <w:rPr>
      <w:i/>
    </w:rPr>
  </w:style>
  <w:style w:type="paragraph" w:customStyle="1" w:styleId="Titrearticlec">
    <w:name w:val="Titre article"/>
    <w:basedOn w:val="Normal"/>
    <w:next w:val="Normal"/>
    <w:pPr>
      <w:keepNext/>
      <w:spacing w:before="360"/>
      <w:jc w:val="center"/>
    </w:pPr>
    <w:rPr>
      <w:i/>
    </w:rPr>
  </w:style>
  <w:style w:type="paragraph" w:customStyle="1" w:styleId="Titrearticled">
    <w:name w:val="Titre article"/>
    <w:basedOn w:val="Normal"/>
    <w:next w:val="Normal"/>
    <w:pPr>
      <w:keepNext/>
      <w:spacing w:before="360"/>
      <w:jc w:val="center"/>
    </w:pPr>
    <w:rPr>
      <w:i/>
    </w:rPr>
  </w:style>
  <w:style w:type="paragraph" w:customStyle="1" w:styleId="Titrearticlee">
    <w:name w:val="Titre article"/>
    <w:basedOn w:val="Normal"/>
    <w:next w:val="Normal"/>
    <w:pPr>
      <w:keepNext/>
      <w:spacing w:before="360"/>
      <w:jc w:val="center"/>
    </w:pPr>
    <w:rPr>
      <w:i/>
    </w:rPr>
  </w:style>
  <w:style w:type="paragraph" w:customStyle="1" w:styleId="Titrearticlef">
    <w:name w:val="Titre article"/>
    <w:basedOn w:val="Normal"/>
    <w:next w:val="Normal"/>
    <w:pPr>
      <w:keepNext/>
      <w:spacing w:before="360"/>
      <w:jc w:val="center"/>
    </w:pPr>
    <w:rPr>
      <w:i/>
    </w:rPr>
  </w:style>
  <w:style w:type="paragraph" w:customStyle="1" w:styleId="Titrearticlef0">
    <w:name w:val="Titre article"/>
    <w:basedOn w:val="Normal"/>
    <w:next w:val="Normal"/>
    <w:pPr>
      <w:keepNext/>
      <w:spacing w:before="360"/>
      <w:jc w:val="center"/>
    </w:pPr>
    <w:rPr>
      <w:i/>
    </w:rPr>
  </w:style>
  <w:style w:type="paragraph" w:customStyle="1" w:styleId="Titrearticlef1">
    <w:name w:val="Titre article"/>
    <w:basedOn w:val="Normal"/>
    <w:next w:val="Normal"/>
    <w:pPr>
      <w:keepNext/>
      <w:spacing w:before="360"/>
      <w:jc w:val="center"/>
    </w:pPr>
    <w:rPr>
      <w:i/>
    </w:rPr>
  </w:style>
  <w:style w:type="paragraph" w:customStyle="1" w:styleId="Titrearticlef2">
    <w:name w:val="Titre article"/>
    <w:basedOn w:val="Normal"/>
    <w:next w:val="Normal"/>
    <w:pPr>
      <w:keepNext/>
      <w:spacing w:before="360"/>
      <w:jc w:val="center"/>
    </w:pPr>
    <w:rPr>
      <w:i/>
    </w:rPr>
  </w:style>
  <w:style w:type="paragraph" w:customStyle="1" w:styleId="Titrearticlef3">
    <w:name w:val="Titre article"/>
    <w:basedOn w:val="Normal"/>
    <w:next w:val="Normal"/>
    <w:pPr>
      <w:keepNext/>
      <w:spacing w:before="360"/>
      <w:jc w:val="center"/>
    </w:pPr>
    <w:rPr>
      <w:i/>
    </w:rPr>
  </w:style>
  <w:style w:type="paragraph" w:customStyle="1" w:styleId="Titrearticlef4">
    <w:name w:val="Titre article"/>
    <w:basedOn w:val="Normal"/>
    <w:next w:val="Normal"/>
    <w:pPr>
      <w:keepNext/>
      <w:spacing w:before="360"/>
      <w:jc w:val="center"/>
    </w:pPr>
    <w:rPr>
      <w:i/>
    </w:rPr>
  </w:style>
  <w:style w:type="paragraph" w:customStyle="1" w:styleId="Titrearticlef5">
    <w:name w:val="Titre article"/>
    <w:basedOn w:val="Normal"/>
    <w:next w:val="Normal"/>
    <w:pPr>
      <w:keepNext/>
      <w:spacing w:before="360"/>
      <w:jc w:val="center"/>
    </w:pPr>
    <w:rPr>
      <w:i/>
    </w:rPr>
  </w:style>
  <w:style w:type="paragraph" w:customStyle="1" w:styleId="Titrearticlef6">
    <w:name w:val="Titre article"/>
    <w:basedOn w:val="Normal"/>
    <w:next w:val="Normal"/>
    <w:pPr>
      <w:keepNext/>
      <w:spacing w:before="360"/>
      <w:jc w:val="center"/>
    </w:pPr>
    <w:rPr>
      <w:i/>
    </w:rPr>
  </w:style>
  <w:style w:type="paragraph" w:customStyle="1" w:styleId="Titrearticlef7">
    <w:name w:val="Titre article"/>
    <w:basedOn w:val="Normal"/>
    <w:next w:val="Normal"/>
    <w:pPr>
      <w:keepNext/>
      <w:spacing w:before="360"/>
      <w:jc w:val="center"/>
    </w:pPr>
    <w:rPr>
      <w:i/>
    </w:rPr>
  </w:style>
  <w:style w:type="paragraph" w:customStyle="1" w:styleId="Titrearticlef8">
    <w:name w:val="Titre article"/>
    <w:basedOn w:val="Normal"/>
    <w:next w:val="Normal"/>
    <w:pPr>
      <w:keepNext/>
      <w:spacing w:before="360"/>
      <w:jc w:val="center"/>
    </w:pPr>
    <w:rPr>
      <w:i/>
    </w:rPr>
  </w:style>
  <w:style w:type="paragraph" w:customStyle="1" w:styleId="Titrearticlef9">
    <w:name w:val="Titre article"/>
    <w:basedOn w:val="Normal"/>
    <w:next w:val="Normal"/>
    <w:pPr>
      <w:keepNext/>
      <w:spacing w:before="360"/>
      <w:jc w:val="center"/>
    </w:pPr>
    <w:rPr>
      <w:i/>
    </w:rPr>
  </w:style>
  <w:style w:type="paragraph" w:customStyle="1" w:styleId="Titrearticlefa">
    <w:name w:val="Titre article"/>
    <w:basedOn w:val="Normal"/>
    <w:next w:val="Normal"/>
    <w:pPr>
      <w:keepNext/>
      <w:spacing w:before="360"/>
      <w:jc w:val="center"/>
    </w:pPr>
    <w:rPr>
      <w:i/>
    </w:rPr>
  </w:style>
  <w:style w:type="paragraph" w:customStyle="1" w:styleId="Titrearticlefb">
    <w:name w:val="Titre article"/>
    <w:basedOn w:val="Normal"/>
    <w:next w:val="Normal"/>
    <w:pPr>
      <w:keepNext/>
      <w:spacing w:before="360"/>
      <w:jc w:val="center"/>
    </w:pPr>
    <w:rPr>
      <w:i/>
    </w:rPr>
  </w:style>
  <w:style w:type="paragraph" w:customStyle="1" w:styleId="Titrearticlefc">
    <w:name w:val="Titre article"/>
    <w:basedOn w:val="Normal"/>
    <w:next w:val="Normal"/>
    <w:pPr>
      <w:keepNext/>
      <w:spacing w:before="360"/>
      <w:jc w:val="center"/>
    </w:pPr>
    <w:rPr>
      <w:i/>
    </w:rPr>
  </w:style>
  <w:style w:type="paragraph" w:customStyle="1" w:styleId="Titrearticlefd">
    <w:name w:val="Titre article"/>
    <w:basedOn w:val="Normal"/>
    <w:next w:val="Normal"/>
    <w:pPr>
      <w:keepNext/>
      <w:spacing w:before="360"/>
      <w:jc w:val="center"/>
    </w:pPr>
    <w:rPr>
      <w:i/>
    </w:rPr>
  </w:style>
  <w:style w:type="paragraph" w:customStyle="1" w:styleId="Titrearticlefe">
    <w:name w:val="Titre article"/>
    <w:basedOn w:val="Normal"/>
    <w:next w:val="Normal"/>
    <w:pPr>
      <w:keepNext/>
      <w:spacing w:before="360"/>
      <w:jc w:val="center"/>
    </w:pPr>
    <w:rPr>
      <w:i/>
    </w:rPr>
  </w:style>
  <w:style w:type="paragraph" w:customStyle="1" w:styleId="Titrearticleff">
    <w:name w:val="Titre article"/>
    <w:basedOn w:val="Normal"/>
    <w:next w:val="Normal"/>
    <w:pPr>
      <w:keepNext/>
      <w:spacing w:before="360"/>
      <w:jc w:val="center"/>
    </w:pPr>
    <w:rPr>
      <w:i/>
    </w:rPr>
  </w:style>
  <w:style w:type="paragraph" w:customStyle="1" w:styleId="Titrearticleff0">
    <w:name w:val="Titre article"/>
    <w:basedOn w:val="Normal"/>
    <w:next w:val="Normal"/>
    <w:pPr>
      <w:keepNext/>
      <w:spacing w:before="360"/>
      <w:jc w:val="center"/>
    </w:pPr>
    <w:rPr>
      <w:i/>
    </w:rPr>
  </w:style>
  <w:style w:type="paragraph" w:customStyle="1" w:styleId="Titrearticleff1">
    <w:name w:val="Titre article"/>
    <w:basedOn w:val="Normal"/>
    <w:next w:val="Normal"/>
    <w:pPr>
      <w:keepNext/>
      <w:spacing w:before="360"/>
      <w:jc w:val="center"/>
    </w:pPr>
    <w:rPr>
      <w:i/>
    </w:rPr>
  </w:style>
  <w:style w:type="paragraph" w:customStyle="1" w:styleId="Titrearticleff2">
    <w:name w:val="Titre article"/>
    <w:basedOn w:val="Normal"/>
    <w:next w:val="Normal"/>
    <w:pPr>
      <w:keepNext/>
      <w:spacing w:before="360"/>
      <w:jc w:val="center"/>
    </w:pPr>
    <w:rPr>
      <w:i/>
    </w:rPr>
  </w:style>
  <w:style w:type="paragraph" w:customStyle="1" w:styleId="Titrearticleff3">
    <w:name w:val="Titre article"/>
    <w:basedOn w:val="Normal"/>
    <w:next w:val="Normal"/>
    <w:pPr>
      <w:keepNext/>
      <w:spacing w:before="360"/>
      <w:jc w:val="center"/>
    </w:pPr>
    <w:rPr>
      <w:i/>
    </w:rPr>
  </w:style>
  <w:style w:type="paragraph" w:customStyle="1" w:styleId="Titrearticleff4">
    <w:name w:val="Titre article"/>
    <w:basedOn w:val="Normal"/>
    <w:next w:val="Normal"/>
    <w:pPr>
      <w:keepNext/>
      <w:spacing w:before="360"/>
      <w:jc w:val="center"/>
    </w:pPr>
    <w:rPr>
      <w:i/>
    </w:rPr>
  </w:style>
  <w:style w:type="paragraph" w:customStyle="1" w:styleId="Titrearticleff5">
    <w:name w:val="Titre article"/>
    <w:basedOn w:val="Normal"/>
    <w:next w:val="Normal"/>
    <w:pPr>
      <w:keepNext/>
      <w:spacing w:before="360"/>
      <w:jc w:val="center"/>
    </w:pPr>
    <w:rPr>
      <w:i/>
    </w:rPr>
  </w:style>
  <w:style w:type="paragraph" w:customStyle="1" w:styleId="Titrearticleff6">
    <w:name w:val="Titre article"/>
    <w:basedOn w:val="Normal"/>
    <w:next w:val="Normal"/>
    <w:pPr>
      <w:keepNext/>
      <w:spacing w:before="360"/>
      <w:jc w:val="center"/>
    </w:pPr>
    <w:rPr>
      <w:i/>
    </w:rPr>
  </w:style>
  <w:style w:type="paragraph" w:customStyle="1" w:styleId="Titrearticleff7">
    <w:name w:val="Titre article"/>
    <w:basedOn w:val="Normal"/>
    <w:next w:val="Normal"/>
    <w:pPr>
      <w:keepNext/>
      <w:spacing w:before="360"/>
      <w:jc w:val="center"/>
    </w:pPr>
    <w:rPr>
      <w:i/>
    </w:rPr>
  </w:style>
  <w:style w:type="paragraph" w:customStyle="1" w:styleId="Titrearticleff8">
    <w:name w:val="Titre article"/>
    <w:basedOn w:val="Normal"/>
    <w:next w:val="Normal"/>
    <w:pPr>
      <w:keepNext/>
      <w:spacing w:before="360"/>
      <w:jc w:val="center"/>
    </w:pPr>
    <w:rPr>
      <w:i/>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ff9"/>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ff9">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ff9"/>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table of figures"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style>
  <w:style w:type="character" w:styleId="Hyperlink">
    <w:name w:val="Hyperlink"/>
    <w:basedOn w:val="DefaultParagraphFont"/>
    <w:uiPriority w:val="99"/>
    <w:unhideWhenUsed/>
    <w:rPr>
      <w:color w:val="0000FF"/>
      <w:u w:val="single"/>
    </w:rPr>
  </w:style>
  <w:style w:type="paragraph" w:customStyle="1" w:styleId="li">
    <w:name w:val="li"/>
    <w:basedOn w:val="Normal"/>
    <w:pPr>
      <w:spacing w:before="100" w:beforeAutospacing="1" w:after="100" w:afterAutospacing="1"/>
      <w:jc w:val="left"/>
    </w:pPr>
    <w:rPr>
      <w:rFonts w:eastAsia="Times New Roman"/>
      <w:szCs w:val="24"/>
      <w:lang w:eastAsia="en-GB"/>
    </w:rPr>
  </w:style>
  <w:style w:type="character" w:customStyle="1" w:styleId="num">
    <w:name w:val="num"/>
    <w:basedOn w:val="DefaultParagraphFont"/>
  </w:style>
  <w:style w:type="paragraph" w:customStyle="1" w:styleId="corpo">
    <w:name w:val="corpo"/>
    <w:basedOn w:val="Normal"/>
    <w:pPr>
      <w:spacing w:before="100" w:beforeAutospacing="1" w:after="100" w:afterAutospacing="1"/>
      <w:jc w:val="left"/>
    </w:pPr>
    <w:rPr>
      <w:rFonts w:eastAsia="Times New Roman"/>
      <w:szCs w:val="24"/>
      <w:lang w:eastAsia="en-GB"/>
    </w:rPr>
  </w:style>
  <w:style w:type="paragraph" w:styleId="ListParagraph">
    <w:name w:val="List Paragraph"/>
    <w:basedOn w:val="Normal"/>
    <w:uiPriority w:val="34"/>
    <w:qFormat/>
    <w:pPr>
      <w:ind w:left="720"/>
      <w:contextualSpacing/>
    </w:pPr>
  </w:style>
  <w:style w:type="paragraph" w:customStyle="1" w:styleId="titrearticle">
    <w:name w:val="titrearticle"/>
    <w:basedOn w:val="Normal"/>
    <w:pPr>
      <w:spacing w:before="100" w:beforeAutospacing="1" w:after="100" w:afterAutospacing="1"/>
      <w:jc w:val="left"/>
    </w:pPr>
    <w:rPr>
      <w:rFonts w:eastAsia="Times New Roman"/>
      <w:szCs w:val="24"/>
      <w:lang w:eastAsia="en-GB"/>
    </w:rPr>
  </w:style>
  <w:style w:type="paragraph" w:styleId="NormalWeb">
    <w:name w:val="Normal (Web)"/>
    <w:basedOn w:val="Normal"/>
    <w:uiPriority w:val="99"/>
    <w:unhideWhenUsed/>
    <w:pPr>
      <w:spacing w:before="100" w:beforeAutospacing="1" w:after="100" w:afterAutospacing="1"/>
      <w:jc w:val="left"/>
    </w:pPr>
    <w:rPr>
      <w:szCs w:val="24"/>
      <w:lang w:val="en-U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customStyle="1" w:styleId="Style1">
    <w:name w:val="Style1"/>
    <w:basedOn w:val="Normal"/>
    <w:link w:val="Style1Char"/>
    <w:qFormat/>
    <w:pPr>
      <w:autoSpaceDE w:val="0"/>
      <w:autoSpaceDN w:val="0"/>
      <w:adjustRightInd w:val="0"/>
      <w:spacing w:line="264" w:lineRule="auto"/>
    </w:pPr>
    <w:rPr>
      <w:rFonts w:eastAsia="Calibri"/>
      <w:color w:val="000000" w:themeColor="text1"/>
      <w:szCs w:val="24"/>
      <w:lang w:val="en-IE"/>
    </w:rPr>
  </w:style>
  <w:style w:type="character" w:customStyle="1" w:styleId="Style1Char">
    <w:name w:val="Style1 Char"/>
    <w:basedOn w:val="DefaultParagraphFont"/>
    <w:link w:val="Style1"/>
    <w:rPr>
      <w:rFonts w:ascii="Times New Roman" w:eastAsia="Calibri" w:hAnsi="Times New Roman" w:cs="Times New Roman"/>
      <w:color w:val="000000" w:themeColor="text1"/>
      <w:sz w:val="24"/>
      <w:szCs w:val="24"/>
      <w:lang w:val="en-IE"/>
    </w:rPr>
  </w:style>
  <w:style w:type="paragraph" w:customStyle="1" w:styleId="text10">
    <w:name w:val="text1"/>
    <w:basedOn w:val="Normal"/>
    <w:pPr>
      <w:spacing w:before="100" w:beforeAutospacing="1" w:after="100" w:afterAutospacing="1"/>
      <w:jc w:val="left"/>
    </w:pPr>
    <w:rPr>
      <w:rFonts w:eastAsia="Times New Roman"/>
      <w:szCs w:val="24"/>
      <w:lang w:eastAsia="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character" w:styleId="FollowedHyperlink">
    <w:name w:val="FollowedHyperlink"/>
    <w:basedOn w:val="DefaultParagraphFont"/>
    <w:uiPriority w:val="99"/>
    <w:unhideWhenUsed/>
    <w:rPr>
      <w:color w:val="800080" w:themeColor="followedHyperlink"/>
      <w:u w:val="single"/>
    </w:rPr>
  </w:style>
  <w:style w:type="table" w:styleId="TableGrid">
    <w:name w:val="Table Grid"/>
    <w:basedOn w:val="TableNormal"/>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Titrearticle0">
    <w:name w:val="Titre article"/>
    <w:basedOn w:val="Normal"/>
    <w:next w:val="Normal"/>
    <w:pPr>
      <w:keepNext/>
      <w:spacing w:before="360"/>
      <w:jc w:val="center"/>
    </w:pPr>
    <w:rPr>
      <w:i/>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5"/>
      </w:numPr>
      <w:contextualSpacing/>
    </w:pPr>
  </w:style>
  <w:style w:type="paragraph" w:styleId="ListNumber2">
    <w:name w:val="List Number 2"/>
    <w:basedOn w:val="Normal"/>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nhideWhenUsed/>
    <w:pPr>
      <w:numPr>
        <w:numId w:val="8"/>
      </w:numPr>
      <w:contextualSpacing/>
    </w:pPr>
  </w:style>
  <w:style w:type="paragraph" w:customStyle="1" w:styleId="Titrearticle00">
    <w:name w:val="Titre article0"/>
    <w:basedOn w:val="Normal"/>
    <w:next w:val="Normal"/>
    <w:pPr>
      <w:keepNext/>
      <w:spacing w:before="360"/>
      <w:jc w:val="center"/>
    </w:pPr>
    <w:rPr>
      <w:i/>
    </w:rPr>
  </w:style>
  <w:style w:type="paragraph" w:customStyle="1" w:styleId="Titrearticle1">
    <w:name w:val="Titre article1"/>
    <w:basedOn w:val="Normal"/>
    <w:next w:val="Normal"/>
    <w:pPr>
      <w:keepNext/>
      <w:spacing w:before="360"/>
      <w:jc w:val="center"/>
    </w:pPr>
    <w:rPr>
      <w:i/>
    </w:rPr>
  </w:style>
  <w:style w:type="paragraph" w:customStyle="1" w:styleId="Titrearticle2">
    <w:name w:val="Titre article2"/>
    <w:basedOn w:val="Normal"/>
    <w:next w:val="Normal"/>
    <w:pPr>
      <w:keepNext/>
      <w:spacing w:before="360"/>
      <w:jc w:val="center"/>
    </w:pPr>
    <w:rPr>
      <w:i/>
    </w:rPr>
  </w:style>
  <w:style w:type="paragraph" w:customStyle="1" w:styleId="Titrearticle3">
    <w:name w:val="Titre article3"/>
    <w:basedOn w:val="Normal"/>
    <w:next w:val="Normal"/>
    <w:pPr>
      <w:keepNext/>
      <w:spacing w:before="360"/>
      <w:jc w:val="center"/>
    </w:pPr>
    <w:rPr>
      <w:i/>
    </w:rPr>
  </w:style>
  <w:style w:type="paragraph" w:customStyle="1" w:styleId="ListBullet1">
    <w:name w:val="List Bullet 1"/>
    <w:basedOn w:val="Normal"/>
    <w:pPr>
      <w:numPr>
        <w:numId w:val="9"/>
      </w:numPr>
    </w:pPr>
    <w:rPr>
      <w:lang w:eastAsia="en-GB"/>
    </w:rPr>
  </w:style>
  <w:style w:type="paragraph" w:customStyle="1" w:styleId="ListDash">
    <w:name w:val="List Dash"/>
    <w:basedOn w:val="Normal"/>
    <w:pPr>
      <w:numPr>
        <w:numId w:val="10"/>
      </w:numPr>
    </w:pPr>
    <w:rPr>
      <w:lang w:eastAsia="en-GB"/>
    </w:rPr>
  </w:style>
  <w:style w:type="paragraph" w:customStyle="1" w:styleId="ListDash1">
    <w:name w:val="List Dash 1"/>
    <w:basedOn w:val="Normal"/>
    <w:pPr>
      <w:numPr>
        <w:numId w:val="11"/>
      </w:numPr>
    </w:pPr>
    <w:rPr>
      <w:lang w:eastAsia="en-GB"/>
    </w:rPr>
  </w:style>
  <w:style w:type="paragraph" w:customStyle="1" w:styleId="ListDash2">
    <w:name w:val="List Dash 2"/>
    <w:basedOn w:val="Normal"/>
    <w:pPr>
      <w:numPr>
        <w:numId w:val="12"/>
      </w:numPr>
    </w:pPr>
    <w:rPr>
      <w:lang w:eastAsia="en-GB"/>
    </w:rPr>
  </w:style>
  <w:style w:type="paragraph" w:customStyle="1" w:styleId="ListNumberLevel2">
    <w:name w:val="List Number (Level 2)"/>
    <w:basedOn w:val="Normal"/>
    <w:pPr>
      <w:tabs>
        <w:tab w:val="num" w:pos="1417"/>
      </w:tabs>
      <w:ind w:left="1417" w:hanging="708"/>
    </w:pPr>
    <w:rPr>
      <w:lang w:eastAsia="en-GB"/>
    </w:rPr>
  </w:style>
  <w:style w:type="paragraph" w:customStyle="1" w:styleId="ListNumberLevel3">
    <w:name w:val="List Number (Level 3)"/>
    <w:basedOn w:val="Normal"/>
    <w:pPr>
      <w:tabs>
        <w:tab w:val="num" w:pos="2126"/>
      </w:tabs>
      <w:ind w:left="2126" w:hanging="709"/>
    </w:pPr>
    <w:rPr>
      <w:lang w:eastAsia="en-GB"/>
    </w:rPr>
  </w:style>
  <w:style w:type="paragraph" w:customStyle="1" w:styleId="ListNumberLevel4">
    <w:name w:val="List Number (Level 4)"/>
    <w:basedOn w:val="Normal"/>
    <w:pPr>
      <w:tabs>
        <w:tab w:val="num" w:pos="2835"/>
      </w:tabs>
      <w:ind w:left="2835" w:hanging="709"/>
    </w:pPr>
    <w:rPr>
      <w:lang w:eastAsia="en-GB"/>
    </w:rPr>
  </w:style>
  <w:style w:type="paragraph" w:customStyle="1" w:styleId="Sous-titreobjet">
    <w:name w:val="Sous-titre objet"/>
    <w:basedOn w:val="Normal"/>
    <w:pPr>
      <w:spacing w:before="0" w:after="0"/>
      <w:jc w:val="center"/>
    </w:pPr>
    <w:rPr>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en-GB"/>
    </w:rPr>
  </w:style>
  <w:style w:type="character" w:customStyle="1" w:styleId="FooterCoverPageChar">
    <w:name w:val="Footer Cover Page Char"/>
    <w:basedOn w:val="TOCHeadingChar"/>
    <w:link w:val="FooterCoverPage"/>
    <w:rPr>
      <w:rFonts w:ascii="Times New Roman" w:hAnsi="Times New Roman" w:cs="Times New Roman"/>
      <w:b w:val="0"/>
      <w:sz w:val="24"/>
      <w:lang w:val="en-GB"/>
    </w:rPr>
  </w:style>
  <w:style w:type="paragraph" w:customStyle="1" w:styleId="HeaderCoverPage">
    <w:name w:val="Header Cover Page"/>
    <w:basedOn w:val="Normal"/>
    <w:link w:val="HeaderCoverPageChar"/>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Pr>
      <w:rFonts w:ascii="Times New Roman" w:hAnsi="Times New Roman" w:cs="Times New Roman"/>
      <w:b w:val="0"/>
      <w:sz w:val="24"/>
      <w:lang w:val="en-GB" w:eastAsia="en-GB"/>
    </w:rPr>
  </w:style>
  <w:style w:type="paragraph" w:customStyle="1" w:styleId="paragraph">
    <w:name w:val="paragraph"/>
    <w:basedOn w:val="Normal"/>
    <w:pPr>
      <w:spacing w:before="100" w:beforeAutospacing="1" w:after="100" w:afterAutospacing="1"/>
      <w:jc w:val="left"/>
    </w:pPr>
    <w:rPr>
      <w:rFonts w:eastAsia="Times New Roman"/>
      <w:szCs w:val="24"/>
      <w:lang w:eastAsia="en-GB"/>
    </w:rPr>
  </w:style>
  <w:style w:type="character" w:customStyle="1" w:styleId="eop">
    <w:name w:val="eop"/>
    <w:basedOn w:val="DefaultParagraphFont"/>
  </w:style>
  <w:style w:type="character" w:customStyle="1" w:styleId="normaltextrun">
    <w:name w:val="normaltextrun"/>
    <w:basedOn w:val="DefaultParagraphFont"/>
  </w:style>
  <w:style w:type="character" w:customStyle="1" w:styleId="superscript">
    <w:name w:val="superscript"/>
    <w:basedOn w:val="DefaultParagraphFont"/>
  </w:style>
  <w:style w:type="paragraph" w:customStyle="1" w:styleId="Style2">
    <w:name w:val="Style2"/>
    <w:basedOn w:val="ManualHeading4"/>
    <w:qFormat/>
    <w:pPr>
      <w:tabs>
        <w:tab w:val="num" w:pos="850"/>
      </w:tabs>
    </w:pPr>
    <w:rPr>
      <w:noProof/>
    </w:rPr>
  </w:style>
  <w:style w:type="character" w:styleId="PageNumber">
    <w:name w:val="page number"/>
    <w:rPr>
      <w:rFonts w:cs="Times New Roman"/>
      <w:lang w:val="en-GB" w:eastAsia="en-GB"/>
    </w:rPr>
  </w:style>
  <w:style w:type="character" w:customStyle="1" w:styleId="tw4winMark">
    <w:name w:val="tw4winMark"/>
    <w:rPr>
      <w:rFonts w:ascii="Times New Roman" w:hAnsi="Times New Roman"/>
      <w:vanish/>
      <w:color w:val="800080"/>
      <w:sz w:val="24"/>
      <w:vertAlign w:val="subscript"/>
      <w:lang w:val="en-GB" w:eastAsia="en-GB"/>
    </w:rPr>
  </w:style>
  <w:style w:type="character" w:customStyle="1" w:styleId="tw4winError">
    <w:name w:val="tw4winError"/>
    <w:rPr>
      <w:color w:val="00FF00"/>
      <w:sz w:val="40"/>
      <w:lang w:val="en-GB" w:eastAsia="en-GB"/>
    </w:rPr>
  </w:style>
  <w:style w:type="character" w:customStyle="1" w:styleId="tw4winTerm">
    <w:name w:val="tw4winTerm"/>
    <w:rPr>
      <w:color w:val="0000FF"/>
      <w:lang w:val="en-GB" w:eastAsia="en-GB"/>
    </w:rPr>
  </w:style>
  <w:style w:type="character" w:customStyle="1" w:styleId="tw4winPopup">
    <w:name w:val="tw4winPopup"/>
    <w:rPr>
      <w:noProof/>
      <w:color w:val="008000"/>
      <w:lang w:val="en-GB" w:eastAsia="en-GB"/>
    </w:rPr>
  </w:style>
  <w:style w:type="character" w:customStyle="1" w:styleId="tw4winJump">
    <w:name w:val="tw4winJump"/>
    <w:rPr>
      <w:noProof/>
      <w:color w:val="008080"/>
      <w:lang w:val="en-GB" w:eastAsia="en-GB"/>
    </w:rPr>
  </w:style>
  <w:style w:type="character" w:customStyle="1" w:styleId="tw4winExternal">
    <w:name w:val="tw4winExternal"/>
    <w:rPr>
      <w:noProof/>
      <w:color w:val="808080"/>
      <w:lang w:val="en-GB" w:eastAsia="en-GB"/>
    </w:rPr>
  </w:style>
  <w:style w:type="character" w:customStyle="1" w:styleId="tw4winInternal">
    <w:name w:val="tw4winInternal"/>
    <w:rPr>
      <w:noProof/>
      <w:color w:val="FF0000"/>
      <w:lang w:val="en-GB" w:eastAsia="en-GB"/>
    </w:rPr>
  </w:style>
  <w:style w:type="character" w:customStyle="1" w:styleId="DONOTTRANSLATE">
    <w:name w:val="DO_NOT_TRANSLATE"/>
    <w:rPr>
      <w:noProof/>
      <w:color w:val="800000"/>
      <w:lang w:val="en-GB" w:eastAsia="en-GB"/>
    </w:rPr>
  </w:style>
  <w:style w:type="paragraph" w:customStyle="1" w:styleId="Titrearticle4">
    <w:name w:val="Titre article4"/>
    <w:basedOn w:val="Normal"/>
    <w:next w:val="Normal"/>
    <w:pPr>
      <w:keepNext/>
      <w:spacing w:before="360"/>
      <w:jc w:val="center"/>
    </w:pPr>
    <w:rPr>
      <w:i/>
    </w:rPr>
  </w:style>
  <w:style w:type="paragraph" w:customStyle="1" w:styleId="Titrearticle5">
    <w:name w:val="Titre article5"/>
    <w:basedOn w:val="Normal"/>
    <w:next w:val="Normal"/>
    <w:pPr>
      <w:keepNext/>
      <w:spacing w:before="360"/>
      <w:jc w:val="center"/>
    </w:pPr>
    <w:rPr>
      <w:i/>
    </w:rPr>
  </w:style>
  <w:style w:type="paragraph" w:customStyle="1" w:styleId="Titrearticle6">
    <w:name w:val="Titre article6"/>
    <w:basedOn w:val="Normal"/>
    <w:next w:val="Normal"/>
    <w:pPr>
      <w:keepNext/>
      <w:spacing w:before="360"/>
      <w:jc w:val="center"/>
    </w:pPr>
    <w:rPr>
      <w:i/>
    </w:rPr>
  </w:style>
  <w:style w:type="paragraph" w:customStyle="1" w:styleId="Titrearticle7">
    <w:name w:val="Titre article7"/>
    <w:basedOn w:val="Normal"/>
    <w:next w:val="Normal"/>
    <w:pPr>
      <w:keepNext/>
      <w:spacing w:before="360"/>
      <w:jc w:val="center"/>
    </w:pPr>
    <w:rPr>
      <w:i/>
    </w:rPr>
  </w:style>
  <w:style w:type="paragraph" w:customStyle="1" w:styleId="Titrearticle8">
    <w:name w:val="Titre article8"/>
    <w:basedOn w:val="Normal"/>
    <w:next w:val="Normal"/>
    <w:pPr>
      <w:keepNext/>
      <w:spacing w:before="360"/>
      <w:jc w:val="center"/>
    </w:pPr>
    <w:rPr>
      <w:i/>
    </w:rPr>
  </w:style>
  <w:style w:type="paragraph" w:customStyle="1" w:styleId="Titrearticle9">
    <w:name w:val="Titre article9"/>
    <w:basedOn w:val="Normal"/>
    <w:next w:val="Normal"/>
    <w:pPr>
      <w:keepNext/>
      <w:spacing w:before="360"/>
      <w:jc w:val="center"/>
    </w:pPr>
    <w:rPr>
      <w:i/>
    </w:rPr>
  </w:style>
  <w:style w:type="paragraph" w:customStyle="1" w:styleId="Titrearticle10">
    <w:name w:val="Titre article10"/>
    <w:basedOn w:val="Normal"/>
    <w:next w:val="Normal"/>
    <w:pPr>
      <w:keepNext/>
      <w:spacing w:before="360"/>
      <w:jc w:val="center"/>
    </w:pPr>
    <w:rPr>
      <w:i/>
    </w:rPr>
  </w:style>
  <w:style w:type="paragraph" w:customStyle="1" w:styleId="Titrearticle11">
    <w:name w:val="Titre article11"/>
    <w:basedOn w:val="Normal"/>
    <w:next w:val="Normal"/>
    <w:pPr>
      <w:keepNext/>
      <w:spacing w:before="360"/>
      <w:jc w:val="center"/>
    </w:pPr>
    <w:rPr>
      <w:i/>
    </w:rPr>
  </w:style>
  <w:style w:type="paragraph" w:customStyle="1" w:styleId="Titrearticle12">
    <w:name w:val="Titre article12"/>
    <w:basedOn w:val="Normal"/>
    <w:next w:val="Normal"/>
    <w:pPr>
      <w:keepNext/>
      <w:spacing w:before="360"/>
      <w:jc w:val="center"/>
    </w:pPr>
    <w:rPr>
      <w:i/>
    </w:rPr>
  </w:style>
  <w:style w:type="paragraph" w:customStyle="1" w:styleId="Titrearticle13">
    <w:name w:val="Titre article13"/>
    <w:basedOn w:val="Normal"/>
    <w:next w:val="Normal"/>
    <w:pPr>
      <w:keepNext/>
      <w:spacing w:before="360"/>
      <w:jc w:val="center"/>
    </w:pPr>
    <w:rPr>
      <w:i/>
    </w:rPr>
  </w:style>
  <w:style w:type="paragraph" w:customStyle="1" w:styleId="Titrearticle14">
    <w:name w:val="Titre article14"/>
    <w:basedOn w:val="Normal"/>
    <w:next w:val="Normal"/>
    <w:pPr>
      <w:keepNext/>
      <w:spacing w:before="360"/>
      <w:jc w:val="center"/>
    </w:pPr>
    <w:rPr>
      <w:i/>
    </w:rPr>
  </w:style>
  <w:style w:type="paragraph" w:customStyle="1" w:styleId="Titrearticle15">
    <w:name w:val="Titre article15"/>
    <w:basedOn w:val="Normal"/>
    <w:next w:val="Normal"/>
    <w:pPr>
      <w:keepNext/>
      <w:spacing w:before="360"/>
      <w:jc w:val="center"/>
    </w:pPr>
    <w:rPr>
      <w:i/>
    </w:rPr>
  </w:style>
  <w:style w:type="paragraph" w:customStyle="1" w:styleId="Titrearticle16">
    <w:name w:val="Titre article16"/>
    <w:basedOn w:val="Normal"/>
    <w:next w:val="Normal"/>
    <w:pPr>
      <w:keepNext/>
      <w:spacing w:before="360"/>
      <w:jc w:val="center"/>
    </w:pPr>
    <w:rPr>
      <w:i/>
    </w:rPr>
  </w:style>
  <w:style w:type="paragraph" w:customStyle="1" w:styleId="Titrearticle17">
    <w:name w:val="Titre article17"/>
    <w:basedOn w:val="Normal"/>
    <w:next w:val="Normal"/>
    <w:pPr>
      <w:keepNext/>
      <w:spacing w:before="360"/>
      <w:jc w:val="center"/>
    </w:pPr>
    <w:rPr>
      <w:i/>
    </w:rPr>
  </w:style>
  <w:style w:type="paragraph" w:customStyle="1" w:styleId="Titrearticle18">
    <w:name w:val="Titre article18"/>
    <w:basedOn w:val="Normal"/>
    <w:next w:val="Normal"/>
    <w:pPr>
      <w:keepNext/>
      <w:spacing w:before="360"/>
      <w:jc w:val="center"/>
    </w:pPr>
    <w:rPr>
      <w:i/>
    </w:rPr>
  </w:style>
  <w:style w:type="paragraph" w:customStyle="1" w:styleId="Titrearticle19">
    <w:name w:val="Titre article19"/>
    <w:basedOn w:val="Normal"/>
    <w:next w:val="Normal"/>
    <w:pPr>
      <w:keepNext/>
      <w:spacing w:before="360"/>
      <w:jc w:val="center"/>
    </w:pPr>
    <w:rPr>
      <w:i/>
    </w:rPr>
  </w:style>
  <w:style w:type="paragraph" w:customStyle="1" w:styleId="Titrearticle20">
    <w:name w:val="Titre article20"/>
    <w:basedOn w:val="Normal"/>
    <w:next w:val="Normal"/>
    <w:pPr>
      <w:keepNext/>
      <w:spacing w:before="360"/>
      <w:jc w:val="center"/>
    </w:pPr>
    <w:rPr>
      <w:i/>
    </w:rPr>
  </w:style>
  <w:style w:type="paragraph" w:customStyle="1" w:styleId="Titrearticle21">
    <w:name w:val="Titre article21"/>
    <w:basedOn w:val="Normal"/>
    <w:next w:val="Normal"/>
    <w:pPr>
      <w:keepNext/>
      <w:spacing w:before="360"/>
      <w:jc w:val="center"/>
    </w:pPr>
    <w:rPr>
      <w:i/>
    </w:rPr>
  </w:style>
  <w:style w:type="character" w:customStyle="1" w:styleId="findhit">
    <w:name w:val="findhit"/>
    <w:basedOn w:val="DefaultParagraphFont"/>
  </w:style>
  <w:style w:type="paragraph" w:customStyle="1" w:styleId="Titrearticlea">
    <w:name w:val="Titre article"/>
    <w:basedOn w:val="Normal"/>
    <w:next w:val="Normal"/>
    <w:pPr>
      <w:keepNext/>
      <w:spacing w:before="360"/>
      <w:jc w:val="center"/>
    </w:pPr>
    <w:rPr>
      <w:i/>
    </w:rPr>
  </w:style>
  <w:style w:type="paragraph" w:customStyle="1" w:styleId="Titrearticleb">
    <w:name w:val="Titre article"/>
    <w:basedOn w:val="Normal"/>
    <w:next w:val="Normal"/>
    <w:pPr>
      <w:keepNext/>
      <w:spacing w:before="360"/>
      <w:jc w:val="center"/>
    </w:pPr>
    <w:rPr>
      <w:i/>
    </w:rPr>
  </w:style>
  <w:style w:type="paragraph" w:customStyle="1" w:styleId="Titrearticlec">
    <w:name w:val="Titre article"/>
    <w:basedOn w:val="Normal"/>
    <w:next w:val="Normal"/>
    <w:pPr>
      <w:keepNext/>
      <w:spacing w:before="360"/>
      <w:jc w:val="center"/>
    </w:pPr>
    <w:rPr>
      <w:i/>
    </w:rPr>
  </w:style>
  <w:style w:type="paragraph" w:customStyle="1" w:styleId="Titrearticled">
    <w:name w:val="Titre article"/>
    <w:basedOn w:val="Normal"/>
    <w:next w:val="Normal"/>
    <w:pPr>
      <w:keepNext/>
      <w:spacing w:before="360"/>
      <w:jc w:val="center"/>
    </w:pPr>
    <w:rPr>
      <w:i/>
    </w:rPr>
  </w:style>
  <w:style w:type="paragraph" w:customStyle="1" w:styleId="Titrearticlee">
    <w:name w:val="Titre article"/>
    <w:basedOn w:val="Normal"/>
    <w:next w:val="Normal"/>
    <w:pPr>
      <w:keepNext/>
      <w:spacing w:before="360"/>
      <w:jc w:val="center"/>
    </w:pPr>
    <w:rPr>
      <w:i/>
    </w:rPr>
  </w:style>
  <w:style w:type="paragraph" w:customStyle="1" w:styleId="Titrearticlef">
    <w:name w:val="Titre article"/>
    <w:basedOn w:val="Normal"/>
    <w:next w:val="Normal"/>
    <w:pPr>
      <w:keepNext/>
      <w:spacing w:before="360"/>
      <w:jc w:val="center"/>
    </w:pPr>
    <w:rPr>
      <w:i/>
    </w:rPr>
  </w:style>
  <w:style w:type="paragraph" w:customStyle="1" w:styleId="Titrearticlef0">
    <w:name w:val="Titre article"/>
    <w:basedOn w:val="Normal"/>
    <w:next w:val="Normal"/>
    <w:pPr>
      <w:keepNext/>
      <w:spacing w:before="360"/>
      <w:jc w:val="center"/>
    </w:pPr>
    <w:rPr>
      <w:i/>
    </w:rPr>
  </w:style>
  <w:style w:type="paragraph" w:customStyle="1" w:styleId="Titrearticlef1">
    <w:name w:val="Titre article"/>
    <w:basedOn w:val="Normal"/>
    <w:next w:val="Normal"/>
    <w:pPr>
      <w:keepNext/>
      <w:spacing w:before="360"/>
      <w:jc w:val="center"/>
    </w:pPr>
    <w:rPr>
      <w:i/>
    </w:rPr>
  </w:style>
  <w:style w:type="paragraph" w:customStyle="1" w:styleId="Titrearticlef2">
    <w:name w:val="Titre article"/>
    <w:basedOn w:val="Normal"/>
    <w:next w:val="Normal"/>
    <w:pPr>
      <w:keepNext/>
      <w:spacing w:before="360"/>
      <w:jc w:val="center"/>
    </w:pPr>
    <w:rPr>
      <w:i/>
    </w:rPr>
  </w:style>
  <w:style w:type="paragraph" w:customStyle="1" w:styleId="Titrearticlef3">
    <w:name w:val="Titre article"/>
    <w:basedOn w:val="Normal"/>
    <w:next w:val="Normal"/>
    <w:pPr>
      <w:keepNext/>
      <w:spacing w:before="360"/>
      <w:jc w:val="center"/>
    </w:pPr>
    <w:rPr>
      <w:i/>
    </w:rPr>
  </w:style>
  <w:style w:type="paragraph" w:customStyle="1" w:styleId="Titrearticlef4">
    <w:name w:val="Titre article"/>
    <w:basedOn w:val="Normal"/>
    <w:next w:val="Normal"/>
    <w:pPr>
      <w:keepNext/>
      <w:spacing w:before="360"/>
      <w:jc w:val="center"/>
    </w:pPr>
    <w:rPr>
      <w:i/>
    </w:rPr>
  </w:style>
  <w:style w:type="paragraph" w:customStyle="1" w:styleId="Titrearticlef5">
    <w:name w:val="Titre article"/>
    <w:basedOn w:val="Normal"/>
    <w:next w:val="Normal"/>
    <w:pPr>
      <w:keepNext/>
      <w:spacing w:before="360"/>
      <w:jc w:val="center"/>
    </w:pPr>
    <w:rPr>
      <w:i/>
    </w:rPr>
  </w:style>
  <w:style w:type="paragraph" w:customStyle="1" w:styleId="Titrearticlef6">
    <w:name w:val="Titre article"/>
    <w:basedOn w:val="Normal"/>
    <w:next w:val="Normal"/>
    <w:pPr>
      <w:keepNext/>
      <w:spacing w:before="360"/>
      <w:jc w:val="center"/>
    </w:pPr>
    <w:rPr>
      <w:i/>
    </w:rPr>
  </w:style>
  <w:style w:type="paragraph" w:customStyle="1" w:styleId="Titrearticlef7">
    <w:name w:val="Titre article"/>
    <w:basedOn w:val="Normal"/>
    <w:next w:val="Normal"/>
    <w:pPr>
      <w:keepNext/>
      <w:spacing w:before="360"/>
      <w:jc w:val="center"/>
    </w:pPr>
    <w:rPr>
      <w:i/>
    </w:rPr>
  </w:style>
  <w:style w:type="paragraph" w:customStyle="1" w:styleId="Titrearticlef8">
    <w:name w:val="Titre article"/>
    <w:basedOn w:val="Normal"/>
    <w:next w:val="Normal"/>
    <w:pPr>
      <w:keepNext/>
      <w:spacing w:before="360"/>
      <w:jc w:val="center"/>
    </w:pPr>
    <w:rPr>
      <w:i/>
    </w:rPr>
  </w:style>
  <w:style w:type="paragraph" w:customStyle="1" w:styleId="Titrearticlef9">
    <w:name w:val="Titre article"/>
    <w:basedOn w:val="Normal"/>
    <w:next w:val="Normal"/>
    <w:pPr>
      <w:keepNext/>
      <w:spacing w:before="360"/>
      <w:jc w:val="center"/>
    </w:pPr>
    <w:rPr>
      <w:i/>
    </w:rPr>
  </w:style>
  <w:style w:type="paragraph" w:customStyle="1" w:styleId="Titrearticlefa">
    <w:name w:val="Titre article"/>
    <w:basedOn w:val="Normal"/>
    <w:next w:val="Normal"/>
    <w:pPr>
      <w:keepNext/>
      <w:spacing w:before="360"/>
      <w:jc w:val="center"/>
    </w:pPr>
    <w:rPr>
      <w:i/>
    </w:rPr>
  </w:style>
  <w:style w:type="paragraph" w:customStyle="1" w:styleId="Titrearticlefb">
    <w:name w:val="Titre article"/>
    <w:basedOn w:val="Normal"/>
    <w:next w:val="Normal"/>
    <w:pPr>
      <w:keepNext/>
      <w:spacing w:before="360"/>
      <w:jc w:val="center"/>
    </w:pPr>
    <w:rPr>
      <w:i/>
    </w:rPr>
  </w:style>
  <w:style w:type="paragraph" w:customStyle="1" w:styleId="Titrearticlefc">
    <w:name w:val="Titre article"/>
    <w:basedOn w:val="Normal"/>
    <w:next w:val="Normal"/>
    <w:pPr>
      <w:keepNext/>
      <w:spacing w:before="360"/>
      <w:jc w:val="center"/>
    </w:pPr>
    <w:rPr>
      <w:i/>
    </w:rPr>
  </w:style>
  <w:style w:type="paragraph" w:customStyle="1" w:styleId="Titrearticlefd">
    <w:name w:val="Titre article"/>
    <w:basedOn w:val="Normal"/>
    <w:next w:val="Normal"/>
    <w:pPr>
      <w:keepNext/>
      <w:spacing w:before="360"/>
      <w:jc w:val="center"/>
    </w:pPr>
    <w:rPr>
      <w:i/>
    </w:rPr>
  </w:style>
  <w:style w:type="paragraph" w:customStyle="1" w:styleId="Titrearticlefe">
    <w:name w:val="Titre article"/>
    <w:basedOn w:val="Normal"/>
    <w:next w:val="Normal"/>
    <w:pPr>
      <w:keepNext/>
      <w:spacing w:before="360"/>
      <w:jc w:val="center"/>
    </w:pPr>
    <w:rPr>
      <w:i/>
    </w:rPr>
  </w:style>
  <w:style w:type="paragraph" w:customStyle="1" w:styleId="Titrearticleff">
    <w:name w:val="Titre article"/>
    <w:basedOn w:val="Normal"/>
    <w:next w:val="Normal"/>
    <w:pPr>
      <w:keepNext/>
      <w:spacing w:before="360"/>
      <w:jc w:val="center"/>
    </w:pPr>
    <w:rPr>
      <w:i/>
    </w:rPr>
  </w:style>
  <w:style w:type="paragraph" w:customStyle="1" w:styleId="Titrearticleff0">
    <w:name w:val="Titre article"/>
    <w:basedOn w:val="Normal"/>
    <w:next w:val="Normal"/>
    <w:pPr>
      <w:keepNext/>
      <w:spacing w:before="360"/>
      <w:jc w:val="center"/>
    </w:pPr>
    <w:rPr>
      <w:i/>
    </w:rPr>
  </w:style>
  <w:style w:type="paragraph" w:customStyle="1" w:styleId="Titrearticleff1">
    <w:name w:val="Titre article"/>
    <w:basedOn w:val="Normal"/>
    <w:next w:val="Normal"/>
    <w:pPr>
      <w:keepNext/>
      <w:spacing w:before="360"/>
      <w:jc w:val="center"/>
    </w:pPr>
    <w:rPr>
      <w:i/>
    </w:rPr>
  </w:style>
  <w:style w:type="paragraph" w:customStyle="1" w:styleId="Titrearticleff2">
    <w:name w:val="Titre article"/>
    <w:basedOn w:val="Normal"/>
    <w:next w:val="Normal"/>
    <w:pPr>
      <w:keepNext/>
      <w:spacing w:before="360"/>
      <w:jc w:val="center"/>
    </w:pPr>
    <w:rPr>
      <w:i/>
    </w:rPr>
  </w:style>
  <w:style w:type="paragraph" w:customStyle="1" w:styleId="Titrearticleff3">
    <w:name w:val="Titre article"/>
    <w:basedOn w:val="Normal"/>
    <w:next w:val="Normal"/>
    <w:pPr>
      <w:keepNext/>
      <w:spacing w:before="360"/>
      <w:jc w:val="center"/>
    </w:pPr>
    <w:rPr>
      <w:i/>
    </w:rPr>
  </w:style>
  <w:style w:type="paragraph" w:customStyle="1" w:styleId="Titrearticleff4">
    <w:name w:val="Titre article"/>
    <w:basedOn w:val="Normal"/>
    <w:next w:val="Normal"/>
    <w:pPr>
      <w:keepNext/>
      <w:spacing w:before="360"/>
      <w:jc w:val="center"/>
    </w:pPr>
    <w:rPr>
      <w:i/>
    </w:rPr>
  </w:style>
  <w:style w:type="paragraph" w:customStyle="1" w:styleId="Titrearticleff5">
    <w:name w:val="Titre article"/>
    <w:basedOn w:val="Normal"/>
    <w:next w:val="Normal"/>
    <w:pPr>
      <w:keepNext/>
      <w:spacing w:before="360"/>
      <w:jc w:val="center"/>
    </w:pPr>
    <w:rPr>
      <w:i/>
    </w:rPr>
  </w:style>
  <w:style w:type="paragraph" w:customStyle="1" w:styleId="Titrearticleff6">
    <w:name w:val="Titre article"/>
    <w:basedOn w:val="Normal"/>
    <w:next w:val="Normal"/>
    <w:pPr>
      <w:keepNext/>
      <w:spacing w:before="360"/>
      <w:jc w:val="center"/>
    </w:pPr>
    <w:rPr>
      <w:i/>
    </w:rPr>
  </w:style>
  <w:style w:type="paragraph" w:customStyle="1" w:styleId="Titrearticleff7">
    <w:name w:val="Titre article"/>
    <w:basedOn w:val="Normal"/>
    <w:next w:val="Normal"/>
    <w:pPr>
      <w:keepNext/>
      <w:spacing w:before="360"/>
      <w:jc w:val="center"/>
    </w:pPr>
    <w:rPr>
      <w:i/>
    </w:rPr>
  </w:style>
  <w:style w:type="paragraph" w:customStyle="1" w:styleId="Titrearticleff8">
    <w:name w:val="Titre article"/>
    <w:basedOn w:val="Normal"/>
    <w:next w:val="Normal"/>
    <w:pPr>
      <w:keepNext/>
      <w:spacing w:before="360"/>
      <w:jc w:val="center"/>
    </w:pPr>
    <w:rPr>
      <w:i/>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ff9"/>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ff9">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ff9"/>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31215">
      <w:bodyDiv w:val="1"/>
      <w:marLeft w:val="0"/>
      <w:marRight w:val="0"/>
      <w:marTop w:val="0"/>
      <w:marBottom w:val="0"/>
      <w:divBdr>
        <w:top w:val="none" w:sz="0" w:space="0" w:color="auto"/>
        <w:left w:val="none" w:sz="0" w:space="0" w:color="auto"/>
        <w:bottom w:val="none" w:sz="0" w:space="0" w:color="auto"/>
        <w:right w:val="none" w:sz="0" w:space="0" w:color="auto"/>
      </w:divBdr>
    </w:div>
    <w:div w:id="261651447">
      <w:bodyDiv w:val="1"/>
      <w:marLeft w:val="0"/>
      <w:marRight w:val="0"/>
      <w:marTop w:val="0"/>
      <w:marBottom w:val="0"/>
      <w:divBdr>
        <w:top w:val="none" w:sz="0" w:space="0" w:color="auto"/>
        <w:left w:val="none" w:sz="0" w:space="0" w:color="auto"/>
        <w:bottom w:val="none" w:sz="0" w:space="0" w:color="auto"/>
        <w:right w:val="none" w:sz="0" w:space="0" w:color="auto"/>
      </w:divBdr>
      <w:divsChild>
        <w:div w:id="432435502">
          <w:marLeft w:val="0"/>
          <w:marRight w:val="0"/>
          <w:marTop w:val="0"/>
          <w:marBottom w:val="0"/>
          <w:divBdr>
            <w:top w:val="none" w:sz="0" w:space="0" w:color="auto"/>
            <w:left w:val="none" w:sz="0" w:space="0" w:color="auto"/>
            <w:bottom w:val="none" w:sz="0" w:space="0" w:color="auto"/>
            <w:right w:val="none" w:sz="0" w:space="0" w:color="auto"/>
          </w:divBdr>
        </w:div>
      </w:divsChild>
    </w:div>
    <w:div w:id="347489556">
      <w:bodyDiv w:val="1"/>
      <w:marLeft w:val="0"/>
      <w:marRight w:val="0"/>
      <w:marTop w:val="0"/>
      <w:marBottom w:val="0"/>
      <w:divBdr>
        <w:top w:val="none" w:sz="0" w:space="0" w:color="auto"/>
        <w:left w:val="none" w:sz="0" w:space="0" w:color="auto"/>
        <w:bottom w:val="none" w:sz="0" w:space="0" w:color="auto"/>
        <w:right w:val="none" w:sz="0" w:space="0" w:color="auto"/>
      </w:divBdr>
      <w:divsChild>
        <w:div w:id="708146725">
          <w:marLeft w:val="0"/>
          <w:marRight w:val="0"/>
          <w:marTop w:val="0"/>
          <w:marBottom w:val="0"/>
          <w:divBdr>
            <w:top w:val="none" w:sz="0" w:space="0" w:color="auto"/>
            <w:left w:val="none" w:sz="0" w:space="0" w:color="auto"/>
            <w:bottom w:val="none" w:sz="0" w:space="0" w:color="auto"/>
            <w:right w:val="none" w:sz="0" w:space="0" w:color="auto"/>
          </w:divBdr>
        </w:div>
      </w:divsChild>
    </w:div>
    <w:div w:id="441076112">
      <w:bodyDiv w:val="1"/>
      <w:marLeft w:val="0"/>
      <w:marRight w:val="0"/>
      <w:marTop w:val="0"/>
      <w:marBottom w:val="0"/>
      <w:divBdr>
        <w:top w:val="none" w:sz="0" w:space="0" w:color="auto"/>
        <w:left w:val="none" w:sz="0" w:space="0" w:color="auto"/>
        <w:bottom w:val="none" w:sz="0" w:space="0" w:color="auto"/>
        <w:right w:val="none" w:sz="0" w:space="0" w:color="auto"/>
      </w:divBdr>
    </w:div>
    <w:div w:id="463699510">
      <w:bodyDiv w:val="1"/>
      <w:marLeft w:val="0"/>
      <w:marRight w:val="0"/>
      <w:marTop w:val="0"/>
      <w:marBottom w:val="0"/>
      <w:divBdr>
        <w:top w:val="none" w:sz="0" w:space="0" w:color="auto"/>
        <w:left w:val="none" w:sz="0" w:space="0" w:color="auto"/>
        <w:bottom w:val="none" w:sz="0" w:space="0" w:color="auto"/>
        <w:right w:val="none" w:sz="0" w:space="0" w:color="auto"/>
      </w:divBdr>
      <w:divsChild>
        <w:div w:id="1042093792">
          <w:marLeft w:val="0"/>
          <w:marRight w:val="0"/>
          <w:marTop w:val="0"/>
          <w:marBottom w:val="0"/>
          <w:divBdr>
            <w:top w:val="none" w:sz="0" w:space="0" w:color="auto"/>
            <w:left w:val="none" w:sz="0" w:space="0" w:color="auto"/>
            <w:bottom w:val="none" w:sz="0" w:space="0" w:color="auto"/>
            <w:right w:val="none" w:sz="0" w:space="0" w:color="auto"/>
          </w:divBdr>
        </w:div>
      </w:divsChild>
    </w:div>
    <w:div w:id="514810929">
      <w:bodyDiv w:val="1"/>
      <w:marLeft w:val="0"/>
      <w:marRight w:val="0"/>
      <w:marTop w:val="0"/>
      <w:marBottom w:val="0"/>
      <w:divBdr>
        <w:top w:val="none" w:sz="0" w:space="0" w:color="auto"/>
        <w:left w:val="none" w:sz="0" w:space="0" w:color="auto"/>
        <w:bottom w:val="none" w:sz="0" w:space="0" w:color="auto"/>
        <w:right w:val="none" w:sz="0" w:space="0" w:color="auto"/>
      </w:divBdr>
      <w:divsChild>
        <w:div w:id="1713114348">
          <w:marLeft w:val="0"/>
          <w:marRight w:val="0"/>
          <w:marTop w:val="0"/>
          <w:marBottom w:val="0"/>
          <w:divBdr>
            <w:top w:val="none" w:sz="0" w:space="0" w:color="auto"/>
            <w:left w:val="none" w:sz="0" w:space="0" w:color="auto"/>
            <w:bottom w:val="none" w:sz="0" w:space="0" w:color="auto"/>
            <w:right w:val="none" w:sz="0" w:space="0" w:color="auto"/>
          </w:divBdr>
        </w:div>
        <w:div w:id="1260260387">
          <w:marLeft w:val="0"/>
          <w:marRight w:val="0"/>
          <w:marTop w:val="0"/>
          <w:marBottom w:val="0"/>
          <w:divBdr>
            <w:top w:val="none" w:sz="0" w:space="0" w:color="auto"/>
            <w:left w:val="none" w:sz="0" w:space="0" w:color="auto"/>
            <w:bottom w:val="none" w:sz="0" w:space="0" w:color="auto"/>
            <w:right w:val="none" w:sz="0" w:space="0" w:color="auto"/>
          </w:divBdr>
        </w:div>
      </w:divsChild>
    </w:div>
    <w:div w:id="579095838">
      <w:bodyDiv w:val="1"/>
      <w:marLeft w:val="0"/>
      <w:marRight w:val="0"/>
      <w:marTop w:val="0"/>
      <w:marBottom w:val="0"/>
      <w:divBdr>
        <w:top w:val="none" w:sz="0" w:space="0" w:color="auto"/>
        <w:left w:val="none" w:sz="0" w:space="0" w:color="auto"/>
        <w:bottom w:val="none" w:sz="0" w:space="0" w:color="auto"/>
        <w:right w:val="none" w:sz="0" w:space="0" w:color="auto"/>
      </w:divBdr>
    </w:div>
    <w:div w:id="611134197">
      <w:bodyDiv w:val="1"/>
      <w:marLeft w:val="0"/>
      <w:marRight w:val="0"/>
      <w:marTop w:val="0"/>
      <w:marBottom w:val="0"/>
      <w:divBdr>
        <w:top w:val="none" w:sz="0" w:space="0" w:color="auto"/>
        <w:left w:val="none" w:sz="0" w:space="0" w:color="auto"/>
        <w:bottom w:val="none" w:sz="0" w:space="0" w:color="auto"/>
        <w:right w:val="none" w:sz="0" w:space="0" w:color="auto"/>
      </w:divBdr>
    </w:div>
    <w:div w:id="654186682">
      <w:bodyDiv w:val="1"/>
      <w:marLeft w:val="0"/>
      <w:marRight w:val="0"/>
      <w:marTop w:val="0"/>
      <w:marBottom w:val="0"/>
      <w:divBdr>
        <w:top w:val="none" w:sz="0" w:space="0" w:color="auto"/>
        <w:left w:val="none" w:sz="0" w:space="0" w:color="auto"/>
        <w:bottom w:val="none" w:sz="0" w:space="0" w:color="auto"/>
        <w:right w:val="none" w:sz="0" w:space="0" w:color="auto"/>
      </w:divBdr>
    </w:div>
    <w:div w:id="801537196">
      <w:bodyDiv w:val="1"/>
      <w:marLeft w:val="0"/>
      <w:marRight w:val="0"/>
      <w:marTop w:val="0"/>
      <w:marBottom w:val="0"/>
      <w:divBdr>
        <w:top w:val="none" w:sz="0" w:space="0" w:color="auto"/>
        <w:left w:val="none" w:sz="0" w:space="0" w:color="auto"/>
        <w:bottom w:val="none" w:sz="0" w:space="0" w:color="auto"/>
        <w:right w:val="none" w:sz="0" w:space="0" w:color="auto"/>
      </w:divBdr>
    </w:div>
    <w:div w:id="864829097">
      <w:bodyDiv w:val="1"/>
      <w:marLeft w:val="0"/>
      <w:marRight w:val="0"/>
      <w:marTop w:val="0"/>
      <w:marBottom w:val="0"/>
      <w:divBdr>
        <w:top w:val="none" w:sz="0" w:space="0" w:color="auto"/>
        <w:left w:val="none" w:sz="0" w:space="0" w:color="auto"/>
        <w:bottom w:val="none" w:sz="0" w:space="0" w:color="auto"/>
        <w:right w:val="none" w:sz="0" w:space="0" w:color="auto"/>
      </w:divBdr>
    </w:div>
    <w:div w:id="895631716">
      <w:bodyDiv w:val="1"/>
      <w:marLeft w:val="0"/>
      <w:marRight w:val="0"/>
      <w:marTop w:val="0"/>
      <w:marBottom w:val="0"/>
      <w:divBdr>
        <w:top w:val="none" w:sz="0" w:space="0" w:color="auto"/>
        <w:left w:val="none" w:sz="0" w:space="0" w:color="auto"/>
        <w:bottom w:val="none" w:sz="0" w:space="0" w:color="auto"/>
        <w:right w:val="none" w:sz="0" w:space="0" w:color="auto"/>
      </w:divBdr>
      <w:divsChild>
        <w:div w:id="1669365547">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45843963">
      <w:bodyDiv w:val="1"/>
      <w:marLeft w:val="0"/>
      <w:marRight w:val="0"/>
      <w:marTop w:val="0"/>
      <w:marBottom w:val="0"/>
      <w:divBdr>
        <w:top w:val="none" w:sz="0" w:space="0" w:color="auto"/>
        <w:left w:val="none" w:sz="0" w:space="0" w:color="auto"/>
        <w:bottom w:val="none" w:sz="0" w:space="0" w:color="auto"/>
        <w:right w:val="none" w:sz="0" w:space="0" w:color="auto"/>
      </w:divBdr>
      <w:divsChild>
        <w:div w:id="216164096">
          <w:marLeft w:val="0"/>
          <w:marRight w:val="0"/>
          <w:marTop w:val="0"/>
          <w:marBottom w:val="0"/>
          <w:divBdr>
            <w:top w:val="none" w:sz="0" w:space="0" w:color="auto"/>
            <w:left w:val="none" w:sz="0" w:space="0" w:color="auto"/>
            <w:bottom w:val="none" w:sz="0" w:space="0" w:color="auto"/>
            <w:right w:val="none" w:sz="0" w:space="0" w:color="auto"/>
          </w:divBdr>
        </w:div>
        <w:div w:id="235939674">
          <w:marLeft w:val="0"/>
          <w:marRight w:val="0"/>
          <w:marTop w:val="0"/>
          <w:marBottom w:val="0"/>
          <w:divBdr>
            <w:top w:val="none" w:sz="0" w:space="0" w:color="auto"/>
            <w:left w:val="none" w:sz="0" w:space="0" w:color="auto"/>
            <w:bottom w:val="none" w:sz="0" w:space="0" w:color="auto"/>
            <w:right w:val="none" w:sz="0" w:space="0" w:color="auto"/>
          </w:divBdr>
        </w:div>
      </w:divsChild>
    </w:div>
    <w:div w:id="953055742">
      <w:bodyDiv w:val="1"/>
      <w:marLeft w:val="0"/>
      <w:marRight w:val="0"/>
      <w:marTop w:val="0"/>
      <w:marBottom w:val="0"/>
      <w:divBdr>
        <w:top w:val="none" w:sz="0" w:space="0" w:color="auto"/>
        <w:left w:val="none" w:sz="0" w:space="0" w:color="auto"/>
        <w:bottom w:val="none" w:sz="0" w:space="0" w:color="auto"/>
        <w:right w:val="none" w:sz="0" w:space="0" w:color="auto"/>
      </w:divBdr>
    </w:div>
    <w:div w:id="1075200450">
      <w:bodyDiv w:val="1"/>
      <w:marLeft w:val="0"/>
      <w:marRight w:val="0"/>
      <w:marTop w:val="0"/>
      <w:marBottom w:val="0"/>
      <w:divBdr>
        <w:top w:val="none" w:sz="0" w:space="0" w:color="auto"/>
        <w:left w:val="none" w:sz="0" w:space="0" w:color="auto"/>
        <w:bottom w:val="none" w:sz="0" w:space="0" w:color="auto"/>
        <w:right w:val="none" w:sz="0" w:space="0" w:color="auto"/>
      </w:divBdr>
    </w:div>
    <w:div w:id="1079327024">
      <w:bodyDiv w:val="1"/>
      <w:marLeft w:val="0"/>
      <w:marRight w:val="0"/>
      <w:marTop w:val="0"/>
      <w:marBottom w:val="0"/>
      <w:divBdr>
        <w:top w:val="none" w:sz="0" w:space="0" w:color="auto"/>
        <w:left w:val="none" w:sz="0" w:space="0" w:color="auto"/>
        <w:bottom w:val="none" w:sz="0" w:space="0" w:color="auto"/>
        <w:right w:val="none" w:sz="0" w:space="0" w:color="auto"/>
      </w:divBdr>
    </w:div>
    <w:div w:id="1095057233">
      <w:bodyDiv w:val="1"/>
      <w:marLeft w:val="0"/>
      <w:marRight w:val="0"/>
      <w:marTop w:val="0"/>
      <w:marBottom w:val="0"/>
      <w:divBdr>
        <w:top w:val="none" w:sz="0" w:space="0" w:color="auto"/>
        <w:left w:val="none" w:sz="0" w:space="0" w:color="auto"/>
        <w:bottom w:val="none" w:sz="0" w:space="0" w:color="auto"/>
        <w:right w:val="none" w:sz="0" w:space="0" w:color="auto"/>
      </w:divBdr>
      <w:divsChild>
        <w:div w:id="954603478">
          <w:marLeft w:val="0"/>
          <w:marRight w:val="0"/>
          <w:marTop w:val="0"/>
          <w:marBottom w:val="0"/>
          <w:divBdr>
            <w:top w:val="none" w:sz="0" w:space="0" w:color="auto"/>
            <w:left w:val="none" w:sz="0" w:space="0" w:color="auto"/>
            <w:bottom w:val="none" w:sz="0" w:space="0" w:color="auto"/>
            <w:right w:val="none" w:sz="0" w:space="0" w:color="auto"/>
          </w:divBdr>
          <w:divsChild>
            <w:div w:id="69358088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83960022">
          <w:marLeft w:val="0"/>
          <w:marRight w:val="0"/>
          <w:marTop w:val="0"/>
          <w:marBottom w:val="0"/>
          <w:divBdr>
            <w:top w:val="none" w:sz="0" w:space="0" w:color="auto"/>
            <w:left w:val="none" w:sz="0" w:space="0" w:color="auto"/>
            <w:bottom w:val="none" w:sz="0" w:space="0" w:color="auto"/>
            <w:right w:val="none" w:sz="0" w:space="0" w:color="auto"/>
          </w:divBdr>
        </w:div>
      </w:divsChild>
    </w:div>
    <w:div w:id="1339960842">
      <w:bodyDiv w:val="1"/>
      <w:marLeft w:val="0"/>
      <w:marRight w:val="0"/>
      <w:marTop w:val="0"/>
      <w:marBottom w:val="0"/>
      <w:divBdr>
        <w:top w:val="none" w:sz="0" w:space="0" w:color="auto"/>
        <w:left w:val="none" w:sz="0" w:space="0" w:color="auto"/>
        <w:bottom w:val="none" w:sz="0" w:space="0" w:color="auto"/>
        <w:right w:val="none" w:sz="0" w:space="0" w:color="auto"/>
      </w:divBdr>
    </w:div>
    <w:div w:id="1377049254">
      <w:bodyDiv w:val="1"/>
      <w:marLeft w:val="0"/>
      <w:marRight w:val="0"/>
      <w:marTop w:val="0"/>
      <w:marBottom w:val="0"/>
      <w:divBdr>
        <w:top w:val="none" w:sz="0" w:space="0" w:color="auto"/>
        <w:left w:val="none" w:sz="0" w:space="0" w:color="auto"/>
        <w:bottom w:val="none" w:sz="0" w:space="0" w:color="auto"/>
        <w:right w:val="none" w:sz="0" w:space="0" w:color="auto"/>
      </w:divBdr>
    </w:div>
    <w:div w:id="1458378005">
      <w:bodyDiv w:val="1"/>
      <w:marLeft w:val="0"/>
      <w:marRight w:val="0"/>
      <w:marTop w:val="0"/>
      <w:marBottom w:val="0"/>
      <w:divBdr>
        <w:top w:val="none" w:sz="0" w:space="0" w:color="auto"/>
        <w:left w:val="none" w:sz="0" w:space="0" w:color="auto"/>
        <w:bottom w:val="none" w:sz="0" w:space="0" w:color="auto"/>
        <w:right w:val="none" w:sz="0" w:space="0" w:color="auto"/>
      </w:divBdr>
    </w:div>
    <w:div w:id="1535774417">
      <w:bodyDiv w:val="1"/>
      <w:marLeft w:val="0"/>
      <w:marRight w:val="0"/>
      <w:marTop w:val="0"/>
      <w:marBottom w:val="0"/>
      <w:divBdr>
        <w:top w:val="none" w:sz="0" w:space="0" w:color="auto"/>
        <w:left w:val="none" w:sz="0" w:space="0" w:color="auto"/>
        <w:bottom w:val="none" w:sz="0" w:space="0" w:color="auto"/>
        <w:right w:val="none" w:sz="0" w:space="0" w:color="auto"/>
      </w:divBdr>
    </w:div>
    <w:div w:id="1666399668">
      <w:bodyDiv w:val="1"/>
      <w:marLeft w:val="0"/>
      <w:marRight w:val="0"/>
      <w:marTop w:val="0"/>
      <w:marBottom w:val="0"/>
      <w:divBdr>
        <w:top w:val="none" w:sz="0" w:space="0" w:color="auto"/>
        <w:left w:val="none" w:sz="0" w:space="0" w:color="auto"/>
        <w:bottom w:val="none" w:sz="0" w:space="0" w:color="auto"/>
        <w:right w:val="none" w:sz="0" w:space="0" w:color="auto"/>
      </w:divBdr>
    </w:div>
    <w:div w:id="1802503529">
      <w:bodyDiv w:val="1"/>
      <w:marLeft w:val="0"/>
      <w:marRight w:val="0"/>
      <w:marTop w:val="0"/>
      <w:marBottom w:val="0"/>
      <w:divBdr>
        <w:top w:val="none" w:sz="0" w:space="0" w:color="auto"/>
        <w:left w:val="none" w:sz="0" w:space="0" w:color="auto"/>
        <w:bottom w:val="none" w:sz="0" w:space="0" w:color="auto"/>
        <w:right w:val="none" w:sz="0" w:space="0" w:color="auto"/>
      </w:divBdr>
    </w:div>
    <w:div w:id="2139569247">
      <w:bodyDiv w:val="1"/>
      <w:marLeft w:val="0"/>
      <w:marRight w:val="0"/>
      <w:marTop w:val="0"/>
      <w:marBottom w:val="0"/>
      <w:divBdr>
        <w:top w:val="none" w:sz="0" w:space="0" w:color="auto"/>
        <w:left w:val="none" w:sz="0" w:space="0" w:color="auto"/>
        <w:bottom w:val="none" w:sz="0" w:space="0" w:color="auto"/>
        <w:right w:val="none" w:sz="0" w:space="0" w:color="auto"/>
      </w:divBdr>
      <w:divsChild>
        <w:div w:id="592930609">
          <w:marLeft w:val="0"/>
          <w:marRight w:val="0"/>
          <w:marTop w:val="0"/>
          <w:marBottom w:val="0"/>
          <w:divBdr>
            <w:top w:val="none" w:sz="0" w:space="0" w:color="auto"/>
            <w:left w:val="none" w:sz="0" w:space="0" w:color="auto"/>
            <w:bottom w:val="none" w:sz="0" w:space="0" w:color="auto"/>
            <w:right w:val="none" w:sz="0" w:space="0" w:color="auto"/>
          </w:divBdr>
        </w:div>
        <w:div w:id="1583491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1.xml"/><Relationship Id="rId26" Type="http://schemas.openxmlformats.org/officeDocument/2006/relationships/header" Target="header5.xm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yperlink" Target="https://myintracomm.ec.europa.eu/budgweb/EN/pre/legalbasis/Pages/pre-040-020_preparation.aspx"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oeil.secure.europarl.europa.eu/oeil/popups/ficheprocedure.do?lang=en&amp;reference=2020/2764(RSP)" TargetMode="Externa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footer" Target="footer13.xml"/><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europarl.europa.eu/doceo/document/B-9-2020-0310_EN.html" TargetMode="External"/><Relationship Id="rId20" Type="http://schemas.openxmlformats.org/officeDocument/2006/relationships/header" Target="header2.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6.xml"/><Relationship Id="rId36" Type="http://schemas.openxmlformats.org/officeDocument/2006/relationships/footer" Target="footer12.xml"/><Relationship Id="rId49"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8.xml"/><Relationship Id="rId30" Type="http://schemas.openxmlformats.org/officeDocument/2006/relationships/header" Target="header7.xml"/><Relationship Id="rId35" Type="http://schemas.openxmlformats.org/officeDocument/2006/relationships/header" Target="header9.xml"/><Relationship Id="rId48"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3129-2017-INIT/en/pdf" TargetMode="External"/><Relationship Id="rId13" Type="http://schemas.openxmlformats.org/officeDocument/2006/relationships/hyperlink" Target="https://data.consilium.europa.eu/doc/document/ST-8754-2019-INIT/en/pdf" TargetMode="External"/><Relationship Id="rId18" Type="http://schemas.openxmlformats.org/officeDocument/2006/relationships/hyperlink" Target="https://www.consilium.europa.eu/en/policies/eu-plan-for-a-green-transition/" TargetMode="External"/><Relationship Id="rId3" Type="http://schemas.openxmlformats.org/officeDocument/2006/relationships/hyperlink" Target="https://www.consilium.europa.eu/en/press/press-releases/2016/09/16/bratislava-declaration-and-roadmap/" TargetMode="External"/><Relationship Id="rId21" Type="http://schemas.openxmlformats.org/officeDocument/2006/relationships/hyperlink" Target="https://myintracomm.ec.europa.eu/budgweb/EN/man/budgmanag/Pages/budgmanag.aspx" TargetMode="External"/><Relationship Id="rId7" Type="http://schemas.openxmlformats.org/officeDocument/2006/relationships/hyperlink" Target="https://sustainabledevelopment.un.org/content/documents/21252030%20Agenda%20for%20Sustainable%20Development%20web.pdf" TargetMode="External"/><Relationship Id="rId12" Type="http://schemas.openxmlformats.org/officeDocument/2006/relationships/hyperlink" Target="https://eur-lex.europa.eu/legal-content/EN/TXT/PDF/?uri=uriserv:OJ.C_.2020.415.01.0001.01.ENG" TargetMode="External"/><Relationship Id="rId17" Type="http://schemas.openxmlformats.org/officeDocument/2006/relationships/hyperlink" Target="https://ec.europa.eu/info/strategy/priorities-2019-2024/european-green-deal_en" TargetMode="External"/><Relationship Id="rId2" Type="http://schemas.openxmlformats.org/officeDocument/2006/relationships/hyperlink" Target="https://ec.europa.eu/social/BlobServlet?docId=23699&amp;langId=en" TargetMode="External"/><Relationship Id="rId16" Type="http://schemas.openxmlformats.org/officeDocument/2006/relationships/hyperlink" Target="https://ec.europa.eu/clima/policies/international/negotiations/paris_en" TargetMode="External"/><Relationship Id="rId20" Type="http://schemas.openxmlformats.org/officeDocument/2006/relationships/hyperlink" Target="https://www.europarl.europa.eu/charter/pdf/text_en.pdf" TargetMode="External"/><Relationship Id="rId1" Type="http://schemas.openxmlformats.org/officeDocument/2006/relationships/hyperlink" Target="https://ec.europa.eu/social/BlobServlet?docId=22829&amp;langId=en" TargetMode="External"/><Relationship Id="rId6" Type="http://schemas.openxmlformats.org/officeDocument/2006/relationships/hyperlink" Target="https://eur-lex.europa.eu/legal-content/EN/TXT/HTML/?uri=CELEX:52020DC0790&amp;from=EN" TargetMode="External"/><Relationship Id="rId11" Type="http://schemas.openxmlformats.org/officeDocument/2006/relationships/hyperlink" Target="https://www.europarl.europa.eu/doceo/document/TA-9-2021-0045_EN.html" TargetMode="External"/><Relationship Id="rId5" Type="http://schemas.openxmlformats.org/officeDocument/2006/relationships/hyperlink" Target="https://ec.europa.eu/info/sites/default/files/soteu_2021_address_en_0.pdf" TargetMode="External"/><Relationship Id="rId15" Type="http://schemas.openxmlformats.org/officeDocument/2006/relationships/hyperlink" Target="https://eur-lex.europa.eu/legal-content/EN/TXT/PDF/?uri=CELEX:52017XG1207(01)" TargetMode="External"/><Relationship Id="rId10" Type="http://schemas.openxmlformats.org/officeDocument/2006/relationships/hyperlink" Target="https://data.consilium.europa.eu/doc/document/ST-11320-2020-INIT/en/pdf" TargetMode="External"/><Relationship Id="rId19" Type="http://schemas.openxmlformats.org/officeDocument/2006/relationships/hyperlink" Target="https://www.europarl.europa.eu/doceo/document/TA-9-2020-0211_EN.html" TargetMode="External"/><Relationship Id="rId4" Type="http://schemas.openxmlformats.org/officeDocument/2006/relationships/hyperlink" Target="https://www.consilium.europa.eu/en/press/press-releases/2017/03/25/rome-declaration/pdf" TargetMode="External"/><Relationship Id="rId9" Type="http://schemas.openxmlformats.org/officeDocument/2006/relationships/hyperlink" Target="https://www.europarl.europa.eu/doceo/document/TA-9-2020-0267_EN.html" TargetMode="External"/><Relationship Id="rId14" Type="http://schemas.openxmlformats.org/officeDocument/2006/relationships/hyperlink" Target="https://op.europa.eu/en/publication-detail/-/publication/ad692045-1b46-11ea-8c1f-01aa75ed71a1/language-en/form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2F9CA38ABC5C44BD5E20EE043E15DC" ma:contentTypeVersion="6" ma:contentTypeDescription="Create a new document." ma:contentTypeScope="" ma:versionID="14a1efcb0580986fdce60041afdac8a0">
  <xsd:schema xmlns:xsd="http://www.w3.org/2001/XMLSchema" xmlns:xs="http://www.w3.org/2001/XMLSchema" xmlns:p="http://schemas.microsoft.com/office/2006/metadata/properties" xmlns:ns2="d1e5b296-962f-4e95-98c4-7837af6a0a81" xmlns:ns3="6468000c-c4eb-40c3-a1ff-04fce72ad1c1" targetNamespace="http://schemas.microsoft.com/office/2006/metadata/properties" ma:root="true" ma:fieldsID="5a58ed99e168fb76f0c9ecc8ea328d07" ns2:_="" ns3:_="">
    <xsd:import namespace="d1e5b296-962f-4e95-98c4-7837af6a0a81"/>
    <xsd:import namespace="6468000c-c4eb-40c3-a1ff-04fce72ad1c1"/>
    <xsd:element name="properties">
      <xsd:complexType>
        <xsd:sequence>
          <xsd:element name="documentManagement">
            <xsd:complexType>
              <xsd:all>
                <xsd:element ref="ns2:Topic"/>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5b296-962f-4e95-98c4-7837af6a0a81" elementFormDefault="qualified">
    <xsd:import namespace="http://schemas.microsoft.com/office/2006/documentManagement/types"/>
    <xsd:import namespace="http://schemas.microsoft.com/office/infopath/2007/PartnerControls"/>
    <xsd:element name="Topic" ma:index="2" ma:displayName="Topic" ma:default="2019-2027" ma:format="RadioButtons" ma:internalName="Topic">
      <xsd:simpleType>
        <xsd:restriction base="dms:Choice">
          <xsd:enumeration value="2019-2027"/>
          <xsd:enumeration value="Review"/>
          <xsd:enumeration value="Youth Report 2021"/>
        </xsd:restriction>
      </xsd:simpleType>
    </xsd:element>
  </xsd:schema>
  <xsd:schema xmlns:xsd="http://www.w3.org/2001/XMLSchema" xmlns:xs="http://www.w3.org/2001/XMLSchema" xmlns:dms="http://schemas.microsoft.com/office/2006/documentManagement/types" xmlns:pc="http://schemas.microsoft.com/office/infopath/2007/PartnerControls" targetNamespace="6468000c-c4eb-40c3-a1ff-04fce72ad1c1" elementFormDefault="qualified">
    <xsd:import namespace="http://schemas.microsoft.com/office/2006/documentManagement/types"/>
    <xsd:import namespace="http://schemas.microsoft.com/office/infopath/2007/PartnerControls"/>
    <xsd:element name="about" ma:index="3" ma:displayName="About" ma:format="Dropdown" ma:internalName="about">
      <xsd:simpleType>
        <xsd:restriction base="dms:Choice">
          <xsd:enumeration value="Future National Activities planners"/>
          <xsd:enumeration value="Mutual Learning activities"/>
          <xsd:enumeration value="EU Youth Strategy Platform"/>
          <xsd:enumeration value="EU Youth Coordinator"/>
          <xsd:enumeration value="Tracking of EU spending on Youth"/>
          <xsd:enumeration value="EU Youth Dialogue"/>
          <xsd:enumeration value="Youth Work Agenda"/>
          <xsd:enumeration value="Cross-Border Solidarity"/>
          <xsd:enumeration value="Evaluation of the current Youth Strategy"/>
          <xsd:enumeration value="Preparing the future Youth Strategy"/>
          <xsd:enumeration value="Stakeholders consultation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pic xmlns="d1e5b296-962f-4e95-98c4-7837af6a0a81">2019-2027</Topic>
    <about xmlns="6468000c-c4eb-40c3-a1ff-04fce72ad1c1">Preparing the future Youth Strategy</about>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06F359C-565D-423C-9FC1-466BD0945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5b296-962f-4e95-98c4-7837af6a0a81"/>
    <ds:schemaRef ds:uri="6468000c-c4eb-40c3-a1ff-04fce72ad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648FFB-D089-4D39-98FA-5AEE71407D16}">
  <ds:schemaRefs>
    <ds:schemaRef ds:uri="http://schemas.microsoft.com/sharepoint/v3/contenttype/forms"/>
  </ds:schemaRefs>
</ds:datastoreItem>
</file>

<file path=customXml/itemProps3.xml><?xml version="1.0" encoding="utf-8"?>
<ds:datastoreItem xmlns:ds="http://schemas.openxmlformats.org/officeDocument/2006/customXml" ds:itemID="{960A12F8-3BED-41F7-A9CE-6DFEA18035B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terms/"/>
    <ds:schemaRef ds:uri="d1e5b296-962f-4e95-98c4-7837af6a0a81"/>
    <ds:schemaRef ds:uri="6468000c-c4eb-40c3-a1ff-04fce72ad1c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1098EC36-BB23-48F4-B007-D875103D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27</Pages>
  <Words>11057</Words>
  <Characters>61370</Characters>
  <Application>Microsoft Office Word</Application>
  <DocSecurity>0</DocSecurity>
  <Lines>3068</Lines>
  <Paragraphs>1080</Paragraphs>
  <ScaleCrop>false</ScaleCrop>
  <HeadingPairs>
    <vt:vector size="2" baseType="variant">
      <vt:variant>
        <vt:lpstr>Title</vt:lpstr>
      </vt:variant>
      <vt:variant>
        <vt:i4>1</vt:i4>
      </vt:variant>
    </vt:vector>
  </HeadingPairs>
  <TitlesOfParts>
    <vt:vector size="1" baseType="lpstr">
      <vt:lpstr>Draft Template commission Decision 2022 EYonY</vt:lpstr>
    </vt:vector>
  </TitlesOfParts>
  <Manager/>
  <Company/>
  <LinksUpToDate>false</LinksUpToDate>
  <CharactersWithSpaces>71347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commission Decision 2022 EYonY</dc:title>
  <dc:subject/>
  <dc:creator/>
  <cp:keywords/>
  <dc:description/>
  <cp:lastModifiedBy>WES PDFC Administrator</cp:lastModifiedBy>
  <cp:revision>36</cp:revision>
  <cp:lastPrinted>2021-10-12T15:33:00Z</cp:lastPrinted>
  <dcterms:created xsi:type="dcterms:W3CDTF">2021-10-13T18:22:00Z</dcterms:created>
  <dcterms:modified xsi:type="dcterms:W3CDTF">2021-10-14T07:05:00Z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0x010100C02F9CA38ABC5C44BD5E20EE043E15DC</vt:lpwstr>
  </property>
  <property fmtid="{D5CDD505-2E9C-101B-9397-08002B2CF9AE}" pid="11" name="DQCStatus">
    <vt:lpwstr>Yellow (DQC version 03)</vt:lpwstr>
  </property>
</Properties>
</file>