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drawings/drawing1.xml" ContentType="application/vnd.openxmlformats-officedocument.drawingml.chartshapes+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4232EC2-78D3-41F3-B652-A7FD9FAD578B" style="width:450.6pt;height:320.4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after="120"/>
        <w:jc w:val="center"/>
        <w:rPr>
          <w:b/>
          <w:noProof/>
        </w:rPr>
      </w:pPr>
      <w:bookmarkStart w:id="1" w:name="_GoBack"/>
      <w:bookmarkEnd w:id="1"/>
      <w:r>
        <w:rPr>
          <w:b/>
          <w:noProof/>
        </w:rPr>
        <w:lastRenderedPageBreak/>
        <w:t xml:space="preserve">Revizuirea politicii comerciale - </w:t>
      </w:r>
    </w:p>
    <w:p>
      <w:pPr>
        <w:spacing w:after="120"/>
        <w:jc w:val="center"/>
        <w:rPr>
          <w:b/>
          <w:noProof/>
          <w:u w:val="single"/>
        </w:rPr>
      </w:pPr>
      <w:r>
        <w:rPr>
          <w:b/>
          <w:noProof/>
        </w:rPr>
        <w:t>O politică comercială deschisă, durabilă și fermă</w:t>
      </w:r>
    </w:p>
    <w:p>
      <w:pPr>
        <w:spacing w:after="120"/>
        <w:jc w:val="center"/>
        <w:rPr>
          <w:b/>
          <w:noProof/>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b/>
          <w:smallCaps/>
          <w:noProof/>
          <w:sz w:val="24"/>
          <w:szCs w:val="24"/>
          <w:u w:val="single"/>
        </w:rPr>
        <w:t>Politica comercială europeană într-o perioadă de transformări economice și de instabilitate geopolitică:</w:t>
      </w:r>
      <w:r>
        <w:rPr>
          <w:rFonts w:ascii="Times New Roman" w:hAnsi="Times New Roman"/>
          <w:noProof/>
          <w:sz w:val="24"/>
          <w:szCs w:val="24"/>
        </w:rPr>
        <w:t xml:space="preserve"> </w:t>
      </w:r>
      <w:r>
        <w:rPr>
          <w:rFonts w:ascii="Times New Roman" w:hAnsi="Times New Roman"/>
          <w:b/>
          <w:smallCaps/>
          <w:noProof/>
          <w:sz w:val="24"/>
          <w:szCs w:val="24"/>
          <w:u w:val="single"/>
        </w:rPr>
        <w:t>pregătirea pentru lumea din 2030</w:t>
      </w:r>
    </w:p>
    <w:p>
      <w:pPr>
        <w:spacing w:after="120"/>
        <w:jc w:val="both"/>
        <w:rPr>
          <w:noProof/>
        </w:rPr>
      </w:pPr>
      <w:r>
        <w:rPr>
          <w:noProof/>
        </w:rPr>
        <w:t>Comerțul este unul dintre cele mai puternice instrumente ale UE. El se află în centrul prosperității economice și competitivității Europei, sprijinind o piață internă dinamică și o acțiune externă fermă. Drept rezultat al deschiderii regimului nostru comercial, UE este cel mai mare comerciant mondial de produse agricole și prelucrate și de servicii și se situează pe primul loc în ceea ce privește investițiile internaționale atât pe plan intern, cât și extern. Datorită politicii comerciale comune, UE este un interlocutor unic pe scena mondială. Aceasta este o pârghie unică.</w:t>
      </w:r>
    </w:p>
    <w:p>
      <w:pPr>
        <w:spacing w:after="120"/>
        <w:jc w:val="both"/>
        <w:rPr>
          <w:noProof/>
        </w:rPr>
      </w:pPr>
      <w:r>
        <w:rPr>
          <w:noProof/>
        </w:rPr>
        <w:t>Odată cu noile provocări interne și externe și, în special odată cu un nou model de creștere mai durabilă, astfel cum a fost definit în Pactul verde european și în Strategia digitală europeană, UE necesită o nouă strategie de politică comercială - care să sprijine realizarea obiectivelor sale de politică internă și externă și să promoveze o mai mare sustenabilitate în conformitate cu angajamentul său de a pune în aplicare pe deplin obiectivele de dezvoltare durabilă ale ONU. Politica comercială trebuie să își joace pe deplin rolul în redresarea în urma pandemiei de COVID-19 și în transformările ecologice și digitale ale economiei și către construirea unei Europe mai reziliente la nivel mondial.</w:t>
      </w:r>
    </w:p>
    <w:p>
      <w:pPr>
        <w:spacing w:after="120"/>
        <w:jc w:val="both"/>
        <w:rPr>
          <w:noProof/>
        </w:rPr>
      </w:pPr>
      <w:r>
        <w:rPr>
          <w:b/>
          <w:noProof/>
          <w:lang w:val="en-GB" w:eastAsia="en-GB"/>
        </w:rPr>
        <mc:AlternateContent>
          <mc:Choice Requires="wps">
            <w:drawing>
              <wp:anchor distT="45720" distB="45720" distL="114300" distR="114300" simplePos="0" relativeHeight="251651072" behindDoc="0" locked="0" layoutInCell="1" allowOverlap="1">
                <wp:simplePos x="0" y="0"/>
                <wp:positionH relativeFrom="column">
                  <wp:posOffset>-85090</wp:posOffset>
                </wp:positionH>
                <wp:positionV relativeFrom="paragraph">
                  <wp:posOffset>365760</wp:posOffset>
                </wp:positionV>
                <wp:extent cx="2322830" cy="2733675"/>
                <wp:effectExtent l="0" t="0" r="2032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2733675"/>
                        </a:xfrm>
                        <a:prstGeom prst="rect">
                          <a:avLst/>
                        </a:prstGeom>
                        <a:solidFill>
                          <a:srgbClr val="FFFFFF"/>
                        </a:solidFill>
                        <a:ln w="9525">
                          <a:solidFill>
                            <a:srgbClr val="000000"/>
                          </a:solidFill>
                          <a:miter lim="800000"/>
                          <a:headEnd/>
                          <a:tailEnd/>
                        </a:ln>
                      </wps:spPr>
                      <wps:txbx>
                        <w:txbxContent>
                          <w:p>
                            <w:pPr>
                              <w:jc w:val="both"/>
                            </w:pPr>
                            <w:r>
                              <w:t>Restricțiile impuse în 2017-2019 au afectat deja o valoare mai mare a schimburilor comerciale decât în perioada 2009-2016, iar FMI consideră că tensiunile comerciale prezintă în continuare un risc grav pentru economia mondială, într-o perioadă de fragilitate excepțională.</w:t>
                            </w:r>
                          </w:p>
                          <w:p>
                            <w:pPr>
                              <w:rPr>
                                <w:lang w:val="en-IE"/>
                              </w:rPr>
                            </w:pPr>
                          </w:p>
                          <w:p>
                            <w:pPr>
                              <w:rPr>
                                <w:i/>
                                <w:sz w:val="16"/>
                                <w:szCs w:val="16"/>
                              </w:rPr>
                            </w:pPr>
                            <w:r>
                              <w:rPr>
                                <w:i/>
                                <w:sz w:val="16"/>
                                <w:szCs w:val="16"/>
                              </w:rPr>
                              <w:t>IMF Strategy, Policy and Review Department (2020), [Departamentul Strategie, Politică și Revizuire al FMI (2020)], Developments in Global Trade Policy: Broadening Conflict May Hinder Recovery, October 1, 2020 (Evoluția politicii comerciale în lume: extinderea conflictelor poate împiedica redresarea, 1 octombrie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7pt;margin-top:28.8pt;width:182.9pt;height:215.2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">
                <v:textbox>
                  <w:txbxContent>
                    <w:p>
                      <w:pPr>
                        <w:jc w:val="both"/>
                      </w:pPr>
                      <w:r>
                        <w:t>Restricțiile impuse în 2017-2019 au afectat deja o valoare mai mare a schimburilor comerciale decât în perioada 2009-2016, iar FMI consideră că tensiunile comerciale prezintă în continuare un risc grav pentru economia mondială, într-o perioadă de fragilitate excepțională.</w:t>
                      </w:r>
                    </w:p>
                    <w:p>
                      <w:pPr>
                        <w:rPr>
                          <w:lang w:val="en-IE"/>
                        </w:rPr>
                      </w:pPr>
                    </w:p>
                    <w:p>
                      <w:pPr>
                        <w:rPr>
                          <w:i/>
                          <w:sz w:val="16"/>
                          <w:szCs w:val="16"/>
                        </w:rPr>
                      </w:pPr>
                      <w:r>
                        <w:rPr>
                          <w:i/>
                          <w:sz w:val="16"/>
                          <w:szCs w:val="16"/>
                        </w:rPr>
                        <w:t>IMF Strategy, Policy and Review Department (2020), [Departamentul Strategie, Politică și Revizuire al FMI (2020)], Developments in Global Trade Policy: Broadening Conflict May Hinder Recovery, October 1, 2020 (Evoluția politicii comerciale în lume: extinderea conflictelor poate împiedica redresarea, 1 octombrie 2020)</w:t>
                      </w:r>
                    </w:p>
                  </w:txbxContent>
                </v:textbox>
                <w10:wrap type="square"/>
              </v:shape>
            </w:pict>
          </mc:Fallback>
        </mc:AlternateContent>
      </w:r>
      <w:r>
        <w:rPr>
          <w:noProof/>
        </w:rPr>
        <w:t>O alegere strategică judicioasă în elaborarea unei politici comerciale pentru lumea din 2030 înseamnă luarea în considerare a recentelor schimbări politice, economice, tehnologice, de mediu și sociale și a tendințelor globale care decurg din acestea</w:t>
      </w:r>
      <w:r>
        <w:rPr>
          <w:rStyle w:val="FootnoteReference"/>
          <w:noProof/>
        </w:rPr>
        <w:footnoteReference w:id="2"/>
      </w:r>
      <w:r>
        <w:rPr>
          <w:noProof/>
        </w:rPr>
        <w:t xml:space="preserve">. </w:t>
      </w:r>
    </w:p>
    <w:p>
      <w:pPr>
        <w:spacing w:after="120"/>
        <w:jc w:val="both"/>
        <w:rPr>
          <w:noProof/>
        </w:rPr>
      </w:pPr>
      <w:r>
        <w:rPr>
          <w:b/>
          <w:noProof/>
        </w:rPr>
        <w:t>Incertitudinea la nivel mondial</w:t>
      </w:r>
      <w:r>
        <w:rPr>
          <w:noProof/>
        </w:rPr>
        <w:t xml:space="preserve"> este în creștere, fiind alimentată de tensiunile politice și geoeconomice. În locul cooperării internaționale și al guvernanței multilaterale, există un </w:t>
      </w:r>
      <w:r>
        <w:rPr>
          <w:b/>
          <w:noProof/>
        </w:rPr>
        <w:t>unilateralism din ce în ce mai important,</w:t>
      </w:r>
      <w:r>
        <w:rPr>
          <w:noProof/>
        </w:rPr>
        <w:t xml:space="preserve"> ale cărui consecințe sunt perturbarea sau ocolirea instituțiilor multilaterale. Aceste tendințe își au originile în mai multe evoluții. </w:t>
      </w:r>
    </w:p>
    <w:p>
      <w:pPr>
        <w:spacing w:after="120"/>
        <w:jc w:val="both"/>
        <w:rPr>
          <w:noProof/>
        </w:rPr>
      </w:pPr>
      <w:r>
        <w:rPr>
          <w:noProof/>
        </w:rPr>
        <w:t xml:space="preserve">În primul rând, </w:t>
      </w:r>
      <w:r>
        <w:rPr>
          <w:b/>
          <w:noProof/>
        </w:rPr>
        <w:t>mondializarea, evoluțiile tehnologice</w:t>
      </w:r>
      <w:r>
        <w:rPr>
          <w:noProof/>
        </w:rPr>
        <w:t xml:space="preserve"> și crearea de lanțuri valorice globale au avut un impact dihotomic asupra economiilor și societăților. Pe de o parte, ele au generat câștiguri masive de eficiență, alimentând o creștere economică susținută și bazată pe comerț în multe părți ale lumii. Acest lucru a contribuit la scoaterea a milioane de oameni din sărăcie. Pe de altă parte, aceste evoluții au avut uneori un puternic efect perturbator care a condus la creșterea inegalităților și la lăsarea în urmă a unor persoane și comunități. Ceea ce se preconiza a fi costuri tranzitorii de ajustare s-a transformat uneori în pierderi permanente în ceea ce privește nivelul de trai, oportunitățile de angajare sau salariile și alte condiții de muncă. În multe cazuri, guvernele sunt percepute ca fiind insuficient de reactive la </w:t>
      </w:r>
      <w:r>
        <w:rPr>
          <w:b/>
          <w:bCs/>
          <w:noProof/>
        </w:rPr>
        <w:t>adaptările economice</w:t>
      </w:r>
      <w:r>
        <w:rPr>
          <w:noProof/>
        </w:rPr>
        <w:t xml:space="preserve"> și pentru a atenua efectele negative ale acestora</w:t>
      </w:r>
      <w:r>
        <w:rPr>
          <w:rStyle w:val="FootnoteReference"/>
          <w:noProof/>
        </w:rPr>
        <w:footnoteReference w:id="3"/>
      </w:r>
      <w:r>
        <w:rPr>
          <w:noProof/>
        </w:rPr>
        <w:t xml:space="preserve">. Acest lucru a dus la apeluri la deglobalizare și la intensificarea reacțiilor izolaționiste și orientate spre interior. </w:t>
      </w:r>
    </w:p>
    <w:p>
      <w:pPr>
        <w:spacing w:after="120"/>
        <w:jc w:val="both"/>
        <w:rPr>
          <w:noProof/>
        </w:rPr>
      </w:pPr>
      <w:r>
        <w:rPr>
          <w:noProof/>
        </w:rPr>
        <w:t xml:space="preserve">În al doilea rând, </w:t>
      </w:r>
      <w:r>
        <w:rPr>
          <w:b/>
          <w:noProof/>
        </w:rPr>
        <w:t>emergența rapidă a Chinei</w:t>
      </w:r>
      <w:r>
        <w:rPr>
          <w:noProof/>
        </w:rPr>
        <w:t>, demonstrând ambiții globale și urmând un model distinct de capitalism de stat, a schimbat în mod fundamental ordinea economică și politică mondială. Acest lucru reprezintă o provocare din ce în ce mai mare pentru sistemul de guvernanță economică mondială și afectează condițiile de concurență echitabile pentru întreprinderile europene care sunt în concurență pe plan mondial și pe plan intern</w:t>
      </w:r>
      <w:r>
        <w:rPr>
          <w:rStyle w:val="FootnoteReference"/>
          <w:noProof/>
        </w:rPr>
        <w:footnoteReference w:id="4"/>
      </w:r>
      <w:r>
        <w:rPr>
          <w:noProof/>
        </w:rPr>
        <w:t>.</w:t>
      </w:r>
    </w:p>
    <w:p>
      <w:pPr>
        <w:spacing w:after="120"/>
        <w:jc w:val="both"/>
        <w:rPr>
          <w:noProof/>
        </w:rPr>
      </w:pPr>
      <w:r>
        <w:rPr>
          <w:noProof/>
          <w:lang w:val="en-GB" w:eastAsia="en-GB"/>
        </w:rPr>
        <w:drawing>
          <wp:anchor distT="0" distB="0" distL="114300" distR="114300" simplePos="0" relativeHeight="251655168" behindDoc="0" locked="0" layoutInCell="1" allowOverlap="1">
            <wp:simplePos x="0" y="0"/>
            <wp:positionH relativeFrom="column">
              <wp:posOffset>22860</wp:posOffset>
            </wp:positionH>
            <wp:positionV relativeFrom="paragraph">
              <wp:posOffset>43180</wp:posOffset>
            </wp:positionV>
            <wp:extent cx="2865755" cy="2323465"/>
            <wp:effectExtent l="0" t="0" r="0" b="63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5755" cy="23234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53120" behindDoc="0" locked="0" layoutInCell="1" allowOverlap="1">
                <wp:simplePos x="0" y="0"/>
                <wp:positionH relativeFrom="column">
                  <wp:posOffset>-160655</wp:posOffset>
                </wp:positionH>
                <wp:positionV relativeFrom="paragraph">
                  <wp:posOffset>2540635</wp:posOffset>
                </wp:positionV>
                <wp:extent cx="323088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230880" cy="635"/>
                        </a:xfrm>
                        <a:prstGeom prst="rect">
                          <a:avLst/>
                        </a:prstGeom>
                        <a:solidFill>
                          <a:prstClr val="white"/>
                        </a:solidFill>
                        <a:ln>
                          <a:noFill/>
                        </a:ln>
                      </wps:spPr>
                      <wps:txbx>
                        <w:txbxContent>
                          <w:p>
                            <w:pPr>
                              <w:pStyle w:val="Caption"/>
                              <w:rPr>
                                <w:noProof/>
                                <w:sz w:val="24"/>
                                <w:szCs w:val="24"/>
                              </w:rPr>
                            </w:pPr>
                            <w:r>
                              <w:t>Sursă: Baza de date WEO a FMI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 o:spid="_x0000_s1027" type="#_x0000_t202" style="position:absolute;left:0;text-align:left;margin-left:-12.65pt;margin-top:200.05pt;width:254.4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" stroked="f">
                <v:textbox style="mso-fit-shape-to-text:t" inset="0,0,0,0">
                  <w:txbxContent>
                    <w:p>
                      <w:pPr>
                        <w:pStyle w:val="Caption"/>
                        <w:rPr>
                          <w:noProof/>
                          <w:sz w:val="24"/>
                          <w:szCs w:val="24"/>
                        </w:rPr>
                      </w:pPr>
                      <w:r>
                        <w:t>Sursă: Baza de date WEO a FMI</w:t>
                      </w:r>
                    </w:p>
                  </w:txbxContent>
                </v:textbox>
                <w10:wrap type="square"/>
              </v:shape>
            </w:pict>
          </mc:Fallback>
        </mc:AlternateContent>
      </w:r>
      <w:r>
        <w:rPr>
          <w:noProof/>
        </w:rPr>
        <w:t xml:space="preserve">În al treilea rând, accelerarea </w:t>
      </w:r>
      <w:r>
        <w:rPr>
          <w:b/>
          <w:bCs/>
          <w:noProof/>
        </w:rPr>
        <w:t>schimbărilor climatice</w:t>
      </w:r>
      <w:r>
        <w:rPr>
          <w:noProof/>
        </w:rPr>
        <w:t xml:space="preserve">, împreună cu declinul biodiversității și degradarea mediului, însoțite de exemple concrete ale efectelor devastatoare ale acestora au dus la recunoașterea tranziției verzi ca obiectiv definitoriu al timpului nostru. </w:t>
      </w:r>
    </w:p>
    <w:p>
      <w:pPr>
        <w:spacing w:after="120"/>
        <w:jc w:val="both"/>
        <w:rPr>
          <w:noProof/>
        </w:rPr>
      </w:pPr>
      <w:r>
        <w:rPr>
          <w:noProof/>
        </w:rPr>
        <w:t xml:space="preserve">Pactul verde european este noua strategie de creștere a UE care facilitează resetarea politicii noastre economice pentru a răspunde mai bine provocărilor secolului XXI. Obiectivul său general este tranziția către o economie neutră din punct de vedere climatic, durabilă din punct de vedere a mediului, eficientă din punct de vedere al utilizării resurselor și rezilientă până în 2050 cu ambiția de a reduce emisiile de GES cu cel puțin 55 % până în 2030, precum și protejarea, conservarea și sporirea capitalului natural al UE. Ca atare, aceasta va fi forța motrice a competitivității noastre și va duce la o </w:t>
      </w:r>
      <w:r>
        <w:rPr>
          <w:b/>
          <w:noProof/>
        </w:rPr>
        <w:t>transformare progresivă, dar profundă a economiilor noastre,</w:t>
      </w:r>
      <w:r>
        <w:rPr>
          <w:noProof/>
        </w:rPr>
        <w:t xml:space="preserve"> ceea ce la rândul său va avea o influență puternică asupra modelelor comerciale. </w:t>
      </w:r>
    </w:p>
    <w:p>
      <w:pPr>
        <w:spacing w:after="120"/>
        <w:jc w:val="both"/>
        <w:rPr>
          <w:noProof/>
        </w:rPr>
      </w:pPr>
      <w:r>
        <w:rPr>
          <w:noProof/>
        </w:rPr>
        <w:t>Tranziția verde trebuie să meargă mână în mână cu echitatea socială. În multe părți ale lumii</w:t>
      </w:r>
      <w:r>
        <w:rPr>
          <w:rStyle w:val="FootnoteReference"/>
          <w:noProof/>
        </w:rPr>
        <w:footnoteReference w:id="5"/>
      </w:r>
      <w:r>
        <w:rPr>
          <w:noProof/>
        </w:rPr>
        <w:t xml:space="preserve"> </w:t>
      </w:r>
      <w:r>
        <w:rPr>
          <w:b/>
          <w:noProof/>
        </w:rPr>
        <w:t>persistă un</w:t>
      </w:r>
      <w:r>
        <w:rPr>
          <w:noProof/>
        </w:rPr>
        <w:t xml:space="preserve"> </w:t>
      </w:r>
      <w:r>
        <w:rPr>
          <w:b/>
          <w:bCs/>
          <w:noProof/>
        </w:rPr>
        <w:t>deficit</w:t>
      </w:r>
      <w:r>
        <w:rPr>
          <w:noProof/>
        </w:rPr>
        <w:t xml:space="preserve"> important </w:t>
      </w:r>
      <w:r>
        <w:rPr>
          <w:b/>
          <w:bCs/>
          <w:noProof/>
        </w:rPr>
        <w:t>de muncă decentă</w:t>
      </w:r>
      <w:r>
        <w:rPr>
          <w:noProof/>
        </w:rPr>
        <w:t xml:space="preserve"> în lanțurile de aprovizionare mondiale, de la încălcări grave ale libertății de asociere până la condiții de muncă precare</w:t>
      </w:r>
      <w:r>
        <w:rPr>
          <w:rStyle w:val="FootnoteReference"/>
          <w:noProof/>
        </w:rPr>
        <w:footnoteReference w:id="6"/>
      </w:r>
      <w:r>
        <w:rPr>
          <w:noProof/>
        </w:rPr>
        <w:t xml:space="preserve">. Privarea lucrătorilor de drepturile lor fundamentale exercită o presiune descendentă asupra condițiilor sociale la nivel mondial și alimentează nemulțumirea oamenilor față de globalizare și de comerțul deschis. </w:t>
      </w:r>
    </w:p>
    <w:p>
      <w:pPr>
        <w:spacing w:after="120"/>
        <w:jc w:val="both"/>
        <w:rPr>
          <w:noProof/>
        </w:rPr>
      </w:pPr>
      <w:r>
        <w:rPr>
          <w:noProof/>
        </w:rPr>
        <w:t xml:space="preserve">În al patrulea rând, </w:t>
      </w:r>
      <w:r>
        <w:rPr>
          <w:b/>
          <w:bCs/>
          <w:noProof/>
        </w:rPr>
        <w:t>transformarea digitală</w:t>
      </w:r>
      <w:r>
        <w:rPr>
          <w:noProof/>
        </w:rPr>
        <w:t xml:space="preserve"> este un alt factor determinant esențial al dezvoltării durabile, dar și un spațiu al concurenței și al guvernanței multilaterale inadecvate. Întrucât intrăm într-un deceniu digital, sprijinul acordat transformării digitale a Europei este o prioritate atât pentru politicile pe plan intern, cât și pentru cele pe plan extern, inclusiv politica comercială și instrumentele acesteia. În același timp, </w:t>
      </w:r>
      <w:r>
        <w:rPr>
          <w:b/>
          <w:bCs/>
          <w:noProof/>
        </w:rPr>
        <w:t>natura comerțului va continua să evolueze.</w:t>
      </w:r>
      <w:r>
        <w:rPr>
          <w:noProof/>
        </w:rPr>
        <w:t xml:space="preserve"> Acesta va deveni mai orientat spre inovare, sprijinit de protecția proprietății intelectuale (PI), cu un rol din ce în ce mai important al comerțului cu servicii în comparație cu comerțul cu bunuri</w:t>
      </w:r>
      <w:r>
        <w:rPr>
          <w:rStyle w:val="FootnoteReference"/>
          <w:noProof/>
        </w:rPr>
        <w:footnoteReference w:id="7"/>
      </w:r>
      <w:r>
        <w:rPr>
          <w:noProof/>
        </w:rPr>
        <w:t xml:space="preserve">. Serviciile contribuie nu numai în mod direct la lanțul valoric (servicii financiare, telecomunicații, tehnologiile informației, transport și logistică), ci contribuie - deseori chiar cu o importanță mai mare - și prin faptul că sunt încorporate în produsele prelucrate. Servitizarea economiei și dezvoltarea tehnologiilor digitale au creat locuri de muncă bine plătite și de înaltă calitate și au alimentat creșterea economică. </w:t>
      </w:r>
    </w:p>
    <w:p>
      <w:pPr>
        <w:spacing w:after="120"/>
        <w:jc w:val="both"/>
        <w:rPr>
          <w:noProof/>
        </w:rPr>
      </w:pPr>
      <w:r>
        <w:rPr>
          <w:b/>
          <w:noProof/>
        </w:rPr>
        <w:t>Pandemia de COVID-19</w:t>
      </w:r>
      <w:r>
        <w:rPr>
          <w:noProof/>
        </w:rPr>
        <w:t xml:space="preserve"> a accelerat și a concentrat atenția asupra acestor schimbări, creând totodată provocări proprii. Ea a evidențiat caracterul interconectat al economiilor, care se bazează pe norme internaționale stabile și previzibile și pe canale de transport reziliente. Ea a scos în evidență riscul de dezmembrare a cooperării și încrederii la nivel mondial. Ea a ridicat, de asemenea, întrebări cu privire la combinația adecvată de politici în ceea ce privește diversificarea surselor interne și externe de aprovizionare și crearea de capacități de producție și rezerve strategice. Aceasta a demonstrat, de asemenea, importanța extinderii producției de produse sanitare într-o situație de criză și necesitatea cooperării pentru a asigura un acces echitabil pentru populațiile mai vulnerabile. Mai mult, ea a dus la o creștere semnificativă a sprijinului guvernamental și a implicării în economie, necesară pentru salvarea întreprinderilor sănătoase și protejarea locurilor de muncă, dar care poate să nu fie sustenabilă pe termen lung și să genereze tensiuni. </w:t>
      </w:r>
    </w:p>
    <w:p>
      <w:pPr>
        <w:spacing w:after="120"/>
        <w:jc w:val="both"/>
        <w:rPr>
          <w:noProof/>
        </w:rPr>
      </w:pPr>
      <w:r>
        <w:rPr>
          <w:noProof/>
        </w:rPr>
        <w:t>În cele din urmă, trebuie luate în considerare perspectivele economice din întreaga lume. UE va rămâne o putere economică globală și un lider în ceea ce privește creșterea durabilă. Cele mai recente previziuni pe termen lung ale OCDE indică faptul că PIB-ul real din zona euro va crește anual cu 1,4 % (rata anuală de creștere) în următorii 10 ani</w:t>
      </w:r>
      <w:r>
        <w:rPr>
          <w:rStyle w:val="FootnoteReference"/>
          <w:noProof/>
        </w:rPr>
        <w:footnoteReference w:id="8"/>
      </w:r>
      <w:r>
        <w:rPr>
          <w:noProof/>
        </w:rPr>
        <w:t xml:space="preserve">. Cu toate acestea, aceste perspective de creștere vor fi depășite de evoluțiile din alte regiuni, iar poziția relativă a Europei în economia internațională se va schimba. Deja în 2024, se preconizează că 85 % din creșterea PIB-ului mondial va proveni din afara UE. Dezvoltarea continuă a Chinei va avea un impact puternic asupra evoluțiilor economiei mondiale în cursul următorilor 10 ani - OCDE estimează că PIB-ul Chinei va crește cu 4,7 % anual. </w:t>
      </w:r>
    </w:p>
    <w:p>
      <w:pPr>
        <w:spacing w:after="120"/>
        <w:jc w:val="both"/>
        <w:rPr>
          <w:noProof/>
        </w:rPr>
      </w:pPr>
      <w:r>
        <w:rPr>
          <w:noProof/>
        </w:rPr>
        <w:t>Politica comercială a UE trebuie să țină seama de aceste tendințe și provocări globale pentru a reflecta ambiția politică a „unei Europe mai puternice la nivel mondial”</w:t>
      </w:r>
      <w:r>
        <w:rPr>
          <w:rStyle w:val="FootnoteReference"/>
          <w:noProof/>
        </w:rPr>
        <w:footnoteReference w:id="9"/>
      </w:r>
      <w:r>
        <w:rPr>
          <w:noProof/>
        </w:rPr>
        <w:t>. Ea ar trebui să răspundă, de asemenea, așteptărilor părților interesate, astfel cum au fost semnalate în discuțiile cu statele membre, rezoluției adoptate de Parlamentul European</w:t>
      </w:r>
      <w:r>
        <w:rPr>
          <w:rStyle w:val="FootnoteReference"/>
          <w:noProof/>
        </w:rPr>
        <w:footnoteReference w:id="10"/>
      </w:r>
      <w:r>
        <w:rPr>
          <w:noProof/>
        </w:rPr>
        <w:t xml:space="preserve"> și opiniilor exprimate în cadrul consultării publice</w:t>
      </w:r>
      <w:r>
        <w:rPr>
          <w:rStyle w:val="FootnoteReference"/>
          <w:noProof/>
        </w:rPr>
        <w:footnoteReference w:id="11"/>
      </w:r>
      <w:r>
        <w:rPr>
          <w:noProof/>
        </w:rPr>
        <w:t xml:space="preserve">. </w:t>
      </w:r>
    </w:p>
    <w:p>
      <w:pPr>
        <w:spacing w:after="120"/>
        <w:jc w:val="both"/>
        <w:rPr>
          <w:noProof/>
        </w:rPr>
      </w:pPr>
    </w:p>
    <w:p>
      <w:pPr>
        <w:spacing w:after="120"/>
        <w:jc w:val="both"/>
        <w:rPr>
          <w:noProof/>
        </w:rPr>
      </w:pPr>
    </w:p>
    <w:p>
      <w:pPr>
        <w:spacing w:after="120"/>
        <w:jc w:val="both"/>
        <w:rPr>
          <w:noProof/>
        </w:rPr>
      </w:pPr>
      <w:r>
        <w:rPr>
          <w:noProof/>
          <w:lang w:val="en-GB" w:eastAsia="en-GB"/>
        </w:rPr>
        <w:drawing>
          <wp:anchor distT="0" distB="0" distL="114300" distR="114300" simplePos="0" relativeHeight="251660288" behindDoc="0" locked="0" layoutInCell="1" allowOverlap="1">
            <wp:simplePos x="0" y="0"/>
            <wp:positionH relativeFrom="column">
              <wp:posOffset>-61595</wp:posOffset>
            </wp:positionH>
            <wp:positionV relativeFrom="paragraph">
              <wp:posOffset>261620</wp:posOffset>
            </wp:positionV>
            <wp:extent cx="3054350" cy="2061210"/>
            <wp:effectExtent l="0" t="0" r="12700" b="15240"/>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4384" behindDoc="0" locked="0" layoutInCell="1" allowOverlap="1">
            <wp:simplePos x="0" y="0"/>
            <wp:positionH relativeFrom="column">
              <wp:posOffset>3011805</wp:posOffset>
            </wp:positionH>
            <wp:positionV relativeFrom="paragraph">
              <wp:posOffset>261620</wp:posOffset>
            </wp:positionV>
            <wp:extent cx="2876550" cy="2070100"/>
            <wp:effectExtent l="0" t="0" r="0" b="635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pPr>
        <w:spacing w:after="120"/>
        <w:jc w:val="both"/>
        <w:rPr>
          <w:noProof/>
        </w:rPr>
      </w:pPr>
      <w:r>
        <w:rPr>
          <w:noProof/>
          <w:lang w:val="en-GB" w:eastAsia="en-GB"/>
        </w:rPr>
        <mc:AlternateContent>
          <mc:Choice Requires="wps">
            <w:drawing>
              <wp:anchor distT="0" distB="0" distL="114300" distR="114300" simplePos="0" relativeHeight="251652096" behindDoc="0" locked="0" layoutInCell="1" allowOverlap="1">
                <wp:simplePos x="0" y="0"/>
                <wp:positionH relativeFrom="column">
                  <wp:posOffset>-635</wp:posOffset>
                </wp:positionH>
                <wp:positionV relativeFrom="paragraph">
                  <wp:posOffset>2203450</wp:posOffset>
                </wp:positionV>
                <wp:extent cx="301942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019425" cy="635"/>
                        </a:xfrm>
                        <a:prstGeom prst="rect">
                          <a:avLst/>
                        </a:prstGeom>
                        <a:solidFill>
                          <a:prstClr val="white"/>
                        </a:solidFill>
                        <a:ln>
                          <a:noFill/>
                        </a:ln>
                      </wps:spPr>
                      <wps:txbx>
                        <w:txbxContent>
                          <w:p>
                            <w:pPr>
                              <w:pStyle w:val="Caption"/>
                            </w:pPr>
                            <w:r>
                              <w:t>Sursă: OCDE, Previziune pe termen lung a PIB-ului real.</w:t>
                            </w:r>
                          </w:p>
                          <w:p/>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8" o:spid="_x0000_s1028" type="#_x0000_t202" style="position:absolute;left:0;text-align:left;margin-left:-.05pt;margin-top:173.5pt;width:237.7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" stroked="f">
                <v:textbox style="mso-fit-shape-to-text:t" inset="0,0,0,0">
                  <w:txbxContent>
                    <w:p>
                      <w:pPr>
                        <w:pStyle w:val="Caption"/>
                      </w:pPr>
                      <w:r>
                        <w:t>Sursă: OCDE, Previziune pe termen lung a PIB-ului real.</w:t>
                      </w:r>
                    </w:p>
                    <w:p/>
                    <w:p/>
                  </w:txbxContent>
                </v:textbox>
                <w10:wrap type="square"/>
              </v:shape>
            </w:pict>
          </mc:Fallback>
        </mc:AlternateContent>
      </w:r>
    </w:p>
    <w:p>
      <w:pPr>
        <w:spacing w:after="120"/>
        <w:jc w:val="both"/>
        <w:rPr>
          <w:b/>
          <w:smallCaps/>
          <w:noProof/>
          <w:u w:val="single"/>
        </w:rPr>
      </w:pPr>
    </w:p>
    <w:p>
      <w:pPr>
        <w:pStyle w:val="ListParagraph"/>
        <w:spacing w:after="120" w:line="240" w:lineRule="auto"/>
        <w:ind w:left="360"/>
        <w:contextualSpacing w:val="0"/>
        <w:jc w:val="both"/>
        <w:rPr>
          <w:rFonts w:ascii="Times New Roman" w:hAnsi="Times New Roman" w:cs="Times New Roman"/>
          <w:b/>
          <w:smallCaps/>
          <w:noProof/>
          <w:sz w:val="24"/>
          <w:szCs w:val="24"/>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b/>
          <w:smallCaps/>
          <w:noProof/>
          <w:sz w:val="24"/>
          <w:szCs w:val="24"/>
          <w:u w:val="single"/>
        </w:rPr>
        <w:t>O politică comercială care sprijină autonomia strategică deschisă a UE</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Autonomia strategică deschisă </w:t>
      </w:r>
    </w:p>
    <w:p>
      <w:pPr>
        <w:spacing w:after="120"/>
        <w:jc w:val="both"/>
        <w:rPr>
          <w:noProof/>
        </w:rPr>
      </w:pPr>
      <w:r>
        <w:rPr>
          <w:noProof/>
          <w:lang w:val="en-GB" w:eastAsia="en-GB"/>
        </w:rPr>
        <w:drawing>
          <wp:anchor distT="0" distB="0" distL="114300" distR="114300" simplePos="0" relativeHeight="251654144" behindDoc="1" locked="0" layoutInCell="1" allowOverlap="1">
            <wp:simplePos x="0" y="0"/>
            <wp:positionH relativeFrom="column">
              <wp:posOffset>2704354</wp:posOffset>
            </wp:positionH>
            <wp:positionV relativeFrom="paragraph">
              <wp:posOffset>244116</wp:posOffset>
            </wp:positionV>
            <wp:extent cx="2950845" cy="2720975"/>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Pr>
          <w:noProof/>
        </w:rPr>
        <w:t xml:space="preserve">O Uniune Europeană mai puternică și mai rezilientă necesită o </w:t>
      </w:r>
      <w:r>
        <w:rPr>
          <w:b/>
          <w:bCs/>
          <w:noProof/>
        </w:rPr>
        <w:t>acțiune internă și externă</w:t>
      </w:r>
      <w:r>
        <w:rPr>
          <w:noProof/>
        </w:rPr>
        <w:t xml:space="preserve"> coordonată în multe domenii strategice, care să alinieze și să utilizeze toate instrumentele comerciale în sprijinul intereselor și al obiectivelor de politică ale UE. Ea necesită valorificarea punctelor noastre forte în cadrul colaborării cu partenerii noștri. „Autonomia strategică deschisă” răspunde acestei necesități. </w:t>
      </w:r>
      <w:r>
        <w:rPr>
          <w:b/>
          <w:noProof/>
        </w:rPr>
        <w:t>Autonomia strategică deschisă</w:t>
      </w:r>
      <w:r>
        <w:rPr>
          <w:rStyle w:val="FootnoteReference"/>
          <w:b/>
          <w:noProof/>
        </w:rPr>
        <w:footnoteReference w:id="12"/>
      </w:r>
      <w:r>
        <w:rPr>
          <w:b/>
          <w:noProof/>
        </w:rPr>
        <w:t xml:space="preserve"> accentuează capacitatea UE de a face propriile alegeri și a contura societatea din jurul ei prin rolul ei de lider și prin angajamentul său, reflectând interesele sale strategice și valorile sale. </w:t>
      </w:r>
      <w:r>
        <w:rPr>
          <w:noProof/>
        </w:rPr>
        <w:t xml:space="preserve">Ea reflectă convingerea fundamentală a UE că abordarea provocărilor din prezent necesită mai multă mai degrabă decât mai puțină cooperare la nivel mondial. Asta înseamnă și mai mult că UE continuă să profite de oportunitățile internaționale, apărându-și în același timp cu fermitate interesele, protejând economia UE de practicile comerciale neloiale și asigurând condiții de concurență echitabile. În cele din urmă, ea implică sprijinirea politicilor interne pentru a consolida economia UE și a contribui la poziționarea sa ca lider mondial în urmărirea unui sistem reformat de guvernanță comercială mondială bazat pe norme. </w:t>
      </w:r>
    </w:p>
    <w:p>
      <w:pPr>
        <w:spacing w:after="120"/>
        <w:jc w:val="both"/>
        <w:rPr>
          <w:noProof/>
        </w:rPr>
      </w:pPr>
      <w:r>
        <w:rPr>
          <w:noProof/>
        </w:rPr>
        <w:t xml:space="preserve">Autonomia strategică deschisă este nu numai o opțiune politică, dar și o mentalitate pentru factorii de decizie. Ea se sprijină pe importanța </w:t>
      </w:r>
      <w:r>
        <w:rPr>
          <w:b/>
          <w:bCs/>
          <w:noProof/>
        </w:rPr>
        <w:t>deschiderii,</w:t>
      </w:r>
      <w:r>
        <w:rPr>
          <w:noProof/>
        </w:rPr>
        <w:t xml:space="preserve"> reamintind angajamentul UE față de un comerț deschis și echitabil cu lanțuri valorice globale funcționale, diversificate și durabile. Aceasta cuprinde:</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reziliență și competitivitate</w:t>
      </w:r>
      <w:r>
        <w:rPr>
          <w:rFonts w:ascii="Times New Roman" w:hAnsi="Times New Roman"/>
          <w:noProof/>
          <w:sz w:val="24"/>
          <w:szCs w:val="24"/>
        </w:rPr>
        <w:t xml:space="preserve"> pentru consolidarea economiei UE; </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durabilitate și echitate</w:t>
      </w:r>
      <w:r>
        <w:rPr>
          <w:rFonts w:ascii="Times New Roman" w:hAnsi="Times New Roman"/>
          <w:noProof/>
          <w:sz w:val="24"/>
          <w:szCs w:val="24"/>
        </w:rPr>
        <w:t xml:space="preserve">, reflectând necesitatea unei acțiuni responsabile și echitabile la nivelul UE; </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fermitate și cooperare bazată pe norme</w:t>
      </w:r>
      <w:r>
        <w:rPr>
          <w:rFonts w:ascii="Times New Roman" w:hAnsi="Times New Roman"/>
          <w:noProof/>
          <w:sz w:val="24"/>
          <w:szCs w:val="24"/>
        </w:rPr>
        <w:t xml:space="preserve"> pentru a evidenția preferința UE pentru dialog și cooperare internațională, dar și disponibilitatea sa de a combate practicile neloiale și de a utiliza instrumente autonome pentru a-și urmări interesele acolo unde este necesar. </w:t>
      </w:r>
    </w:p>
    <w:p>
      <w:pPr>
        <w:pStyle w:val="ListParagraph"/>
        <w:spacing w:after="120" w:line="240" w:lineRule="auto"/>
        <w:jc w:val="both"/>
        <w:rPr>
          <w:rFonts w:ascii="Times New Roman" w:hAnsi="Times New Roman" w:cs="Times New Roman"/>
          <w:noProof/>
          <w:sz w:val="24"/>
          <w:szCs w:val="24"/>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Deschiderea și angajamentul ca opțiune strategică</w:t>
      </w:r>
    </w:p>
    <w:p>
      <w:pPr>
        <w:spacing w:after="120"/>
        <w:jc w:val="both"/>
        <w:rPr>
          <w:noProof/>
        </w:rPr>
      </w:pPr>
      <w:r>
        <w:rPr>
          <w:noProof/>
          <w:lang w:val="en-GB" w:eastAsia="en-GB"/>
        </w:rPr>
        <mc:AlternateContent>
          <mc:Choice Requires="wps">
            <w:drawing>
              <wp:anchor distT="45720" distB="45720" distL="114300" distR="114300" simplePos="0" relativeHeight="251658240" behindDoc="0" locked="0" layoutInCell="1" allowOverlap="1">
                <wp:simplePos x="0" y="0"/>
                <wp:positionH relativeFrom="column">
                  <wp:posOffset>-1270</wp:posOffset>
                </wp:positionH>
                <wp:positionV relativeFrom="paragraph">
                  <wp:posOffset>166370</wp:posOffset>
                </wp:positionV>
                <wp:extent cx="2071370" cy="1696085"/>
                <wp:effectExtent l="0" t="0" r="24130" b="184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1696085"/>
                        </a:xfrm>
                        <a:prstGeom prst="rect">
                          <a:avLst/>
                        </a:prstGeom>
                        <a:solidFill>
                          <a:srgbClr val="FFFFFF"/>
                        </a:solidFill>
                        <a:ln w="9525">
                          <a:solidFill>
                            <a:srgbClr val="000000"/>
                          </a:solidFill>
                          <a:miter lim="800000"/>
                          <a:headEnd/>
                          <a:tailEnd/>
                        </a:ln>
                      </wps:spPr>
                      <wps:txbx>
                        <w:txbxContent>
                          <w:p>
                            <w:pPr>
                              <w:jc w:val="both"/>
                              <w:rPr>
                                <w:b/>
                                <w:i/>
                              </w:rPr>
                            </w:pPr>
                            <w:r>
                              <w:rPr>
                                <w:b/>
                                <w:i/>
                              </w:rPr>
                              <w:t>În 2019, UE a exportat bunuri și servicii în valoare de peste 3 100 miliarde EUR și a importat bunuri și servicii în valoare de 2 800 miliarde EUR. În ansamblu, aceasta face din UE cel mai mare actor pe scena comerțului internațional.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pt;margin-top:13.1pt;width:163.1pt;height:133.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">
                <v:textbox>
                  <w:txbxContent>
                    <w:p>
                      <w:pPr>
                        <w:jc w:val="both"/>
                        <w:rPr>
                          <w:b/>
                          <w:i/>
                        </w:rPr>
                      </w:pPr>
                      <w:r>
                        <w:rPr>
                          <w:b/>
                          <w:i/>
                        </w:rPr>
                        <w:t>În 2019, UE a exportat bunuri și servicii în valoare de peste 3 100 miliarde EUR și a importat bunuri și servicii în valoare de 2 800 miliarde EUR. În ansamblu, aceasta face din UE cel mai mare actor pe scena comerțului internațional.</w:t>
                      </w:r>
                    </w:p>
                  </w:txbxContent>
                </v:textbox>
                <w10:wrap type="square"/>
              </v:shape>
            </w:pict>
          </mc:Fallback>
        </mc:AlternateContent>
      </w:r>
      <w:r>
        <w:rPr>
          <w:b/>
          <w:noProof/>
        </w:rPr>
        <w:t>UE este construită pe principiul de deschidere, atât pe plan intern, cât și pe plan extern.</w:t>
      </w:r>
      <w:r>
        <w:rPr>
          <w:noProof/>
        </w:rPr>
        <w:t xml:space="preserve"> Ea este cel mai mare exportator și importator de bunuri și de servicii din lume. Printre marile economii, ea este cea în care comerțul reprezintă cea mai mare parte a economiei sale. Exporturile UE sprijină 35 de milioane de locuri de muncă în UE, față de 20 de milioane în anul 2000</w:t>
      </w:r>
      <w:r>
        <w:rPr>
          <w:rStyle w:val="FootnoteReference"/>
          <w:noProof/>
        </w:rPr>
        <w:footnoteReference w:id="13"/>
      </w:r>
      <w:r>
        <w:rPr>
          <w:noProof/>
        </w:rPr>
        <w:t xml:space="preserve">. Economia UE se bazează în egală măsură pe importuri, oferind acces la materii prime critice și la alte resurse. 60 % din importurile UE sunt utilizate efectiv pentru a produce bunuri în UE și deschiderea sporită a UE față de importuri începând din 1995 a dus la creșterea veniturilor sale cu aproximativ 550 de miliarde EUR. UE este, de asemenea, o destinație majoră pentru exporturile din țările cu venituri reduse - în special din Africa și din țările vecine ale UE, contribuind astfel la stimularea dezvoltării și a creșterii economice la nivel mondial. La fel ca în perioada următoare celei mai recente crize economice și financiare, comerțul va fi esențial pentru redresarea ecologică a UE în urma crizei economice provocate de pandemia de COVID-19. </w:t>
      </w:r>
    </w:p>
    <w:p>
      <w:pPr>
        <w:spacing w:after="120"/>
        <w:jc w:val="both"/>
        <w:rPr>
          <w:noProof/>
        </w:rPr>
      </w:pPr>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3051175</wp:posOffset>
                </wp:positionV>
                <wp:extent cx="550545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5505450" cy="635"/>
                        </a:xfrm>
                        <a:prstGeom prst="rect">
                          <a:avLst/>
                        </a:prstGeom>
                        <a:solidFill>
                          <a:prstClr val="white"/>
                        </a:solidFill>
                        <a:ln>
                          <a:noFill/>
                        </a:ln>
                      </wps:spPr>
                      <wps:txbx>
                        <w:txbxContent>
                          <w:p>
                            <w:pPr>
                              <w:pStyle w:val="Caption"/>
                              <w:rPr>
                                <w:noProof/>
                                <w:sz w:val="24"/>
                                <w:szCs w:val="24"/>
                              </w:rPr>
                            </w:pPr>
                            <w:r>
                              <w:t>Sursă: Eurostat COMEXT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4" o:spid="_x0000_s1030" type="#_x0000_t202" style="position:absolute;left:0;text-align:left;margin-left:0;margin-top:240.25pt;width:43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" stroked="f">
                <v:textbox style="mso-fit-shape-to-text:t" inset="0,0,0,0">
                  <w:txbxContent>
                    <w:p>
                      <w:pPr>
                        <w:pStyle w:val="Caption"/>
                        <w:rPr>
                          <w:noProof/>
                          <w:sz w:val="24"/>
                          <w:szCs w:val="24"/>
                        </w:rPr>
                      </w:pPr>
                      <w:r>
                        <w:t>Sursă: Eurostat COMEXT</w:t>
                      </w:r>
                    </w:p>
                  </w:txbxContent>
                </v:textbox>
                <w10:wrap type="square"/>
              </v:shape>
            </w:pict>
          </mc:Fallback>
        </mc:AlternateContent>
      </w:r>
      <w:r>
        <w:rPr>
          <w:noProof/>
          <w:lang w:val="en-GB" w:eastAsia="en-GB"/>
        </w:rPr>
        <w:drawing>
          <wp:inline distT="0" distB="0" distL="0" distR="0">
            <wp:extent cx="5725551" cy="2624211"/>
            <wp:effectExtent l="0" t="0" r="889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4345" cy="2664908"/>
                    </a:xfrm>
                    <a:prstGeom prst="rect">
                      <a:avLst/>
                    </a:prstGeom>
                    <a:noFill/>
                    <a:ln>
                      <a:noFill/>
                    </a:ln>
                  </pic:spPr>
                </pic:pic>
              </a:graphicData>
            </a:graphic>
          </wp:inline>
        </w:drawing>
      </w:r>
    </w:p>
    <w:p>
      <w:pPr>
        <w:spacing w:after="120"/>
        <w:jc w:val="both"/>
        <w:rPr>
          <w:noProof/>
        </w:rPr>
      </w:pPr>
    </w:p>
    <w:p>
      <w:pPr>
        <w:spacing w:after="120"/>
        <w:jc w:val="both"/>
        <w:rPr>
          <w:noProof/>
        </w:rPr>
      </w:pPr>
      <w:r>
        <w:rPr>
          <w:noProof/>
        </w:rPr>
        <w:t xml:space="preserve">Pentru ca UE să consolideze reziliența și să sprijine competitivitatea diferitelor sale sectoare economice, avem nevoie să asigurăm un acces deschis și nedenaturat la piețele internaționale, inclusiv un acces nou la piețe și fluxuri comerciale deschise atât în folosul industriei noastre, cât și al lucrătorilor și cetățenilor. Ecosistemele industriale ale UE care cuprind toți actorii care operează de-a lungul lanțului valoric, de la agricultori și producători la furnizori de servicii, de la multinaționale globale la IMM-uri și întreprinderi nou-înființate, joacă un rol esențial în internaționalizarea economiei UE. </w:t>
      </w:r>
    </w:p>
    <w:p>
      <w:pPr>
        <w:spacing w:after="120"/>
        <w:jc w:val="both"/>
        <w:rPr>
          <w:noProof/>
        </w:rPr>
      </w:pPr>
      <w:r>
        <w:rPr>
          <w:noProof/>
          <w:lang w:val="en-GB" w:eastAsia="en-GB"/>
        </w:rPr>
        <mc:AlternateContent>
          <mc:Choice Requires="wps">
            <w:drawing>
              <wp:anchor distT="45720" distB="45720" distL="114300" distR="114300" simplePos="0" relativeHeight="251659264" behindDoc="0" locked="0" layoutInCell="1" allowOverlap="1">
                <wp:simplePos x="0" y="0"/>
                <wp:positionH relativeFrom="column">
                  <wp:posOffset>-6985</wp:posOffset>
                </wp:positionH>
                <wp:positionV relativeFrom="paragraph">
                  <wp:posOffset>845185</wp:posOffset>
                </wp:positionV>
                <wp:extent cx="1918335" cy="1458595"/>
                <wp:effectExtent l="0" t="0" r="24765" b="2730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1458595"/>
                        </a:xfrm>
                        <a:prstGeom prst="rect">
                          <a:avLst/>
                        </a:prstGeom>
                        <a:solidFill>
                          <a:srgbClr val="FFFFFF"/>
                        </a:solidFill>
                        <a:ln w="9525">
                          <a:solidFill>
                            <a:srgbClr val="000000"/>
                          </a:solidFill>
                          <a:miter lim="800000"/>
                          <a:headEnd/>
                          <a:tailEnd/>
                        </a:ln>
                      </wps:spPr>
                      <wps:txbx>
                        <w:txbxContent>
                          <w:p>
                            <w:pPr>
                              <w:rPr>
                                <w:b/>
                                <w:i/>
                              </w:rPr>
                            </w:pPr>
                            <w:r>
                              <w:rPr>
                                <w:b/>
                                <w:i/>
                              </w:rPr>
                              <w:t xml:space="preserve">UE este </w:t>
                            </w:r>
                            <w:r>
                              <w:rPr>
                                <w:b/>
                                <w:i/>
                                <w:u w:val="single"/>
                              </w:rPr>
                              <w:t>primul</w:t>
                            </w:r>
                            <w:r>
                              <w:rPr>
                                <w:b/>
                                <w:i/>
                              </w:rPr>
                              <w:t xml:space="preserve"> partener comercial pentru 74 de țări din întreaga lume. Ea este primul partener comercial pentru Asia, Africa, SUA, Balcanii de Vest și vecinătatea UE. </w:t>
                            </w:r>
                          </w:p>
                          <w:p>
                            <w:pPr>
                              <w:rPr>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5pt;margin-top:66.55pt;width:151.05pt;height:1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">
                <v:textbox>
                  <w:txbxContent>
                    <w:p>
                      <w:pPr>
                        <w:rPr>
                          <w:b/>
                          <w:i/>
                        </w:rPr>
                      </w:pPr>
                      <w:r>
                        <w:rPr>
                          <w:b/>
                          <w:i/>
                        </w:rPr>
                        <w:t xml:space="preserve">UE este </w:t>
                      </w:r>
                      <w:r>
                        <w:rPr>
                          <w:b/>
                          <w:i/>
                          <w:u w:val="single"/>
                        </w:rPr>
                        <w:t>primul</w:t>
                      </w:r>
                      <w:r>
                        <w:rPr>
                          <w:b/>
                          <w:i/>
                        </w:rPr>
                        <w:t xml:space="preserve"> partener comercial pentru 74 de țări din întreaga lume. Ea este primul partener comercial pentru Asia, Africa, SUA, Balcanii de Vest și vecinătatea UE. </w:t>
                      </w:r>
                    </w:p>
                    <w:p>
                      <w:pPr>
                        <w:rPr>
                          <w:b/>
                          <w:i/>
                        </w:rPr>
                      </w:pPr>
                    </w:p>
                  </w:txbxContent>
                </v:textbox>
                <w10:wrap type="square"/>
              </v:shape>
            </w:pict>
          </mc:Fallback>
        </mc:AlternateContent>
      </w:r>
      <w:r>
        <w:rPr>
          <w:noProof/>
        </w:rPr>
        <w:t xml:space="preserve">UE este, de asemenea, </w:t>
      </w:r>
      <w:r>
        <w:rPr>
          <w:b/>
          <w:noProof/>
        </w:rPr>
        <w:t>cel mai mare furnizor de ajutor pentru comerț din lume</w:t>
      </w:r>
      <w:r>
        <w:rPr>
          <w:rStyle w:val="FootnoteReference"/>
          <w:noProof/>
        </w:rPr>
        <w:footnoteReference w:id="14"/>
      </w:r>
      <w:r>
        <w:rPr>
          <w:noProof/>
        </w:rPr>
        <w:t>.</w:t>
      </w:r>
      <w:r>
        <w:rPr>
          <w:noProof/>
          <w:sz w:val="20"/>
          <w:szCs w:val="20"/>
        </w:rPr>
        <w:t xml:space="preserve"> </w:t>
      </w:r>
      <w:r>
        <w:rPr>
          <w:noProof/>
        </w:rPr>
        <w:t>Pandemia de COVID-19 a întărit necesitatea de a pune în aplicare pe deplin Strategia comună a UE din 2017 privind ajutorul pentru comerț. Într-adevăr, UE are un interes strategic de a sprijini integrarea sporită în economia mondială a țărilor în curs de dezvoltare vulnerabile, dintre care multe se află în proximitatea geografică a Europei.</w:t>
      </w:r>
    </w:p>
    <w:p>
      <w:pPr>
        <w:spacing w:after="120"/>
        <w:jc w:val="both"/>
        <w:rPr>
          <w:noProof/>
        </w:rPr>
      </w:pPr>
      <w:r>
        <w:rPr>
          <w:noProof/>
        </w:rPr>
        <w:t xml:space="preserve">UE trebuie să utilizeze pe deplin </w:t>
      </w:r>
      <w:r>
        <w:rPr>
          <w:b/>
          <w:noProof/>
        </w:rPr>
        <w:t>puterea oferită de deschiderea sa și de atractivitatea pieței sale unice.</w:t>
      </w:r>
      <w:r>
        <w:rPr>
          <w:noProof/>
        </w:rPr>
        <w:t xml:space="preserve"> Deschiderea și angajamentul UE pe scena internațională fac din aceasta un susținător credibil al cooperării internaționale, al multilateralismului și al ordinii bazate pe norme, care sunt, la rândul lor, esențiale pentru interesele UE. UE colaborează cu partenerii săi pentru a asigura respectarea valorilor universale, îndeosebi promovarea și protecția drepturilor omului. Aceasta include standardele fundamentale de muncă și protecția socială în conformitate cu Pilonul european al drepturilor sociale, egalitatea de gen</w:t>
      </w:r>
      <w:r>
        <w:rPr>
          <w:rStyle w:val="FootnoteReference"/>
          <w:noProof/>
        </w:rPr>
        <w:footnoteReference w:id="15"/>
      </w:r>
      <w:r>
        <w:rPr>
          <w:noProof/>
        </w:rPr>
        <w:t xml:space="preserve"> și lupta împotriva schimbărilor climatice și a pierderii biodiversității. </w:t>
      </w:r>
    </w:p>
    <w:p>
      <w:pPr>
        <w:spacing w:after="120"/>
        <w:jc w:val="both"/>
        <w:rPr>
          <w:noProof/>
        </w:rPr>
      </w:pPr>
      <w:r>
        <w:rPr>
          <w:b/>
          <w:noProof/>
        </w:rPr>
        <w:t>Combaterea schimbărilor climatice și a altor provocări de mediu poate fi realizată numai prin deschidere, angajament și cooperare la nivel mondial.</w:t>
      </w:r>
      <w:r>
        <w:rPr>
          <w:noProof/>
        </w:rPr>
        <w:t xml:space="preserve"> UE nu va câștiga lupta împotriva schimbărilor climatice acționând singură. Pentru a reuși, este important să se promoveze înțelegerea de către partenerii noștri a faptului că transformarea ecologică nu este doar o necesitate pe termen mediu, ci constituie, deja în prezent, o politică economică inteligentă. UE are nevoie să utilizeze deschiderea sa și să își angajeze partenerii, în special cei mai mari emițători și poluatori, astfel încât aceștia să contribuie în mod echitabil la atenuarea schimbărilor climatice. De asemenea, conservarea biodiversității este o provocare globală care necesită eforturi la nivel global. </w:t>
      </w:r>
    </w:p>
    <w:p>
      <w:pPr>
        <w:spacing w:after="120"/>
        <w:jc w:val="both"/>
        <w:rPr>
          <w:noProof/>
        </w:rPr>
      </w:pPr>
      <w:r>
        <w:rPr>
          <w:b/>
          <w:noProof/>
        </w:rPr>
        <w:t>Deschiderea și implicarea reprezintă o alegere strategică</w:t>
      </w:r>
      <w:r>
        <w:rPr>
          <w:noProof/>
        </w:rPr>
        <w:t xml:space="preserve"> care răspunde, de asemenea, interesului propriu bine înțeles al Uniunii Europene. Deschiderea aduce prosperitate, competitivitate și dinamism. În același timp, o economie deschisă trebuie să fie combinată cu acțiuni decisive de atenuare a schimbărilor climatice și de adaptare la acestea, de protejare a mediului și de politici sociale și de ocupare a forței de muncă puternice, răspunzând așteptărilor cetățenilor UE. Doar acest lucru ne va permite să distribuim în mod echitabil beneficiile deschiderii și să facilităm adaptarea la transformările economiei mondiale, astfel încât nimeni să nu fie lăsat în urmă. </w:t>
      </w:r>
    </w:p>
    <w:p>
      <w:pPr>
        <w:spacing w:after="120"/>
        <w:jc w:val="both"/>
        <w:rPr>
          <w:noProof/>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Sporirea rezilienței și a durabilității lanțurilor valorice </w:t>
      </w:r>
    </w:p>
    <w:p>
      <w:pPr>
        <w:spacing w:after="120"/>
        <w:jc w:val="both"/>
        <w:rPr>
          <w:noProof/>
        </w:rPr>
      </w:pPr>
      <w:r>
        <w:rPr>
          <w:b/>
          <w:bCs/>
          <w:noProof/>
        </w:rPr>
        <w:t>Consolidarea rezilienței și a durabilității economiei UE</w:t>
      </w:r>
      <w:r>
        <w:rPr>
          <w:noProof/>
        </w:rPr>
        <w:t xml:space="preserve"> și a lanțurilor sale de aprovizionare reprezintă un element de bază al ambiției Uniunii Europene de a avea o autonomie strategică deschisă</w:t>
      </w:r>
      <w:r>
        <w:rPr>
          <w:rStyle w:val="FootnoteReference"/>
          <w:noProof/>
        </w:rPr>
        <w:footnoteReference w:id="16"/>
      </w:r>
      <w:r>
        <w:rPr>
          <w:noProof/>
        </w:rPr>
        <w:t>. Pandemia de COVID-19 a pus la încercare reziliența economiilor din întreaga lume.</w:t>
      </w:r>
      <w:r>
        <w:rPr>
          <w:b/>
          <w:noProof/>
        </w:rPr>
        <w:t xml:space="preserve"> </w:t>
      </w:r>
      <w:r>
        <w:rPr>
          <w:noProof/>
        </w:rPr>
        <w:t>Prima lecție care trebuie trasă din criză este aceea că majoritatea lanțurilor de aprovizionare au dovedit o reziliență remarcabilă. În condiții corecte, întreprinderile sunt în măsură să își intensifice producția și distribuția la nivel mondial, îndeosebi dacă se pot baza pe lanțuri de aprovizionare deschise, susținute de norme comerciale stabile, previzibile și transparente.</w:t>
      </w:r>
      <w:r>
        <w:rPr>
          <w:noProof/>
          <w:vertAlign w:val="superscript"/>
        </w:rPr>
        <w:footnoteReference w:id="17"/>
      </w:r>
      <w:r>
        <w:rPr>
          <w:b/>
          <w:noProof/>
        </w:rPr>
        <w:t xml:space="preserve"> </w:t>
      </w:r>
      <w:r>
        <w:rPr>
          <w:noProof/>
        </w:rPr>
        <w:t>Guvernele au o responsabilitate specială pentru crearea unui astfel de mediu, dar și în sprijinirea distribuției corecte și echitabile a produselor pentru care cererea este mai mare decât oferta disponibilă. Încrederea între țări, dar și între guverne și sectorul privat este esențială în această privință. UE a sprijinit astfel intens eforturile globale din cadrul G20, OMC și al relațiilor bilaterale, de a monitoriza lanțurile de aprovizionare critice, de a le menține deschise și nedenaturate și de a asigura un acces corect și echitabil la bunurile critice. Acest lucru a fost deosebit de important în contextul introducerii vaccinurilor împotriva COVID-19, în care producția într-un număr limitat de țări trebuie să satisfacă cererea din întreaga lume. UE intenționează să consolideze cooperarea cu alte țări și cu sectorul privat pentru a extinde producția și a sprijini accesul echitabil la vaccinuri. Ea se va asigura că orice măsuri pe termen scurt care vizează accesul la vaccinuri nu perturbă aprovizionarea țărilor vulnerabile și că sunt puse în aplicare într-un mod bine orientat, echitabil și transparent. Transportul rezilient și durabil joacă un rol esențial în facilitarea comerțului internațional și menținerea lanțurilor de aprovizionare ale UE. Dezvoltarea conectivității UE are potențialul de a stimula reziliența pentru comerțul UE și de a menține UE ca platformă de conectivitate la nivel mondial așa cum se arată în Strategia pentru o mobilitate sustenabilă și inteligentă.</w:t>
      </w:r>
    </w:p>
    <w:p>
      <w:pPr>
        <w:spacing w:after="120"/>
        <w:jc w:val="both"/>
        <w:rPr>
          <w:noProof/>
        </w:rPr>
      </w:pPr>
      <w:r>
        <w:rPr>
          <w:noProof/>
          <w:highlight w:val="yellow"/>
          <w:lang w:val="en-GB" w:eastAsia="en-GB"/>
        </w:rPr>
        <mc:AlternateContent>
          <mc:Choice Requires="wps">
            <w:drawing>
              <wp:anchor distT="0" distB="0" distL="114300" distR="114300" simplePos="0" relativeHeight="251662336" behindDoc="0" locked="0" layoutInCell="1" allowOverlap="1">
                <wp:simplePos x="0" y="0"/>
                <wp:positionH relativeFrom="column">
                  <wp:posOffset>-60325</wp:posOffset>
                </wp:positionH>
                <wp:positionV relativeFrom="paragraph">
                  <wp:posOffset>99695</wp:posOffset>
                </wp:positionV>
                <wp:extent cx="3011805" cy="3175635"/>
                <wp:effectExtent l="0" t="0" r="17145"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805" cy="3175635"/>
                        </a:xfrm>
                        <a:prstGeom prst="rect">
                          <a:avLst/>
                        </a:prstGeom>
                        <a:solidFill>
                          <a:srgbClr val="FFFFFF"/>
                        </a:solidFill>
                        <a:ln w="9525">
                          <a:solidFill>
                            <a:srgbClr val="000000"/>
                          </a:solidFill>
                          <a:miter lim="800000"/>
                          <a:headEnd/>
                          <a:tailEnd/>
                        </a:ln>
                      </wps:spPr>
                      <wps:txbx>
                        <w:txbxContent>
                          <w:p>
                            <w:pPr>
                              <w:pStyle w:val="ListParagraph"/>
                              <w:numPr>
                                <w:ilvl w:val="0"/>
                                <w:numId w:val="2"/>
                              </w:numPr>
                              <w:jc w:val="both"/>
                              <w:rPr>
                                <w:i/>
                                <w:sz w:val="20"/>
                              </w:rPr>
                            </w:pPr>
                            <w:r>
                              <w:rPr>
                                <w:i/>
                                <w:sz w:val="20"/>
                              </w:rPr>
                              <w:t>În fața unei creșteri fără precedent a cererii, la fel ca în cazul măștilor, deschiderea comercială a fost esențială pentru extinderea gamei de surse alternative de aprovizionare.</w:t>
                            </w:r>
                          </w:p>
                          <w:p>
                            <w:pPr>
                              <w:pStyle w:val="ListParagraph"/>
                              <w:numPr>
                                <w:ilvl w:val="0"/>
                                <w:numId w:val="2"/>
                              </w:numPr>
                              <w:jc w:val="both"/>
                              <w:rPr>
                                <w:i/>
                                <w:sz w:val="20"/>
                              </w:rPr>
                            </w:pPr>
                            <w:r>
                              <w:rPr>
                                <w:i/>
                                <w:sz w:val="20"/>
                              </w:rPr>
                              <w:t>Transparența este, de asemenea, foarte importantă, deoarece a contribuit efectiv la reziliența lanțurilor de aprovizionare cu alimente în care sistemul de informații privind piața agricolă [Agriculture Market Information System (AMIS)] ar fi putut fi util pentru a atenua temerile legate de securitatea aprovizionării cu alimente. Pregătirea pentru situații de criză va fi deosebit de importantă în sectorul agriculturii.</w:t>
                            </w:r>
                          </w:p>
                          <w:p>
                            <w:pPr>
                              <w:pStyle w:val="ListParagraph"/>
                              <w:numPr>
                                <w:ilvl w:val="0"/>
                                <w:numId w:val="2"/>
                              </w:numPr>
                              <w:jc w:val="both"/>
                              <w:rPr>
                                <w:i/>
                                <w:sz w:val="20"/>
                              </w:rPr>
                            </w:pPr>
                            <w:r>
                              <w:rPr>
                                <w:i/>
                                <w:sz w:val="20"/>
                              </w:rPr>
                              <w:t>Riscul unor măsuri de restricționare a comerțului care împiedică țările în curs de dezvoltare să facă parte din lanțurile valorice globale nu ar trebui să fie subestimat.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75pt;margin-top:7.85pt;width:237.15pt;height:2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">
                <v:textbox>
                  <w:txbxContent>
                    <w:p>
                      <w:pPr>
                        <w:pStyle w:val="ListParagraph"/>
                        <w:numPr>
                          <w:ilvl w:val="0"/>
                          <w:numId w:val="2"/>
                        </w:numPr>
                        <w:jc w:val="both"/>
                        <w:rPr>
                          <w:i/>
                          <w:sz w:val="20"/>
                        </w:rPr>
                      </w:pPr>
                      <w:r>
                        <w:rPr>
                          <w:i/>
                          <w:sz w:val="20"/>
                        </w:rPr>
                        <w:t>În fața unei creșteri fără precedent a cererii, la fel ca în cazul măștilor, deschiderea comercială a fost esențială pentru extinderea gamei de surse alternative de aprovizionare.</w:t>
                      </w:r>
                    </w:p>
                    <w:p>
                      <w:pPr>
                        <w:pStyle w:val="ListParagraph"/>
                        <w:numPr>
                          <w:ilvl w:val="0"/>
                          <w:numId w:val="2"/>
                        </w:numPr>
                        <w:jc w:val="both"/>
                        <w:rPr>
                          <w:i/>
                          <w:sz w:val="20"/>
                        </w:rPr>
                      </w:pPr>
                      <w:r>
                        <w:rPr>
                          <w:i/>
                          <w:sz w:val="20"/>
                        </w:rPr>
                        <w:t>Transparența este, de asemenea, foarte importantă, deoarece a contribuit efectiv la reziliența lanțurilor de aprovizionare cu alimente în care sistemul de informații privind piața agricolă [Agriculture Market Information System (AMIS)] ar fi putut fi util pentru a atenua temerile legate de securitatea aprovizionării cu alimente. Pregătirea pentru situații de criză va fi deosebit de importantă în sectorul agriculturii.</w:t>
                      </w:r>
                    </w:p>
                    <w:p>
                      <w:pPr>
                        <w:pStyle w:val="ListParagraph"/>
                        <w:numPr>
                          <w:ilvl w:val="0"/>
                          <w:numId w:val="2"/>
                        </w:numPr>
                        <w:jc w:val="both"/>
                        <w:rPr>
                          <w:i/>
                          <w:sz w:val="20"/>
                        </w:rPr>
                      </w:pPr>
                      <w:r>
                        <w:rPr>
                          <w:i/>
                          <w:sz w:val="20"/>
                        </w:rPr>
                        <w:t>Riscul unor măsuri de restricționare a comerțului care împiedică țările în curs de dezvoltare să facă parte din lanțurile valorice globale nu ar trebui să fie subestimat.</w:t>
                      </w:r>
                    </w:p>
                  </w:txbxContent>
                </v:textbox>
                <w10:wrap type="square"/>
              </v:shape>
            </w:pict>
          </mc:Fallback>
        </mc:AlternateContent>
      </w:r>
      <w:r>
        <w:rPr>
          <w:noProof/>
        </w:rPr>
        <w:t xml:space="preserve">Având în vedere amploarea crizei provocate de pandemia de COVID-19 și impactul pe care l-a avut asupra tuturor aspectelor vieții economice și sociale, inclusiv asupra producției și mobilității, perturbările din anumite sectoare și privind anumite produse au fost inevitabile. Combinația dintre creșterea exponențială a cererii de anumite produse esențiale legate de sănătate și deficitele de aprovizionare cauzate de măsurile restrictive sau de limitare a mișcării persoanelor a scos la iveală anumite vulnerabilități ale sectorului sănătății. Acestea trebuie analizate cu grijă și abordate în mod eficient pe viitor. Soluțiile pot varia de la pregătirea pentru situații de criză la diversificarea lanțurilor de producție și de aprovizionare, asigurarea unor stocuri strategice, precum și încurajarea producției și a investițiilor inclusiv în țările învecinate și în Africa. </w:t>
      </w:r>
    </w:p>
    <w:p>
      <w:pPr>
        <w:spacing w:after="120"/>
        <w:jc w:val="both"/>
        <w:rPr>
          <w:noProof/>
        </w:rPr>
      </w:pPr>
      <w:r>
        <w:rPr>
          <w:noProof/>
        </w:rPr>
        <w:t xml:space="preserve">Sectorul privat are un rol central de jucat în evaluarea riscurilor și echilibrarea producției „exact la timp” cu garanțiile adecvate. El este un factor cheie pentru asigurarea rezilienței în fața perturbărilor de aprovizionare sau a șocurilor asupra cererii, în special în cazul în care întreprinderile depind de un singur furnizor. </w:t>
      </w:r>
    </w:p>
    <w:p>
      <w:pPr>
        <w:spacing w:after="120"/>
        <w:jc w:val="both"/>
        <w:rPr>
          <w:noProof/>
        </w:rPr>
      </w:pPr>
      <w:r>
        <w:rPr>
          <w:noProof/>
        </w:rPr>
        <w:t xml:space="preserve">Totodată, factorii de decizie politică trebuie să înțeleagă mai bine vulnerabilitățile, să partajeze informații și să încurajeze cooperarea. Lucrările Comisiei de </w:t>
      </w:r>
      <w:r>
        <w:rPr>
          <w:b/>
          <w:noProof/>
        </w:rPr>
        <w:t>identificare a dependențelor strategice</w:t>
      </w:r>
      <w:r>
        <w:rPr>
          <w:noProof/>
        </w:rPr>
        <w:t>, îndeosebi în ecosistemele industriale cele mai sensibile cum ar fi sănătatea, vor oferi o bază solidă pentru definirea răspunsurilor politice necesare și pentru colaborarea cu industria. Aceste lucrări vor sprijini, printre altele, punerea în aplicare a noii strategii farmaceutice</w:t>
      </w:r>
      <w:r>
        <w:rPr>
          <w:rStyle w:val="FootnoteReference"/>
          <w:noProof/>
        </w:rPr>
        <w:footnoteReference w:id="18"/>
      </w:r>
      <w:r>
        <w:rPr>
          <w:noProof/>
        </w:rPr>
        <w:t xml:space="preserve"> și pregătirea strategiei actualizate privind politica industrială. </w:t>
      </w:r>
    </w:p>
    <w:p>
      <w:pPr>
        <w:spacing w:after="120"/>
        <w:jc w:val="both"/>
        <w:rPr>
          <w:noProof/>
        </w:rPr>
      </w:pPr>
      <w:r>
        <w:rPr>
          <w:noProof/>
        </w:rPr>
        <w:t xml:space="preserve">Politica comercială poate contribui la reziliență oferind </w:t>
      </w:r>
      <w:r>
        <w:rPr>
          <w:b/>
          <w:noProof/>
        </w:rPr>
        <w:t>un cadru comercial stabil, bazat pe norme, prin deschiderea unor piețe noi pentru diversificarea surselor de aprovizionare și prin dezvoltarea unor cadre de cooperare pentru accesul corect și echitabil la aprovizionările critice.</w:t>
      </w:r>
      <w:r>
        <w:rPr>
          <w:noProof/>
        </w:rPr>
        <w:t xml:space="preserve"> În acest context, UE colaborează cu partenerii săi la o inițiativă privind comerțul și sănătatea în cadrul OMC.</w:t>
      </w:r>
    </w:p>
    <w:p>
      <w:pPr>
        <w:spacing w:after="120"/>
        <w:jc w:val="both"/>
        <w:rPr>
          <w:noProof/>
        </w:rPr>
      </w:pPr>
      <w:r>
        <w:rPr>
          <w:noProof/>
        </w:rPr>
        <w:t>Consolidarea rezilienței lanțurilor de aprovizionare funcționează, de asemenea, mână în mână cu obiectivul UE de a face lanțurile de aprovizionare mai durabile, în special prin promovarea unor standarde de durabilitate care se pot aplica lanțurilor valorice globale. Lanțurile valorice mai durabile s-au dovedit, de asemenea, a fi, în general, mai reziliente</w:t>
      </w:r>
      <w:r>
        <w:rPr>
          <w:rStyle w:val="FootnoteReference"/>
          <w:noProof/>
        </w:rPr>
        <w:footnoteReference w:id="19"/>
      </w:r>
      <w:r>
        <w:rPr>
          <w:noProof/>
        </w:rPr>
        <w:t>. Politica comercială poate contribui, de asemenea, la acest obiectiv prin promovarea unui comportament responsabil în afaceri și a unei mai mari transparențe și trasabilități în lanțurile de aprovizionare. Legislația viitoare privind guvernanța corporativă sustenabilă, precum și privind defrișarea vor reprezenta etape importante în această privință.</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Politica comercială în sprijinul intereselor geopolitice ale UE </w:t>
      </w:r>
    </w:p>
    <w:p>
      <w:pPr>
        <w:spacing w:after="120"/>
        <w:jc w:val="both"/>
        <w:rPr>
          <w:noProof/>
        </w:rPr>
      </w:pPr>
      <w:r>
        <w:rPr>
          <w:noProof/>
        </w:rPr>
        <w:t xml:space="preserve">Cooperarea strânsă cu partenerii va fi importantă pentru </w:t>
      </w:r>
      <w:r>
        <w:rPr>
          <w:b/>
          <w:bCs/>
          <w:noProof/>
        </w:rPr>
        <w:t>sprijinirea multilateralismului</w:t>
      </w:r>
      <w:r>
        <w:rPr>
          <w:rStyle w:val="FootnoteReference"/>
          <w:b/>
          <w:noProof/>
        </w:rPr>
        <w:footnoteReference w:id="20"/>
      </w:r>
      <w:r>
        <w:rPr>
          <w:b/>
          <w:bCs/>
          <w:noProof/>
        </w:rPr>
        <w:t>și a ordinii internaționale bazate pe norme.</w:t>
      </w:r>
      <w:r>
        <w:rPr>
          <w:noProof/>
        </w:rPr>
        <w:t xml:space="preserve"> Cadrul de guvernanță economică internațională existent este subminat. În cazul în care situația va continua, ea va afecta relațiile economice și comerțul și, de asemenea, securitatea și stabilitatea pe care le considerăm normale. Din aceste motive, sprijinul pentru un multilateralism eficace bazat pe norme este un interes geopolitic esențial al UE. Prin urmare, reformarea OMC trebuie să fie văzută într-un context mai larg al priorităților UE de a se asigura că redresarea economică globală, locurile de muncă decente, dezvoltarea durabilă și tranziția verde sunt sprijinite de instituții mondiale funcționale. UE ar trebui să își intensifice eforturile pentru a dezvolta alianțe în sprijinul unor instituții multilaterale eficiente. În legătură cu aceasta, se va intensifica dialogul cu SUA, Grupul Ottawa, țările africane, India și China. </w:t>
      </w:r>
    </w:p>
    <w:p>
      <w:pPr>
        <w:spacing w:after="120"/>
        <w:jc w:val="both"/>
        <w:rPr>
          <w:noProof/>
        </w:rPr>
      </w:pPr>
      <w:r>
        <w:rPr>
          <w:noProof/>
          <w:lang w:val="en-GB" w:eastAsia="en-GB"/>
        </w:rPr>
        <w:drawing>
          <wp:anchor distT="0" distB="0" distL="114300" distR="114300" simplePos="0" relativeHeight="251663360" behindDoc="0" locked="0" layoutInCell="1" allowOverlap="1">
            <wp:simplePos x="0" y="0"/>
            <wp:positionH relativeFrom="column">
              <wp:posOffset>2497455</wp:posOffset>
            </wp:positionH>
            <wp:positionV relativeFrom="paragraph">
              <wp:posOffset>13335</wp:posOffset>
            </wp:positionV>
            <wp:extent cx="3270250" cy="2628900"/>
            <wp:effectExtent l="0" t="0" r="6350" b="0"/>
            <wp:wrapSquare wrapText="bothSides"/>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Pr>
          <w:noProof/>
        </w:rPr>
        <w:t xml:space="preserve">UE va trebui să </w:t>
      </w:r>
      <w:r>
        <w:rPr>
          <w:b/>
          <w:noProof/>
        </w:rPr>
        <w:t>acționeze într-o nouă ordine mondială multipolară marcată de tensiuni tot mai mari între principalii actori.</w:t>
      </w:r>
      <w:r>
        <w:rPr>
          <w:noProof/>
        </w:rPr>
        <w:t xml:space="preserve"> UE ar trebui să promoveze abordări pentru reducerea tensiunilor și să caute soluții bazate pe un cadru modernizat bazat pe norme. În același timp, UE trebuie să se doteze cu instrumente pentru a acționa într-un mediu internațional mai ostil, dacă este necesar. </w:t>
      </w:r>
    </w:p>
    <w:p>
      <w:pPr>
        <w:spacing w:after="120"/>
        <w:jc w:val="both"/>
        <w:rPr>
          <w:noProof/>
        </w:rPr>
      </w:pPr>
      <w:r>
        <w:rPr>
          <w:b/>
          <w:noProof/>
        </w:rPr>
        <w:t>Relația transatlantică</w:t>
      </w:r>
      <w:r>
        <w:rPr>
          <w:noProof/>
        </w:rPr>
        <w:t xml:space="preserve"> este cel mai mare și mai semnificativ parteneriat din punct de vedere economic din lume. Ea este adânc înrădăcinată în interese și valori comune</w:t>
      </w:r>
      <w:r>
        <w:rPr>
          <w:rStyle w:val="FootnoteReference"/>
          <w:noProof/>
        </w:rPr>
        <w:footnoteReference w:id="21"/>
      </w:r>
      <w:r>
        <w:rPr>
          <w:noProof/>
        </w:rPr>
        <w:t>. Noua administrație a SUA oferă ocazia de a colabora în vederea reformării OMC inclusiv prin întărirea capacității sale de a combate denaturările concurenței și a contribui la dezvoltarea durabilă. Ea oferă, de asemenea, noi perspective de cooperare strânsă cu privire la transformarea verde și digitală a economiilor noastre. Prin urmare, UE va acorda prioritate consolidării parteneriatului său cu SUA.</w:t>
      </w:r>
    </w:p>
    <w:p>
      <w:pPr>
        <w:spacing w:after="120"/>
        <w:jc w:val="both"/>
        <w:rPr>
          <w:noProof/>
        </w:rPr>
      </w:pPr>
      <w:r>
        <w:rPr>
          <w:b/>
          <w:bCs/>
          <w:noProof/>
        </w:rPr>
        <w:t>Relațiile comerciale și de investiții ale UE cu China</w:t>
      </w:r>
      <w:r>
        <w:rPr>
          <w:noProof/>
        </w:rPr>
        <w:t xml:space="preserve"> sunt importante și dificile</w:t>
      </w:r>
      <w:r>
        <w:rPr>
          <w:rStyle w:val="FootnoteReference"/>
          <w:noProof/>
        </w:rPr>
        <w:footnoteReference w:id="22"/>
      </w:r>
      <w:r>
        <w:rPr>
          <w:noProof/>
        </w:rPr>
        <w:t xml:space="preserve">. Politica UE este bazată pe o combinație între un angajament activ, atât la nivel bilateral, cât și multilateral, și o dezvoltare și o punere în aplicare în paralel a instrumentelor autonome necesare pentru a proteja interesele și valorile esențiale ale UE - în deplină conformitate cu angajamentele sale internaționale. Stabilirea unei relații economice mai echitabile și bazate pe norme cu China este o prioritate. Garantarea faptului că China își asumă obligații mai mari în comerțul internațional și combaterea în paralel a efectelor negative cauzate de sistemul său economic capitalist de stat vor fi esențiale pentru eforturile UE de reechilibrare a relației comerciale bilaterale. Recenta încheiere la nivel politic a negocierilor referitoare la un acord cuprinzător privind investițiile face parte din aceste eforturi. Eforturile de ratificare a acordului vor necesita un angajament clar în direcția punerii în aplicare efective a acordului, privind accesul pe piață, angajamentele privind condițiile de concurență echitabile și dezvoltarea durabilă. </w:t>
      </w:r>
    </w:p>
    <w:p>
      <w:pPr>
        <w:spacing w:after="120"/>
        <w:jc w:val="both"/>
        <w:rPr>
          <w:noProof/>
        </w:rPr>
      </w:pPr>
      <w:r>
        <w:rPr>
          <w:noProof/>
        </w:rPr>
        <w:t xml:space="preserve">Dintr-o perspectivă strategică mai largă, va fi important ca UE să consolideze relațiile cu </w:t>
      </w:r>
      <w:r>
        <w:rPr>
          <w:b/>
          <w:noProof/>
        </w:rPr>
        <w:t>țările din Europa și din jurul acesteia</w:t>
      </w:r>
      <w:r>
        <w:rPr>
          <w:noProof/>
        </w:rPr>
        <w:t xml:space="preserve"> și să aprofundeze angajamentul cu </w:t>
      </w:r>
      <w:r>
        <w:rPr>
          <w:b/>
          <w:noProof/>
        </w:rPr>
        <w:t>continentul african și statele africane</w:t>
      </w:r>
      <w:r>
        <w:rPr>
          <w:noProof/>
        </w:rPr>
        <w:t xml:space="preserve">. Există multiple legături culturale, economice și politice între cele două continente. Stabilitatea și prosperitatea Africii sunt critice pentru stabilitatea și prosperitatea UE și trebuie să fie susținute printr-o integrarea economică mai strânsă a celor două continente, realizând tranziția verde și tranziția digitală în comun cu Africa. </w:t>
      </w:r>
    </w:p>
    <w:p>
      <w:pPr>
        <w:spacing w:after="120"/>
        <w:jc w:val="both"/>
        <w:rPr>
          <w:noProof/>
        </w:rPr>
      </w:pPr>
      <w:r>
        <w:rPr>
          <w:noProof/>
        </w:rPr>
        <w:t xml:space="preserve">Pentru a-și îndeplini ambițiile geopolitice pe plan mondial, UE va trebui să își diversifice relațiile și să încheie alianțe cu parteneri care împărtășesc aceeași viziune, </w:t>
      </w:r>
      <w:r>
        <w:rPr>
          <w:b/>
          <w:noProof/>
        </w:rPr>
        <w:t>inclusiv prin intermediul amplei sale rețele de acorduri comerciale.</w:t>
      </w:r>
      <w:r>
        <w:rPr>
          <w:noProof/>
        </w:rPr>
        <w:t xml:space="preserve"> Această rețea este esențială căci fiecare acord actual și viitor ne întărește relațiile cu partenerii. Acordurile de liber schimb (ALS) ale UE sunt </w:t>
      </w:r>
      <w:r>
        <w:rPr>
          <w:b/>
          <w:noProof/>
        </w:rPr>
        <w:t>platforme pentru o cooperare consolidată care urmărește valorile și interesele noastre.</w:t>
      </w:r>
      <w:r>
        <w:rPr>
          <w:noProof/>
        </w:rPr>
        <w:t xml:space="preserve"> Ele sunt la baza colaborării cu piețe și țări importante din întreaga lume, îndeosebi din regiunea Asia-Pacific, America Latină și Caraibi.</w:t>
      </w: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rPr>
      </w:pPr>
      <w:r>
        <w:rPr>
          <w:rFonts w:ascii="Times New Roman" w:hAnsi="Times New Roman"/>
          <w:b/>
          <w:smallCaps/>
          <w:noProof/>
          <w:sz w:val="24"/>
          <w:szCs w:val="24"/>
        </w:rPr>
        <w:t>Direcția pe termen mediu a politicii comerciale</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Trei obiective principale ale politicii comerciale pe termen mediu </w:t>
      </w:r>
    </w:p>
    <w:p>
      <w:pPr>
        <w:spacing w:after="120"/>
        <w:jc w:val="both"/>
        <w:rPr>
          <w:noProof/>
        </w:rPr>
      </w:pPr>
      <w:r>
        <w:rPr>
          <w:noProof/>
        </w:rPr>
        <w:t>Politica comercială a UE trebuie să se concentreze pe trei obiective principale:</w:t>
      </w:r>
    </w:p>
    <w:p>
      <w:pPr>
        <w:spacing w:after="120"/>
        <w:jc w:val="both"/>
        <w:rPr>
          <w:i/>
          <w:noProof/>
        </w:rPr>
      </w:pPr>
      <w:r>
        <w:rPr>
          <w:i/>
          <w:noProof/>
        </w:rPr>
        <w:t xml:space="preserve">În primul rând, </w:t>
      </w:r>
      <w:r>
        <w:rPr>
          <w:b/>
          <w:i/>
          <w:noProof/>
        </w:rPr>
        <w:t>sprijinirea redresării și a transformării fundamentale a economiei UE în conformitate cu obiectivele sale verzi și digitale.</w:t>
      </w:r>
      <w:r>
        <w:rPr>
          <w:i/>
          <w:noProof/>
        </w:rPr>
        <w:t xml:space="preserve"> </w:t>
      </w:r>
    </w:p>
    <w:p>
      <w:pPr>
        <w:spacing w:after="120"/>
        <w:jc w:val="both"/>
        <w:rPr>
          <w:noProof/>
        </w:rPr>
      </w:pPr>
      <w:r>
        <w:rPr>
          <w:noProof/>
        </w:rPr>
        <w:t>În contextul eforturilor de redresare, politica comercială a UE ar trebui să își îndeplinească în continuare funcția principală de facilitare a schimbului de bunuri și servicii într-un mod care să creeze oportunități și bunăstare economică. Accentul trebuie pus pe beneficiile pentru cetățeni, lucrători și întreprinderi. În același timp, politica comercială a UE ar trebui să contribuie la transformarea economiei UE în conformitate cu tranziția verde și cea digitală. Ea ar trebui să sprijine fără echivoc Pactul verde în toate dimensiunile sale, inclusiv ambiția de a realiza neutralitatea climatică până în 2050. În același timp, competitivitatea, prosperitatea și poziția globală a UE pe termen lung vor depinde de abilitatea sa de a adopta și a valorifica transformarea digitală. Prin urmare, tranziția verde și tranziția digitală ar trebui să reprezinte o prioritate-cheie pentru politica comercială multilaterală și bilaterală. Pentru ca UE să își mențină și să își consolideze influența în definirea normelor necesare în acest sens, ea trebuie să dezvolte o abordare mai strategică a cooperării internaționale în domeniul reglementării. Aceasta necesită o integrare strategică mai strânsă între politicile comerciale și politicile interne ale UE.</w:t>
      </w:r>
    </w:p>
    <w:p>
      <w:pPr>
        <w:spacing w:after="120"/>
        <w:jc w:val="both"/>
        <w:rPr>
          <w:b/>
          <w:i/>
          <w:noProof/>
        </w:rPr>
      </w:pPr>
      <w:r>
        <w:rPr>
          <w:i/>
          <w:noProof/>
        </w:rPr>
        <w:t xml:space="preserve">În al doilea rând, </w:t>
      </w:r>
      <w:r>
        <w:rPr>
          <w:b/>
          <w:i/>
          <w:noProof/>
        </w:rPr>
        <w:t>definirea normelor globale pentru o globalizare mai durabilă și mai echitabilă.</w:t>
      </w:r>
    </w:p>
    <w:p>
      <w:pPr>
        <w:spacing w:after="120"/>
        <w:jc w:val="both"/>
        <w:rPr>
          <w:noProof/>
        </w:rPr>
      </w:pPr>
      <w:r>
        <w:rPr>
          <w:noProof/>
        </w:rPr>
        <w:t xml:space="preserve">Normele comerciale mondiale trebuie să fie actualizate de urgență pentru a reflecta mediul economic actual și provocările cu care se confruntă comunitatea mondială. Crearea unei globalizări mai durabile și mai echitabile ar trebui să fie motorul politicii comerciale, răspunzând așteptărilor europenilor și altor popoare din întreaga lume. Politica comercială a UE ar trebui să utilizeze toate instrumentele de care dispune pentru a sprijini echitatea socială și durabilitatea mediului. </w:t>
      </w:r>
    </w:p>
    <w:p>
      <w:pPr>
        <w:spacing w:after="120"/>
        <w:jc w:val="both"/>
        <w:rPr>
          <w:noProof/>
        </w:rPr>
      </w:pPr>
      <w:r>
        <w:rPr>
          <w:noProof/>
        </w:rPr>
        <w:t xml:space="preserve">Conducerea eforturilor de reformare a Organizației Mondiale a Comerțului și îmbunătățirea eficacității cadrului multilateral de guvernanță comercială ar trebui să reprezinte prioritatea-cheie a UE în vederea atingerii acestui obiectiv. Consolidarea stabilității și a comerțului bazat pe norme va fi pilonul central al acțiunilor UE, întrucât doar într-un astfel de mediu comerțul poate prospera și cooperarea internațională se poate dezvolta în interesul unui viitor durabil la nivel mondial. În același timp, este necesar să se asigure faptul că normele corespund realităților economice actuale și sunt bine pregătite pentru a răspunde denaturărilor concurențiale și a asigura condiții de concurență echitabile. </w:t>
      </w:r>
    </w:p>
    <w:p>
      <w:pPr>
        <w:spacing w:after="120"/>
        <w:jc w:val="both"/>
        <w:rPr>
          <w:i/>
          <w:noProof/>
        </w:rPr>
      </w:pPr>
      <w:r>
        <w:rPr>
          <w:i/>
          <w:noProof/>
        </w:rPr>
        <w:t xml:space="preserve">În al treilea rând, </w:t>
      </w:r>
      <w:r>
        <w:rPr>
          <w:b/>
          <w:i/>
          <w:noProof/>
        </w:rPr>
        <w:t>creșterea capacității UE de a-și urmări propriile interese și de a-și exercita drepturile, inclusiv în mod autonom acolo unde este necesar.</w:t>
      </w:r>
      <w:r>
        <w:rPr>
          <w:i/>
          <w:noProof/>
        </w:rPr>
        <w:t xml:space="preserve"> </w:t>
      </w:r>
    </w:p>
    <w:p>
      <w:pPr>
        <w:spacing w:after="120"/>
        <w:jc w:val="both"/>
        <w:rPr>
          <w:noProof/>
        </w:rPr>
      </w:pPr>
      <w:r>
        <w:rPr>
          <w:noProof/>
        </w:rPr>
        <w:t>Negocierea acordurilor comerciale a fost un instrument important pentru crearea de oportunități economice și promovarea durabilității; punerea în aplicare a acestor acorduri și asigurarea respectării drepturilor și obligațiilor cuprinse în acestea vor fi mult mai semnificative. Aceasta va include asigurarea faptului că UE deține instrumentele adecvate pentru a proteja lucrătorii și întreprinderile împotriva practicilor neloiale. Aceasta implică, de asemenea, un efort mai mare pentru a asigura punerea în aplicare efectivă și asigurarea respectării capitolelor privind dezvoltarea durabilă din acordurile comerciale ale UE, pentru a îmbunătăți standardele sociale, de muncă și de mediu la nivel mondial. Prin consolidarea punerii în aplicare și a asigurării respectării acordurilor sale, politica comercială a UE creează condițiile necesare pentru ca întreprinderile să se dezvolte, să crească și să inoveze; și asigură locuri de muncă de înaltă calitate în Europa și în afara acesteia. Sprijinirea multilateralismului și a deschiderii spre cooperare nu este în contradicție cu dorința UE de a acționa ferm în apărarea intereselor sale și da a asigura respectarea drepturilor sale. UE ar trebui să își consolideze setul de instrumente necesare pentru a se apăra împotriva practicilor comerciale neloiale sau a altor acte ostile, acționând totodată în conformitate cu angajamentele sale internaționale.</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Șase domenii esențiale pentru atingerea obiectivelor UE pe termen mediu </w:t>
      </w:r>
    </w:p>
    <w:p>
      <w:pPr>
        <w:spacing w:after="120"/>
        <w:jc w:val="both"/>
        <w:rPr>
          <w:noProof/>
        </w:rPr>
      </w:pPr>
      <w:r>
        <w:rPr>
          <w:noProof/>
        </w:rPr>
        <w:t xml:space="preserve">Pentru a îndeplini cele trei obiective prezentate mai sus, Comisia se va concentra asupra a </w:t>
      </w:r>
      <w:r>
        <w:rPr>
          <w:b/>
          <w:noProof/>
        </w:rPr>
        <w:t>șase domenii.</w:t>
      </w:r>
      <w:r>
        <w:rPr>
          <w:noProof/>
        </w:rPr>
        <w:t xml:space="preserve"> O serie de acțiuni principale care trebuie să fie realizate pentru fiecare dintre aceste domenii în cursul mandatului actual al Comisiei sunt specificate la punctele respective de mai jos.</w:t>
      </w:r>
    </w:p>
    <w:p>
      <w:pPr>
        <w:spacing w:after="120"/>
        <w:jc w:val="both"/>
        <w:rPr>
          <w:noProof/>
        </w:rPr>
      </w:pPr>
      <w:r>
        <w:rPr>
          <w:noProof/>
          <w:lang w:val="en-GB" w:eastAsia="en-GB"/>
        </w:rPr>
        <w:drawing>
          <wp:inline distT="0" distB="0" distL="0" distR="0">
            <wp:extent cx="5676900" cy="3124863"/>
            <wp:effectExtent l="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pPr>
        <w:pStyle w:val="ListParagraph"/>
        <w:spacing w:after="120" w:line="240" w:lineRule="auto"/>
        <w:ind w:left="1224"/>
        <w:contextualSpacing w:val="0"/>
        <w:jc w:val="both"/>
        <w:rPr>
          <w:rFonts w:ascii="Times New Roman" w:hAnsi="Times New Roman" w:cs="Times New Roman"/>
          <w:i/>
          <w:noProof/>
          <w:sz w:val="24"/>
          <w:szCs w:val="24"/>
          <w:highlight w:val="yellow"/>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Reformarea OMC </w:t>
      </w:r>
    </w:p>
    <w:p>
      <w:pPr>
        <w:spacing w:after="120"/>
        <w:jc w:val="both"/>
        <w:rPr>
          <w:noProof/>
        </w:rPr>
      </w:pPr>
      <w:r>
        <w:rPr>
          <w:noProof/>
        </w:rPr>
        <w:t xml:space="preserve">OMC a adus beneficii enorme membrilor săi de la înființarea sa în 1995. Ea a oferit un mediu comercial stabil și previzibil, permițând o expansiune masivă a comerțului mondial, conferind totodată un cadru pentru soluționarea litigiilor comerciale prin judecare. Totuși, aceasta se confruntă în prezent cu o criză în care nu reușește să deruleze negocieri în care rezultatele să abordeze provocările cu care se confruntă comerțul mondial. Capacitatea sa de a soluționa litigiile nu funcționează și sistemul său de monitorizare trebuie îmbunătățit pentru a asigura transparența sau a preveni barierele în calea comerțului. </w:t>
      </w:r>
    </w:p>
    <w:p>
      <w:pPr>
        <w:spacing w:after="120"/>
        <w:jc w:val="both"/>
        <w:rPr>
          <w:noProof/>
        </w:rPr>
      </w:pPr>
      <w:r>
        <w:rPr>
          <w:noProof/>
        </w:rPr>
        <w:t xml:space="preserve">Comisia intenționează să </w:t>
      </w:r>
      <w:r>
        <w:rPr>
          <w:b/>
          <w:noProof/>
        </w:rPr>
        <w:t>impulsioneze reformarea OMC în toate funcțiile sale.</w:t>
      </w:r>
    </w:p>
    <w:p>
      <w:pPr>
        <w:spacing w:after="120"/>
        <w:jc w:val="both"/>
        <w:rPr>
          <w:noProof/>
        </w:rPr>
      </w:pPr>
      <w:r>
        <w:rPr>
          <w:noProof/>
        </w:rPr>
        <w:t>Normele și practicile OMC trebuie actualizate și îmbunătățite pentru a reflecta realitățile comerciale actuale. Acest lucru ar trebui să se bazeze pe faptul că membrii săi împărtășesc o motivație comună: redresarea și dezvoltarea economică, durabilitatea socială și de mediu. Modernizarea normelor și îmbunătățirea funcționării OMC - inclusiv prin acorduri multilaterale deschise - sunt esențiale pentru combaterea denaturării concurenței și asigurarea unui cadru convenit pentru comerțul digital și durabil.</w:t>
      </w:r>
    </w:p>
    <w:p>
      <w:pPr>
        <w:spacing w:after="120"/>
        <w:jc w:val="both"/>
        <w:rPr>
          <w:noProof/>
        </w:rPr>
      </w:pPr>
      <w:r>
        <w:rPr>
          <w:noProof/>
        </w:rPr>
        <w:t>Întrucât credibilitatea unui sistem bazat pe norme depinde în mod esențial de un sistem independent și general acceptat pentru judecarea litigiilor comerciale, restabilirea sistemului de soluționare a litigiilor este esențială.</w:t>
      </w:r>
    </w:p>
    <w:p>
      <w:pPr>
        <w:spacing w:after="120"/>
        <w:jc w:val="both"/>
        <w:rPr>
          <w:noProof/>
        </w:rPr>
      </w:pPr>
      <w:r>
        <w:rPr>
          <w:noProof/>
        </w:rPr>
        <w:t xml:space="preserve">Anexa I privind „Reformarea OMC: către un sistem comercial multilateral durabil și eficace” expune punctele de vedere ale UE cu privire la prioritățile reformei OMC. </w:t>
      </w:r>
    </w:p>
    <w:p>
      <w:pPr>
        <w:spacing w:after="120"/>
        <w:jc w:val="both"/>
        <w:rPr>
          <w:noProof/>
        </w:rPr>
      </w:pPr>
      <w:r>
        <w:rPr>
          <w:noProof/>
        </w:rPr>
        <w:t xml:space="preserve">Comisia va promova, de asemenea, reformarea multilaterală în cadrul altor forumuri, de exemplu privind crearea unei instanțe multilaterale în materie de investiții în cadrul Comisiei ONU pentru Dreptul Comercial Internațional. </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rPr>
                <w:rFonts w:ascii="Times New Roman" w:hAnsi="Times New Roman" w:cs="Times New Roman"/>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va urmări adoptarea unui prim set de reforme ale OMC</w:t>
            </w:r>
            <w:r>
              <w:rPr>
                <w:rFonts w:ascii="Times New Roman" w:hAnsi="Times New Roman"/>
                <w:noProof/>
                <w:sz w:val="24"/>
                <w:szCs w:val="24"/>
              </w:rPr>
              <w:t xml:space="preserve"> axate pe creșterea contribuției OMC la dezvoltarea durabilă și va lansa negocieri privind norme consolidate pentru a evita denaturările concurenței datorate intervențiilor statului. Ea va acorda prioritate consolidării </w:t>
            </w:r>
            <w:r>
              <w:rPr>
                <w:rFonts w:ascii="Times New Roman" w:hAnsi="Times New Roman"/>
                <w:b/>
                <w:noProof/>
                <w:sz w:val="24"/>
                <w:szCs w:val="24"/>
              </w:rPr>
              <w:t>cooperării transatlantice</w:t>
            </w:r>
            <w:r>
              <w:rPr>
                <w:rFonts w:ascii="Times New Roman" w:hAnsi="Times New Roman"/>
                <w:noProof/>
                <w:sz w:val="24"/>
                <w:szCs w:val="24"/>
              </w:rPr>
              <w:t xml:space="preserve"> în ceea ce privește reformarea OMC.</w:t>
            </w:r>
          </w:p>
          <w:p>
            <w:pPr>
              <w:pStyle w:val="ListParagraph"/>
              <w:numPr>
                <w:ilvl w:val="0"/>
                <w:numId w:val="4"/>
              </w:numPr>
              <w:spacing w:after="120" w:line="240" w:lineRule="auto"/>
              <w:jc w:val="both"/>
              <w:rPr>
                <w:rFonts w:ascii="Times New Roman" w:hAnsi="Times New Roman" w:cs="Times New Roman"/>
                <w:noProof/>
              </w:rPr>
            </w:pPr>
            <w:r>
              <w:rPr>
                <w:rFonts w:ascii="Times New Roman" w:hAnsi="Times New Roman"/>
                <w:noProof/>
                <w:sz w:val="24"/>
                <w:szCs w:val="24"/>
              </w:rPr>
              <w:t xml:space="preserve">Ea va contribui la </w:t>
            </w:r>
            <w:r>
              <w:rPr>
                <w:rFonts w:ascii="Times New Roman" w:hAnsi="Times New Roman"/>
                <w:b/>
                <w:noProof/>
                <w:sz w:val="24"/>
                <w:szCs w:val="24"/>
              </w:rPr>
              <w:t>restabilirea unui sistem pe deplin funcțional de soluționare a litigiilor în cadrul OMC</w:t>
            </w:r>
            <w:r>
              <w:rPr>
                <w:rFonts w:ascii="Times New Roman" w:hAnsi="Times New Roman"/>
                <w:noProof/>
                <w:sz w:val="24"/>
                <w:szCs w:val="24"/>
              </w:rPr>
              <w:t xml:space="preserve"> cu un organ de apel reformat.</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noProof/>
          <w:sz w:val="24"/>
          <w:szCs w:val="24"/>
        </w:rPr>
      </w:pPr>
      <w:r>
        <w:rPr>
          <w:rFonts w:ascii="Times New Roman" w:hAnsi="Times New Roman"/>
          <w:i/>
          <w:noProof/>
          <w:sz w:val="24"/>
          <w:szCs w:val="24"/>
        </w:rPr>
        <w:t>Sprijinirea tranziției verzi și promovarea lanțurilor valorice responsabile și durabile</w:t>
      </w:r>
    </w:p>
    <w:p>
      <w:pPr>
        <w:spacing w:after="120"/>
        <w:jc w:val="both"/>
        <w:rPr>
          <w:noProof/>
        </w:rPr>
      </w:pPr>
      <w:r>
        <w:rPr>
          <w:noProof/>
        </w:rPr>
        <w:t xml:space="preserve">Astfel cum se reflectă în Pactul verde european, </w:t>
      </w:r>
      <w:r>
        <w:rPr>
          <w:b/>
          <w:noProof/>
        </w:rPr>
        <w:t>combaterea schimbărilor climatice și a degradării mediului reprezintă principala prioritate a UE.</w:t>
      </w:r>
      <w:r>
        <w:rPr>
          <w:noProof/>
        </w:rPr>
        <w:t xml:space="preserve"> Toate politicile UE trebuie să contribuie, dar progresele vor depinde de voința partenerilor globali, a marilor emițători și poluatori, de a-și spori nivelul lor de ambiții. Politica comercială va avea un important rol de sprijin.</w:t>
      </w:r>
    </w:p>
    <w:p>
      <w:pPr>
        <w:spacing w:after="120"/>
        <w:jc w:val="both"/>
        <w:rPr>
          <w:noProof/>
        </w:rPr>
      </w:pPr>
      <w:r>
        <w:rPr>
          <w:noProof/>
        </w:rPr>
        <w:t>Determinarea Comisiei pentru următorul deceniu este de a se asigura că instrumentele comerciale însoțesc și sprijină o tranziție globală către o economie neutră din punct de vedere al impactului asupra climei, inclusiv accelerarea investițiilor în energia curată și promovarea lanțurilor valorice care sunt circulare, responsabile și durabile. Aceasta include promovarea unui comportament responsabil în afaceri și respectarea standardelor de mediu, ale drepturilor omului și de muncă.</w:t>
      </w:r>
      <w:r>
        <w:rPr>
          <w:b/>
          <w:noProof/>
        </w:rPr>
        <w:t xml:space="preserve"> </w:t>
      </w:r>
      <w:r>
        <w:rPr>
          <w:noProof/>
        </w:rPr>
        <w:t xml:space="preserve">În același timp, aceasta înseamnă crearea de condiții și oportunități pentru produse și servicii durabile. </w:t>
      </w:r>
    </w:p>
    <w:p>
      <w:pPr>
        <w:spacing w:after="120"/>
        <w:jc w:val="both"/>
        <w:rPr>
          <w:noProof/>
        </w:rPr>
      </w:pPr>
      <w:r>
        <w:rPr>
          <w:noProof/>
        </w:rPr>
        <w:t xml:space="preserve">Realizarea acestei viziuni va necesita acțiuni la toate nivelurile - </w:t>
      </w:r>
      <w:r>
        <w:rPr>
          <w:b/>
          <w:noProof/>
        </w:rPr>
        <w:t>multilateral, bilateral și autonom.</w:t>
      </w:r>
      <w:r>
        <w:rPr>
          <w:noProof/>
        </w:rPr>
        <w:t xml:space="preserve"> </w:t>
      </w:r>
    </w:p>
    <w:p>
      <w:pPr>
        <w:spacing w:after="120"/>
        <w:jc w:val="both"/>
        <w:rPr>
          <w:noProof/>
        </w:rPr>
      </w:pPr>
      <w:r>
        <w:rPr>
          <w:noProof/>
        </w:rPr>
        <w:t xml:space="preserve">Va fi necesar un </w:t>
      </w:r>
      <w:r>
        <w:rPr>
          <w:b/>
          <w:bCs/>
          <w:noProof/>
        </w:rPr>
        <w:t>cadru multilateral îmbunătățit</w:t>
      </w:r>
      <w:r>
        <w:rPr>
          <w:noProof/>
        </w:rPr>
        <w:t xml:space="preserve"> pentru a sprijini tranziția verde către o economie rezilientă care respectă mediul și neutră din punctul de vedere al climei. UE va colabora cu țări care împărtășesc aceeași viziune pentru a urmări o agendă de mediu solidă în cadrul OMC. Ca parte a acestui efort, ea va impulsiona inițiativele și acțiunile care promovează aspectele legate de climă și durabilitate în cadrul diferitelor funcții ale OMC, inclusiv o inițiativă privind comerțul și clima. Aceste inițiative vor include liberalizarea unor anumitor bunuri și servicii, transparența și ecologizarea ajutorului pentru comerț. Aceasta ar trebui să includă, de asemenea, dezvoltarea progresivă a unor discipline referitoare la subvențiile pentru combustibilii fosili. Ea va promova, de asemenea, discuțiile în cadrul OMC cu privire la modul în care comerțul poate sprijini munca decentă și echitatea socială.</w:t>
      </w:r>
    </w:p>
    <w:p>
      <w:pPr>
        <w:spacing w:after="120"/>
        <w:jc w:val="both"/>
        <w:rPr>
          <w:noProof/>
        </w:rPr>
      </w:pPr>
      <w:r>
        <w:rPr>
          <w:noProof/>
        </w:rPr>
        <w:t xml:space="preserve">Vasta </w:t>
      </w:r>
      <w:r>
        <w:rPr>
          <w:b/>
          <w:noProof/>
        </w:rPr>
        <w:t>rețea</w:t>
      </w:r>
      <w:r>
        <w:rPr>
          <w:noProof/>
        </w:rPr>
        <w:t xml:space="preserve"> </w:t>
      </w:r>
      <w:r>
        <w:rPr>
          <w:b/>
          <w:noProof/>
        </w:rPr>
        <w:t>de acorduri comerciale bilaterale</w:t>
      </w:r>
      <w:r>
        <w:rPr>
          <w:noProof/>
        </w:rPr>
        <w:t xml:space="preserve"> ale UE facilitează comerțul cu tehnologii, bunuri, servicii și investiții ecologice. În plus față de includerea unor capitole ambițioase privind comerțul și dezvoltarea durabilă, dimensiunea privind durabilitatea va continua să se regăsească în multe alte aspecte ale acordurilor comerciale și de investiții ale UE. Acestea sprijină difuzarea unor metode și tehnologii de producție mai curate și mai eficiente și creează oportunități de acces pe piață pentru bunurile și serviciile ecologice. Ele contribuie la asigurarea accesului la piețele țărilor terțe pentru industria noastră energetică din surse regenerabile și asigură schimburi comerciale și investiții nedenaturate în materiile prime și bunurile energetice indispensabile pentru a asigura aprovizionarea necesară în vederea sprijinirii tranziției către economii neutre din punct de vedere climatic. În plus, ele oferă o platformă esențială pentru colaborarea cu partenerii noștri în ceea ce privește schimbările climatice, biodiversitatea, economia circulară, poluarea, tehnologiile energetice curate inclusiv energia din surse regenerabile și eficiența energetică și în ceea ce privește tranziția către sisteme alimentare durabile. Și pentru viitoarele acorduri comerciale, Comisia va propune un capitol referitor la sistemele alimentare durabile. UE va propune ca respectarea Acordului de la Paris să fie considerată un element esențial în viitoarele acorduri comerciale și de investiții. În plus, încheierea de acorduri comerciale și de investiții cu țările G20 ar trebui să se bazeze pe o ambiție comună de a realiza neutralitatea climatică cât mai curând posibil și în conformitate cu recomandările Grupului interguvernamental privind schimbările climatice (IPCC). Această ambiție ar trebui să se reflecte în mod corespunzător în contribuțiile stabilite la nivel național (CSN) prezentate în temeiul Acordului de la Paris. UE va acorda prioritate, de asemenea, punerii în aplicare eficiente a Convenției privind diversitatea biologică în acordurile comerciale și de investiții.</w:t>
      </w:r>
    </w:p>
    <w:p>
      <w:pPr>
        <w:spacing w:after="120"/>
        <w:jc w:val="both"/>
        <w:rPr>
          <w:noProof/>
        </w:rPr>
      </w:pPr>
      <w:r>
        <w:rPr>
          <w:noProof/>
        </w:rPr>
        <w:t xml:space="preserve">Acordurile comerciale și de investiții ale UE, precum și sistemul generalizat de preferințe (SGP) au jucat, de asemenea, un rol important în </w:t>
      </w:r>
      <w:r>
        <w:rPr>
          <w:b/>
          <w:bCs/>
          <w:noProof/>
        </w:rPr>
        <w:t>promovarea respectării drepturilor fundamentale ale omului și a drepturilor lucrătorilor</w:t>
      </w:r>
      <w:r>
        <w:rPr>
          <w:noProof/>
        </w:rPr>
        <w:t>, astfel cum se reflectă în convențiile fundamentale ale ONU elaborate de Organizația Internațională a Muncii (OIM). Se va acorda o prioritate deosebită punerii în aplicare a acestor angajamente, inclusiv acțiunilor de combatere a muncii copiilor, ca parte a acțiunii mai ample a Comisiei de a asigura o toleranță zero față de munca copiilor. Unul dintre obiectivele-cheie ale viitoarei revizuiri a sistemului generalizat de preferințe (SGP) va fi creșterea în continuare a oportunităților comerciale pentru țările în curs de dezvoltare cu scopul de a reduce sărăcia și a crea locuri de muncă pe baza valorilor și principiilor internaționale, cum ar fi drepturile lucrătorilor și drepturile omului.</w:t>
      </w:r>
    </w:p>
    <w:p>
      <w:pPr>
        <w:spacing w:after="120"/>
        <w:jc w:val="both"/>
        <w:rPr>
          <w:noProof/>
        </w:rPr>
      </w:pPr>
      <w:r>
        <w:rPr>
          <w:noProof/>
        </w:rPr>
        <w:t>Comisia va consolida și mai mult dimensiunea de durabilitate a acordurilor existente și viitoare în punerea în aplicare a tuturor capitolelor. Ea va întări</w:t>
      </w:r>
      <w:r>
        <w:rPr>
          <w:b/>
          <w:noProof/>
        </w:rPr>
        <w:t xml:space="preserve"> controlul respectării angajamentelor comerciale și de dezvoltare durabilă</w:t>
      </w:r>
      <w:r>
        <w:rPr>
          <w:noProof/>
        </w:rPr>
        <w:t xml:space="preserve"> pe baza plângerilor adresate responsabilului cu aplicarea dispozițiilor în materie comercială (CTEO). Vor fi luate în considerare acțiuni suplimentare în contextul unei revizuiri timpurii în 2021 a planului de acțiune în 15 puncte privind punerea efectivă în aplicare și asigurarea respectării capitolelor privind comerțul și dezvoltarea durabilă (CDD) din acordurile comerciale. Revizuirea va acoperi toate aspectele relevante ale punerii în aplicare și a asigurării respectării CDD, inclusiv domeniul de aplicare al angajamentelor, mecanismele de monitorizare, posibilitatea unor sancțiuni pentru neconformitate, clauza privind elementele esențiale, precum și cadrul instituțional și resursele necesare.</w:t>
      </w:r>
    </w:p>
    <w:p>
      <w:pPr>
        <w:spacing w:after="120"/>
        <w:jc w:val="both"/>
        <w:rPr>
          <w:noProof/>
        </w:rPr>
      </w:pPr>
      <w:r>
        <w:rPr>
          <w:noProof/>
        </w:rPr>
        <w:t xml:space="preserve">În plus, </w:t>
      </w:r>
      <w:r>
        <w:rPr>
          <w:b/>
          <w:noProof/>
        </w:rPr>
        <w:t xml:space="preserve">măsurile autonome </w:t>
      </w:r>
      <w:r>
        <w:rPr>
          <w:noProof/>
        </w:rPr>
        <w:t xml:space="preserve">sprijină obiectivul potrivit căruia comerțul trebuie să fie durabil, responsabil și coerent cu obiectivele și valorile noastre globale. Mecanismul de ajustare la frontieră a emisiilor de dioxid de carbon (CBAM) este un exemplu pertinent în acest sens. Comisia lucrează la o propunere de CBAM pentru a evita subminarea eficacității propriilor sale politici climatice prin relocarea emisiilor de dioxid de carbon. Un alt exemplu este intenția Comisiei de a prezenta o legislație privind defrișările și degradarea pădurilor. Un element important în asigurarea faptului că lanțurile de aprovizionare sunt sustenabile și responsabile va fi propunerea Comisiei privind guvernanța corporativă durabilă, inclusiv obligația de diligență în materie de mediu, de drepturile omului și de drepturile lucrătorilor. Sub rezerva evaluării impactului, ea va include acțiuni eficace și mecanisme de asigurare a respectării legislației pentru a se asigura că munca forțată nu își găsește locul în lanțurile valorice ale întreprinderilor din UE. </w:t>
      </w:r>
    </w:p>
    <w:p>
      <w:pPr>
        <w:spacing w:after="120"/>
        <w:jc w:val="both"/>
        <w:rPr>
          <w:noProof/>
        </w:rPr>
      </w:pPr>
      <w:r>
        <w:rPr>
          <w:noProof/>
        </w:rPr>
        <w:t>Noul regim mondial de sancțiuni în materie de drepturi ale omului va avea, de asemenea, un rol de jucat pentru a asigura respectarea drepturilor omului. Odată cu acest regim, UE s-a dotat cu un cadru care îi va permite să se adreseze persoanelor, entităților și organelor - inclusiv actorilor statali și nestatali - responsabile de, implicate în sau asociate cu încălcări grave ale drepturilor omului și abuzuri grave din întreaga lume</w:t>
      </w:r>
      <w:r>
        <w:rPr>
          <w:rStyle w:val="FootnoteReference"/>
          <w:noProof/>
        </w:rPr>
        <w:footnoteReference w:id="23"/>
      </w:r>
      <w:r>
        <w:rPr>
          <w:noProof/>
        </w:rPr>
        <w:t xml:space="preserve">. </w:t>
      </w:r>
    </w:p>
    <w:p>
      <w:pPr>
        <w:spacing w:after="120"/>
        <w:jc w:val="both"/>
        <w:rPr>
          <w:noProof/>
        </w:rPr>
      </w:pPr>
      <w:r>
        <w:rPr>
          <w:noProof/>
        </w:rPr>
        <w:t>Importurile trebuie să respecte regulamentele și standardele relevante ale UE. Așa cum arată exemplele de mai sus, în anumite circumstanțe, definite de normele OMC, este oportun ca UE să solicite ca produsele importate să respecte anumite cerințe de producție. Normele comerciale globale vizează asigurarea unui cadru previzibil și nediscriminatoriu pentru comerț, protejând totodată dreptul fiecărei țări de a reglementa în funcție de preferințele sale societale. Legitimitatea aplicării cerințelor de producție importurilor se bazează pe necesitatea de a proteja mediul global sau de a răspunde preocupărilor etice. Ori de câte ori UE are în vedere aplicarea unor astfel de măsuri produselor importate, aceasta se va face cu respectarea deplină a normelor OMC, în special a principiului nediscriminării și proporționalității, cu scopul de a evita perturbarea inutilă a schimburilor comerciale.</w:t>
      </w:r>
    </w:p>
    <w:p>
      <w:pPr>
        <w:spacing w:after="120"/>
        <w:jc w:val="both"/>
        <w:rPr>
          <w:noProof/>
        </w:rPr>
      </w:pPr>
      <w:r>
        <w:rPr>
          <w:noProof/>
        </w:rPr>
        <w:t xml:space="preserve">Comisia va iniția o activitate de pionierat cu privire la dezvoltarea de standarde pentru creșterea durabilă și va elabora standarde internaționale în conformitate cu dispozițiile Pactului verde european, colaborând în același timp cu partenerii săi la dezvoltarea și punerea în aplicare a unor norma la fel de ambițioase.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jc w:val="both"/>
              <w:rPr>
                <w:rFonts w:ascii="Times New Roman" w:hAnsi="Times New Roman" w:cs="Times New Roman"/>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prezenta inițiative și acțiuni care </w:t>
            </w:r>
            <w:r>
              <w:rPr>
                <w:rFonts w:ascii="Times New Roman" w:hAnsi="Times New Roman"/>
                <w:b/>
                <w:noProof/>
                <w:sz w:val="24"/>
                <w:szCs w:val="24"/>
              </w:rPr>
              <w:t>promovează aspectele legate de climă și de durabilitate în cadrul OMC.</w:t>
            </w:r>
            <w:r>
              <w:rPr>
                <w:rFonts w:ascii="Times New Roman" w:hAnsi="Times New Roman"/>
                <w:noProof/>
                <w:sz w:val="24"/>
                <w:szCs w:val="24"/>
              </w:rPr>
              <w:t xml:space="preserve">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Va încerca să obțină angajamente din partea partenerilor din G20</w:t>
            </w:r>
            <w:r>
              <w:rPr>
                <w:rFonts w:ascii="Times New Roman" w:hAnsi="Times New Roman"/>
                <w:noProof/>
                <w:sz w:val="24"/>
                <w:szCs w:val="24"/>
              </w:rPr>
              <w:t xml:space="preserve"> privind neutralitatea climatică, va consolida cooperarea cu privire la alte </w:t>
            </w:r>
            <w:r>
              <w:rPr>
                <w:rFonts w:ascii="Times New Roman" w:hAnsi="Times New Roman"/>
                <w:b/>
                <w:bCs/>
                <w:noProof/>
                <w:sz w:val="24"/>
                <w:szCs w:val="24"/>
              </w:rPr>
              <w:t>aspecte ale pactului verde cum ar fi biodiversitatea, politica alimentară durabilă, poluarea și economia circulară</w:t>
            </w:r>
            <w:r>
              <w:rPr>
                <w:rFonts w:ascii="Times New Roman" w:hAnsi="Times New Roman"/>
                <w:noProof/>
                <w:sz w:val="24"/>
                <w:szCs w:val="24"/>
              </w:rPr>
              <w:t xml:space="preserve"> și va propune ca respectarea </w:t>
            </w:r>
            <w:r>
              <w:rPr>
                <w:rFonts w:ascii="Times New Roman" w:hAnsi="Times New Roman"/>
                <w:b/>
                <w:bCs/>
                <w:noProof/>
                <w:sz w:val="24"/>
                <w:szCs w:val="24"/>
              </w:rPr>
              <w:t>Acordului de la Paris să devină un element esențial în toate viitoarele acorduri</w:t>
            </w:r>
            <w:r>
              <w:rPr>
                <w:rFonts w:ascii="Times New Roman" w:hAnsi="Times New Roman"/>
                <w:noProof/>
                <w:sz w:val="24"/>
                <w:szCs w:val="24"/>
              </w:rPr>
              <w:t xml:space="preserve">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îmbunătăți punerea efectivă în aplicare și asigurarea respectării efective a capitolelor privind dezvoltarea durabilă din acordurile comerciale prin </w:t>
            </w:r>
            <w:r>
              <w:rPr>
                <w:rFonts w:ascii="Times New Roman" w:hAnsi="Times New Roman"/>
                <w:b/>
                <w:noProof/>
                <w:sz w:val="24"/>
                <w:szCs w:val="24"/>
              </w:rPr>
              <w:t>revizuirea de la începutul anului 2021 a planului de acțiune în 15 puncte.</w:t>
            </w:r>
            <w:r>
              <w:rPr>
                <w:rFonts w:ascii="Times New Roman" w:hAnsi="Times New Roman"/>
                <w:noProof/>
                <w:sz w:val="24"/>
                <w:szCs w:val="24"/>
              </w:rPr>
              <w:t xml:space="preserve"> Rezultatele revizuirii vor alimenta negocierile în curs de desfășurare și cele viitoare.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Va promova lanțurile valorice durabile și responsabile</w:t>
            </w:r>
            <w:r>
              <w:rPr>
                <w:rFonts w:ascii="Times New Roman" w:hAnsi="Times New Roman"/>
                <w:noProof/>
                <w:sz w:val="24"/>
                <w:szCs w:val="24"/>
              </w:rPr>
              <w:t xml:space="preserve"> printr-o propunere privind obligația de diligență, inclusiv prin acțiuni eficace și mecanisme de asigurare a respectării legislației pentru a se asigura că munca forțată nu își găsește locul în lanțurile valorice ale întreprinderilor din UE. În intervalul de timp până la adoptarea unor dispoziții obligatorii, Comisia va oferi orientări pentru a ajuta întreprinderile din UE să ia deja măsurile adecvate în conformitate cu orientările și principiile internaționale privind diligența necesară.</w:t>
            </w:r>
          </w:p>
        </w:tc>
      </w:tr>
    </w:tbl>
    <w:p>
      <w:pPr>
        <w:spacing w:after="120"/>
        <w:jc w:val="both"/>
        <w:rPr>
          <w:noProof/>
        </w:rPr>
      </w:pPr>
    </w:p>
    <w:p>
      <w:pPr>
        <w:spacing w:after="48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Sprijinirea tranziției digitale și a comerțului cu servicii</w:t>
      </w:r>
    </w:p>
    <w:p>
      <w:pPr>
        <w:spacing w:after="120"/>
        <w:jc w:val="both"/>
        <w:rPr>
          <w:noProof/>
        </w:rPr>
      </w:pPr>
      <w:r>
        <w:rPr>
          <w:noProof/>
        </w:rPr>
        <w:t>Politica comercială a UE trebuie să creeze un mediu în care furnizorii de servicii din UE să poată inova și să se poată dezvolta. În mod prioritar,</w:t>
      </w:r>
      <w:r>
        <w:rPr>
          <w:b/>
          <w:noProof/>
        </w:rPr>
        <w:t xml:space="preserve"> cadrul global al normelor internaționale trebuie să fie actualizat.</w:t>
      </w:r>
      <w:r>
        <w:rPr>
          <w:noProof/>
        </w:rPr>
        <w:t xml:space="preserve"> </w:t>
      </w:r>
    </w:p>
    <w:p>
      <w:pPr>
        <w:spacing w:after="120"/>
        <w:jc w:val="both"/>
        <w:rPr>
          <w:noProof/>
        </w:rPr>
      </w:pPr>
      <w:r>
        <w:rPr>
          <w:noProof/>
          <w:lang w:val="en-GB" w:eastAsia="en-GB"/>
        </w:rPr>
        <mc:AlternateContent>
          <mc:Choice Requires="wps">
            <w:drawing>
              <wp:anchor distT="45720" distB="45720" distL="114300" distR="114300" simplePos="0" relativeHeight="251656192" behindDoc="0" locked="0" layoutInCell="1" allowOverlap="1">
                <wp:simplePos x="0" y="0"/>
                <wp:positionH relativeFrom="column">
                  <wp:posOffset>-1270</wp:posOffset>
                </wp:positionH>
                <wp:positionV relativeFrom="paragraph">
                  <wp:posOffset>395605</wp:posOffset>
                </wp:positionV>
                <wp:extent cx="2430780" cy="2769235"/>
                <wp:effectExtent l="0" t="0" r="26670" b="120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2769235"/>
                        </a:xfrm>
                        <a:prstGeom prst="rect">
                          <a:avLst/>
                        </a:prstGeom>
                        <a:solidFill>
                          <a:srgbClr val="FFFFFF"/>
                        </a:solidFill>
                        <a:ln w="9525">
                          <a:solidFill>
                            <a:srgbClr val="000000"/>
                          </a:solidFill>
                          <a:miter lim="800000"/>
                          <a:headEnd/>
                          <a:tailEnd/>
                        </a:ln>
                      </wps:spPr>
                      <wps:txbx>
                        <w:txbxContent>
                          <w:p>
                            <w:pPr>
                              <w:rPr>
                                <w:b/>
                                <w:i/>
                              </w:rPr>
                            </w:pPr>
                            <w:r>
                              <w:rPr>
                                <w:b/>
                                <w:i/>
                              </w:rPr>
                              <w:t xml:space="preserve">UE este cel mai mare comerciant de servicii din lume*. Comerțul cu servicii reprezintă 25 % din PIB-ul UE, exporturile de servicii depășind 900 de miliarde EUR pe an. Acesta sprijină, de asemenea, 21 de milioane de locuri de muncă în UE în mod direct sau indirect. </w:t>
                            </w:r>
                          </w:p>
                          <w:p>
                            <w:pPr>
                              <w:rPr>
                                <w:b/>
                                <w:i/>
                              </w:rPr>
                            </w:pPr>
                            <w:r>
                              <w:rPr>
                                <w:b/>
                                <w:i/>
                              </w:rPr>
                              <w:t>Din toate investițiile străine directe ale UE către restul lumii, 60 % sunt în domeniul serviciilor, astfel cum sunt aproape 90 % din investițiile străine directe care intră în UE.</w:t>
                            </w:r>
                          </w:p>
                          <w:p>
                            <w:pPr>
                              <w:contextualSpacing/>
                              <w:rPr>
                                <w:b/>
                              </w:rPr>
                            </w:pPr>
                            <w:r>
                              <w:rPr>
                                <w:b/>
                                <w:i/>
                                <w:sz w:val="16"/>
                                <w:szCs w:val="16"/>
                              </w:rPr>
                              <w:t>* https://data.oecd.org/trade/trade-in-services.htm</w:t>
                            </w:r>
                            <w:r>
                              <w:rPr>
                                <w:b/>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pt;margin-top:31.15pt;width:191.4pt;height:218.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">
                <v:textbox>
                  <w:txbxContent>
                    <w:p>
                      <w:pPr>
                        <w:rPr>
                          <w:b/>
                          <w:i/>
                        </w:rPr>
                      </w:pPr>
                      <w:r>
                        <w:rPr>
                          <w:b/>
                          <w:i/>
                        </w:rPr>
                        <w:t xml:space="preserve">UE este cel mai mare comerciant de servicii din lume*. Comerțul cu servicii reprezintă 25 % din PIB-ul UE, exporturile de servicii depășind 900 de miliarde EUR pe an. Acesta sprijină, de asemenea, 21 de milioane de locuri de muncă în UE în mod direct sau indirect. </w:t>
                      </w:r>
                    </w:p>
                    <w:p>
                      <w:pPr>
                        <w:rPr>
                          <w:b/>
                          <w:i/>
                        </w:rPr>
                      </w:pPr>
                      <w:r>
                        <w:rPr>
                          <w:b/>
                          <w:i/>
                        </w:rPr>
                        <w:t>Din toate investițiile străine directe ale UE către restul lumii, 60 % sunt în domeniul serviciilor, astfel cum sunt aproape 90 % din investițiile străine directe care intră în UE.</w:t>
                      </w:r>
                    </w:p>
                    <w:p>
                      <w:pPr>
                        <w:contextualSpacing/>
                        <w:rPr>
                          <w:b/>
                        </w:rPr>
                      </w:pPr>
                      <w:r>
                        <w:rPr>
                          <w:b/>
                          <w:i/>
                          <w:sz w:val="16"/>
                          <w:szCs w:val="16"/>
                        </w:rPr>
                        <w:t>* https://data.oecd.org/trade/trade-in-services.htm</w:t>
                      </w:r>
                      <w:r>
                        <w:rPr>
                          <w:b/>
                          <w:i/>
                        </w:rPr>
                        <w:t xml:space="preserve">. </w:t>
                      </w:r>
                    </w:p>
                  </w:txbxContent>
                </v:textbox>
                <w10:wrap type="square"/>
              </v:shape>
            </w:pict>
          </mc:Fallback>
        </mc:AlternateContent>
      </w:r>
      <w:r>
        <w:rPr>
          <w:noProof/>
        </w:rPr>
        <w:t>Sfera digitală va cunoaște o concurență globală intensă care va reconfigura relațiile economice globale. UE nu poate să reușească transformarea sa digitală decât dacă își definește agenda digitală într-un mod orientat către exterior, ținând seama pe deplin de un mediu global care este din ce în ce mai competitiv și mai dur și uneori provocator pentru abordarea UE bazată pe valori a digitalizării. Politica comercială va juca un rol vital în atingerea obiectivelor UE legate de tranziția digitală. Întreprinderile europene se bazează pe servicii digitale și acest lucru nu va face decât să crească. Datele sunt vitale pentru multe întreprinderi și o componentă esențială a lanțurilor de aprovizionare ale UE. Tehnologiile digitale oferă câștiguri de eficiență, care sunt necesare pentru a rămâne competitive</w:t>
      </w:r>
      <w:r>
        <w:rPr>
          <w:rStyle w:val="FootnoteReference"/>
          <w:noProof/>
        </w:rPr>
        <w:footnoteReference w:id="24"/>
      </w:r>
      <w:r>
        <w:rPr>
          <w:noProof/>
        </w:rPr>
        <w:t xml:space="preserve">, dar care transformă, de asemenea, sectoarele industriale tradiționale în care întreprinderile europene vor trebui să mențină și să stimuleze poziția lor competitivă. În același timp, transformarea digitală și emergența noilor tehnologii prezintă o importantă dimensiune de securitate și de valori pentru Europa și necesită o abordare strategică atent calibrată atât pe plan intern, cât și pe plan extern. Implicațiile noilor </w:t>
      </w:r>
      <w:r>
        <w:rPr>
          <w:b/>
          <w:bCs/>
          <w:noProof/>
        </w:rPr>
        <w:t>tehnologii digitale, inclusiv inteligența artificială</w:t>
      </w:r>
      <w:r>
        <w:rPr>
          <w:noProof/>
        </w:rPr>
        <w:t xml:space="preserve">, trebuie să fie abordate global prin </w:t>
      </w:r>
      <w:r>
        <w:rPr>
          <w:b/>
          <w:bCs/>
          <w:noProof/>
        </w:rPr>
        <w:t>standarde și norme globale mai ambițioase.</w:t>
      </w:r>
      <w:r>
        <w:rPr>
          <w:noProof/>
        </w:rPr>
        <w:t xml:space="preserve"> </w:t>
      </w:r>
    </w:p>
    <w:p>
      <w:pPr>
        <w:spacing w:after="120"/>
        <w:jc w:val="both"/>
        <w:rPr>
          <w:b/>
          <w:noProof/>
        </w:rPr>
      </w:pPr>
    </w:p>
    <w:p>
      <w:pPr>
        <w:spacing w:after="120"/>
        <w:jc w:val="both"/>
        <w:rPr>
          <w:noProof/>
        </w:rPr>
      </w:pPr>
      <w:r>
        <w:rPr>
          <w:b/>
          <w:noProof/>
        </w:rPr>
        <w:t xml:space="preserve">Sprijinirea agendei digitale a Europei este o prioritate pentru politica comercială a UE. </w:t>
      </w:r>
      <w:r>
        <w:rPr>
          <w:noProof/>
        </w:rPr>
        <w:t>Obiectivul este de a asigura o poziție de vârf pentru UE în comerțul digital și în domeniul tehnologiei, mai cu seamă prin promovarea inovării. UE ar trebui să continue să aibă un rol de lider în abordările standardelor digitale și cele de reglementare, în special în ceea ce privește protecția datelor, în care Regulamentul general al UE privind protecția datelor este considerat adesea ca o sursă de inspirație</w:t>
      </w:r>
      <w:r>
        <w:rPr>
          <w:rStyle w:val="FootnoteReference"/>
          <w:noProof/>
        </w:rPr>
        <w:footnoteReference w:id="25"/>
      </w:r>
      <w:r>
        <w:rPr>
          <w:noProof/>
        </w:rPr>
        <w:t xml:space="preserve">. Pentru a realiza acest lucru, </w:t>
      </w:r>
      <w:r>
        <w:rPr>
          <w:b/>
          <w:noProof/>
        </w:rPr>
        <w:t>OMC trebuie să stabilească normele pentru comerțul digital și UE trebuie să joace un rol central în crearea acestora.</w:t>
      </w:r>
      <w:r>
        <w:rPr>
          <w:noProof/>
        </w:rPr>
        <w:t xml:space="preserve"> Odată ce acestea vor fi convenite, UE ar trebui să sprijine noi negocieri multilaterale în cadrul OMC pentru liberalizarea comerțului cu servicii în sectoarele situate dincolo de comerțul electronic. </w:t>
      </w:r>
    </w:p>
    <w:p>
      <w:pPr>
        <w:spacing w:after="120"/>
        <w:jc w:val="both"/>
        <w:rPr>
          <w:noProof/>
        </w:rPr>
      </w:pPr>
      <w:r>
        <w:rPr>
          <w:noProof/>
        </w:rPr>
        <w:t>UE va trebui, de asemenea, să consolideze colaborarea bilaterală și să exploreze</w:t>
      </w:r>
      <w:r>
        <w:rPr>
          <w:b/>
          <w:noProof/>
        </w:rPr>
        <w:t xml:space="preserve"> cadre mai puternice de cooperare privind aspectele digitale legate de comerț cu partenerii care împărtășesc aceeași viziune.</w:t>
      </w:r>
      <w:r>
        <w:rPr>
          <w:noProof/>
        </w:rPr>
        <w:t xml:space="preserve"> Ea va căuta să aprofundeze dialogurile sale în materie de reglementare cu partenerii care împărtășesc aceeași viziune. </w:t>
      </w:r>
    </w:p>
    <w:p>
      <w:pPr>
        <w:spacing w:after="120"/>
        <w:jc w:val="both"/>
        <w:rPr>
          <w:noProof/>
        </w:rPr>
      </w:pPr>
      <w:r>
        <w:rPr>
          <w:noProof/>
        </w:rPr>
        <w:t xml:space="preserve">Problema </w:t>
      </w:r>
      <w:r>
        <w:rPr>
          <w:b/>
          <w:noProof/>
        </w:rPr>
        <w:t>datelor</w:t>
      </w:r>
      <w:r>
        <w:rPr>
          <w:noProof/>
        </w:rPr>
        <w:t xml:space="preserve"> va fi esențială pentru viitorul UE. În ceea ce privește transferurile transfrontaliere de date și interzicerea cerințelor de localizare a datelor, Comisia va adopta o </w:t>
      </w:r>
      <w:r>
        <w:rPr>
          <w:b/>
          <w:noProof/>
        </w:rPr>
        <w:t>abordare deschisă, dar fermă, pe baza valorilor și intereselor europene.</w:t>
      </w:r>
      <w:r>
        <w:rPr>
          <w:noProof/>
        </w:rPr>
        <w:t xml:space="preserve"> Comisia va depune eforturi pentru a se asigura că întreprinderile sale pot beneficia de libera circulație internațională a datelor în deplină conformitate cu normele UE privind protecția datelor și cu alte obiective de politică publică, inclusiv securitatea și ordinea publică. În special, UE va continua să abordeze obstacolele nejustificate în calea fluxurilor de date, conservându-și totodată autonomia privind reglementarea în domeniul protecției datelor și a vieții private</w:t>
      </w:r>
      <w:r>
        <w:rPr>
          <w:rStyle w:val="FootnoteReference"/>
          <w:noProof/>
        </w:rPr>
        <w:footnoteReference w:id="26"/>
      </w:r>
      <w:r>
        <w:rPr>
          <w:noProof/>
        </w:rPr>
        <w:t xml:space="preserve">. Pentru a evalua mai bine dimensiunea și valoarea fluxurilor transfrontaliere de date, Comisia va crea un cadru analitic european pentru măsurarea fluxurilor de date.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jc w:val="both"/>
              <w:rPr>
                <w:rFonts w:ascii="Times New Roman" w:hAnsi="Times New Roman" w:cs="Times New Roman"/>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iCs/>
                <w:noProof/>
                <w:sz w:val="24"/>
                <w:szCs w:val="24"/>
              </w:rPr>
              <w:t xml:space="preserve">Va urmări încheierea rapidă a unui </w:t>
            </w:r>
            <w:r>
              <w:rPr>
                <w:rFonts w:ascii="Times New Roman" w:hAnsi="Times New Roman"/>
                <w:b/>
                <w:iCs/>
                <w:noProof/>
                <w:sz w:val="24"/>
                <w:szCs w:val="24"/>
              </w:rPr>
              <w:t>acord ambițios și cuprinzător al OMC privind comerțul digital</w:t>
            </w:r>
            <w:r>
              <w:rPr>
                <w:rFonts w:ascii="Times New Roman" w:hAnsi="Times New Roman"/>
                <w:iCs/>
                <w:noProof/>
                <w:sz w:val="24"/>
                <w:szCs w:val="24"/>
              </w:rPr>
              <w:t>, inclusiv a unor norme privind fluxurile de date, în deplină conformitate cu cadrul UE privind protecția datelor și a unor dispoziții privind consolidarea încrederii consumatorilor prin asigurarea unui nivel ridicat de protecție a consumatorilor.</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iCs/>
                <w:noProof/>
                <w:sz w:val="24"/>
                <w:szCs w:val="24"/>
              </w:rPr>
              <w:t xml:space="preserve">Va explora posibilitatea unei </w:t>
            </w:r>
            <w:r>
              <w:rPr>
                <w:rFonts w:ascii="Times New Roman" w:hAnsi="Times New Roman"/>
                <w:b/>
                <w:bCs/>
                <w:iCs/>
                <w:noProof/>
                <w:sz w:val="24"/>
                <w:szCs w:val="24"/>
              </w:rPr>
              <w:t>cooperări mai strânse în materie de reglementare</w:t>
            </w:r>
            <w:r>
              <w:rPr>
                <w:rFonts w:ascii="Times New Roman" w:hAnsi="Times New Roman"/>
                <w:iCs/>
                <w:noProof/>
                <w:sz w:val="24"/>
                <w:szCs w:val="24"/>
              </w:rPr>
              <w:t xml:space="preserve"> cu parteneri care împărtășesc aceeași viziune cu privire la aspecte relevante pentru comerțul digital.</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Consolidarea impactului UE în materie de reglementare</w:t>
      </w:r>
    </w:p>
    <w:p>
      <w:pPr>
        <w:spacing w:after="120"/>
        <w:jc w:val="both"/>
        <w:rPr>
          <w:noProof/>
        </w:rPr>
      </w:pPr>
      <w:r>
        <w:rPr>
          <w:noProof/>
        </w:rPr>
        <w:t xml:space="preserve">Capacitatea de a influența elaborarea de reglementări și standarde de importanță mondială reprezintă un </w:t>
      </w:r>
      <w:r>
        <w:rPr>
          <w:b/>
          <w:noProof/>
        </w:rPr>
        <w:t>avantaj competitiv important.</w:t>
      </w:r>
      <w:r>
        <w:rPr>
          <w:noProof/>
        </w:rPr>
        <w:t xml:space="preserve"> </w:t>
      </w:r>
    </w:p>
    <w:p>
      <w:pPr>
        <w:spacing w:after="120"/>
        <w:jc w:val="both"/>
        <w:rPr>
          <w:noProof/>
        </w:rPr>
      </w:pPr>
      <w:r>
        <w:rPr>
          <w:noProof/>
        </w:rPr>
        <w:t xml:space="preserve">Timp de decenii, </w:t>
      </w:r>
      <w:r>
        <w:rPr>
          <w:b/>
          <w:noProof/>
        </w:rPr>
        <w:t>UE a fost un lider în acest domeniu.</w:t>
      </w:r>
      <w:r>
        <w:rPr>
          <w:noProof/>
        </w:rPr>
        <w:t xml:space="preserve"> Ea a promovat activitatea în cadrul organismelor de standardizare internaționale cum ar fi Organizația Internațională de Standardizare (ISO) și forurile internaționale sectoriale. Aceste eforturi au ajutat întreprinderile europene să aibă acces la piețele mondiale, au înlăturat barierele comerciale și au sprijinit convergența în materie de reglementare. Această abordare, împreună cu dimensiunea pieței sale, a conferit UE o influență puternică asupra standardizării internaționale, ducând, în unele cazuri, la o adoptare voluntară a standardelor, a reglementărilor și a obiectivelor sale de politică ridicate de-a lungul lanțurilor de aprovizionare globale. Exportatorii europeni, inclusiv IMM-urile, au beneficiat de un avantaj competitiv semnificativ ca urmare a impactului solid în materie de reglementare al UE la nivel global.</w:t>
      </w:r>
    </w:p>
    <w:p>
      <w:pPr>
        <w:spacing w:after="120"/>
        <w:jc w:val="both"/>
        <w:rPr>
          <w:noProof/>
        </w:rPr>
      </w:pPr>
      <w:r>
        <w:rPr>
          <w:noProof/>
        </w:rPr>
        <w:t xml:space="preserve">Ponderea relativă a UE este în scădere, datorită emergenței unor noi puteri în materie de reglementare și dezvoltării tehnologice rapide, care vin adesea din afara UE. </w:t>
      </w:r>
    </w:p>
    <w:p>
      <w:pPr>
        <w:spacing w:after="120"/>
        <w:jc w:val="both"/>
        <w:rPr>
          <w:noProof/>
        </w:rPr>
      </w:pPr>
      <w:r>
        <w:rPr>
          <w:noProof/>
        </w:rPr>
        <w:t xml:space="preserve">Pentru ca UE să își consolideze influența în acest domeniu, ea trebuie </w:t>
      </w:r>
      <w:r>
        <w:rPr>
          <w:b/>
          <w:noProof/>
        </w:rPr>
        <w:t>să dezvolte o abordare mai strategică a cooperării internaționale în domeniul reglementării,</w:t>
      </w:r>
      <w:r>
        <w:rPr>
          <w:noProof/>
        </w:rPr>
        <w:t xml:space="preserve"> îndeosebi în legătură cu tranziția verde și cea digitală. UE trebuie să adopte on poziție mai proactivă atunci când elaborează noi reglementări astfel încât să fie mai bine pregătită să promoveze abordările UE în materie de reglementare la nivel mondial. Acest lucru va necesita sinergii mai mari între politicile interne și externe pentru a identifica într-un stadiu incipient domeniile strategice asupra cărora ar trebui să se concentreze cooperarea internațională în materie de reglementare. Aceasta ar necesita, de asemenea, dialog și cooperare cu organismele de standardizare ale UE pentru a identifica prioritățile strategice legate de standardele internaționale. Comisia își va consolida analiza dimensiunii externe a politicilor sale de reglementare în evaluările impactului reglementărilor importante și va identifica parteneri prioritari pentru cooperarea în materie de reglementare. Politica comercială ar trebui să fie pregătită să sprijine activitățile de cooperare conduse de autoritățile de reglementare și, în acest scop, să utilizeze la maximum oportunitățile oferite de acordurile comerciale. Politica comercială, împreună cu parteneriatele internaționale și cooperarea pentru dezvoltare - inclusiv prin intermediul ajutorului pentru comerț - ar trebui să joace un rol în sprijinirea adoptării standardelor internaționale în țările în curs de dezvoltare partenere și în facilitarea conformității cu noile cerințe de reglementare. UE va consolida, de asemenea, dialogurile sale în materie de reglementare cu țările care împărtășesc aceeași viziune din grupul Asia-Pacific și America Latină.</w:t>
      </w:r>
    </w:p>
    <w:p>
      <w:pPr>
        <w:spacing w:after="120"/>
        <w:jc w:val="both"/>
        <w:rPr>
          <w:noProof/>
        </w:rPr>
      </w:pPr>
      <w:r>
        <w:rPr>
          <w:noProof/>
        </w:rPr>
        <w:t xml:space="preserve">Cooperarea cu Statele Unite va fi esențială pentru a se asigura că noile reglementări sunt în conformitate cu valorile societăților democratice, deschise și favorabile incluziunii. </w:t>
      </w:r>
    </w:p>
    <w:p>
      <w:pPr>
        <w:spacing w:after="120"/>
        <w:jc w:val="both"/>
        <w:rPr>
          <w:noProof/>
        </w:rPr>
      </w:pP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jc w:val="both"/>
              <w:rPr>
                <w:rFonts w:ascii="Times New Roman" w:hAnsi="Times New Roman" w:cs="Times New Roman"/>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Va intensifica dialogurile în materie de reglementare cu partenerii care împărtășesc aceeași viziune</w:t>
            </w:r>
            <w:r>
              <w:rPr>
                <w:rFonts w:ascii="Times New Roman" w:hAnsi="Times New Roman"/>
                <w:noProof/>
                <w:sz w:val="24"/>
                <w:szCs w:val="24"/>
              </w:rPr>
              <w:t xml:space="preserve"> în domenii strategice pentru competitivitatea UE. Aceasta va necesita identificarea din timp a domeniilor prioritare pentru cooperarea în materie de reglementare și un dialog mai strâns cu UE și organizațiile internaționale de standardizare.</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dezvolta un </w:t>
            </w:r>
            <w:r>
              <w:rPr>
                <w:rFonts w:ascii="Times New Roman" w:hAnsi="Times New Roman"/>
                <w:b/>
                <w:noProof/>
                <w:sz w:val="24"/>
                <w:szCs w:val="24"/>
              </w:rPr>
              <w:t>parteneriat transatlantic</w:t>
            </w:r>
            <w:r>
              <w:rPr>
                <w:rFonts w:ascii="Times New Roman" w:hAnsi="Times New Roman"/>
                <w:noProof/>
                <w:sz w:val="24"/>
                <w:szCs w:val="24"/>
              </w:rPr>
              <w:t xml:space="preserve"> mai strâns </w:t>
            </w:r>
            <w:r>
              <w:rPr>
                <w:rFonts w:ascii="Times New Roman" w:hAnsi="Times New Roman"/>
                <w:b/>
                <w:noProof/>
                <w:sz w:val="24"/>
                <w:szCs w:val="24"/>
              </w:rPr>
              <w:t>privind transformarea verde și digitală</w:t>
            </w:r>
            <w:r>
              <w:rPr>
                <w:rFonts w:ascii="Times New Roman" w:hAnsi="Times New Roman"/>
                <w:noProof/>
                <w:sz w:val="24"/>
                <w:szCs w:val="24"/>
              </w:rPr>
              <w:t xml:space="preserve"> a economiilor noastre inclusiv prin intermediul Consiliului pentru comerț și tehnologie UE-SUA.</w:t>
            </w:r>
          </w:p>
        </w:tc>
      </w:tr>
    </w:tbl>
    <w:p>
      <w:pPr>
        <w:spacing w:after="120"/>
        <w:jc w:val="both"/>
        <w:rPr>
          <w:noProof/>
        </w:rPr>
      </w:pPr>
    </w:p>
    <w:p>
      <w:pPr>
        <w:pStyle w:val="ListParagraph"/>
        <w:numPr>
          <w:ilvl w:val="2"/>
          <w:numId w:val="1"/>
        </w:numPr>
        <w:tabs>
          <w:tab w:val="left" w:pos="993"/>
        </w:tabs>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Consolidarea parteneriatelor UE cu țările învecinate și țările implicate în procesul de aderare și cu Africa </w:t>
      </w:r>
    </w:p>
    <w:p>
      <w:pPr>
        <w:spacing w:after="120"/>
        <w:jc w:val="both"/>
        <w:rPr>
          <w:iCs/>
          <w:noProof/>
        </w:rPr>
      </w:pPr>
      <w:r>
        <w:rPr>
          <w:b/>
          <w:iCs/>
          <w:noProof/>
        </w:rPr>
        <w:t>Relațiile noastre cele mai importante sunt cu țările cele mai apropiate geografic de noi.</w:t>
      </w:r>
      <w:r>
        <w:rPr>
          <w:noProof/>
        </w:rPr>
        <w:t xml:space="preserve"> Stabilitatea și prosperitatea țărilor vecine Uniunii Europene și a Africii sunt în interesul politic și economic al UE. UE intenționează să facă tot posibilul pentru a sprijini partenerii în eforturile lor de redresare în urma impactului pandemiei de COVID-19 și pentru realizarea dezvoltării durabile. Rețeaua densă a acordurilor comerciale ale UE cu aceste țări oferă perspectiva unei integrări economice mai strânse și a dezvoltării unor rețele integrate de producție și de servicii. Aceasta ar face parte dintr-o strategie mai amplă de promovare a investițiilor durabile și de îmbunătățire a rezilienței economiilor noastre prin intermediul unor lanțuri valorice diversificate și ar încuraja dezvoltarea comerțului cu produse durabile, incluziv pentru a sprijini transformările în domeniul climei și al energiei. Ea va contribui, de asemenea, la abordarea cauzelor care stau la baza migrației ilegale, ca parte a unei contribuții mai largi a politicii comerciale la parteneriate cuprinzătoare, în conformitate cu noul pact privind migrația și azilul</w:t>
      </w:r>
      <w:r>
        <w:rPr>
          <w:rStyle w:val="FootnoteReference"/>
          <w:noProof/>
        </w:rPr>
        <w:footnoteReference w:id="27"/>
      </w:r>
      <w:r>
        <w:rPr>
          <w:noProof/>
        </w:rPr>
        <w:t>.</w:t>
      </w:r>
    </w:p>
    <w:p>
      <w:pPr>
        <w:spacing w:after="120"/>
        <w:jc w:val="both"/>
        <w:rPr>
          <w:iCs/>
          <w:noProof/>
        </w:rPr>
      </w:pPr>
      <w:r>
        <w:rPr>
          <w:noProof/>
        </w:rPr>
        <w:t>UE își va consolida parteneriatele economice strânse în interiorul Spațiului Economic European. UE așteaptă cu interes să colaboreze îndeaproape cu Regatul Unit pentru a valorifica întregul potențial al Acordului comercial și de cooperare. UE așteaptă, de asemenea, cu interes modernizarea relațiilor sale comerciale și economice cu Elveția, precum și cu Turcia, în funcție de îndeplinirea condițiilor adecvate.</w:t>
      </w:r>
    </w:p>
    <w:p>
      <w:pPr>
        <w:spacing w:after="120"/>
        <w:jc w:val="both"/>
        <w:rPr>
          <w:iCs/>
          <w:noProof/>
        </w:rPr>
      </w:pPr>
      <w:r>
        <w:rPr>
          <w:noProof/>
        </w:rPr>
        <w:t>Sprijinirea unei integrări economice mai strânse cu țările din</w:t>
      </w:r>
      <w:r>
        <w:rPr>
          <w:b/>
          <w:bCs/>
          <w:noProof/>
        </w:rPr>
        <w:t xml:space="preserve"> Balcanii de Vest</w:t>
      </w:r>
      <w:r>
        <w:rPr>
          <w:noProof/>
        </w:rPr>
        <w:t xml:space="preserve"> și cu țările </w:t>
      </w:r>
      <w:r>
        <w:rPr>
          <w:b/>
          <w:bCs/>
          <w:noProof/>
        </w:rPr>
        <w:t>Parteneriatului estic</w:t>
      </w:r>
      <w:r>
        <w:rPr>
          <w:rStyle w:val="FootnoteReference"/>
          <w:iCs/>
          <w:noProof/>
        </w:rPr>
        <w:footnoteReference w:id="28"/>
      </w:r>
      <w:r>
        <w:rPr>
          <w:noProof/>
        </w:rPr>
        <w:t xml:space="preserve"> va fi de o importanță deosebită. Pentru </w:t>
      </w:r>
      <w:r>
        <w:rPr>
          <w:b/>
          <w:bCs/>
          <w:noProof/>
        </w:rPr>
        <w:t>Balcanii de Vest</w:t>
      </w:r>
      <w:r>
        <w:rPr>
          <w:noProof/>
        </w:rPr>
        <w:t>, metodologia consolidată referitoare la procesul de extindere și planul economic și de investiții</w:t>
      </w:r>
      <w:r>
        <w:rPr>
          <w:noProof/>
          <w:vertAlign w:val="superscript"/>
        </w:rPr>
        <w:footnoteReference w:id="29"/>
      </w:r>
      <w:r>
        <w:rPr>
          <w:noProof/>
        </w:rPr>
        <w:t xml:space="preserve"> prezintă un cadru pentru o integrare accelerată pe piața UE înainte de aderare, asigurând în același timp condiții de concurență echitabile. Această integrare economică sporită se bazează pe angajamentele proprii ale țărilor din Balcanii de Vest pentru a crea o piață regională comună, pe baza normelor și standardelor UE. Pentru Parteneriatul estic, în special partenerii din zona de liber schimb aprofundată și cuprinzătoare (Ucraina, Georgia și Moldova), UE sprijină eforturile de aliniere mai strictă la modelul de reglementare al UE, inclusiv pentru tranziția digitală și tranziția verde. Pentru partenerii respectivi, eforturile de a încorpora reglementările UE ar putea fi însoțite de un dialog mai strâns privind modul de elaborare și de punere în aplicare a acestora, inclusiv prin participarea la grupuri de experți și prin asocierea mai strânsă cu organizațiile de standardizare din UE. Ar trebui să se ia în considerare, de asemenea, măsurile suplimentare de facilitare a comerțului, inclusiv prin acorduri privind evaluarea conformității.</w:t>
      </w:r>
    </w:p>
    <w:p>
      <w:pPr>
        <w:spacing w:after="120"/>
        <w:jc w:val="both"/>
        <w:rPr>
          <w:iCs/>
          <w:noProof/>
        </w:rPr>
      </w:pPr>
      <w:r>
        <w:rPr>
          <w:noProof/>
        </w:rPr>
        <w:t xml:space="preserve">Consolidarea relațiilor și integrării economice a UE cu </w:t>
      </w:r>
      <w:r>
        <w:rPr>
          <w:b/>
          <w:bCs/>
          <w:noProof/>
        </w:rPr>
        <w:t>vecinătatea sudică</w:t>
      </w:r>
      <w:r>
        <w:rPr>
          <w:rStyle w:val="FootnoteReference"/>
          <w:iCs/>
          <w:noProof/>
        </w:rPr>
        <w:footnoteReference w:id="30"/>
      </w:r>
      <w:r>
        <w:rPr>
          <w:noProof/>
        </w:rPr>
        <w:t xml:space="preserve"> va fi o necesitate strategică pentru stabilitatea pe termen lung. UE beneficiază de proximitatea geografică, de legăturile culturale și lingvistice cu țările sud-mediteraneene care facilitează această integrare economică și comercială strategică. Politica comercială poate fi un instrument-cheie pentru încurajarea interdependențelor strategice între UE și vecinătatea sudică și pentru dezvoltarea unor inițiative de integrare reciproc avantajoase, în special în ceea ce privește lanțurile valorice. De la începutul anilor 2000, UE a încheiat acorduri de liber schimb cu opt țări sud-mediteraneene ca parte a unor acorduri de asociere mai ample. Negocierile privind zona de liber schimb aprofundată și cuprinzătoare (DCFTA) cu Marocul și Tunisia sunt în curs de mai mulți ani. UE este pregătită să discute cu ambii parteneri opțiunile de modernizare a relațiilor comerciale și de investiții, pentru a le adapta mai bine la provocările actuale.</w:t>
      </w:r>
    </w:p>
    <w:p>
      <w:pPr>
        <w:spacing w:after="120"/>
        <w:jc w:val="both"/>
        <w:rPr>
          <w:noProof/>
        </w:rPr>
      </w:pPr>
      <w:r>
        <w:rPr>
          <w:noProof/>
        </w:rPr>
        <w:t xml:space="preserve">UE își </w:t>
      </w:r>
      <w:r>
        <w:rPr>
          <w:b/>
          <w:bCs/>
          <w:noProof/>
        </w:rPr>
        <w:t>va intensifica în mod semnificativ colaborarea cu partenerii africani</w:t>
      </w:r>
      <w:r>
        <w:rPr>
          <w:noProof/>
        </w:rPr>
        <w:t xml:space="preserve"> pentru a debloca potențialul economic al acestora, a încuraja diversificarea economică și creșterea favorabilă incluziunii. Aceasta va consolida în continuare legăturile comerciale și de investiții durabile atât între continente, cât și pe continentul african</w:t>
      </w:r>
      <w:r>
        <w:rPr>
          <w:rStyle w:val="FootnoteReference"/>
          <w:noProof/>
        </w:rPr>
        <w:footnoteReference w:id="31"/>
      </w:r>
      <w:r>
        <w:rPr>
          <w:noProof/>
        </w:rPr>
        <w:t>. Acest lucru este în conformitate cu perspectiva pe termen lung a unui acord comercial intercontinental bazat pe punerea în aplicare cu succes a zonei continentale africane de liber schimb (AfCFTA). El se bazează în special pe comunitățile economice regionale din Africa și pe acordurile de parteneriat economic cu UE. Această relație mai strânsă cu Africa ar trebui încurajată la toate nivelurile, inclusiv prin intermediul dialogului politic cu Uniunea Africană și cu membrii săi, prin extinderea și aprofundarea acordurilor de parteneriat economic și prin dezvoltarea de relații bilaterale cu diferite țări pentru a promova investițiile durabile în agricultură, bunuri prelucrate și servicii. Comisia va începe, de asemenea, un proces de reflecție cu privire la posibilitățile de facilitare a integrării în continent prin intermediul unor reguli de origine armonizate aplicabile comerțului lor cu UE.</w:t>
      </w:r>
    </w:p>
    <w:p>
      <w:pPr>
        <w:spacing w:after="120"/>
        <w:jc w:val="both"/>
        <w:rPr>
          <w:noProof/>
        </w:rPr>
      </w:pPr>
      <w:r>
        <w:rPr>
          <w:noProof/>
        </w:rPr>
        <w:t xml:space="preserve">Comisia va propune o </w:t>
      </w:r>
      <w:r>
        <w:rPr>
          <w:b/>
          <w:bCs/>
          <w:noProof/>
        </w:rPr>
        <w:t>nouă inițiativă de investiții durabile</w:t>
      </w:r>
      <w:r>
        <w:rPr>
          <w:noProof/>
        </w:rPr>
        <w:t xml:space="preserve"> partenerilor sau regiunilor din </w:t>
      </w:r>
      <w:r>
        <w:rPr>
          <w:b/>
          <w:bCs/>
          <w:noProof/>
        </w:rPr>
        <w:t>Africa și din vecinătatea sudică</w:t>
      </w:r>
      <w:r>
        <w:rPr>
          <w:noProof/>
        </w:rPr>
        <w:t xml:space="preserve"> interesate să facă acest lucru. Ea ar putea fi realizată sub forma unor acorduri de investiții de sine stătătoare sau ca parte a modernizării acordurilor comerciale existente. Pentru a maximiza impactul și a facilita punerea lor în aplicare, aceste acorduri vor fi concepute împreună cu instrumentele de cooperare pentru dezvoltare ale UE pentru a sprijini investițiile și, ori de câte ori este posibil, cu o abordare de tipul „Echipa Europa” pentru a asigura sinergii cu statele membre ale UE, sectorul privat, societatea civilă și toți actorii relevanți. Cea mai importantă dintre aceste inițiative este Planul de investiții externe (PIE) lansat în 2017 pentru Africa Subsahariană și vecinătatea UE. El include, de asemenea, Fondul european pentru dezvoltare durabilă Plus (FEDD+), care devine aplicabil la nivel mondial în noul cadru financiar multianual (CFM) pentru perioada 2021-2027. Cei trei piloni ai PIE vor contribui la sprijinirea investițiilor durabile în Africa și în vecinătate, stimulând reforme pentru îmbunătățirea mediului de afaceri și a climatului de investiții. Acest lucru se va realiza în vederea integrării transregionale și a unor relații comerciale mai strânse între UE și Africa pe măsură ce AfCFTA avansează.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jc w:val="both"/>
              <w:rPr>
                <w:rFonts w:ascii="Times New Roman" w:hAnsi="Times New Roman" w:cs="Times New Roman"/>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aprofunda relațiile comerciale și economice cu alte țări din Europa, inclusiv din </w:t>
            </w:r>
            <w:r>
              <w:rPr>
                <w:rFonts w:ascii="Times New Roman" w:hAnsi="Times New Roman"/>
                <w:b/>
                <w:noProof/>
                <w:sz w:val="24"/>
                <w:szCs w:val="24"/>
              </w:rPr>
              <w:t>Balcanii de Vest și țările care au încheiat acorduri de liber schimb aprofundate și cuprinzătoare cu UE</w:t>
            </w:r>
            <w:r>
              <w:rPr>
                <w:rFonts w:ascii="Times New Roman" w:hAnsi="Times New Roman"/>
                <w:noProof/>
                <w:sz w:val="24"/>
                <w:szCs w:val="24"/>
              </w:rPr>
              <w:t xml:space="preserve">, concentrându-se în special pe cooperarea mai strânsă în materie de reglementare în sprijinul tranziției verzi și a celei digitale. Ea își va moderniza relațiile comerciale și de investiții cu țările din </w:t>
            </w:r>
            <w:r>
              <w:rPr>
                <w:rFonts w:ascii="Times New Roman" w:hAnsi="Times New Roman"/>
                <w:b/>
                <w:noProof/>
                <w:sz w:val="24"/>
                <w:szCs w:val="24"/>
              </w:rPr>
              <w:t>vecinătatea sudică</w:t>
            </w:r>
            <w:r>
              <w:rPr>
                <w:rFonts w:ascii="Times New Roman" w:hAnsi="Times New Roman"/>
                <w:noProof/>
                <w:sz w:val="24"/>
                <w:szCs w:val="24"/>
              </w:rPr>
              <w:t xml:space="preserve"> interesate să promoveze o integrare mai strânsă cu Uniunea Europeană.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Își va întări colaborarea cu </w:t>
            </w:r>
            <w:r>
              <w:rPr>
                <w:rFonts w:ascii="Times New Roman" w:hAnsi="Times New Roman"/>
                <w:b/>
                <w:noProof/>
                <w:sz w:val="24"/>
                <w:szCs w:val="24"/>
              </w:rPr>
              <w:t>țările africane</w:t>
            </w:r>
            <w:r>
              <w:rPr>
                <w:rFonts w:ascii="Times New Roman" w:hAnsi="Times New Roman"/>
                <w:noProof/>
                <w:sz w:val="24"/>
                <w:szCs w:val="24"/>
              </w:rPr>
              <w:t xml:space="preserve"> prin:</w:t>
            </w:r>
          </w:p>
          <w:p>
            <w:pPr>
              <w:pStyle w:val="ListParagraph"/>
              <w:spacing w:after="120"/>
              <w:jc w:val="both"/>
              <w:rPr>
                <w:rFonts w:ascii="Times New Roman" w:hAnsi="Times New Roman" w:cs="Times New Roman"/>
                <w:noProof/>
                <w:sz w:val="24"/>
                <w:szCs w:val="24"/>
              </w:rPr>
            </w:pPr>
            <w:r>
              <w:rPr>
                <w:rFonts w:ascii="Times New Roman" w:hAnsi="Times New Roman"/>
                <w:noProof/>
                <w:sz w:val="24"/>
                <w:szCs w:val="24"/>
              </w:rPr>
              <w:t xml:space="preserve">a) consolidarea </w:t>
            </w:r>
            <w:r>
              <w:rPr>
                <w:rFonts w:ascii="Times New Roman" w:hAnsi="Times New Roman"/>
                <w:b/>
                <w:bCs/>
                <w:noProof/>
                <w:sz w:val="24"/>
                <w:szCs w:val="24"/>
              </w:rPr>
              <w:t>dialogului politic</w:t>
            </w:r>
            <w:r>
              <w:rPr>
                <w:rFonts w:ascii="Times New Roman" w:hAnsi="Times New Roman"/>
                <w:noProof/>
                <w:sz w:val="24"/>
                <w:szCs w:val="24"/>
              </w:rPr>
              <w:t xml:space="preserve"> și a cooperării cu Uniunea Africană și membrii acesteia și punerea în aplicare fără probleme a AfCFTA, inclusiv colaborarea cu sectorul privat și promovarea unor standarde comune în Africa pentru a consolida integrarea regională și continentală.</w:t>
            </w:r>
          </w:p>
          <w:p>
            <w:pPr>
              <w:spacing w:after="120"/>
              <w:ind w:left="720"/>
              <w:jc w:val="both"/>
              <w:rPr>
                <w:rFonts w:ascii="Times New Roman" w:hAnsi="Times New Roman" w:cs="Times New Roman"/>
                <w:noProof/>
              </w:rPr>
            </w:pPr>
            <w:r>
              <w:rPr>
                <w:rFonts w:ascii="Times New Roman" w:hAnsi="Times New Roman"/>
                <w:noProof/>
              </w:rPr>
              <w:t xml:space="preserve">b) </w:t>
            </w:r>
            <w:r>
              <w:rPr>
                <w:rFonts w:ascii="Times New Roman" w:hAnsi="Times New Roman"/>
                <w:b/>
                <w:noProof/>
              </w:rPr>
              <w:t>aprofundarea și extinderea acordurilor comerciale existente cu comunitățile economice regionale africane</w:t>
            </w:r>
            <w:r>
              <w:rPr>
                <w:rFonts w:ascii="Times New Roman" w:hAnsi="Times New Roman"/>
                <w:noProof/>
              </w:rPr>
              <w:t xml:space="preserve"> și consolidarea dimensiunii lor de durabilitate.</w:t>
            </w:r>
          </w:p>
          <w:p>
            <w:pPr>
              <w:spacing w:after="120"/>
              <w:ind w:left="720"/>
              <w:jc w:val="both"/>
              <w:rPr>
                <w:rFonts w:ascii="Times New Roman" w:hAnsi="Times New Roman" w:cs="Times New Roman"/>
                <w:noProof/>
              </w:rPr>
            </w:pPr>
            <w:r>
              <w:rPr>
                <w:rFonts w:ascii="Times New Roman" w:hAnsi="Times New Roman"/>
                <w:noProof/>
              </w:rPr>
              <w:t xml:space="preserve">c) explorarea în continuare a posibilității de </w:t>
            </w:r>
            <w:r>
              <w:rPr>
                <w:rFonts w:ascii="Times New Roman" w:hAnsi="Times New Roman"/>
                <w:b/>
                <w:noProof/>
              </w:rPr>
              <w:t>consolidare a legăturilor și sinergiilor dintre diferitele regimuri comerciale cu țările africane</w:t>
            </w:r>
            <w:r>
              <w:rPr>
                <w:rFonts w:ascii="Times New Roman" w:hAnsi="Times New Roman"/>
                <w:noProof/>
              </w:rPr>
              <w:t>, de exemplu prin intermediul unor reguli de origine mai armonizate în comerțul cu UE.</w:t>
            </w:r>
          </w:p>
          <w:p>
            <w:pPr>
              <w:spacing w:after="120"/>
              <w:ind w:left="720"/>
              <w:jc w:val="both"/>
              <w:rPr>
                <w:rFonts w:ascii="Times New Roman" w:hAnsi="Times New Roman" w:cs="Times New Roman"/>
                <w:noProof/>
              </w:rPr>
            </w:pPr>
            <w:r>
              <w:rPr>
                <w:rFonts w:ascii="Times New Roman" w:hAnsi="Times New Roman"/>
                <w:noProof/>
              </w:rPr>
              <w:t>d) continuarea</w:t>
            </w:r>
            <w:r>
              <w:rPr>
                <w:rFonts w:ascii="Times New Roman" w:hAnsi="Times New Roman"/>
                <w:b/>
                <w:noProof/>
              </w:rPr>
              <w:t xml:space="preserve"> acordurilor de investiții durabile</w:t>
            </w:r>
            <w:r>
              <w:rPr>
                <w:rFonts w:ascii="Times New Roman" w:hAnsi="Times New Roman"/>
                <w:noProof/>
              </w:rPr>
              <w:t xml:space="preserve"> cu Africa și vecinătatea sudică.</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Consolidarea accentului pus de UE pe punerea în aplicare și asigurarea respectării acordurilor comerciale și asigurarea unor condiții de concurență echitabile </w:t>
      </w:r>
    </w:p>
    <w:p>
      <w:pPr>
        <w:spacing w:after="120"/>
        <w:jc w:val="both"/>
        <w:rPr>
          <w:noProof/>
        </w:rPr>
      </w:pPr>
      <w:r>
        <w:rPr>
          <w:noProof/>
        </w:rPr>
        <w:t xml:space="preserve">Ca urmare a valului de noi acorduri din ultimii ani, Comisia își va concentra eforturile asupra </w:t>
      </w:r>
      <w:r>
        <w:rPr>
          <w:b/>
          <w:bCs/>
          <w:noProof/>
        </w:rPr>
        <w:t>deblocării beneficiilor acordurilor comerciale ale UE</w:t>
      </w:r>
      <w:r>
        <w:rPr>
          <w:noProof/>
        </w:rPr>
        <w:t xml:space="preserve">, combinate cu </w:t>
      </w:r>
      <w:r>
        <w:rPr>
          <w:b/>
          <w:bCs/>
          <w:noProof/>
        </w:rPr>
        <w:t>un control ferm</w:t>
      </w:r>
      <w:r>
        <w:rPr>
          <w:noProof/>
        </w:rPr>
        <w:t xml:space="preserve"> al respectării atât a angajamentelor privind accesul pe piață, cât și a celor privind dezvoltarea durabilă.</w:t>
      </w:r>
      <w:r>
        <w:rPr>
          <w:b/>
          <w:noProof/>
        </w:rPr>
        <w:t xml:space="preserve"> </w:t>
      </w:r>
      <w:r>
        <w:rPr>
          <w:noProof/>
        </w:rPr>
        <w:t xml:space="preserve">Părțile interesate europene trebuie să fie conștiente de oportunitățile pe care le oferă acordurile comerciale ale UE și să fie încrezătoare că pot profita de câștigurile negociate de UE. UE a încheiat negocieri sau s-a angajat în negocieri privind acorduri comerciale în regiunea Asia-Pacific și în America Latină, care deschid oportunități economice semnificative. Prin urmare, este important să se creeze condițiile pentru ratificarea acordurilor cu Mercosur și Mexic și să se încheie negocierile în curs, în special cu Chile, Australia și Noua Zeelandă, care sunt bine avansate. În cazul Mercosur, este în curs un dialog privind consolidarea cooperării cu privire la dimensiunea legată de dezvoltare durabilă a acordului, care abordează punerea în aplicare a Acordului de la Paris și, în special, a defrișării. </w:t>
      </w:r>
    </w:p>
    <w:p>
      <w:pPr>
        <w:spacing w:after="120"/>
        <w:jc w:val="both"/>
        <w:rPr>
          <w:noProof/>
        </w:rPr>
      </w:pPr>
      <w:r>
        <w:rPr>
          <w:noProof/>
        </w:rPr>
        <w:t xml:space="preserve">Acesta va fi un element esențial al eforturilor UE în direcția unei autonomii strategice deschise și va facilita accesul la piețe, îndeosebi pentru IMM-uri. Aceasta va contribui, de asemenea, la combaterea tendințelor protecționiste și a perturbărilor care afectează exporturile UE. Caracterul central al acestui domeniu de activitate a fost confirmat în iulie 2020 prin numirea </w:t>
      </w:r>
      <w:r>
        <w:rPr>
          <w:b/>
          <w:noProof/>
        </w:rPr>
        <w:t>responsabilului cu aplicarea dispozițiilor în materie comercială.</w:t>
      </w:r>
    </w:p>
    <w:p>
      <w:pPr>
        <w:spacing w:after="120"/>
        <w:jc w:val="both"/>
        <w:rPr>
          <w:noProof/>
        </w:rPr>
      </w:pPr>
      <w:r>
        <w:rPr>
          <w:noProof/>
        </w:rPr>
        <w:t xml:space="preserve">Prin urmare, eforturile se vor concentra pe următoarele domenii: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szCs w:val="24"/>
        </w:rPr>
        <w:t>Utilizarea deplină a oportunităților oferite de punerea în aplicare a acordurilor comerciale.</w:t>
      </w:r>
      <w:r>
        <w:rPr>
          <w:rFonts w:ascii="Times New Roman" w:hAnsi="Times New Roman"/>
          <w:noProof/>
          <w:color w:val="000000" w:themeColor="text1"/>
          <w:sz w:val="24"/>
          <w:szCs w:val="24"/>
        </w:rPr>
        <w:t xml:space="preserve"> UE va utiliza toate flexibilitățile intrinseci în acordurile sale comerciale astfel încât acestea să fie potrivite scopului și să răspundă noilor provocări legate de tranziția verde și digitală. UE va continua, de asemenea, să utilizeze ajutorul său pentru comerț pentru a sprijini țările în curs de dezvoltare să pună în aplicare acordurile comerciale și pentru a sprijini conformitatea cu normele și standardele, îndeosebi în legătură cu dezvoltarea durabilă.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sz w:val="24"/>
          <w:szCs w:val="24"/>
        </w:rPr>
        <w:t>Sprijinirea părților interesate din UE pentru a valorifica la maximum oportunitățile create de acordurile UE.</w:t>
      </w:r>
      <w:r>
        <w:rPr>
          <w:rFonts w:ascii="Times New Roman" w:hAnsi="Times New Roman"/>
          <w:noProof/>
          <w:color w:val="000000" w:themeColor="text1"/>
          <w:sz w:val="24"/>
          <w:szCs w:val="24"/>
        </w:rPr>
        <w:t xml:space="preserve"> Comisia se va baza pe succesul </w:t>
      </w:r>
      <w:r>
        <w:rPr>
          <w:rFonts w:ascii="Times New Roman" w:hAnsi="Times New Roman"/>
          <w:b/>
          <w:noProof/>
          <w:color w:val="000000" w:themeColor="text1"/>
          <w:sz w:val="24"/>
          <w:szCs w:val="24"/>
        </w:rPr>
        <w:t>portalului Access2Markets</w:t>
      </w:r>
      <w:r>
        <w:rPr>
          <w:rFonts w:ascii="Times New Roman" w:hAnsi="Times New Roman"/>
          <w:noProof/>
          <w:color w:val="000000" w:themeColor="text1"/>
          <w:sz w:val="24"/>
          <w:szCs w:val="24"/>
        </w:rPr>
        <w:t>, va integra și alte funcționalități în acesta și îl va interconecta cu alte canale de informare importante</w:t>
      </w:r>
      <w:r>
        <w:rPr>
          <w:rStyle w:val="FootnoteReference"/>
          <w:rFonts w:ascii="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rPr>
        <w:t>, în special pentru IMM-uri. Comisia va continua, de asemenea, să sprijine sectorul agricol și agroalimentar al UE, alcătuit în principal din IMM-uri, cu un accent pe promovarea durabilității și a calității produselor lor, făcând din acestea purtătorii de drapel ai sistemului de durabilitate alimentară a UE.</w:t>
      </w:r>
      <w:r>
        <w:rPr>
          <w:rFonts w:ascii="Times New Roman" w:hAnsi="Times New Roman"/>
          <w:noProof/>
          <w:color w:val="000000" w:themeColor="text1"/>
          <w:sz w:val="24"/>
          <w:szCs w:val="24"/>
          <w:highlight w:val="yellow"/>
        </w:rPr>
        <w:t xml:space="preserve">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szCs w:val="24"/>
        </w:rPr>
        <w:t>Monitorizarea punerii în aplicare corecte și a asigurării respectării corespunzătoare a acordurilor comerciale ale UE</w:t>
      </w:r>
      <w:r>
        <w:rPr>
          <w:rFonts w:ascii="Times New Roman" w:hAnsi="Times New Roman"/>
          <w:noProof/>
          <w:color w:val="000000" w:themeColor="text1"/>
          <w:sz w:val="24"/>
          <w:szCs w:val="24"/>
        </w:rPr>
        <w:t xml:space="preserve"> și facilitarea plângerilor legate de barierele din calea accesului pe piață și de încălcările angajamentelor comerciale și de dezvoltare durabilă prin intermediul punctului unic de intrare. Comisia va colabora cu statele membre ale UE, Parlamentul European și părțile interesate pentru a monitoriza punerea în aplicare de către partenerii comerciali ai UE și pentru a asigura o abordare coerentă. Ea va propune un act legislativ specific necesar pentru asigurarea respectării, printre altele, a dispozițiilor legate de comerț din Acordul comercial și de cooperare dintre UE și Regatul Unit.</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Abordarea neconformității prin </w:t>
      </w:r>
      <w:r>
        <w:rPr>
          <w:rFonts w:ascii="Times New Roman" w:hAnsi="Times New Roman" w:cs="Times New Roman"/>
          <w:b/>
          <w:noProof/>
          <w:color w:val="000000" w:themeColor="text1"/>
          <w:sz w:val="24"/>
          <w:szCs w:val="24"/>
        </w:rPr>
        <w:t>OMC sau prin soluționarea bilaterală a litigiilor</w:t>
      </w:r>
      <w:r>
        <w:rPr>
          <w:rFonts w:ascii="Times New Roman" w:hAnsi="Times New Roman" w:cs="Times New Roman"/>
          <w:noProof/>
          <w:color w:val="000000" w:themeColor="text1"/>
          <w:sz w:val="24"/>
          <w:szCs w:val="24"/>
        </w:rPr>
        <w:t xml:space="preserve">, în cazul în care alte mijloace eșuează. </w:t>
      </w:r>
      <w:r>
        <w:rPr>
          <w:rFonts w:ascii="Times New Roman" w:hAnsi="Times New Roman" w:cs="Times New Roman"/>
          <w:b/>
          <w:bCs/>
          <w:noProof/>
          <w:sz w:val="24"/>
          <w:szCs w:val="24"/>
        </w:rPr>
        <w:t>Actualizarea regulamentului privind respectarea normelor</w:t>
      </w:r>
      <w:r>
        <w:rPr>
          <w:rStyle w:val="FootnoteReference"/>
          <w:rFonts w:ascii="Times New Roman" w:hAnsi="Times New Roman" w:cs="Times New Roman"/>
          <w:b/>
          <w:noProof/>
          <w:sz w:val="24"/>
          <w:szCs w:val="24"/>
        </w:rPr>
        <w:footnoteReference w:id="33"/>
      </w:r>
      <w:r>
        <w:rPr>
          <w:rStyle w:val="FootnoteReference"/>
          <w:rFonts w:ascii="Times New Roman" w:hAnsi="Times New Roman" w:cs="Times New Roman"/>
          <w:b/>
          <w:noProof/>
          <w:sz w:val="24"/>
          <w:szCs w:val="24"/>
        </w:rPr>
        <w:t xml:space="preserve"> </w:t>
      </w:r>
      <w:r>
        <w:rPr>
          <w:rFonts w:ascii="Times New Roman" w:hAnsi="Times New Roman" w:cs="Times New Roman"/>
          <w:noProof/>
          <w:sz w:val="24"/>
          <w:szCs w:val="24"/>
        </w:rPr>
        <w:t>consolidează capacitatea UE de a acționa în situații în care soluționarea litigiilor, în cadrul OMC sau al acordurilor bilaterale, este blocată.</w:t>
      </w:r>
      <w:r>
        <w:rPr>
          <w:rFonts w:ascii="Times New Roman" w:hAnsi="Times New Roman" w:cs="Times New Roman"/>
          <w:noProof/>
          <w:color w:val="000000" w:themeColor="text1"/>
          <w:sz w:val="24"/>
          <w:szCs w:val="24"/>
        </w:rPr>
        <w:t xml:space="preserve">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lang w:val="en-GB" w:eastAsia="en-GB"/>
        </w:rPr>
        <mc:AlternateContent>
          <mc:Choice Requires="wps">
            <w:drawing>
              <wp:anchor distT="45720" distB="45720" distL="114300" distR="114300" simplePos="0" relativeHeight="251657216" behindDoc="0" locked="0" layoutInCell="1" allowOverlap="1">
                <wp:simplePos x="0" y="0"/>
                <wp:positionH relativeFrom="column">
                  <wp:posOffset>188595</wp:posOffset>
                </wp:positionH>
                <wp:positionV relativeFrom="paragraph">
                  <wp:posOffset>61595</wp:posOffset>
                </wp:positionV>
                <wp:extent cx="2653030" cy="5549265"/>
                <wp:effectExtent l="0" t="0" r="1397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030" cy="5549265"/>
                        </a:xfrm>
                        <a:prstGeom prst="rect">
                          <a:avLst/>
                        </a:prstGeom>
                        <a:solidFill>
                          <a:srgbClr val="FFFFFF"/>
                        </a:solidFill>
                        <a:ln w="9525">
                          <a:solidFill>
                            <a:srgbClr val="000000"/>
                          </a:solidFill>
                          <a:miter lim="800000"/>
                          <a:headEnd/>
                          <a:tailEnd/>
                        </a:ln>
                      </wps:spPr>
                      <wps:txbx>
                        <w:txbxContent>
                          <w:p>
                            <w:pPr>
                              <w:spacing w:after="120"/>
                              <w:jc w:val="both"/>
                              <w:rPr>
                                <w:b/>
                                <w:i/>
                                <w:sz w:val="20"/>
                              </w:rPr>
                            </w:pPr>
                            <w:r>
                              <w:rPr>
                                <w:b/>
                                <w:i/>
                                <w:sz w:val="20"/>
                              </w:rPr>
                              <w:t>Noile instrumente online pentru sprijinirea întreprinderilor din UE, îndeosebi a IMM-urilor:</w:t>
                            </w:r>
                          </w:p>
                          <w:p>
                            <w:pPr>
                              <w:pStyle w:val="ListParagraph"/>
                              <w:numPr>
                                <w:ilvl w:val="0"/>
                                <w:numId w:val="7"/>
                              </w:numPr>
                              <w:spacing w:after="120" w:line="240" w:lineRule="auto"/>
                              <w:contextualSpacing w:val="0"/>
                              <w:jc w:val="both"/>
                              <w:rPr>
                                <w:i/>
                                <w:sz w:val="20"/>
                              </w:rPr>
                            </w:pPr>
                            <w:r>
                              <w:rPr>
                                <w:i/>
                                <w:sz w:val="20"/>
                              </w:rPr>
                              <w:t xml:space="preserve">explorarea unor </w:t>
                            </w:r>
                            <w:r>
                              <w:rPr>
                                <w:b/>
                                <w:i/>
                                <w:sz w:val="20"/>
                              </w:rPr>
                              <w:t>sisteme digitale mai eficiente pentru facilitarea comerțului și respectarea reglementărilor,</w:t>
                            </w:r>
                            <w:r>
                              <w:rPr>
                                <w:i/>
                                <w:sz w:val="20"/>
                              </w:rPr>
                              <w:t xml:space="preserve"> pe baza Mediului aferent ghișeului unic al UE pentru vămi și a Sistemului de informare și comunicare pentru supravegherea pieței (ICSMS) al UE și luarea în considerare, în acest context, a digitalizării informațiilor privind conformitatea produselor, inclusiv a certificatelor de conformitate pentru produse și punerea în aplicare a acesteia în legislația UE;</w:t>
                            </w:r>
                          </w:p>
                          <w:p>
                            <w:pPr>
                              <w:pStyle w:val="ListParagraph"/>
                              <w:numPr>
                                <w:ilvl w:val="0"/>
                                <w:numId w:val="7"/>
                              </w:numPr>
                              <w:spacing w:after="120" w:line="240" w:lineRule="auto"/>
                              <w:contextualSpacing w:val="0"/>
                              <w:jc w:val="both"/>
                              <w:rPr>
                                <w:i/>
                                <w:sz w:val="20"/>
                              </w:rPr>
                            </w:pPr>
                            <w:r>
                              <w:rPr>
                                <w:i/>
                                <w:sz w:val="20"/>
                              </w:rPr>
                              <w:t>stabilirea unui nou instrument de</w:t>
                            </w:r>
                            <w:r>
                              <w:rPr>
                                <w:b/>
                                <w:i/>
                                <w:sz w:val="20"/>
                              </w:rPr>
                              <w:t xml:space="preserve"> acces la achiziții (A2P)</w:t>
                            </w:r>
                            <w:r>
                              <w:rPr>
                                <w:i/>
                                <w:sz w:val="20"/>
                              </w:rPr>
                              <w:t xml:space="preserve"> care să permită operatorilor economici din UE să identifice dacă și în ce condiții au acces garantat din punct de vedere juridic la procedurile de achiziții publice în țările terțe;</w:t>
                            </w:r>
                          </w:p>
                          <w:p>
                            <w:pPr>
                              <w:pStyle w:val="ListParagraph"/>
                              <w:numPr>
                                <w:ilvl w:val="0"/>
                                <w:numId w:val="7"/>
                              </w:numPr>
                              <w:spacing w:after="120" w:line="240" w:lineRule="auto"/>
                              <w:contextualSpacing w:val="0"/>
                              <w:jc w:val="both"/>
                              <w:rPr>
                                <w:i/>
                                <w:sz w:val="20"/>
                              </w:rPr>
                            </w:pPr>
                            <w:r>
                              <w:rPr>
                                <w:i/>
                                <w:sz w:val="20"/>
                              </w:rPr>
                              <w:t xml:space="preserve">extinderea instrumentului online </w:t>
                            </w:r>
                            <w:r>
                              <w:rPr>
                                <w:b/>
                                <w:i/>
                                <w:sz w:val="20"/>
                              </w:rPr>
                              <w:t>Portalul Acces2Markets (A2M)</w:t>
                            </w:r>
                            <w:r>
                              <w:rPr>
                                <w:i/>
                                <w:sz w:val="20"/>
                              </w:rPr>
                              <w:t xml:space="preserve"> pentru a spori și a include informații pentru exportatorii de </w:t>
                            </w:r>
                            <w:r>
                              <w:rPr>
                                <w:b/>
                                <w:i/>
                                <w:sz w:val="20"/>
                              </w:rPr>
                              <w:t>servicii</w:t>
                            </w:r>
                            <w:r>
                              <w:rPr>
                                <w:i/>
                                <w:sz w:val="20"/>
                              </w:rPr>
                              <w:t xml:space="preserve"> și </w:t>
                            </w:r>
                            <w:r>
                              <w:rPr>
                                <w:b/>
                                <w:i/>
                                <w:sz w:val="20"/>
                              </w:rPr>
                              <w:t>investitorii din UE</w:t>
                            </w:r>
                            <w:r>
                              <w:rPr>
                                <w:i/>
                                <w:sz w:val="20"/>
                              </w:rPr>
                              <w:t xml:space="preserve"> și luarea în considerare a altor actualizări ale platformei;</w:t>
                            </w:r>
                          </w:p>
                          <w:p>
                            <w:pPr>
                              <w:pStyle w:val="ListParagraph"/>
                              <w:numPr>
                                <w:ilvl w:val="0"/>
                                <w:numId w:val="7"/>
                              </w:numPr>
                              <w:spacing w:after="120" w:line="240" w:lineRule="auto"/>
                              <w:contextualSpacing w:val="0"/>
                              <w:jc w:val="both"/>
                              <w:rPr>
                                <w:i/>
                                <w:sz w:val="20"/>
                              </w:rPr>
                            </w:pPr>
                            <w:r>
                              <w:rPr>
                                <w:i/>
                                <w:sz w:val="20"/>
                              </w:rPr>
                              <w:t>îmbunătățirea instrumentului de autoevaluare a regulilor de origine (ROSA) pentru a ajuta întreprinderile, îndeosebi IMM-urile europene, să aplice corect regulile de origine atunci când exportă în țări terțe.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4.85pt;margin-top:4.85pt;width:208.9pt;height:436.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">
                <v:textbox>
                  <w:txbxContent>
                    <w:p>
                      <w:pPr>
                        <w:spacing w:after="120"/>
                        <w:jc w:val="both"/>
                        <w:rPr>
                          <w:b/>
                          <w:i/>
                          <w:sz w:val="20"/>
                        </w:rPr>
                      </w:pPr>
                      <w:r>
                        <w:rPr>
                          <w:b/>
                          <w:i/>
                          <w:sz w:val="20"/>
                        </w:rPr>
                        <w:t>Noile instrumente online pentru sprijinirea întreprinderilor din UE, îndeosebi a IMM-urilor:</w:t>
                      </w:r>
                    </w:p>
                    <w:p>
                      <w:pPr>
                        <w:pStyle w:val="ListParagraph"/>
                        <w:numPr>
                          <w:ilvl w:val="0"/>
                          <w:numId w:val="7"/>
                        </w:numPr>
                        <w:spacing w:after="120" w:line="240" w:lineRule="auto"/>
                        <w:contextualSpacing w:val="0"/>
                        <w:jc w:val="both"/>
                        <w:rPr>
                          <w:i/>
                          <w:sz w:val="20"/>
                        </w:rPr>
                      </w:pPr>
                      <w:r>
                        <w:rPr>
                          <w:i/>
                          <w:sz w:val="20"/>
                        </w:rPr>
                        <w:t xml:space="preserve">explorarea unor </w:t>
                      </w:r>
                      <w:r>
                        <w:rPr>
                          <w:b/>
                          <w:i/>
                          <w:sz w:val="20"/>
                        </w:rPr>
                        <w:t>sisteme digitale mai eficiente pentru facilitarea comerțului și respectarea reglementărilor,</w:t>
                      </w:r>
                      <w:r>
                        <w:rPr>
                          <w:i/>
                          <w:sz w:val="20"/>
                        </w:rPr>
                        <w:t xml:space="preserve"> pe baza Mediului aferent ghișeului unic al UE pentru vămi și a Sistemului de informare și comunicare pentru supravegherea pieței (ICSMS) al UE și luarea în considerare, în acest context, a digitalizării informațiilor privind conformitatea produselor, inclusiv a certificatelor de conformitate pentru produse și punerea în aplicare a acesteia în legislația UE;</w:t>
                      </w:r>
                    </w:p>
                    <w:p>
                      <w:pPr>
                        <w:pStyle w:val="ListParagraph"/>
                        <w:numPr>
                          <w:ilvl w:val="0"/>
                          <w:numId w:val="7"/>
                        </w:numPr>
                        <w:spacing w:after="120" w:line="240" w:lineRule="auto"/>
                        <w:contextualSpacing w:val="0"/>
                        <w:jc w:val="both"/>
                        <w:rPr>
                          <w:i/>
                          <w:sz w:val="20"/>
                        </w:rPr>
                      </w:pPr>
                      <w:r>
                        <w:rPr>
                          <w:i/>
                          <w:sz w:val="20"/>
                        </w:rPr>
                        <w:t>stabilirea unui nou instrument de</w:t>
                      </w:r>
                      <w:r>
                        <w:rPr>
                          <w:b/>
                          <w:i/>
                          <w:sz w:val="20"/>
                        </w:rPr>
                        <w:t xml:space="preserve"> acces la achiziții (A2P)</w:t>
                      </w:r>
                      <w:r>
                        <w:rPr>
                          <w:i/>
                          <w:sz w:val="20"/>
                        </w:rPr>
                        <w:t xml:space="preserve"> care să permită operatorilor economici din UE să identifice dacă și în ce condiții au acces garantat din punct de vedere juridic la procedurile de achiziții publice în țările terțe;</w:t>
                      </w:r>
                    </w:p>
                    <w:p>
                      <w:pPr>
                        <w:pStyle w:val="ListParagraph"/>
                        <w:numPr>
                          <w:ilvl w:val="0"/>
                          <w:numId w:val="7"/>
                        </w:numPr>
                        <w:spacing w:after="120" w:line="240" w:lineRule="auto"/>
                        <w:contextualSpacing w:val="0"/>
                        <w:jc w:val="both"/>
                        <w:rPr>
                          <w:i/>
                          <w:sz w:val="20"/>
                        </w:rPr>
                      </w:pPr>
                      <w:r>
                        <w:rPr>
                          <w:i/>
                          <w:sz w:val="20"/>
                        </w:rPr>
                        <w:t xml:space="preserve">extinderea instrumentului online </w:t>
                      </w:r>
                      <w:r>
                        <w:rPr>
                          <w:b/>
                          <w:i/>
                          <w:sz w:val="20"/>
                        </w:rPr>
                        <w:t>Portalul Acces2Markets (A2M)</w:t>
                      </w:r>
                      <w:r>
                        <w:rPr>
                          <w:i/>
                          <w:sz w:val="20"/>
                        </w:rPr>
                        <w:t xml:space="preserve"> pentru a spori și a include informații pentru exportatorii de </w:t>
                      </w:r>
                      <w:r>
                        <w:rPr>
                          <w:b/>
                          <w:i/>
                          <w:sz w:val="20"/>
                        </w:rPr>
                        <w:t>servicii</w:t>
                      </w:r>
                      <w:r>
                        <w:rPr>
                          <w:i/>
                          <w:sz w:val="20"/>
                        </w:rPr>
                        <w:t xml:space="preserve"> și </w:t>
                      </w:r>
                      <w:r>
                        <w:rPr>
                          <w:b/>
                          <w:i/>
                          <w:sz w:val="20"/>
                        </w:rPr>
                        <w:t>investitorii din UE</w:t>
                      </w:r>
                      <w:r>
                        <w:rPr>
                          <w:i/>
                          <w:sz w:val="20"/>
                        </w:rPr>
                        <w:t xml:space="preserve"> și luarea în considerare a altor actualizări ale platformei;</w:t>
                      </w:r>
                    </w:p>
                    <w:p>
                      <w:pPr>
                        <w:pStyle w:val="ListParagraph"/>
                        <w:numPr>
                          <w:ilvl w:val="0"/>
                          <w:numId w:val="7"/>
                        </w:numPr>
                        <w:spacing w:after="120" w:line="240" w:lineRule="auto"/>
                        <w:contextualSpacing w:val="0"/>
                        <w:jc w:val="both"/>
                        <w:rPr>
                          <w:i/>
                          <w:sz w:val="20"/>
                        </w:rPr>
                      </w:pPr>
                      <w:r>
                        <w:rPr>
                          <w:i/>
                          <w:sz w:val="20"/>
                        </w:rPr>
                        <w:t>îmbunătățirea instrumentului de autoevaluare a regulilor de origine (ROSA) pentru a ajuta întreprinderile, îndeosebi IMM-urile europene, să aplice corect regulile de origine atunci când exportă în țări terțe.</w:t>
                      </w:r>
                    </w:p>
                  </w:txbxContent>
                </v:textbox>
                <w10:wrap type="square"/>
              </v:shape>
            </w:pict>
          </mc:Fallback>
        </mc:AlternateContent>
      </w:r>
      <w:r>
        <w:rPr>
          <w:rFonts w:ascii="Times New Roman" w:hAnsi="Times New Roman" w:cs="Times New Roman"/>
          <w:noProof/>
          <w:sz w:val="24"/>
          <w:szCs w:val="24"/>
        </w:rPr>
        <w:t xml:space="preserve">Comisia va continua să utilizeze </w:t>
      </w:r>
      <w:r>
        <w:rPr>
          <w:rFonts w:ascii="Times New Roman" w:hAnsi="Times New Roman" w:cs="Times New Roman"/>
          <w:b/>
          <w:bCs/>
          <w:noProof/>
          <w:sz w:val="24"/>
          <w:szCs w:val="24"/>
        </w:rPr>
        <w:t>instrumentele de apărare comercială</w:t>
      </w:r>
      <w:r>
        <w:rPr>
          <w:rFonts w:ascii="Times New Roman" w:hAnsi="Times New Roman" w:cs="Times New Roman"/>
          <w:noProof/>
          <w:sz w:val="24"/>
          <w:szCs w:val="24"/>
        </w:rPr>
        <w:t xml:space="preserve"> într-un mod ferm astfel încât industria europeană să nu fie expusă practicilor comerciale neloiale.</w:t>
      </w:r>
      <w:r>
        <w:rPr>
          <w:rFonts w:ascii="Times New Roman" w:hAnsi="Times New Roman" w:cs="Times New Roman"/>
          <w:noProof/>
          <w:color w:val="000000" w:themeColor="text1"/>
          <w:sz w:val="24"/>
          <w:szCs w:val="24"/>
        </w:rPr>
        <w:t xml:space="preserve"> Aceasta include, de asemenea, urmărirea noilor forme de subvenționare de către țările terțe, de exemplu, în domeniul finanțării investițiilor și abordarea adecvată a acestora cu ajutorul măsurilor compensatorii</w:t>
      </w:r>
      <w:r>
        <w:rPr>
          <w:rFonts w:ascii="Times New Roman" w:hAnsi="Times New Roman"/>
          <w:noProof/>
          <w:color w:val="000000" w:themeColor="text1"/>
          <w:sz w:val="24"/>
          <w:szCs w:val="24"/>
        </w:rPr>
        <w:t xml:space="preserve">.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În </w:t>
      </w:r>
      <w:r>
        <w:rPr>
          <w:rFonts w:ascii="Times New Roman" w:hAnsi="Times New Roman" w:cs="Times New Roman"/>
          <w:b/>
          <w:bCs/>
          <w:noProof/>
          <w:sz w:val="24"/>
          <w:szCs w:val="24"/>
        </w:rPr>
        <w:t>domeniul securității,</w:t>
      </w:r>
      <w:r>
        <w:rPr>
          <w:rFonts w:ascii="Times New Roman" w:hAnsi="Times New Roman" w:cs="Times New Roman"/>
          <w:noProof/>
          <w:sz w:val="24"/>
          <w:szCs w:val="24"/>
        </w:rPr>
        <w:t xml:space="preserve"> în temeiul </w:t>
      </w:r>
      <w:r>
        <w:rPr>
          <w:rFonts w:ascii="Times New Roman" w:hAnsi="Times New Roman" w:cs="Times New Roman"/>
          <w:b/>
          <w:bCs/>
          <w:noProof/>
          <w:sz w:val="24"/>
          <w:szCs w:val="24"/>
        </w:rPr>
        <w:t>Regulamentului privind examinarea investițiilor străine directe</w:t>
      </w:r>
      <w:r>
        <w:rPr>
          <w:rFonts w:ascii="Times New Roman" w:hAnsi="Times New Roman" w:cs="Times New Roman"/>
          <w:noProof/>
          <w:sz w:val="24"/>
          <w:szCs w:val="24"/>
        </w:rPr>
        <w:t>, Comisia invită din nou toate statele membre să instituie și a pune în aplicare un veritabil mecanism de examinare a ISD pentru a aborda cazurile în care achiziția sau controlul unei anumite întreprinderi, infrastructuri sau tehnologii ar crea un risc pentru securitatea sau ordinea publică în UE</w:t>
      </w:r>
      <w:r>
        <w:rPr>
          <w:rStyle w:val="FootnoteReference"/>
          <w:rFonts w:ascii="Times New Roman" w:hAnsi="Times New Roman" w:cs="Times New Roman"/>
          <w:noProof/>
          <w:color w:val="000000" w:themeColor="text1"/>
          <w:sz w:val="24"/>
          <w:szCs w:val="24"/>
        </w:rPr>
        <w:footnoteReference w:id="34"/>
      </w:r>
      <w:r>
        <w:rPr>
          <w:rFonts w:ascii="Times New Roman" w:hAnsi="Times New Roman" w:cs="Times New Roman"/>
          <w:noProof/>
          <w:sz w:val="24"/>
          <w:szCs w:val="24"/>
        </w:rPr>
        <w:t>.</w:t>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Comisia va continua punerea în aplicare a mecanismului de cooperare cu autoritățile statelor membre pentru a proteja securitatea și ordinea publică contra investițiilor străine directe riscante și va lua în considerare consolidarea mecanismului de cooperare instituit prin Regulamentul privind examinarea ISD.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colabora cu autoritățile statelor membre pentru a asigura punerea în aplicare eficientă a </w:t>
      </w:r>
      <w:r>
        <w:rPr>
          <w:rFonts w:ascii="Times New Roman" w:hAnsi="Times New Roman"/>
          <w:b/>
          <w:bCs/>
          <w:noProof/>
          <w:sz w:val="24"/>
          <w:szCs w:val="24"/>
        </w:rPr>
        <w:t>regulamentului</w:t>
      </w:r>
      <w:r>
        <w:rPr>
          <w:rFonts w:ascii="Times New Roman" w:hAnsi="Times New Roman"/>
          <w:noProof/>
          <w:sz w:val="24"/>
          <w:szCs w:val="24"/>
        </w:rPr>
        <w:t xml:space="preserve"> modernizat </w:t>
      </w:r>
      <w:r>
        <w:rPr>
          <w:rFonts w:ascii="Times New Roman" w:hAnsi="Times New Roman"/>
          <w:b/>
          <w:bCs/>
          <w:noProof/>
          <w:sz w:val="24"/>
          <w:szCs w:val="24"/>
        </w:rPr>
        <w:t>privind controlul exporturilor</w:t>
      </w:r>
      <w:r>
        <w:rPr>
          <w:rStyle w:val="FootnoteReference"/>
          <w:rFonts w:ascii="Times New Roman" w:hAnsi="Times New Roman" w:cs="Times New Roman"/>
          <w:b/>
          <w:noProof/>
          <w:sz w:val="24"/>
          <w:szCs w:val="24"/>
        </w:rPr>
        <w:footnoteReference w:id="35"/>
      </w:r>
      <w:r>
        <w:rPr>
          <w:rFonts w:ascii="Times New Roman" w:hAnsi="Times New Roman"/>
          <w:noProof/>
          <w:sz w:val="24"/>
          <w:szCs w:val="24"/>
        </w:rPr>
        <w:t xml:space="preserve"> de produse și de tehnologii sensibile cu dublă utilizare pentru a sprijini lanțurile valorice securizate, a promova securitatea internațională, a proteja drepturile omului și a asigura condiții de concurență echitabile pentru exportatorii din UE. </w:t>
      </w:r>
    </w:p>
    <w:p>
      <w:pPr>
        <w:spacing w:after="120"/>
        <w:jc w:val="both"/>
        <w:rPr>
          <w:noProof/>
        </w:rPr>
      </w:pPr>
      <w:r>
        <w:rPr>
          <w:noProof/>
        </w:rPr>
        <w:t xml:space="preserve">Cu toate acestea, UE trebuie </w:t>
      </w:r>
      <w:r>
        <w:rPr>
          <w:b/>
          <w:noProof/>
        </w:rPr>
        <w:t>să își dezvolte instrumentele pentru a face față noilor provocări</w:t>
      </w:r>
      <w:r>
        <w:rPr>
          <w:noProof/>
        </w:rPr>
        <w:t xml:space="preserve"> și a proteja întreprinderile și cetățenii europeni de practicile comerciale neloiale, atât pe plan intern, cât și pe plan extern.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propune un nou instrument juridic în domeniul politicii comerciale pentru a proteja UE de potențialele </w:t>
      </w:r>
      <w:r>
        <w:rPr>
          <w:rFonts w:ascii="Times New Roman" w:hAnsi="Times New Roman"/>
          <w:b/>
          <w:bCs/>
          <w:noProof/>
          <w:sz w:val="24"/>
          <w:szCs w:val="24"/>
        </w:rPr>
        <w:t>acțiuni coercitive</w:t>
      </w:r>
      <w:r>
        <w:rPr>
          <w:rFonts w:ascii="Times New Roman" w:hAnsi="Times New Roman"/>
          <w:noProof/>
          <w:sz w:val="24"/>
          <w:szCs w:val="24"/>
        </w:rPr>
        <w:t xml:space="preserve"> ale țărilor terțe.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propune un instrument juridic pentru a aborda </w:t>
      </w:r>
      <w:r>
        <w:rPr>
          <w:rFonts w:ascii="Times New Roman" w:hAnsi="Times New Roman"/>
          <w:b/>
          <w:noProof/>
          <w:sz w:val="24"/>
          <w:szCs w:val="24"/>
        </w:rPr>
        <w:t>denaturările cauzate de subvențiile străine pe piața internă a UE.</w:t>
      </w:r>
      <w:r>
        <w:rPr>
          <w:rFonts w:ascii="Times New Roman" w:hAnsi="Times New Roman"/>
          <w:noProof/>
          <w:sz w:val="24"/>
          <w:szCs w:val="24"/>
        </w:rPr>
        <w:t xml:space="preserve">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consolida accesul reciproc la achizițiile publice al operatorilor din UE, Comisia va depune eforturi pentru a accelera </w:t>
      </w:r>
      <w:r>
        <w:rPr>
          <w:rFonts w:ascii="Times New Roman" w:hAnsi="Times New Roman"/>
          <w:b/>
          <w:noProof/>
          <w:sz w:val="24"/>
          <w:szCs w:val="24"/>
        </w:rPr>
        <w:t>Instrumentul pentru achiziții publice internaționale și invită Consiliul să finalizeze de urgență lucrările sale.</w:t>
      </w:r>
      <w:r>
        <w:rPr>
          <w:rFonts w:ascii="Times New Roman" w:hAnsi="Times New Roman"/>
          <w:noProof/>
          <w:sz w:val="24"/>
          <w:szCs w:val="24"/>
        </w:rPr>
        <w:t xml:space="preserve">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cele din urmă, pentru a asigura condiții de concurență echitabile mai bune pentru întreprinderile din UE pe piețele din țările terțe, în care acestea trebuie să concureze din ce în ce mai mult cu sprijinul financiar pe care concurenții străini îl primesc din partea guvernelor lor, Comisia va explora </w:t>
      </w:r>
      <w:r>
        <w:rPr>
          <w:rFonts w:ascii="Times New Roman" w:hAnsi="Times New Roman"/>
          <w:b/>
          <w:noProof/>
          <w:sz w:val="24"/>
          <w:szCs w:val="24"/>
        </w:rPr>
        <w:t>opțiuni pentru o strategie a UE pentru creditele la export.</w:t>
      </w:r>
      <w:r>
        <w:rPr>
          <w:rFonts w:ascii="Times New Roman" w:hAnsi="Times New Roman"/>
          <w:noProof/>
          <w:sz w:val="24"/>
          <w:szCs w:val="24"/>
        </w:rPr>
        <w:t xml:space="preserve"> Aceasta va include un mecanism de credit la export al UE și o coordonare sporită a instrumentelor financiare ale UE. În conformitate cu obiectivul Pactului verde de a elimina treptat subvențiile pentru combustibilii fosili, acesta va stimula, de asemenea, proiectele privind tehnologiile care respectă clima și va propune încetarea imediată a sprijinului acordat sectorului energetic pe bază de cărbune și descurajarea tuturor investițiilor suplimentare în proiectele de infrastructură energetică pe bază de combustibili fosili în țările terțe, cu excepția cazului în care acestea sunt pe deplin coerente cu o traiectorie clar definită și ambițioasă către neutralitatea climatică, în conformitate cu obiectivele pe termen lung ale Acordului de la Paris și cu cele mai bune cunoștințe științifice disponibile.</w:t>
      </w:r>
    </w:p>
    <w:p>
      <w:pPr>
        <w:spacing w:after="120"/>
        <w:jc w:val="both"/>
        <w:rPr>
          <w:noProof/>
        </w:rPr>
      </w:pPr>
      <w:r>
        <w:rPr>
          <w:noProof/>
        </w:rPr>
        <w:t xml:space="preserve">Comisia va continua să depună eforturi pentru </w:t>
      </w:r>
      <w:r>
        <w:rPr>
          <w:b/>
          <w:noProof/>
        </w:rPr>
        <w:t>armonizarea regulilor de origine preferențiale în cadrul acordurilor comerciale ale UE</w:t>
      </w:r>
      <w:r>
        <w:rPr>
          <w:noProof/>
        </w:rPr>
        <w:t xml:space="preserve">, ținând seama de interesele părților interesate din UE, în special ale IMM-urilor. </w:t>
      </w:r>
    </w:p>
    <w:p>
      <w:pPr>
        <w:spacing w:after="120"/>
        <w:jc w:val="both"/>
        <w:rPr>
          <w:noProof/>
        </w:rPr>
      </w:pPr>
      <w:r>
        <w:rPr>
          <w:noProof/>
        </w:rPr>
        <w:t>Deblocarea beneficiilor acordurilor comerciale ale UE pentru persoane fizice și întreprinderi, eliminarea mai sistematică a barierelor existente și prevenirea apariției unora noi necesită un efort colectiv din partea tuturor instituțiilor, a statelor membre, precum și a societății civile și a altor părți interesate din UE. Comisia va conduce aceste eforturi, inclusiv prin intermediul activității delegațiilor UE și a rețelelor pe care statele membre și asociațiile de întreprinderi le au în țările terțe.</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Acțiuni principale</w:t>
            </w:r>
          </w:p>
          <w:p>
            <w:pPr>
              <w:spacing w:after="120"/>
              <w:jc w:val="both"/>
              <w:rPr>
                <w:rFonts w:ascii="Times New Roman" w:hAnsi="Times New Roman" w:cs="Times New Roman"/>
                <w:b/>
                <w:noProof/>
              </w:rPr>
            </w:pPr>
            <w:r>
              <w:rPr>
                <w:rFonts w:ascii="Times New Roman" w:hAnsi="Times New Roman"/>
                <w:noProof/>
              </w:rPr>
              <w:t>Comisia:</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căuta să </w:t>
            </w:r>
            <w:r>
              <w:rPr>
                <w:rFonts w:ascii="Times New Roman" w:hAnsi="Times New Roman"/>
                <w:b/>
                <w:bCs/>
                <w:noProof/>
                <w:sz w:val="24"/>
                <w:szCs w:val="24"/>
              </w:rPr>
              <w:t>consolideze parteneriatele UE cu regiunile-cheie în ceea ce privește creșterea economică</w:t>
            </w:r>
            <w:r>
              <w:rPr>
                <w:rFonts w:ascii="Times New Roman" w:hAnsi="Times New Roman"/>
                <w:noProof/>
                <w:sz w:val="24"/>
                <w:szCs w:val="24"/>
              </w:rPr>
              <w:t xml:space="preserve"> - în regiunea Asia-Pacific și în America Latină - prin crearea condițiilor necesare pentru încheierea negocierilor și ratificarea acordurilor bilaterale restante.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utiliza pe deplin rolul </w:t>
            </w:r>
            <w:r>
              <w:rPr>
                <w:rFonts w:ascii="Times New Roman" w:hAnsi="Times New Roman"/>
                <w:b/>
                <w:bCs/>
                <w:noProof/>
                <w:sz w:val="24"/>
                <w:szCs w:val="24"/>
              </w:rPr>
              <w:t>responsabilului cu aplicarea dispozițiilor în materie comercială</w:t>
            </w:r>
            <w:r>
              <w:rPr>
                <w:rFonts w:ascii="Times New Roman" w:hAnsi="Times New Roman"/>
                <w:noProof/>
                <w:sz w:val="24"/>
                <w:szCs w:val="24"/>
              </w:rPr>
              <w:t xml:space="preserve"> (CTEO) pentru a maximiza beneficiile rezultatelor negociate pentru întreprinderi, în special pentru IMM-uri și agricultori și a elimina obstacolele care afectează potențialul acordurilor de a obține rezultate, inclusiv cu privire la dezvoltarea durabilă.</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consolida în continuare </w:t>
            </w:r>
            <w:r>
              <w:rPr>
                <w:rFonts w:ascii="Times New Roman" w:hAnsi="Times New Roman"/>
                <w:b/>
                <w:bCs/>
                <w:noProof/>
                <w:sz w:val="24"/>
                <w:szCs w:val="24"/>
              </w:rPr>
              <w:t>instrumentele UE pentru a face față noilor provocări</w:t>
            </w:r>
            <w:r>
              <w:rPr>
                <w:rFonts w:ascii="Times New Roman" w:hAnsi="Times New Roman"/>
                <w:noProof/>
                <w:sz w:val="24"/>
                <w:szCs w:val="24"/>
              </w:rPr>
              <w:t xml:space="preserve"> și pentru a proteja întreprinderile și cetățenii europeni de practicile comerciale neloiale, inclusiv prin pregătirea unui instrument anticoercitiv. În plus, Comisia va explora </w:t>
            </w:r>
            <w:r>
              <w:rPr>
                <w:rFonts w:ascii="Times New Roman" w:hAnsi="Times New Roman"/>
                <w:b/>
                <w:bCs/>
                <w:noProof/>
                <w:sz w:val="24"/>
                <w:szCs w:val="24"/>
              </w:rPr>
              <w:t>opțiunile pentru o strategie a UE pentru credite la export.</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dezvolta </w:t>
            </w:r>
            <w:r>
              <w:rPr>
                <w:rFonts w:ascii="Times New Roman" w:hAnsi="Times New Roman"/>
                <w:b/>
                <w:bCs/>
                <w:noProof/>
                <w:sz w:val="24"/>
                <w:szCs w:val="24"/>
              </w:rPr>
              <w:t>noi instrumente online</w:t>
            </w:r>
            <w:r>
              <w:rPr>
                <w:rFonts w:ascii="Times New Roman" w:hAnsi="Times New Roman"/>
                <w:noProof/>
                <w:sz w:val="24"/>
                <w:szCs w:val="24"/>
              </w:rPr>
              <w:t xml:space="preserve"> pentru sprijinirea întreprinderilor din UE, îndeosebi a IMM-urilor.</w:t>
            </w:r>
          </w:p>
        </w:tc>
      </w:tr>
    </w:tbl>
    <w:p>
      <w:pPr>
        <w:spacing w:after="720"/>
        <w:jc w:val="both"/>
        <w:rPr>
          <w:noProof/>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b/>
          <w:smallCaps/>
          <w:noProof/>
          <w:sz w:val="24"/>
          <w:szCs w:val="24"/>
          <w:u w:val="single"/>
        </w:rPr>
        <w:t xml:space="preserve">Sprijinirea unei dezbateri în cunoștință de cauză privind politica comercială </w:t>
      </w:r>
    </w:p>
    <w:p>
      <w:pPr>
        <w:spacing w:after="120"/>
        <w:jc w:val="both"/>
        <w:rPr>
          <w:noProof/>
        </w:rPr>
      </w:pPr>
      <w:r>
        <w:rPr>
          <w:noProof/>
        </w:rPr>
        <w:t>În comunicarea sa intitulată „Comerț pentru toți”</w:t>
      </w:r>
      <w:r>
        <w:rPr>
          <w:rStyle w:val="FootnoteReference"/>
          <w:noProof/>
        </w:rPr>
        <w:footnoteReference w:id="36"/>
      </w:r>
      <w:r>
        <w:rPr>
          <w:noProof/>
        </w:rPr>
        <w:t>, Comisia și-a întărit în mod semnificativ angajamentul de a asigura o politică comercială transparentă și favorabilă incluziunii. Comisia va continua pe această cale, care a primit ecouri pozitive în toate contribuțiile strânse cu privire la revizuirea politicii comerciale</w:t>
      </w:r>
      <w:r>
        <w:rPr>
          <w:rStyle w:val="FootnoteReference"/>
          <w:noProof/>
        </w:rPr>
        <w:footnoteReference w:id="37"/>
      </w:r>
      <w:r>
        <w:rPr>
          <w:noProof/>
        </w:rPr>
        <w:t xml:space="preserve">. Cele mai recente sondaje Eurobarometru publicate în 2019 au arătat că cetățenii salută eforturile depuse în ultimii ani. Șase din zece respondenți susțin că au încredere în faptul că UE își desfășoară politica comercială într-un mod deschis și transparent. </w:t>
      </w:r>
    </w:p>
    <w:p>
      <w:pPr>
        <w:spacing w:after="120"/>
        <w:jc w:val="both"/>
        <w:rPr>
          <w:noProof/>
        </w:rPr>
      </w:pPr>
      <w:r>
        <w:rPr>
          <w:noProof/>
        </w:rPr>
        <w:t xml:space="preserve">Datorită importanței </w:t>
      </w:r>
      <w:r>
        <w:rPr>
          <w:b/>
          <w:noProof/>
        </w:rPr>
        <w:t>dialogului cu părțile interesate</w:t>
      </w:r>
      <w:r>
        <w:rPr>
          <w:noProof/>
        </w:rPr>
        <w:t xml:space="preserve"> și pentru a încuraja colaborarea concretă cu privire la aspecte-cheie, Comisia va aprofunda colaborarea cu societatea civilă și partenerii sociali, pe baza studiului privind revizuirea dialogului cu societatea civilă lansat în 2020. Un accent deosebit va fi pus pe punerea în aplicare și asigurarea respectării legislației, concentrându-se pe asigurarea faptului că interesele UE sunt pe deplin respectate în ceea ce privește beneficiile preconizate ale acordurilor comerciale. Accentul pus pe reforma OMC va fi reflectat în schimburile sporite pe aceste teme.</w:t>
      </w:r>
    </w:p>
    <w:p>
      <w:pPr>
        <w:spacing w:after="120"/>
        <w:jc w:val="both"/>
        <w:rPr>
          <w:noProof/>
        </w:rPr>
      </w:pPr>
      <w:r>
        <w:rPr>
          <w:noProof/>
        </w:rPr>
        <w:t>Pentru a asigura o bază solidă pentru dezvoltarea politicii comerciale, Comisia</w:t>
      </w:r>
      <w:r>
        <w:rPr>
          <w:b/>
          <w:noProof/>
        </w:rPr>
        <w:t xml:space="preserve"> își va intensifica eforturile de analiză și de colectare a datelor</w:t>
      </w:r>
      <w:r>
        <w:rPr>
          <w:noProof/>
        </w:rPr>
        <w:t xml:space="preserve"> și va încuraja contribuțiile analitice din partea părților interesate. Comisia va realiza o evaluare ex-post a impactului acordurilor UE asupra aspectelor de mediu esențiale, inclusiv asupra climei. Comisia va depune, de asemenea, eforturi de a dezvolta o înțelegere mai bună a implicațiilor privind egalitatea de gen ale diferitelor părți ale politicii comerciale și de a clarifica acțiunile pentru o mai bună conștientizare a dimensiunii de gen în cadrul politicii comerciale</w:t>
      </w:r>
      <w:r>
        <w:rPr>
          <w:rStyle w:val="FootnoteReference"/>
          <w:noProof/>
        </w:rPr>
        <w:footnoteReference w:id="38"/>
      </w:r>
      <w:r>
        <w:rPr>
          <w:noProof/>
        </w:rPr>
        <w:t>, inclusiv în ajutorul pentru comerț. Vor fi întreprinse lucrări analitice suplimentare cu privire la impactul politicilor comerciale asupra ocupării forței de muncă și asupra diferitelor aspecte ale dezvoltării sociale.</w:t>
      </w:r>
    </w:p>
    <w:p>
      <w:pPr>
        <w:spacing w:after="120"/>
        <w:jc w:val="both"/>
        <w:rPr>
          <w:b/>
          <w:smallCaps/>
          <w:noProof/>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b/>
          <w:smallCaps/>
          <w:noProof/>
          <w:sz w:val="24"/>
          <w:szCs w:val="24"/>
          <w:u w:val="single"/>
        </w:rPr>
        <w:t xml:space="preserve">Concluzie </w:t>
      </w:r>
    </w:p>
    <w:p>
      <w:pPr>
        <w:spacing w:after="120"/>
        <w:jc w:val="both"/>
        <w:rPr>
          <w:noProof/>
        </w:rPr>
      </w:pPr>
      <w:r>
        <w:rPr>
          <w:noProof/>
        </w:rPr>
        <w:t>Politica comercială a UE trebuie să se adapteze și să reflecte provocările epocii noastre și așteptările cetățenilor noștri. Este de responsabilitatea noastră să ne asigurăm că ea servește la urmărirea intereselor UE, sprijinind realizarea ambițiilor UE și protejându-i poziția în lume, în prezent și pentru generațiile viitoare. Acesta este motivul pentru care este atât de important să reorientăm politica comercială a UE către obiectivele de sprijinire a transformării verzi și digitale fundamentale a economiei UE, cu scopul de a realiza o globalizare mai durabilă și mai echitabilă bazată pe norme modernizate și o acțiune mai fermă de asigurare a respectării legislației. În ultimul rând, numai prin astfel de acțiuni putem genera în mod responsabil și durabil oportunitățile pe care le așteaptă cetățenii, lucrătorii și întreprinderile din UE și evoluțiile de care are nevoie planeta.</w:t>
      </w:r>
    </w:p>
    <w:sectPr>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1292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Raportul Comisiei pe 2020 de analiză prospectivă strategică analizează impactul pandemiei de COVID-19 asupra dinamicii unor mega tendințe relevante, COM(2020) 493 final. Raportul Comisiei pe 2021 privind analiza prospectivă strategică se va concentra pe autonomia strategică deschisă.</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 nivelul UE, Fondul european de ajustare la globalizare vizează să contribuie la abordarea unor astfel de costuri de ajustare; cf Regulamentul (UE) nr. 1309/2013 al Parlamentului European și al Consiliului din 17 decembrie 2013 privind Fondul european de ajustare la globalizare (2014-2020) și de abrogare a Regulamentului (CE) nr. 1927/2006. Un nou regulament este în curs de adoptare, permițând Fondului să continue să sprijine lucrătorii și persoanele care desfășoară o activitate independentă care și-au pierdut activitatea.</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provocare este deosebit de vizibilă în domeniul industriilor mari consumatoare de energie și mai ales în siderurgie, unde sunt necesare soluții globale pentru combaterea dezechilibrelor imense de pe piața mondială care afectează în mod negativ întreprinderile europene și subminează succesul tranziției verzi a acestui ecosistem.</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Potrivit Organizației Internaționale a Muncii (OIM), aproximativ 25 de milioane de persoane continuă să muncească forțat, 152 de milioane sunt victime ale muncii copiilor și 2,78 de milioane de lucrători din întreaga lume își pierd viața din cauza accidentelor de muncă sau a bolilor profesionale în fiecare an; Surse: Estimări globale ale sclaviei moderne: munca forțată și căsătoriile forțate, OIM (2017); Estimări globale ale muncii copiilor, OIM (2017) și site-ul OIM.</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Documentul de lucru al serviciilor Comisiei: Promovarea muncii decente în întreaga lume, SWD(2020) 235 final.</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2016, dacă ținem seama atât de bunuri, cât și de servicii, 80 % din importurile UE și 82 % din exporturile UE au fost generate de industriile care folosesc intens PI. </w:t>
      </w:r>
      <w:r>
        <w:rPr>
          <w:rFonts w:ascii="Times New Roman" w:hAnsi="Times New Roman" w:cs="Times New Roman"/>
          <w:i/>
          <w:iCs/>
        </w:rPr>
        <w:t>IPR-intensive Industries and Economic Performance in the European Union, Industry-Level Analysis Report, joint EPO/EUIPO study, 3nd edition, September 2019</w:t>
      </w:r>
      <w:r>
        <w:rPr>
          <w:rFonts w:ascii="Times New Roman" w:hAnsi="Times New Roman" w:cs="Times New Roman"/>
        </w:rPr>
        <w:t xml:space="preserve"> (Sectoarele industriale care utilizează intensiv DPI și performanța economică în Uniunea Europeană, Raport de analiză la nivel sectorial), studiu comun EUIPO/OEB, a 3-a ediție, septembrie 2019).</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OCDE (2020), Previziune pe termen lung a PIB-ului real (indicator).</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Orientări politice pentru viitoarea Comisie Europeană 2019-2024.</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Rezoluția Parlamentului European cu privire la revizuirea politicii comerciale a UE (2020/2761(RSP).</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https://trade.ec.europa.eu/consultations/index.cfm?consul_id=266&amp;utm_source=dlvr.it&amp;utm_</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Acum este momentul Europei: să reparăm prejudiciile aduse de criză și să pregătim viitorul pentru noua generație, COM(2020) 456 final</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Calcule interne ale DG TRADE bazate pe Arto, I., Rueda-Cantuche, J.M., Cazcarro, I., Amores, A.F., Dietzenbacher, E. Kutlina-Dimitrova, Z. și Román, M. V., Exporturile UE pe piața mondială: Efecte asupra ocupării forței de muncă, Oficiul de Publicații al Uniunii Europene, Luxemburg 2018, ISBN 978-92-79-93283-0, doi:10.2760/700435, JRC113071.  </w:t>
      </w:r>
      <w:hyperlink r:id="rId1" w:history="1">
        <w:r>
          <w:rPr>
            <w:rStyle w:val="Hyperlink"/>
            <w:rFonts w:ascii="Times New Roman" w:hAnsi="Times New Roman" w:cs="Times New Roman"/>
          </w:rPr>
          <w:t>https://trade.ec.europa.eu/doclib/docs/2018/november/tradoc_157516.pdf</w:t>
        </w:r>
      </w:hyperlink>
      <w:r>
        <w:rPr>
          <w:rFonts w:ascii="Times New Roman" w:hAnsi="Times New Roman" w:cs="Times New Roman"/>
        </w:rPr>
        <w:t xml:space="preserve"> </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Ajutorul pentru comerț vizează sprijinirea țărilor în curs de dezvoltare în ceea ce privește utilizarea comerțului ca pârghie pentru reducerea sărăciei. Obiectivul 8.a din Obiectivele de dezvoltare durabilă (ODD-uri) ale Agendei 2030 pentru dezvoltare durabilă se referă la creșterea ajutorului pentru comerț, îndeosebi pentru țările cel mai puțin dezvoltate. ODD 17 include, printre altele, eforturile de creștere a exporturilor țărilor în curs de dezvoltare, în special ale țărilor cel mai puțin dezvoltate.</w:t>
      </w:r>
    </w:p>
  </w:footnote>
  <w:footnote w:id="1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se vedea Strategia privind egalitatea de gen 2020-2025 și Planul de acțiune pentru egalitatea de gen III.</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Comisia a adoptat primul său raport privind analiza prospectivă, care evidențiază reziliența ca un nou punct de reper pentru toate politicile UE din cadrul agendei de tranziție a prezentei Comisii și ca rezultat al pandemiei tragice de coronavirus. </w:t>
      </w:r>
    </w:p>
  </w:footnote>
  <w:footnote w:id="17">
    <w:p>
      <w:pPr>
        <w:pStyle w:val="FootnoteText"/>
        <w:jc w:val="both"/>
        <w:rPr>
          <w:rFonts w:ascii="Times New Roman" w:hAnsi="Times New Roman" w:cs="Times New Roman"/>
          <w:b/>
        </w:rPr>
      </w:pPr>
      <w:r>
        <w:rPr>
          <w:rStyle w:val="FootnoteReference"/>
          <w:rFonts w:ascii="Times New Roman" w:hAnsi="Times New Roman" w:cs="Times New Roman"/>
        </w:rPr>
        <w:footnoteRef/>
      </w:r>
      <w:r>
        <w:rPr>
          <w:rFonts w:ascii="Times New Roman" w:hAnsi="Times New Roman" w:cs="Times New Roman"/>
        </w:rPr>
        <w:t xml:space="preserve"> Lucrările analitice ale OCDE au confirmat faptul că lanțurile valorice globale nu numai că maximizează eficiența economică, dar și că lanțurile valorice reziliente sunt esențiale în perioade de criză pentru a absorbi șocurile, a oferi opțiuni de ajustare și a grăbi redresarea. Cf. „Șocuri, riscuri și lanțuri valorice globale: aspecte ale modelului METRO al OCDE”, iunie 2020.</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 strategie farmaceutică pentru Europa COM (2020) 761 final.</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se vedea în legătura cu aceasta documentul OCDE privind COVID-19 și comportamentul responsabil în afaceri. </w:t>
      </w:r>
      <w:hyperlink r:id="rId2" w:history="1">
        <w:r>
          <w:rPr>
            <w:rStyle w:val="Hyperlink"/>
            <w:rFonts w:ascii="Times New Roman" w:hAnsi="Times New Roman" w:cs="Times New Roman"/>
          </w:rPr>
          <w:t>http://www.oecd.org/coronavirus/policy-responses/covid-19-and-responsible-business-conduct-02150b06/</w:t>
        </w:r>
      </w:hyperlink>
      <w:r>
        <w:rPr>
          <w:rFonts w:ascii="Times New Roman" w:hAnsi="Times New Roman" w:cs="Times New Roman"/>
        </w:rPr>
        <w:t xml:space="preserve"> </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se vedea și Comunicare comună privind consolidarea contribuției UE la multilateralismul bazat pe norme.</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Comunicare comună către Parlamentul European, Consiliul European și Consiliu, „O nouă agendă UE-SUA pentru o schimbare globală”, JOIN(2020) 22 final.</w:t>
      </w:r>
    </w:p>
  </w:footnote>
  <w:footnote w:id="2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Comunicare comună către Parlamentul European, Consiliul European și Consiliu, „UE-China – O perspectivă strategică”, JOIN(2019) 5 final.</w:t>
      </w:r>
    </w:p>
  </w:footnote>
  <w:footnote w:id="23">
    <w:p>
      <w:pPr>
        <w:jc w:val="both"/>
        <w:rPr>
          <w:i/>
          <w:iCs/>
          <w:sz w:val="20"/>
          <w:szCs w:val="20"/>
        </w:rPr>
      </w:pPr>
      <w:r>
        <w:rPr>
          <w:rStyle w:val="FootnoteReference"/>
          <w:sz w:val="20"/>
          <w:szCs w:val="20"/>
        </w:rPr>
        <w:footnoteRef/>
      </w:r>
      <w:r>
        <w:rPr>
          <w:sz w:val="20"/>
          <w:szCs w:val="20"/>
        </w:rPr>
        <w:t xml:space="preserve"> Sancțiunile UE sunt un instrument-cheie utilizat pentru promovarea obiectivelor politicii externe și de securitate comună (PESC) prin intermediul căruia UE poate interveni, printre altele, pentru a preveni conflictele sau a răspunde la crizele emergente sau actuale (Comunicare a Comisiei către Parlamentul European, Consiliu, Banca Centrală Europeană, Comitetul Economic și Social European și Comitetul Regiunilor – Sistemul economic și financiar european: promovarea deschiderii, a solidității și a rezilienței; COM/2021/32 final).</w:t>
      </w:r>
    </w:p>
    <w:p>
      <w:pPr>
        <w:pStyle w:val="FootnoteText"/>
        <w:rPr>
          <w:rFonts w:ascii="Times New Roman" w:hAnsi="Times New Roman" w:cs="Times New Roman"/>
        </w:rPr>
      </w:pP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Accesul la date și noile evoluții cum ar fi pașapoartele produselor pot, de asemenea, conferi o valoare suplimentară produselor și pot furniza informații esențiale pentru maximizarea valorii circulare dar, de prea multe ori, astfel de date nu sunt transmise de-a lungul lanțurilor valorice. </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Propunerea de regulament al Parlamentului European și al Consiliului privind o piață unică pentru serviciile digitale (Actul legislativ privind serviciile digitale) și de modificare a Directivei 2000/31/CE - COM(2020) 825 final; și Propunerea de regulament al Parlamentului European și al Consiliului privind piețele concurențiale și echitabile în sectorul digital (Actul legislativ privind piețele digitale)  - COM/2020/842 final și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RGPD).</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Astfel cum este reflectat în titlul privind comerțul digital din Acordul comercial și de cooperare încheiat cu Regatul Unit.</w:t>
      </w:r>
    </w:p>
  </w:footnote>
  <w:footnote w:id="2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Noul pact privind migrația și azilul COM (2020) 609 final.</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Consolidarea rezilienței – un Parteneriat estic care produce rezultate pentru toți, JOIN (2020) 7 final.</w:t>
      </w:r>
    </w:p>
  </w:footnote>
  <w:footnote w:id="2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 plan economic și de investiții pentru Balcanii de Vest, COM(2020) 641 final.</w:t>
      </w:r>
    </w:p>
  </w:footnote>
  <w:footnote w:id="3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 parteneriat reînnoit cu vecinătatea sudică. O nouă agendă pentru Mediterana; JOIN(2021) 2 final.</w:t>
      </w:r>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Astfel cum s-a subliniat în comunicarea comună privind strategia UE-Africa din martie 2020 intitulată „Către o strategie cuprinzătoare cu Africa”, JOIN(2020) 4 final.</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 putea fi explorate sinergii în special cu alte surse de informații inclusiv cu Rețeaua întreprinderilor europene (EEN), Centrul pentru cooperare industrială UE-Japonia, Centrul pentru IMM-uri din UE în China, Rețeaua mondială a întreprinderilor europene, organizațiile de promovare a comerțului european și serviciile de asistență în materie de DPI pentru IMM-uri.</w:t>
      </w:r>
    </w:p>
  </w:footnote>
  <w:footnote w:id="3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 w:history="1">
        <w:r>
          <w:rPr>
            <w:rStyle w:val="Hyperlink"/>
            <w:rFonts w:ascii="Times New Roman" w:hAnsi="Times New Roman" w:cs="Times New Roman"/>
          </w:rPr>
          <w:t>https://trade.ec.europa.eu/doclib/press/index.cfm?id=2204</w:t>
        </w:r>
      </w:hyperlink>
      <w:r>
        <w:rPr>
          <w:rFonts w:ascii="Times New Roman" w:hAnsi="Times New Roman" w:cs="Times New Roman"/>
        </w:rPr>
        <w:t xml:space="preserve"> </w:t>
      </w:r>
    </w:p>
  </w:footnote>
  <w:footnote w:id="3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Comunicarea din 25 martie 2020 privind investițiile străine directe și libera circulație a capitalurilor din țări terțe și protecția activelor strategice ale Europei, C(2020) 1981 final.</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rPr>
          <w:t>https://ec.europa.eu/commission/presscorner/detail/en/IP_20_2045</w:t>
        </w:r>
      </w:hyperlink>
      <w:r>
        <w:rPr>
          <w:rFonts w:ascii="Times New Roman" w:hAnsi="Times New Roman" w:cs="Times New Roman"/>
        </w:rPr>
        <w:t xml:space="preserve"> </w:t>
      </w:r>
    </w:p>
  </w:footnote>
  <w:footnote w:id="3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„Comerț pentru toți: către o politică comercială și de investiții mai responsabilă”, COM (2015) 0497 final.</w:t>
      </w:r>
    </w:p>
  </w:footnote>
  <w:footnote w:id="3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 w:history="1">
        <w:r>
          <w:rPr>
            <w:rStyle w:val="Hyperlink"/>
            <w:rFonts w:ascii="Times New Roman" w:hAnsi="Times New Roman" w:cs="Times New Roman"/>
          </w:rPr>
          <w:t>https://trade.ec.europa.eu/consultations/index.cfm?consul_id=266&amp;utm_source=dlvr.it&amp;utm_</w:t>
        </w:r>
      </w:hyperlink>
      <w:r>
        <w:rPr>
          <w:rFonts w:ascii="Times New Roman" w:hAnsi="Times New Roman" w:cs="Times New Roman"/>
        </w:rPr>
        <w:t xml:space="preserve"> </w:t>
      </w:r>
    </w:p>
  </w:footnote>
  <w:footnote w:id="3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Declarația comună privind comerțul și capacitarea femeilor cu ocazia Conferinței ministeriale a OMC de la Buenos Aires din decembrie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4612D"/>
    <w:multiLevelType w:val="hybridMultilevel"/>
    <w:tmpl w:val="78FA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AA33A3"/>
    <w:multiLevelType w:val="multilevel"/>
    <w:tmpl w:val="077456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2CC1CE6"/>
    <w:multiLevelType w:val="hybridMultilevel"/>
    <w:tmpl w:val="B10CC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38B393D"/>
    <w:multiLevelType w:val="hybridMultilevel"/>
    <w:tmpl w:val="B54A85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660DA9"/>
    <w:multiLevelType w:val="hybridMultilevel"/>
    <w:tmpl w:val="908CB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6606D9D"/>
    <w:multiLevelType w:val="hybridMultilevel"/>
    <w:tmpl w:val="B65C60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4F5C9B"/>
    <w:multiLevelType w:val="hybridMultilevel"/>
    <w:tmpl w:val="AC2EF01C"/>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2E25595"/>
    <w:multiLevelType w:val="hybridMultilevel"/>
    <w:tmpl w:val="120A4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3"/>
  </w:num>
  <w:num w:numId="5">
    <w:abstractNumId w:val="0"/>
  </w:num>
  <w:num w:numId="6">
    <w:abstractNumId w:val="7"/>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4232EC2-78D3-41F3-B652-A7FD9FAD578B"/>
    <w:docVar w:name="LW_COVERPAGE_TYPE" w:val="1"/>
    <w:docVar w:name="LW_CROSSREFERENCE" w:val="&lt;UNUSED&gt;"/>
    <w:docVar w:name="LW_DocType" w:val="NORMAL"/>
    <w:docVar w:name="LW_EMISSION" w:val="18.2.2021"/>
    <w:docVar w:name="LW_EMISSION_ISODATE" w:val="2021-02-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vizuirea politicii comerciale - &lt;FMT:Bold&gt;O politic\u259? comercial\u259? deschis\u259?, durabil\u259? \u537?i ferm\u259?&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o-R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ro-RO"/>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ro-RO"/>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ro-RO"/>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rPr>
  </w:style>
  <w:style w:type="paragraph" w:customStyle="1" w:styleId="1">
    <w:name w:val="1"/>
    <w:basedOn w:val="Normal"/>
    <w:link w:val="FootnoteReference"/>
    <w:uiPriority w:val="99"/>
    <w:qFormat/>
    <w:pPr>
      <w:spacing w:after="160" w:line="240" w:lineRule="exact"/>
    </w:pPr>
    <w:rPr>
      <w:sz w:val="20"/>
      <w:szCs w:val="20"/>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ro-RO"/>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ro-RO"/>
    </w:rPr>
  </w:style>
  <w:style w:type="table" w:styleId="TableGrid">
    <w:name w:val="Table Grid"/>
    <w:basedOn w:val="TableNormal"/>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o-R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ro-RO"/>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ro-RO"/>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ro-RO"/>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rPr>
  </w:style>
  <w:style w:type="paragraph" w:customStyle="1" w:styleId="1">
    <w:name w:val="1"/>
    <w:basedOn w:val="Normal"/>
    <w:link w:val="FootnoteReference"/>
    <w:uiPriority w:val="99"/>
    <w:qFormat/>
    <w:pPr>
      <w:spacing w:after="160" w:line="240" w:lineRule="exact"/>
    </w:pPr>
    <w:rPr>
      <w:sz w:val="20"/>
      <w:szCs w:val="20"/>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ro-RO"/>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ro-RO"/>
    </w:rPr>
  </w:style>
  <w:style w:type="table" w:styleId="TableGrid">
    <w:name w:val="Table Grid"/>
    <w:basedOn w:val="TableNormal"/>
    <w:uiPriority w:val="5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microsoft.com/office/2007/relationships/diagramDrawing" Target="diagrams/drawing1.xm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diagramColors" Target="diagrams/colors1.xml"/><Relationship Id="rId33" Type="http://schemas.microsoft.com/office/2007/relationships/diagramDrawing" Target="diagrams/drawing2.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1.xml"/><Relationship Id="rId29" Type="http://schemas.openxmlformats.org/officeDocument/2006/relationships/diagramData" Target="diagrams/data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diagramQuickStyle" Target="diagrams/quickStyle1.xml"/><Relationship Id="rId32" Type="http://schemas.openxmlformats.org/officeDocument/2006/relationships/diagramColors" Target="diagrams/colors2.xm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Layout" Target="diagrams/layout1.xml"/><Relationship Id="rId28" Type="http://schemas.openxmlformats.org/officeDocument/2006/relationships/chart" Target="charts/chart3.xm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image" Target="media/image3.emf"/><Relationship Id="rId30" Type="http://schemas.openxmlformats.org/officeDocument/2006/relationships/diagramLayout" Target="diagrams/layout2.xm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doclib/press/index.cfm?id=2204" TargetMode="External"/><Relationship Id="rId2" Type="http://schemas.openxmlformats.org/officeDocument/2006/relationships/hyperlink" Target="http://www.oecd.org/coronavirus/policy-responses/covid-19-and-responsible-business-conduct-02150b06/" TargetMode="External"/><Relationship Id="rId1" Type="http://schemas.openxmlformats.org/officeDocument/2006/relationships/hyperlink" Target="https://trade.ec.europa.eu/doclib/docs/2018/november/tradoc_157516.pdf" TargetMode="External"/><Relationship Id="rId5" Type="http://schemas.openxmlformats.org/officeDocument/2006/relationships/hyperlink" Target="https://trade.ec.europa.eu/consultations/index.cfm?consul_id=266&amp;utm_source=dlvr.it&amp;utm_" TargetMode="External"/><Relationship Id="rId4" Type="http://schemas.openxmlformats.org/officeDocument/2006/relationships/hyperlink" Target="https://ec.europa.eu/commission/presscorner/detail/en/IP_20_2045"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chirila\AppData\Local\Temp\1\TRADE-2021-80028-04-01-RO-SRC-00.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C:\Users\chirila\AppData\Local\Temp\1\TRADE-2021-80028-04-01-RO-SRC-0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openxmlformats.org/officeDocument/2006/relationships/chartUserShapes" Target="../drawings/drawing1.xml"/><Relationship Id="rId1" Type="http://schemas.openxmlformats.org/officeDocument/2006/relationships/oleObject" Target="file:///C:\Users\chirila\AppData\Local\Temp\1\TRADE-2021-80028-04-01-RO-SRC-00.XLSX" TargetMode="External"/><Relationship Id="rId4"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a:t>Ponderea în PIB-ul mondial în </a:t>
            </a:r>
            <a:r>
              <a:rPr lang="en-US" sz="1200"/>
              <a:t>2000</a:t>
            </a:r>
          </a:p>
        </c:rich>
      </c:tx>
      <c:overlay val="0"/>
      <c:spPr>
        <a:noFill/>
        <a:ln>
          <a:noFill/>
        </a:ln>
        <a:effectLst/>
      </c:spPr>
    </c:title>
    <c:autoTitleDeleted val="0"/>
    <c:plotArea>
      <c:layout/>
      <c:barChart>
        <c:barDir val="bar"/>
        <c:grouping val="clustered"/>
        <c:varyColors val="0"/>
        <c:ser>
          <c:idx val="0"/>
          <c:order val="0"/>
          <c:tx>
            <c:strRef>
              <c:f>'Share of World GDP'!$C$13</c:f>
              <c:strCache>
                <c:ptCount val="1"/>
                <c:pt idx="0">
                  <c:v>pondere_PIB</c:v>
                </c:pt>
              </c:strCache>
            </c:strRef>
          </c:tx>
          <c:spPr>
            <a:solidFill>
              <a:schemeClr val="accent1"/>
            </a:solidFill>
            <a:ln>
              <a:noFill/>
            </a:ln>
            <a:effectLst/>
          </c:spPr>
          <c:invertIfNegative val="0"/>
          <c:cat>
            <c:strRef>
              <c:f>'Share of World GDP'!$B$14:$B$17</c:f>
              <c:strCache>
                <c:ptCount val="4"/>
                <c:pt idx="0">
                  <c:v>Japonia</c:v>
                </c:pt>
                <c:pt idx="1">
                  <c:v>China</c:v>
                </c:pt>
                <c:pt idx="2">
                  <c:v>UE27*</c:v>
                </c:pt>
                <c:pt idx="3">
                  <c:v>SUA</c:v>
                </c:pt>
              </c:strCache>
            </c:strRef>
          </c:cat>
          <c:val>
            <c:numRef>
              <c:f>'Share of World GDP'!$C$14:$C$17</c:f>
              <c:numCache>
                <c:formatCode>General</c:formatCode>
                <c:ptCount val="4"/>
                <c:pt idx="0">
                  <c:v>8.1819080674206096E-2</c:v>
                </c:pt>
                <c:pt idx="1">
                  <c:v>8.8991680756129607E-2</c:v>
                </c:pt>
                <c:pt idx="2">
                  <c:v>0.23585374640023399</c:v>
                </c:pt>
                <c:pt idx="3">
                  <c:v>0.24726153997323999</c:v>
                </c:pt>
              </c:numCache>
            </c:numRef>
          </c:val>
          <c:extLst xmlns:c16r2="http://schemas.microsoft.com/office/drawing/2015/06/chart">
            <c:ext xmlns:c16="http://schemas.microsoft.com/office/drawing/2014/chart" uri="{C3380CC4-5D6E-409C-BE32-E72D297353CC}">
              <c16:uniqueId val="{00000000-1ADB-4201-A348-5556CD94A44C}"/>
            </c:ext>
          </c:extLst>
        </c:ser>
        <c:dLbls>
          <c:showLegendKey val="0"/>
          <c:showVal val="0"/>
          <c:showCatName val="0"/>
          <c:showSerName val="0"/>
          <c:showPercent val="0"/>
          <c:showBubbleSize val="0"/>
        </c:dLbls>
        <c:gapWidth val="182"/>
        <c:axId val="67645824"/>
        <c:axId val="67647360"/>
      </c:barChart>
      <c:catAx>
        <c:axId val="67645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47360"/>
        <c:crosses val="autoZero"/>
        <c:auto val="1"/>
        <c:lblAlgn val="ctr"/>
        <c:lblOffset val="100"/>
        <c:noMultiLvlLbl val="0"/>
      </c:catAx>
      <c:valAx>
        <c:axId val="67647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45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a:t>Ponderea în PIB-ul mondial în </a:t>
            </a:r>
          </a:p>
          <a:p>
            <a:pPr>
              <a:defRPr sz="1400" b="0" i="0" u="none" strike="noStrike" kern="1200" spc="0" baseline="0">
                <a:solidFill>
                  <a:schemeClr val="tx1">
                    <a:lumMod val="65000"/>
                    <a:lumOff val="35000"/>
                  </a:schemeClr>
                </a:solidFill>
                <a:latin typeface="+mn-lt"/>
                <a:ea typeface="+mn-ea"/>
                <a:cs typeface="+mn-cs"/>
              </a:defRPr>
            </a:pPr>
            <a:r>
              <a:rPr lang="en-US" sz="1200" baseline="0"/>
              <a:t>2030</a:t>
            </a:r>
            <a:endParaRPr lang="en-US" sz="1200"/>
          </a:p>
        </c:rich>
      </c:tx>
      <c:overlay val="0"/>
      <c:spPr>
        <a:noFill/>
        <a:ln>
          <a:noFill/>
        </a:ln>
        <a:effectLst/>
      </c:spPr>
    </c:title>
    <c:autoTitleDeleted val="0"/>
    <c:plotArea>
      <c:layout>
        <c:manualLayout>
          <c:layoutTarget val="inner"/>
          <c:xMode val="edge"/>
          <c:yMode val="edge"/>
          <c:x val="0.12116447944006999"/>
          <c:y val="0.19486111111111112"/>
          <c:w val="0.84634951881014875"/>
          <c:h val="0.72088764946048411"/>
        </c:manualLayout>
      </c:layout>
      <c:barChart>
        <c:barDir val="bar"/>
        <c:grouping val="clustered"/>
        <c:varyColors val="0"/>
        <c:ser>
          <c:idx val="0"/>
          <c:order val="0"/>
          <c:tx>
            <c:strRef>
              <c:f>'Share of World GDP'!$C$20</c:f>
              <c:strCache>
                <c:ptCount val="1"/>
                <c:pt idx="0">
                  <c:v>pondere_PIB</c:v>
                </c:pt>
              </c:strCache>
            </c:strRef>
          </c:tx>
          <c:spPr>
            <a:solidFill>
              <a:schemeClr val="accent1"/>
            </a:solidFill>
            <a:ln>
              <a:noFill/>
            </a:ln>
            <a:effectLst/>
          </c:spPr>
          <c:invertIfNegative val="0"/>
          <c:cat>
            <c:strRef>
              <c:f>'Share of World GDP'!$B$21:$B$24</c:f>
              <c:strCache>
                <c:ptCount val="4"/>
                <c:pt idx="0">
                  <c:v>Japonia</c:v>
                </c:pt>
                <c:pt idx="1">
                  <c:v>UE27*</c:v>
                </c:pt>
                <c:pt idx="2">
                  <c:v>SUA</c:v>
                </c:pt>
                <c:pt idx="3">
                  <c:v>China</c:v>
                </c:pt>
              </c:strCache>
            </c:strRef>
          </c:cat>
          <c:val>
            <c:numRef>
              <c:f>'Share of World GDP'!$C$21:$C$24</c:f>
              <c:numCache>
                <c:formatCode>General</c:formatCode>
                <c:ptCount val="4"/>
                <c:pt idx="0">
                  <c:v>3.9931990457711203E-2</c:v>
                </c:pt>
                <c:pt idx="1">
                  <c:v>0.13679196471768501</c:v>
                </c:pt>
                <c:pt idx="2">
                  <c:v>0.15944869200946099</c:v>
                </c:pt>
                <c:pt idx="3">
                  <c:v>0.26695556899061701</c:v>
                </c:pt>
              </c:numCache>
            </c:numRef>
          </c:val>
          <c:extLst xmlns:c16r2="http://schemas.microsoft.com/office/drawing/2015/06/chart">
            <c:ext xmlns:c16="http://schemas.microsoft.com/office/drawing/2014/chart" uri="{C3380CC4-5D6E-409C-BE32-E72D297353CC}">
              <c16:uniqueId val="{00000000-54DB-4347-9BBF-08CEF88859C3}"/>
            </c:ext>
          </c:extLst>
        </c:ser>
        <c:dLbls>
          <c:showLegendKey val="0"/>
          <c:showVal val="0"/>
          <c:showCatName val="0"/>
          <c:showSerName val="0"/>
          <c:showPercent val="0"/>
          <c:showBubbleSize val="0"/>
        </c:dLbls>
        <c:gapWidth val="182"/>
        <c:axId val="67692416"/>
        <c:axId val="67693952"/>
      </c:barChart>
      <c:catAx>
        <c:axId val="67692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93952"/>
        <c:crosses val="autoZero"/>
        <c:auto val="1"/>
        <c:lblAlgn val="ctr"/>
        <c:lblOffset val="100"/>
        <c:noMultiLvlLbl val="0"/>
      </c:catAx>
      <c:valAx>
        <c:axId val="676939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92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UE</a:t>
            </a:r>
            <a:r>
              <a:rPr lang="en-US"/>
              <a:t>-S</a:t>
            </a:r>
            <a:r>
              <a:rPr lang="ro-RO"/>
              <a:t>UA</a:t>
            </a:r>
            <a:r>
              <a:rPr lang="en-US"/>
              <a:t>: </a:t>
            </a:r>
            <a:r>
              <a:rPr lang="ro-RO"/>
              <a:t>Cota</a:t>
            </a:r>
            <a:r>
              <a:rPr lang="ro-RO" baseline="0"/>
              <a:t> comerțului bilateral în</a:t>
            </a:r>
            <a:r>
              <a:rPr lang="en-US"/>
              <a:t> </a:t>
            </a:r>
            <a:r>
              <a:rPr lang="ro-RO"/>
              <a:t>comerțul total </a:t>
            </a:r>
            <a:r>
              <a:rPr lang="en-US"/>
              <a:t>(</a:t>
            </a:r>
            <a:r>
              <a:rPr lang="ro-RO"/>
              <a:t>bunuri</a:t>
            </a:r>
            <a:r>
              <a:rPr lang="en-US"/>
              <a:t>)</a:t>
            </a:r>
          </a:p>
        </c:rich>
      </c:tx>
      <c:overlay val="0"/>
      <c:spPr>
        <a:noFill/>
        <a:ln>
          <a:noFill/>
        </a:ln>
        <a:effectLst/>
      </c:spPr>
    </c:title>
    <c:autoTitleDeleted val="0"/>
    <c:plotArea>
      <c:layout/>
      <c:lineChart>
        <c:grouping val="standard"/>
        <c:varyColors val="0"/>
        <c:ser>
          <c:idx val="0"/>
          <c:order val="0"/>
          <c:tx>
            <c:strRef>
              <c:f>'EU-US Trade'!$A$2</c:f>
              <c:strCache>
                <c:ptCount val="1"/>
                <c:pt idx="0">
                  <c:v>UE</c:v>
                </c:pt>
              </c:strCache>
            </c:strRef>
          </c:tx>
          <c:spPr>
            <a:ln w="28575" cap="rnd">
              <a:solidFill>
                <a:schemeClr val="accent1"/>
              </a:solidFill>
              <a:round/>
            </a:ln>
            <a:effectLst/>
          </c:spPr>
          <c:marker>
            <c:symbol val="none"/>
          </c:marker>
          <c:cat>
            <c:numRef>
              <c:f>'EU-US Trade'!$B$1:$L$1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'EU-US Trade'!$B$2:$L$2</c:f>
              <c:numCache>
                <c:formatCode>0%</c:formatCode>
                <c:ptCount val="11"/>
                <c:pt idx="0">
                  <c:v>0.12395281824264456</c:v>
                </c:pt>
                <c:pt idx="1">
                  <c:v>0.118532881580154</c:v>
                </c:pt>
                <c:pt idx="2">
                  <c:v>0.11452202366473876</c:v>
                </c:pt>
                <c:pt idx="3">
                  <c:v>0.11923641117676666</c:v>
                </c:pt>
                <c:pt idx="4">
                  <c:v>0.12003345830009594</c:v>
                </c:pt>
                <c:pt idx="5">
                  <c:v>0.12661789382318545</c:v>
                </c:pt>
                <c:pt idx="6">
                  <c:v>0.14381364441254785</c:v>
                </c:pt>
                <c:pt idx="7">
                  <c:v>0.1450353253227088</c:v>
                </c:pt>
                <c:pt idx="8">
                  <c:v>0.13951558131984201</c:v>
                </c:pt>
                <c:pt idx="9">
                  <c:v>0.14199147302444551</c:v>
                </c:pt>
                <c:pt idx="10">
                  <c:v>0.15104313591777285</c:v>
                </c:pt>
              </c:numCache>
            </c:numRef>
          </c:val>
          <c:smooth val="0"/>
          <c:extLst xmlns:c16r2="http://schemas.microsoft.com/office/drawing/2015/06/chart">
            <c:ext xmlns:c16="http://schemas.microsoft.com/office/drawing/2014/chart" uri="{C3380CC4-5D6E-409C-BE32-E72D297353CC}">
              <c16:uniqueId val="{00000000-7878-4551-BC36-7D89ED1BDB1C}"/>
            </c:ext>
          </c:extLst>
        </c:ser>
        <c:ser>
          <c:idx val="1"/>
          <c:order val="1"/>
          <c:tx>
            <c:strRef>
              <c:f>'EU-US Trade'!$A$3</c:f>
              <c:strCache>
                <c:ptCount val="1"/>
                <c:pt idx="0">
                  <c:v>SUA</c:v>
                </c:pt>
              </c:strCache>
            </c:strRef>
          </c:tx>
          <c:spPr>
            <a:ln w="28575" cap="rnd">
              <a:solidFill>
                <a:schemeClr val="accent2"/>
              </a:solidFill>
              <a:round/>
            </a:ln>
            <a:effectLst/>
          </c:spPr>
          <c:marker>
            <c:symbol val="none"/>
          </c:marker>
          <c:cat>
            <c:numRef>
              <c:f>'EU-US Trade'!$B$1:$L$1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'EU-US Trade'!$B$3:$L$3</c:f>
              <c:numCache>
                <c:formatCode>0%</c:formatCode>
                <c:ptCount val="11"/>
                <c:pt idx="0">
                  <c:v>0.15600135825311554</c:v>
                </c:pt>
                <c:pt idx="1">
                  <c:v>0.1444008193597684</c:v>
                </c:pt>
                <c:pt idx="2">
                  <c:v>0.14422658730552074</c:v>
                </c:pt>
                <c:pt idx="3">
                  <c:v>0.14110256076167968</c:v>
                </c:pt>
                <c:pt idx="4">
                  <c:v>0.14344566755885355</c:v>
                </c:pt>
                <c:pt idx="5">
                  <c:v>0.14803465623708789</c:v>
                </c:pt>
                <c:pt idx="6">
                  <c:v>0.15643634577118354</c:v>
                </c:pt>
                <c:pt idx="7">
                  <c:v>0.1588994765662112</c:v>
                </c:pt>
                <c:pt idx="8">
                  <c:v>0.15682452124779905</c:v>
                </c:pt>
                <c:pt idx="9">
                  <c:v>0.16179216639984143</c:v>
                </c:pt>
                <c:pt idx="10">
                  <c:v>0.17327701402414239</c:v>
                </c:pt>
              </c:numCache>
            </c:numRef>
          </c:val>
          <c:smooth val="0"/>
          <c:extLst xmlns:c16r2="http://schemas.microsoft.com/office/drawing/2015/06/chart">
            <c:ext xmlns:c16="http://schemas.microsoft.com/office/drawing/2014/chart" uri="{C3380CC4-5D6E-409C-BE32-E72D297353CC}">
              <c16:uniqueId val="{00000001-7878-4551-BC36-7D89ED1BDB1C}"/>
            </c:ext>
          </c:extLst>
        </c:ser>
        <c:dLbls>
          <c:showLegendKey val="0"/>
          <c:showVal val="0"/>
          <c:showCatName val="0"/>
          <c:showSerName val="0"/>
          <c:showPercent val="0"/>
          <c:showBubbleSize val="0"/>
        </c:dLbls>
        <c:marker val="1"/>
        <c:smooth val="0"/>
        <c:axId val="110347776"/>
        <c:axId val="110349312"/>
      </c:lineChart>
      <c:dateAx>
        <c:axId val="11034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49312"/>
        <c:crosses val="autoZero"/>
        <c:auto val="0"/>
        <c:lblOffset val="100"/>
        <c:baseTimeUnit val="days"/>
      </c:dateAx>
      <c:valAx>
        <c:axId val="110349312"/>
        <c:scaling>
          <c:orientation val="minMax"/>
          <c:min val="0.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47776"/>
        <c:crosses val="autoZero"/>
        <c:crossBetween val="between"/>
        <c:maj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20A8B2-CA65-44E1-920B-E750C00C2C47}"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395CD7A0-8CAB-4738-BEE2-9205AFFF9855}">
      <dgm:prSet phldrT="[Text]"/>
      <dgm:spPr/>
      <dgm:t>
        <a:bodyPr/>
        <a:lstStyle/>
        <a:p>
          <a:r>
            <a:rPr lang="ro-RO"/>
            <a:t>Autonomia strategică deschisă</a:t>
          </a:r>
        </a:p>
      </dgm:t>
    </dgm:pt>
    <dgm:pt modelId="{6E62CE40-B858-4444-96FC-C2D050A1CB9A}" type="parTrans" cxnId="{1F7E3C38-76FC-4FD9-A487-F4061B5B2E56}">
      <dgm:prSet/>
      <dgm:spPr/>
      <dgm:t>
        <a:bodyPr/>
        <a:lstStyle/>
        <a:p>
          <a:endParaRPr lang="en-US"/>
        </a:p>
      </dgm:t>
    </dgm:pt>
    <dgm:pt modelId="{03C42208-320E-4B76-9756-773FD2593E57}" type="sibTrans" cxnId="{1F7E3C38-76FC-4FD9-A487-F4061B5B2E56}">
      <dgm:prSet/>
      <dgm:spPr/>
      <dgm:t>
        <a:bodyPr/>
        <a:lstStyle/>
        <a:p>
          <a:endParaRPr lang="en-US"/>
        </a:p>
      </dgm:t>
    </dgm:pt>
    <dgm:pt modelId="{A9054AC0-887F-46A5-876C-9B683F9B3FAF}">
      <dgm:prSet phldrT="[Text]"/>
      <dgm:spPr/>
      <dgm:t>
        <a:bodyPr/>
        <a:lstStyle/>
        <a:p>
          <a:r>
            <a:rPr lang="ro-RO"/>
            <a:t>Reziliență și competitivitate</a:t>
          </a:r>
        </a:p>
      </dgm:t>
    </dgm:pt>
    <dgm:pt modelId="{F5FE2B61-D5F2-49F4-9C57-1036BD909A55}" type="parTrans" cxnId="{070B914E-BF29-4081-AF45-61BEF862C5CC}">
      <dgm:prSet/>
      <dgm:spPr/>
      <dgm:t>
        <a:bodyPr/>
        <a:lstStyle/>
        <a:p>
          <a:endParaRPr lang="en-US"/>
        </a:p>
      </dgm:t>
    </dgm:pt>
    <dgm:pt modelId="{8AA20F60-29AB-44B5-B3F4-4FB52CACCFCC}" type="sibTrans" cxnId="{070B914E-BF29-4081-AF45-61BEF862C5CC}">
      <dgm:prSet/>
      <dgm:spPr/>
      <dgm:t>
        <a:bodyPr/>
        <a:lstStyle/>
        <a:p>
          <a:endParaRPr lang="en-US"/>
        </a:p>
      </dgm:t>
    </dgm:pt>
    <dgm:pt modelId="{085DCDB1-F592-4CA2-A82A-9078C407F2C2}">
      <dgm:prSet phldrT="[Text]"/>
      <dgm:spPr/>
      <dgm:t>
        <a:bodyPr/>
        <a:lstStyle/>
        <a:p>
          <a:r>
            <a:rPr lang="ro-RO"/>
            <a:t>Durabilitate și echitate</a:t>
          </a:r>
        </a:p>
      </dgm:t>
    </dgm:pt>
    <dgm:pt modelId="{38184D23-5CBB-466F-96F2-55097607D4B3}" type="parTrans" cxnId="{86670781-BB1B-43AC-B73A-A815DFD3CCDA}">
      <dgm:prSet/>
      <dgm:spPr/>
      <dgm:t>
        <a:bodyPr/>
        <a:lstStyle/>
        <a:p>
          <a:endParaRPr lang="en-US"/>
        </a:p>
      </dgm:t>
    </dgm:pt>
    <dgm:pt modelId="{4D62B7DC-E549-4F2D-9C8E-C32460547AE8}" type="sibTrans" cxnId="{86670781-BB1B-43AC-B73A-A815DFD3CCDA}">
      <dgm:prSet/>
      <dgm:spPr/>
      <dgm:t>
        <a:bodyPr/>
        <a:lstStyle/>
        <a:p>
          <a:endParaRPr lang="en-US"/>
        </a:p>
      </dgm:t>
    </dgm:pt>
    <dgm:pt modelId="{9AF7E254-24FB-4781-86B8-D2D3AE77C0DE}">
      <dgm:prSet phldrT="[Text]"/>
      <dgm:spPr/>
      <dgm:t>
        <a:bodyPr/>
        <a:lstStyle/>
        <a:p>
          <a:r>
            <a:rPr lang="ro-RO" b="0"/>
            <a:t>Fermitate și cooperare bazată pe norme</a:t>
          </a:r>
        </a:p>
      </dgm:t>
    </dgm:pt>
    <dgm:pt modelId="{C1D6C876-0F53-4F6F-8757-E3DE73AAA701}" type="parTrans" cxnId="{15A10366-F4BB-48E1-97DD-C0BA93CB2889}">
      <dgm:prSet/>
      <dgm:spPr/>
      <dgm:t>
        <a:bodyPr/>
        <a:lstStyle/>
        <a:p>
          <a:endParaRPr lang="en-US"/>
        </a:p>
      </dgm:t>
    </dgm:pt>
    <dgm:pt modelId="{1A200576-F904-4A8E-9F33-EDDB64AEA1C9}" type="sibTrans" cxnId="{15A10366-F4BB-48E1-97DD-C0BA93CB2889}">
      <dgm:prSet/>
      <dgm:spPr/>
      <dgm:t>
        <a:bodyPr/>
        <a:lstStyle/>
        <a:p>
          <a:endParaRPr lang="en-US"/>
        </a:p>
      </dgm:t>
    </dgm:pt>
    <dgm:pt modelId="{0355E223-3C7E-432E-8E03-5A08FF1EDFF2}" type="pres">
      <dgm:prSet presAssocID="{B220A8B2-CA65-44E1-920B-E750C00C2C47}" presName="Name0" presStyleCnt="0">
        <dgm:presLayoutVars>
          <dgm:chMax val="1"/>
          <dgm:dir/>
          <dgm:animLvl val="ctr"/>
          <dgm:resizeHandles val="exact"/>
        </dgm:presLayoutVars>
      </dgm:prSet>
      <dgm:spPr/>
      <dgm:t>
        <a:bodyPr/>
        <a:lstStyle/>
        <a:p>
          <a:endParaRPr lang="en-US"/>
        </a:p>
      </dgm:t>
    </dgm:pt>
    <dgm:pt modelId="{F7320055-6C78-4D51-A5C5-29CADEE13636}" type="pres">
      <dgm:prSet presAssocID="{395CD7A0-8CAB-4738-BEE2-9205AFFF9855}" presName="centerShape" presStyleLbl="node0" presStyleIdx="0" presStyleCnt="1"/>
      <dgm:spPr/>
      <dgm:t>
        <a:bodyPr/>
        <a:lstStyle/>
        <a:p>
          <a:endParaRPr lang="en-US"/>
        </a:p>
      </dgm:t>
    </dgm:pt>
    <dgm:pt modelId="{D8AE66B2-B084-4942-AA91-B18AD3F9A3B8}" type="pres">
      <dgm:prSet presAssocID="{A9054AC0-887F-46A5-876C-9B683F9B3FAF}" presName="node" presStyleLbl="node1" presStyleIdx="0" presStyleCnt="3" custScaleX="112198">
        <dgm:presLayoutVars>
          <dgm:bulletEnabled val="1"/>
        </dgm:presLayoutVars>
      </dgm:prSet>
      <dgm:spPr/>
      <dgm:t>
        <a:bodyPr/>
        <a:lstStyle/>
        <a:p>
          <a:endParaRPr lang="en-US"/>
        </a:p>
      </dgm:t>
    </dgm:pt>
    <dgm:pt modelId="{8A8D0401-59FB-4AAB-A190-11E2AEF1C8A5}" type="pres">
      <dgm:prSet presAssocID="{A9054AC0-887F-46A5-876C-9B683F9B3FAF}" presName="dummy" presStyleCnt="0"/>
      <dgm:spPr/>
    </dgm:pt>
    <dgm:pt modelId="{3054CA62-A9FF-410B-9EA2-3947425A1D14}" type="pres">
      <dgm:prSet presAssocID="{8AA20F60-29AB-44B5-B3F4-4FB52CACCFCC}" presName="sibTrans" presStyleLbl="sibTrans2D1" presStyleIdx="0" presStyleCnt="3"/>
      <dgm:spPr/>
      <dgm:t>
        <a:bodyPr/>
        <a:lstStyle/>
        <a:p>
          <a:endParaRPr lang="en-US"/>
        </a:p>
      </dgm:t>
    </dgm:pt>
    <dgm:pt modelId="{213F6EDC-EB7D-4AB9-8440-9110A947582E}" type="pres">
      <dgm:prSet presAssocID="{085DCDB1-F592-4CA2-A82A-9078C407F2C2}" presName="node" presStyleLbl="node1" presStyleIdx="1" presStyleCnt="3">
        <dgm:presLayoutVars>
          <dgm:bulletEnabled val="1"/>
        </dgm:presLayoutVars>
      </dgm:prSet>
      <dgm:spPr/>
      <dgm:t>
        <a:bodyPr/>
        <a:lstStyle/>
        <a:p>
          <a:endParaRPr lang="en-US"/>
        </a:p>
      </dgm:t>
    </dgm:pt>
    <dgm:pt modelId="{EE5D55BF-438F-4195-88DE-E34454560F2B}" type="pres">
      <dgm:prSet presAssocID="{085DCDB1-F592-4CA2-A82A-9078C407F2C2}" presName="dummy" presStyleCnt="0"/>
      <dgm:spPr/>
    </dgm:pt>
    <dgm:pt modelId="{091D6454-0025-44A8-9CDD-449281328AA3}" type="pres">
      <dgm:prSet presAssocID="{4D62B7DC-E549-4F2D-9C8E-C32460547AE8}" presName="sibTrans" presStyleLbl="sibTrans2D1" presStyleIdx="1" presStyleCnt="3"/>
      <dgm:spPr/>
      <dgm:t>
        <a:bodyPr/>
        <a:lstStyle/>
        <a:p>
          <a:endParaRPr lang="en-US"/>
        </a:p>
      </dgm:t>
    </dgm:pt>
    <dgm:pt modelId="{945B1EF8-E86F-472E-B304-701175145DA7}" type="pres">
      <dgm:prSet presAssocID="{9AF7E254-24FB-4781-86B8-D2D3AE77C0DE}" presName="node" presStyleLbl="node1" presStyleIdx="2" presStyleCnt="3">
        <dgm:presLayoutVars>
          <dgm:bulletEnabled val="1"/>
        </dgm:presLayoutVars>
      </dgm:prSet>
      <dgm:spPr/>
      <dgm:t>
        <a:bodyPr/>
        <a:lstStyle/>
        <a:p>
          <a:endParaRPr lang="en-US"/>
        </a:p>
      </dgm:t>
    </dgm:pt>
    <dgm:pt modelId="{0C5447F0-EA62-42F6-B081-EC69A6F7C39C}" type="pres">
      <dgm:prSet presAssocID="{9AF7E254-24FB-4781-86B8-D2D3AE77C0DE}" presName="dummy" presStyleCnt="0"/>
      <dgm:spPr/>
    </dgm:pt>
    <dgm:pt modelId="{EE01962D-CB12-478F-AA14-5E711D0DFD66}" type="pres">
      <dgm:prSet presAssocID="{1A200576-F904-4A8E-9F33-EDDB64AEA1C9}" presName="sibTrans" presStyleLbl="sibTrans2D1" presStyleIdx="2" presStyleCnt="3"/>
      <dgm:spPr/>
      <dgm:t>
        <a:bodyPr/>
        <a:lstStyle/>
        <a:p>
          <a:endParaRPr lang="en-US"/>
        </a:p>
      </dgm:t>
    </dgm:pt>
  </dgm:ptLst>
  <dgm:cxnLst>
    <dgm:cxn modelId="{AB730315-E44E-4BF8-877B-BAB77BD1B0CF}" type="presOf" srcId="{085DCDB1-F592-4CA2-A82A-9078C407F2C2}" destId="{213F6EDC-EB7D-4AB9-8440-9110A947582E}" srcOrd="0" destOrd="0" presId="urn:microsoft.com/office/officeart/2005/8/layout/radial6"/>
    <dgm:cxn modelId="{DEBA178F-A714-4B23-AE88-172FFFF44745}" type="presOf" srcId="{395CD7A0-8CAB-4738-BEE2-9205AFFF9855}" destId="{F7320055-6C78-4D51-A5C5-29CADEE13636}" srcOrd="0" destOrd="0" presId="urn:microsoft.com/office/officeart/2005/8/layout/radial6"/>
    <dgm:cxn modelId="{5DD243B2-7F05-47CE-99A5-CBD9D908B14A}" type="presOf" srcId="{1A200576-F904-4A8E-9F33-EDDB64AEA1C9}" destId="{EE01962D-CB12-478F-AA14-5E711D0DFD66}" srcOrd="0" destOrd="0" presId="urn:microsoft.com/office/officeart/2005/8/layout/radial6"/>
    <dgm:cxn modelId="{15A10366-F4BB-48E1-97DD-C0BA93CB2889}" srcId="{395CD7A0-8CAB-4738-BEE2-9205AFFF9855}" destId="{9AF7E254-24FB-4781-86B8-D2D3AE77C0DE}" srcOrd="2" destOrd="0" parTransId="{C1D6C876-0F53-4F6F-8757-E3DE73AAA701}" sibTransId="{1A200576-F904-4A8E-9F33-EDDB64AEA1C9}"/>
    <dgm:cxn modelId="{86670781-BB1B-43AC-B73A-A815DFD3CCDA}" srcId="{395CD7A0-8CAB-4738-BEE2-9205AFFF9855}" destId="{085DCDB1-F592-4CA2-A82A-9078C407F2C2}" srcOrd="1" destOrd="0" parTransId="{38184D23-5CBB-466F-96F2-55097607D4B3}" sibTransId="{4D62B7DC-E549-4F2D-9C8E-C32460547AE8}"/>
    <dgm:cxn modelId="{EE07EE05-37CE-4CD1-9048-38001CE0244E}" type="presOf" srcId="{8AA20F60-29AB-44B5-B3F4-4FB52CACCFCC}" destId="{3054CA62-A9FF-410B-9EA2-3947425A1D14}" srcOrd="0" destOrd="0" presId="urn:microsoft.com/office/officeart/2005/8/layout/radial6"/>
    <dgm:cxn modelId="{1F7E3C38-76FC-4FD9-A487-F4061B5B2E56}" srcId="{B220A8B2-CA65-44E1-920B-E750C00C2C47}" destId="{395CD7A0-8CAB-4738-BEE2-9205AFFF9855}" srcOrd="0" destOrd="0" parTransId="{6E62CE40-B858-4444-96FC-C2D050A1CB9A}" sibTransId="{03C42208-320E-4B76-9756-773FD2593E57}"/>
    <dgm:cxn modelId="{D84EBDBF-10DF-4ED6-A308-264B7209E08F}" type="presOf" srcId="{A9054AC0-887F-46A5-876C-9B683F9B3FAF}" destId="{D8AE66B2-B084-4942-AA91-B18AD3F9A3B8}" srcOrd="0" destOrd="0" presId="urn:microsoft.com/office/officeart/2005/8/layout/radial6"/>
    <dgm:cxn modelId="{4B04950A-97B1-4A5C-87C5-D7D05BCA6CD0}" type="presOf" srcId="{4D62B7DC-E549-4F2D-9C8E-C32460547AE8}" destId="{091D6454-0025-44A8-9CDD-449281328AA3}" srcOrd="0" destOrd="0" presId="urn:microsoft.com/office/officeart/2005/8/layout/radial6"/>
    <dgm:cxn modelId="{C1C53828-E3CD-4CAE-ACCF-3EE13DE1B25B}" type="presOf" srcId="{9AF7E254-24FB-4781-86B8-D2D3AE77C0DE}" destId="{945B1EF8-E86F-472E-B304-701175145DA7}" srcOrd="0" destOrd="0" presId="urn:microsoft.com/office/officeart/2005/8/layout/radial6"/>
    <dgm:cxn modelId="{070B914E-BF29-4081-AF45-61BEF862C5CC}" srcId="{395CD7A0-8CAB-4738-BEE2-9205AFFF9855}" destId="{A9054AC0-887F-46A5-876C-9B683F9B3FAF}" srcOrd="0" destOrd="0" parTransId="{F5FE2B61-D5F2-49F4-9C57-1036BD909A55}" sibTransId="{8AA20F60-29AB-44B5-B3F4-4FB52CACCFCC}"/>
    <dgm:cxn modelId="{870D1B00-0C51-4FA4-8A7B-5257CDA9094A}" type="presOf" srcId="{B220A8B2-CA65-44E1-920B-E750C00C2C47}" destId="{0355E223-3C7E-432E-8E03-5A08FF1EDFF2}" srcOrd="0" destOrd="0" presId="urn:microsoft.com/office/officeart/2005/8/layout/radial6"/>
    <dgm:cxn modelId="{3AC98752-CD43-4398-A796-C3211A5288FF}" type="presParOf" srcId="{0355E223-3C7E-432E-8E03-5A08FF1EDFF2}" destId="{F7320055-6C78-4D51-A5C5-29CADEE13636}" srcOrd="0" destOrd="0" presId="urn:microsoft.com/office/officeart/2005/8/layout/radial6"/>
    <dgm:cxn modelId="{598BB041-E67F-4772-A2FB-63D2F05D226A}" type="presParOf" srcId="{0355E223-3C7E-432E-8E03-5A08FF1EDFF2}" destId="{D8AE66B2-B084-4942-AA91-B18AD3F9A3B8}" srcOrd="1" destOrd="0" presId="urn:microsoft.com/office/officeart/2005/8/layout/radial6"/>
    <dgm:cxn modelId="{7A587F45-9DA0-4EA9-9644-4D110BA7DA4E}" type="presParOf" srcId="{0355E223-3C7E-432E-8E03-5A08FF1EDFF2}" destId="{8A8D0401-59FB-4AAB-A190-11E2AEF1C8A5}" srcOrd="2" destOrd="0" presId="urn:microsoft.com/office/officeart/2005/8/layout/radial6"/>
    <dgm:cxn modelId="{772A8C21-7D25-4D80-A33A-CAA08869750B}" type="presParOf" srcId="{0355E223-3C7E-432E-8E03-5A08FF1EDFF2}" destId="{3054CA62-A9FF-410B-9EA2-3947425A1D14}" srcOrd="3" destOrd="0" presId="urn:microsoft.com/office/officeart/2005/8/layout/radial6"/>
    <dgm:cxn modelId="{9568F37D-3D06-4BB2-B6A1-1C4CD9895659}" type="presParOf" srcId="{0355E223-3C7E-432E-8E03-5A08FF1EDFF2}" destId="{213F6EDC-EB7D-4AB9-8440-9110A947582E}" srcOrd="4" destOrd="0" presId="urn:microsoft.com/office/officeart/2005/8/layout/radial6"/>
    <dgm:cxn modelId="{61A3D644-3CED-4A71-87FD-CB4B9B107678}" type="presParOf" srcId="{0355E223-3C7E-432E-8E03-5A08FF1EDFF2}" destId="{EE5D55BF-438F-4195-88DE-E34454560F2B}" srcOrd="5" destOrd="0" presId="urn:microsoft.com/office/officeart/2005/8/layout/radial6"/>
    <dgm:cxn modelId="{40C48A74-8551-483B-B76D-AEFC0E1FAD72}" type="presParOf" srcId="{0355E223-3C7E-432E-8E03-5A08FF1EDFF2}" destId="{091D6454-0025-44A8-9CDD-449281328AA3}" srcOrd="6" destOrd="0" presId="urn:microsoft.com/office/officeart/2005/8/layout/radial6"/>
    <dgm:cxn modelId="{A5522C58-89E3-4040-A619-96606EE31F68}" type="presParOf" srcId="{0355E223-3C7E-432E-8E03-5A08FF1EDFF2}" destId="{945B1EF8-E86F-472E-B304-701175145DA7}" srcOrd="7" destOrd="0" presId="urn:microsoft.com/office/officeart/2005/8/layout/radial6"/>
    <dgm:cxn modelId="{6C38530C-6496-456F-9A17-A5DD689BD454}" type="presParOf" srcId="{0355E223-3C7E-432E-8E03-5A08FF1EDFF2}" destId="{0C5447F0-EA62-42F6-B081-EC69A6F7C39C}" srcOrd="8" destOrd="0" presId="urn:microsoft.com/office/officeart/2005/8/layout/radial6"/>
    <dgm:cxn modelId="{E2166244-5C77-4B99-A2D4-6A9C4AAE5480}" type="presParOf" srcId="{0355E223-3C7E-432E-8E03-5A08FF1EDFF2}" destId="{EE01962D-CB12-478F-AA14-5E711D0DFD66}" srcOrd="9" destOrd="0" presId="urn:microsoft.com/office/officeart/2005/8/layout/radial6"/>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DEF763-AD99-4490-B4E6-0DB7CE59B2CC}"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1AB5C31B-8120-4843-AE15-DBDC2A13D99C}">
      <dgm:prSet phldrT="[Text]" custT="1"/>
      <dgm:spPr/>
      <dgm:t>
        <a:bodyPr/>
        <a:lstStyle/>
        <a:p>
          <a:r>
            <a:rPr lang="ro-RO" sz="1000" b="1"/>
            <a:t>Sprijinirea tranziției verzi și promovarea lanțurilor valorice responsabile și durabile </a:t>
          </a:r>
        </a:p>
      </dgm:t>
    </dgm:pt>
    <dgm:pt modelId="{8346F60A-3627-49B2-B43C-DA96C4421BAB}" type="parTrans" cxnId="{A60911FD-3537-4703-A2DC-9A0772AEF83B}">
      <dgm:prSet/>
      <dgm:spPr/>
      <dgm:t>
        <a:bodyPr/>
        <a:lstStyle/>
        <a:p>
          <a:endParaRPr lang="en-US"/>
        </a:p>
      </dgm:t>
    </dgm:pt>
    <dgm:pt modelId="{DF3DA0A8-7DD4-4173-9C2F-EDB22E645223}" type="sibTrans" cxnId="{A60911FD-3537-4703-A2DC-9A0772AEF83B}">
      <dgm:prSet/>
      <dgm:spPr/>
      <dgm:t>
        <a:bodyPr/>
        <a:lstStyle/>
        <a:p>
          <a:endParaRPr lang="en-US"/>
        </a:p>
      </dgm:t>
    </dgm:pt>
    <dgm:pt modelId="{CA8FC271-6DC3-4B79-95F0-8337E13C96C7}">
      <dgm:prSet phldrT="[Text]" custT="1"/>
      <dgm:spPr/>
      <dgm:t>
        <a:bodyPr/>
        <a:lstStyle/>
        <a:p>
          <a:r>
            <a:rPr lang="ro-RO" sz="1000" b="1"/>
            <a:t>Sprijinirea tranziției digitale și a comerțului cu servicii</a:t>
          </a:r>
        </a:p>
      </dgm:t>
    </dgm:pt>
    <dgm:pt modelId="{C8EBEA3B-BB51-48CD-85A1-C14232D67D31}" type="parTrans" cxnId="{4DFF3A21-429C-4B85-A934-8C3B3C595E91}">
      <dgm:prSet/>
      <dgm:spPr/>
      <dgm:t>
        <a:bodyPr/>
        <a:lstStyle/>
        <a:p>
          <a:endParaRPr lang="en-US"/>
        </a:p>
      </dgm:t>
    </dgm:pt>
    <dgm:pt modelId="{CB770EB1-63E6-4D8C-8A52-D31908175198}" type="sibTrans" cxnId="{4DFF3A21-429C-4B85-A934-8C3B3C595E91}">
      <dgm:prSet/>
      <dgm:spPr/>
      <dgm:t>
        <a:bodyPr/>
        <a:lstStyle/>
        <a:p>
          <a:endParaRPr lang="en-US"/>
        </a:p>
      </dgm:t>
    </dgm:pt>
    <dgm:pt modelId="{D5B6B206-F8B9-4AB1-AD5E-379785C5F069}">
      <dgm:prSet phldrT="[Text]" custT="1"/>
      <dgm:spPr/>
      <dgm:t>
        <a:bodyPr/>
        <a:lstStyle/>
        <a:p>
          <a:r>
            <a:rPr lang="ro-RO" sz="1000" b="1"/>
            <a:t>Consolidarea impactului UE în materie de reglementare</a:t>
          </a:r>
        </a:p>
      </dgm:t>
    </dgm:pt>
    <dgm:pt modelId="{D55982F6-59BD-42B1-988C-5E149633DA54}" type="parTrans" cxnId="{D31E018A-7A79-405B-A2C4-B4973D2DF78C}">
      <dgm:prSet/>
      <dgm:spPr/>
      <dgm:t>
        <a:bodyPr/>
        <a:lstStyle/>
        <a:p>
          <a:endParaRPr lang="en-US"/>
        </a:p>
      </dgm:t>
    </dgm:pt>
    <dgm:pt modelId="{824B7657-FE3D-40E5-B762-7DD07EAE1E38}" type="sibTrans" cxnId="{D31E018A-7A79-405B-A2C4-B4973D2DF78C}">
      <dgm:prSet/>
      <dgm:spPr/>
      <dgm:t>
        <a:bodyPr/>
        <a:lstStyle/>
        <a:p>
          <a:endParaRPr lang="en-US"/>
        </a:p>
      </dgm:t>
    </dgm:pt>
    <dgm:pt modelId="{8A639019-46BE-480D-832F-48FB36679658}">
      <dgm:prSet phldrT="[Text]" custT="1"/>
      <dgm:spPr/>
      <dgm:t>
        <a:bodyPr/>
        <a:lstStyle/>
        <a:p>
          <a:r>
            <a:rPr lang="ro-RO" sz="1000" b="1"/>
            <a:t>Consolidarea parteneriatelor UE cu țările învecinate, țările implicate în procesul de aderare și cu Africa</a:t>
          </a:r>
        </a:p>
      </dgm:t>
    </dgm:pt>
    <dgm:pt modelId="{B2903335-F6C0-47A9-9DB6-AA919FF90E2D}" type="parTrans" cxnId="{E0F79ACF-D1F9-4529-9CCD-C7849211C656}">
      <dgm:prSet/>
      <dgm:spPr/>
      <dgm:t>
        <a:bodyPr/>
        <a:lstStyle/>
        <a:p>
          <a:endParaRPr lang="en-US"/>
        </a:p>
      </dgm:t>
    </dgm:pt>
    <dgm:pt modelId="{DDA2CB4D-7344-419B-BE1D-349006B5D681}" type="sibTrans" cxnId="{E0F79ACF-D1F9-4529-9CCD-C7849211C656}">
      <dgm:prSet/>
      <dgm:spPr/>
      <dgm:t>
        <a:bodyPr/>
        <a:lstStyle/>
        <a:p>
          <a:endParaRPr lang="en-US"/>
        </a:p>
      </dgm:t>
    </dgm:pt>
    <dgm:pt modelId="{062CD78A-27FD-4A76-80FB-075D3603579B}">
      <dgm:prSet phldrT="[Text]" custT="1"/>
      <dgm:spPr/>
      <dgm:t>
        <a:bodyPr/>
        <a:lstStyle/>
        <a:p>
          <a:r>
            <a:rPr lang="ro-RO" sz="1000" b="1"/>
            <a:t>Consolidarea accentului pus de UE pe punerea în aplicare și asigurarea respectării acordurilor comerciale și asigurarea unor condiții de concurență echitabile</a:t>
          </a:r>
        </a:p>
      </dgm:t>
    </dgm:pt>
    <dgm:pt modelId="{65687086-8059-42EB-8775-680E3A978FAB}" type="parTrans" cxnId="{EC9D76EC-3BE8-482F-AAB2-3896963F0787}">
      <dgm:prSet/>
      <dgm:spPr/>
      <dgm:t>
        <a:bodyPr/>
        <a:lstStyle/>
        <a:p>
          <a:endParaRPr lang="en-US"/>
        </a:p>
      </dgm:t>
    </dgm:pt>
    <dgm:pt modelId="{5F0C8645-C94E-42C0-9CBB-73FB3E944FD9}" type="sibTrans" cxnId="{EC9D76EC-3BE8-482F-AAB2-3896963F0787}">
      <dgm:prSet/>
      <dgm:spPr/>
      <dgm:t>
        <a:bodyPr/>
        <a:lstStyle/>
        <a:p>
          <a:endParaRPr lang="en-US"/>
        </a:p>
      </dgm:t>
    </dgm:pt>
    <dgm:pt modelId="{984BBD98-8E3E-4EB9-93D4-187FF0C44BE6}">
      <dgm:prSet phldrT="[Text]" custT="1"/>
      <dgm:spPr/>
      <dgm:t>
        <a:bodyPr/>
        <a:lstStyle/>
        <a:p>
          <a:r>
            <a:rPr lang="ro-RO" sz="1000" b="1"/>
            <a:t>Reformarea OMC </a:t>
          </a:r>
        </a:p>
      </dgm:t>
    </dgm:pt>
    <dgm:pt modelId="{98EFA791-6844-40E8-A949-02F7CEADD6FC}" type="parTrans" cxnId="{B938EA90-48F6-4DEF-A7E4-CA099B78EC5C}">
      <dgm:prSet/>
      <dgm:spPr/>
      <dgm:t>
        <a:bodyPr/>
        <a:lstStyle/>
        <a:p>
          <a:endParaRPr lang="en-US"/>
        </a:p>
      </dgm:t>
    </dgm:pt>
    <dgm:pt modelId="{003423DD-76B0-48D1-8AF2-AAACDE94C4CF}" type="sibTrans" cxnId="{B938EA90-48F6-4DEF-A7E4-CA099B78EC5C}">
      <dgm:prSet/>
      <dgm:spPr/>
      <dgm:t>
        <a:bodyPr/>
        <a:lstStyle/>
        <a:p>
          <a:endParaRPr lang="en-US"/>
        </a:p>
      </dgm:t>
    </dgm:pt>
    <dgm:pt modelId="{830A6A14-B33D-4CB3-9C50-405A9AEBD273}" type="pres">
      <dgm:prSet presAssocID="{30DEF763-AD99-4490-B4E6-0DB7CE59B2CC}" presName="Name0" presStyleCnt="0">
        <dgm:presLayoutVars>
          <dgm:chMax val="7"/>
          <dgm:chPref val="7"/>
          <dgm:dir/>
        </dgm:presLayoutVars>
      </dgm:prSet>
      <dgm:spPr/>
      <dgm:t>
        <a:bodyPr/>
        <a:lstStyle/>
        <a:p>
          <a:endParaRPr lang="en-US"/>
        </a:p>
      </dgm:t>
    </dgm:pt>
    <dgm:pt modelId="{C650A871-0967-46DB-B8A1-3A6D57F701B4}" type="pres">
      <dgm:prSet presAssocID="{30DEF763-AD99-4490-B4E6-0DB7CE59B2CC}" presName="Name1" presStyleCnt="0"/>
      <dgm:spPr/>
    </dgm:pt>
    <dgm:pt modelId="{E9AB4DA9-B28B-4164-BD41-7AD79214E18A}" type="pres">
      <dgm:prSet presAssocID="{30DEF763-AD99-4490-B4E6-0DB7CE59B2CC}" presName="cycle" presStyleCnt="0"/>
      <dgm:spPr/>
    </dgm:pt>
    <dgm:pt modelId="{0F701AA2-BB1F-4CCE-8A0F-5A3563BF32DD}" type="pres">
      <dgm:prSet presAssocID="{30DEF763-AD99-4490-B4E6-0DB7CE59B2CC}" presName="srcNode" presStyleLbl="node1" presStyleIdx="0" presStyleCnt="6"/>
      <dgm:spPr/>
    </dgm:pt>
    <dgm:pt modelId="{DB3067A9-D2E2-48F7-A450-F15F0538E996}" type="pres">
      <dgm:prSet presAssocID="{30DEF763-AD99-4490-B4E6-0DB7CE59B2CC}" presName="conn" presStyleLbl="parChTrans1D2" presStyleIdx="0" presStyleCnt="1"/>
      <dgm:spPr/>
      <dgm:t>
        <a:bodyPr/>
        <a:lstStyle/>
        <a:p>
          <a:endParaRPr lang="en-US"/>
        </a:p>
      </dgm:t>
    </dgm:pt>
    <dgm:pt modelId="{6F427888-C31C-4966-8D70-6123E2984CB4}" type="pres">
      <dgm:prSet presAssocID="{30DEF763-AD99-4490-B4E6-0DB7CE59B2CC}" presName="extraNode" presStyleLbl="node1" presStyleIdx="0" presStyleCnt="6"/>
      <dgm:spPr/>
    </dgm:pt>
    <dgm:pt modelId="{E9B85D2B-D45F-4E14-B90C-99021E590C2F}" type="pres">
      <dgm:prSet presAssocID="{30DEF763-AD99-4490-B4E6-0DB7CE59B2CC}" presName="dstNode" presStyleLbl="node1" presStyleIdx="0" presStyleCnt="6"/>
      <dgm:spPr/>
    </dgm:pt>
    <dgm:pt modelId="{0A3BDEFB-94D3-441A-83B9-27142A1455F3}" type="pres">
      <dgm:prSet presAssocID="{984BBD98-8E3E-4EB9-93D4-187FF0C44BE6}" presName="text_1" presStyleLbl="node1" presStyleIdx="0" presStyleCnt="6" custLinFactNeighborX="-991" custLinFactNeighborY="4632">
        <dgm:presLayoutVars>
          <dgm:bulletEnabled val="1"/>
        </dgm:presLayoutVars>
      </dgm:prSet>
      <dgm:spPr/>
      <dgm:t>
        <a:bodyPr/>
        <a:lstStyle/>
        <a:p>
          <a:endParaRPr lang="en-US"/>
        </a:p>
      </dgm:t>
    </dgm:pt>
    <dgm:pt modelId="{544C9253-2159-4697-979E-86D8879C62D9}" type="pres">
      <dgm:prSet presAssocID="{984BBD98-8E3E-4EB9-93D4-187FF0C44BE6}" presName="accent_1" presStyleCnt="0"/>
      <dgm:spPr/>
    </dgm:pt>
    <dgm:pt modelId="{A473D55E-13CD-4B10-8A8B-26CAF01C6DAA}" type="pres">
      <dgm:prSet presAssocID="{984BBD98-8E3E-4EB9-93D4-187FF0C44BE6}" presName="accentRepeatNode" presStyleLbl="solidFgAcc1" presStyleIdx="0" presStyleCnt="6"/>
      <dgm:spPr/>
    </dgm:pt>
    <dgm:pt modelId="{81B33856-CEB8-4796-9F79-A7F8447C3065}" type="pres">
      <dgm:prSet presAssocID="{1AB5C31B-8120-4843-AE15-DBDC2A13D99C}" presName="text_2" presStyleLbl="node1" presStyleIdx="1" presStyleCnt="6">
        <dgm:presLayoutVars>
          <dgm:bulletEnabled val="1"/>
        </dgm:presLayoutVars>
      </dgm:prSet>
      <dgm:spPr/>
      <dgm:t>
        <a:bodyPr/>
        <a:lstStyle/>
        <a:p>
          <a:endParaRPr lang="en-US"/>
        </a:p>
      </dgm:t>
    </dgm:pt>
    <dgm:pt modelId="{CF1B9593-C000-457F-BB92-AEB90B8232F7}" type="pres">
      <dgm:prSet presAssocID="{1AB5C31B-8120-4843-AE15-DBDC2A13D99C}" presName="accent_2" presStyleCnt="0"/>
      <dgm:spPr/>
    </dgm:pt>
    <dgm:pt modelId="{3B9616CF-F83D-43E1-86F6-A295F0E7B9D1}" type="pres">
      <dgm:prSet presAssocID="{1AB5C31B-8120-4843-AE15-DBDC2A13D99C}" presName="accentRepeatNode" presStyleLbl="solidFgAcc1" presStyleIdx="1" presStyleCnt="6"/>
      <dgm:spPr/>
    </dgm:pt>
    <dgm:pt modelId="{94404558-FC2F-4CD7-9C33-35752FF152E2}" type="pres">
      <dgm:prSet presAssocID="{CA8FC271-6DC3-4B79-95F0-8337E13C96C7}" presName="text_3" presStyleLbl="node1" presStyleIdx="2" presStyleCnt="6">
        <dgm:presLayoutVars>
          <dgm:bulletEnabled val="1"/>
        </dgm:presLayoutVars>
      </dgm:prSet>
      <dgm:spPr/>
      <dgm:t>
        <a:bodyPr/>
        <a:lstStyle/>
        <a:p>
          <a:endParaRPr lang="en-US"/>
        </a:p>
      </dgm:t>
    </dgm:pt>
    <dgm:pt modelId="{984CF672-979A-4105-A995-2D053DF508C8}" type="pres">
      <dgm:prSet presAssocID="{CA8FC271-6DC3-4B79-95F0-8337E13C96C7}" presName="accent_3" presStyleCnt="0"/>
      <dgm:spPr/>
    </dgm:pt>
    <dgm:pt modelId="{4AAA8D86-E076-4A74-BA37-9ADFB7F3FE02}" type="pres">
      <dgm:prSet presAssocID="{CA8FC271-6DC3-4B79-95F0-8337E13C96C7}" presName="accentRepeatNode" presStyleLbl="solidFgAcc1" presStyleIdx="2" presStyleCnt="6"/>
      <dgm:spPr/>
    </dgm:pt>
    <dgm:pt modelId="{A6082631-159F-4806-992E-AA71550C7FD6}" type="pres">
      <dgm:prSet presAssocID="{D5B6B206-F8B9-4AB1-AD5E-379785C5F069}" presName="text_4" presStyleLbl="node1" presStyleIdx="3" presStyleCnt="6">
        <dgm:presLayoutVars>
          <dgm:bulletEnabled val="1"/>
        </dgm:presLayoutVars>
      </dgm:prSet>
      <dgm:spPr/>
      <dgm:t>
        <a:bodyPr/>
        <a:lstStyle/>
        <a:p>
          <a:endParaRPr lang="en-US"/>
        </a:p>
      </dgm:t>
    </dgm:pt>
    <dgm:pt modelId="{E5D597AB-1849-446E-ADC1-856A30DEBEF6}" type="pres">
      <dgm:prSet presAssocID="{D5B6B206-F8B9-4AB1-AD5E-379785C5F069}" presName="accent_4" presStyleCnt="0"/>
      <dgm:spPr/>
    </dgm:pt>
    <dgm:pt modelId="{E845C4F7-AEC2-434D-BF38-638E32584606}" type="pres">
      <dgm:prSet presAssocID="{D5B6B206-F8B9-4AB1-AD5E-379785C5F069}" presName="accentRepeatNode" presStyleLbl="solidFgAcc1" presStyleIdx="3" presStyleCnt="6"/>
      <dgm:spPr/>
    </dgm:pt>
    <dgm:pt modelId="{BE3668DE-1D23-4F18-9D4C-CDE7B81BF328}" type="pres">
      <dgm:prSet presAssocID="{8A639019-46BE-480D-832F-48FB36679658}" presName="text_5" presStyleLbl="node1" presStyleIdx="4" presStyleCnt="6">
        <dgm:presLayoutVars>
          <dgm:bulletEnabled val="1"/>
        </dgm:presLayoutVars>
      </dgm:prSet>
      <dgm:spPr/>
      <dgm:t>
        <a:bodyPr/>
        <a:lstStyle/>
        <a:p>
          <a:endParaRPr lang="en-US"/>
        </a:p>
      </dgm:t>
    </dgm:pt>
    <dgm:pt modelId="{4FE13796-D4BB-42FF-94F0-79384EE26372}" type="pres">
      <dgm:prSet presAssocID="{8A639019-46BE-480D-832F-48FB36679658}" presName="accent_5" presStyleCnt="0"/>
      <dgm:spPr/>
    </dgm:pt>
    <dgm:pt modelId="{666912A2-BD97-4E89-878C-107EB60294F3}" type="pres">
      <dgm:prSet presAssocID="{8A639019-46BE-480D-832F-48FB36679658}" presName="accentRepeatNode" presStyleLbl="solidFgAcc1" presStyleIdx="4" presStyleCnt="6"/>
      <dgm:spPr/>
    </dgm:pt>
    <dgm:pt modelId="{C81F021B-F978-4E71-8F28-A188F6ED0062}" type="pres">
      <dgm:prSet presAssocID="{062CD78A-27FD-4A76-80FB-075D3603579B}" presName="text_6" presStyleLbl="node1" presStyleIdx="5" presStyleCnt="6">
        <dgm:presLayoutVars>
          <dgm:bulletEnabled val="1"/>
        </dgm:presLayoutVars>
      </dgm:prSet>
      <dgm:spPr/>
      <dgm:t>
        <a:bodyPr/>
        <a:lstStyle/>
        <a:p>
          <a:endParaRPr lang="en-US"/>
        </a:p>
      </dgm:t>
    </dgm:pt>
    <dgm:pt modelId="{EF1273FF-4902-44D7-AE52-EB93A27D10D6}" type="pres">
      <dgm:prSet presAssocID="{062CD78A-27FD-4A76-80FB-075D3603579B}" presName="accent_6" presStyleCnt="0"/>
      <dgm:spPr/>
    </dgm:pt>
    <dgm:pt modelId="{BEE13A2C-9427-4ED7-BB24-4B8314D7193C}" type="pres">
      <dgm:prSet presAssocID="{062CD78A-27FD-4A76-80FB-075D3603579B}" presName="accentRepeatNode" presStyleLbl="solidFgAcc1" presStyleIdx="5" presStyleCnt="6"/>
      <dgm:spPr/>
    </dgm:pt>
  </dgm:ptLst>
  <dgm:cxnLst>
    <dgm:cxn modelId="{A60911FD-3537-4703-A2DC-9A0772AEF83B}" srcId="{30DEF763-AD99-4490-B4E6-0DB7CE59B2CC}" destId="{1AB5C31B-8120-4843-AE15-DBDC2A13D99C}" srcOrd="1" destOrd="0" parTransId="{8346F60A-3627-49B2-B43C-DA96C4421BAB}" sibTransId="{DF3DA0A8-7DD4-4173-9C2F-EDB22E645223}"/>
    <dgm:cxn modelId="{B938EA90-48F6-4DEF-A7E4-CA099B78EC5C}" srcId="{30DEF763-AD99-4490-B4E6-0DB7CE59B2CC}" destId="{984BBD98-8E3E-4EB9-93D4-187FF0C44BE6}" srcOrd="0" destOrd="0" parTransId="{98EFA791-6844-40E8-A949-02F7CEADD6FC}" sibTransId="{003423DD-76B0-48D1-8AF2-AAACDE94C4CF}"/>
    <dgm:cxn modelId="{3B4A2B3B-3448-462A-A187-6C6277FBC81E}" type="presOf" srcId="{062CD78A-27FD-4A76-80FB-075D3603579B}" destId="{C81F021B-F978-4E71-8F28-A188F6ED0062}" srcOrd="0" destOrd="0" presId="urn:microsoft.com/office/officeart/2008/layout/VerticalCurvedList"/>
    <dgm:cxn modelId="{F6EE9E3C-FE64-4F27-B8F9-42C947948C04}" type="presOf" srcId="{1AB5C31B-8120-4843-AE15-DBDC2A13D99C}" destId="{81B33856-CEB8-4796-9F79-A7F8447C3065}" srcOrd="0" destOrd="0" presId="urn:microsoft.com/office/officeart/2008/layout/VerticalCurvedList"/>
    <dgm:cxn modelId="{DDA4731B-469B-4DE9-8777-6B7870715239}" type="presOf" srcId="{984BBD98-8E3E-4EB9-93D4-187FF0C44BE6}" destId="{0A3BDEFB-94D3-441A-83B9-27142A1455F3}" srcOrd="0" destOrd="0" presId="urn:microsoft.com/office/officeart/2008/layout/VerticalCurvedList"/>
    <dgm:cxn modelId="{4DFF3A21-429C-4B85-A934-8C3B3C595E91}" srcId="{30DEF763-AD99-4490-B4E6-0DB7CE59B2CC}" destId="{CA8FC271-6DC3-4B79-95F0-8337E13C96C7}" srcOrd="2" destOrd="0" parTransId="{C8EBEA3B-BB51-48CD-85A1-C14232D67D31}" sibTransId="{CB770EB1-63E6-4D8C-8A52-D31908175198}"/>
    <dgm:cxn modelId="{BA0EF83C-7E53-44D5-95F2-4B153652002F}" type="presOf" srcId="{8A639019-46BE-480D-832F-48FB36679658}" destId="{BE3668DE-1D23-4F18-9D4C-CDE7B81BF328}" srcOrd="0" destOrd="0" presId="urn:microsoft.com/office/officeart/2008/layout/VerticalCurvedList"/>
    <dgm:cxn modelId="{68DA6009-25B0-41A4-B2F8-6C6DF4670901}" type="presOf" srcId="{30DEF763-AD99-4490-B4E6-0DB7CE59B2CC}" destId="{830A6A14-B33D-4CB3-9C50-405A9AEBD273}" srcOrd="0" destOrd="0" presId="urn:microsoft.com/office/officeart/2008/layout/VerticalCurvedList"/>
    <dgm:cxn modelId="{EC9D76EC-3BE8-482F-AAB2-3896963F0787}" srcId="{30DEF763-AD99-4490-B4E6-0DB7CE59B2CC}" destId="{062CD78A-27FD-4A76-80FB-075D3603579B}" srcOrd="5" destOrd="0" parTransId="{65687086-8059-42EB-8775-680E3A978FAB}" sibTransId="{5F0C8645-C94E-42C0-9CBB-73FB3E944FD9}"/>
    <dgm:cxn modelId="{D31E018A-7A79-405B-A2C4-B4973D2DF78C}" srcId="{30DEF763-AD99-4490-B4E6-0DB7CE59B2CC}" destId="{D5B6B206-F8B9-4AB1-AD5E-379785C5F069}" srcOrd="3" destOrd="0" parTransId="{D55982F6-59BD-42B1-988C-5E149633DA54}" sibTransId="{824B7657-FE3D-40E5-B762-7DD07EAE1E38}"/>
    <dgm:cxn modelId="{1BCBD1F4-F8C0-4B20-A928-FF008FB9757C}" type="presOf" srcId="{003423DD-76B0-48D1-8AF2-AAACDE94C4CF}" destId="{DB3067A9-D2E2-48F7-A450-F15F0538E996}" srcOrd="0" destOrd="0" presId="urn:microsoft.com/office/officeart/2008/layout/VerticalCurvedList"/>
    <dgm:cxn modelId="{97C26AA4-273F-4946-A3C4-5D57C011B2D0}" type="presOf" srcId="{D5B6B206-F8B9-4AB1-AD5E-379785C5F069}" destId="{A6082631-159F-4806-992E-AA71550C7FD6}" srcOrd="0" destOrd="0" presId="urn:microsoft.com/office/officeart/2008/layout/VerticalCurvedList"/>
    <dgm:cxn modelId="{E0F79ACF-D1F9-4529-9CCD-C7849211C656}" srcId="{30DEF763-AD99-4490-B4E6-0DB7CE59B2CC}" destId="{8A639019-46BE-480D-832F-48FB36679658}" srcOrd="4" destOrd="0" parTransId="{B2903335-F6C0-47A9-9DB6-AA919FF90E2D}" sibTransId="{DDA2CB4D-7344-419B-BE1D-349006B5D681}"/>
    <dgm:cxn modelId="{33E8C14F-2BA0-4877-81A4-EC11861803DB}" type="presOf" srcId="{CA8FC271-6DC3-4B79-95F0-8337E13C96C7}" destId="{94404558-FC2F-4CD7-9C33-35752FF152E2}" srcOrd="0" destOrd="0" presId="urn:microsoft.com/office/officeart/2008/layout/VerticalCurvedList"/>
    <dgm:cxn modelId="{9D84C8C8-85DF-4B77-854A-32632B022C7A}" type="presParOf" srcId="{830A6A14-B33D-4CB3-9C50-405A9AEBD273}" destId="{C650A871-0967-46DB-B8A1-3A6D57F701B4}" srcOrd="0" destOrd="0" presId="urn:microsoft.com/office/officeart/2008/layout/VerticalCurvedList"/>
    <dgm:cxn modelId="{5FDB4E4B-B67A-47D7-BA0E-4514FBBAC4E8}" type="presParOf" srcId="{C650A871-0967-46DB-B8A1-3A6D57F701B4}" destId="{E9AB4DA9-B28B-4164-BD41-7AD79214E18A}" srcOrd="0" destOrd="0" presId="urn:microsoft.com/office/officeart/2008/layout/VerticalCurvedList"/>
    <dgm:cxn modelId="{60E94B7B-2B8E-49ED-9682-B950E5010C02}" type="presParOf" srcId="{E9AB4DA9-B28B-4164-BD41-7AD79214E18A}" destId="{0F701AA2-BB1F-4CCE-8A0F-5A3563BF32DD}" srcOrd="0" destOrd="0" presId="urn:microsoft.com/office/officeart/2008/layout/VerticalCurvedList"/>
    <dgm:cxn modelId="{283A72F4-4FFE-4589-879D-9A02D85F5971}" type="presParOf" srcId="{E9AB4DA9-B28B-4164-BD41-7AD79214E18A}" destId="{DB3067A9-D2E2-48F7-A450-F15F0538E996}" srcOrd="1" destOrd="0" presId="urn:microsoft.com/office/officeart/2008/layout/VerticalCurvedList"/>
    <dgm:cxn modelId="{402E00EE-414F-4929-BD21-C7F071A95B7D}" type="presParOf" srcId="{E9AB4DA9-B28B-4164-BD41-7AD79214E18A}" destId="{6F427888-C31C-4966-8D70-6123E2984CB4}" srcOrd="2" destOrd="0" presId="urn:microsoft.com/office/officeart/2008/layout/VerticalCurvedList"/>
    <dgm:cxn modelId="{E2B32416-F5A9-457C-97A5-C1C6FD01FE6B}" type="presParOf" srcId="{E9AB4DA9-B28B-4164-BD41-7AD79214E18A}" destId="{E9B85D2B-D45F-4E14-B90C-99021E590C2F}" srcOrd="3" destOrd="0" presId="urn:microsoft.com/office/officeart/2008/layout/VerticalCurvedList"/>
    <dgm:cxn modelId="{214CB659-16B1-4DB7-A3BC-FBF46791027C}" type="presParOf" srcId="{C650A871-0967-46DB-B8A1-3A6D57F701B4}" destId="{0A3BDEFB-94D3-441A-83B9-27142A1455F3}" srcOrd="1" destOrd="0" presId="urn:microsoft.com/office/officeart/2008/layout/VerticalCurvedList"/>
    <dgm:cxn modelId="{D7FD08E2-405B-482B-8F6C-E1AA33A08ABD}" type="presParOf" srcId="{C650A871-0967-46DB-B8A1-3A6D57F701B4}" destId="{544C9253-2159-4697-979E-86D8879C62D9}" srcOrd="2" destOrd="0" presId="urn:microsoft.com/office/officeart/2008/layout/VerticalCurvedList"/>
    <dgm:cxn modelId="{08F176C6-A32B-4957-BE06-059EF5FBA502}" type="presParOf" srcId="{544C9253-2159-4697-979E-86D8879C62D9}" destId="{A473D55E-13CD-4B10-8A8B-26CAF01C6DAA}" srcOrd="0" destOrd="0" presId="urn:microsoft.com/office/officeart/2008/layout/VerticalCurvedList"/>
    <dgm:cxn modelId="{E9B61FD2-68B9-4CB1-B7A6-A334FB1741DB}" type="presParOf" srcId="{C650A871-0967-46DB-B8A1-3A6D57F701B4}" destId="{81B33856-CEB8-4796-9F79-A7F8447C3065}" srcOrd="3" destOrd="0" presId="urn:microsoft.com/office/officeart/2008/layout/VerticalCurvedList"/>
    <dgm:cxn modelId="{C457487D-F4FD-4C0F-864E-E5B84E2A6CAD}" type="presParOf" srcId="{C650A871-0967-46DB-B8A1-3A6D57F701B4}" destId="{CF1B9593-C000-457F-BB92-AEB90B8232F7}" srcOrd="4" destOrd="0" presId="urn:microsoft.com/office/officeart/2008/layout/VerticalCurvedList"/>
    <dgm:cxn modelId="{CEBE9BC7-6EA3-4CD8-B6DE-A5DE8560B2A1}" type="presParOf" srcId="{CF1B9593-C000-457F-BB92-AEB90B8232F7}" destId="{3B9616CF-F83D-43E1-86F6-A295F0E7B9D1}" srcOrd="0" destOrd="0" presId="urn:microsoft.com/office/officeart/2008/layout/VerticalCurvedList"/>
    <dgm:cxn modelId="{9E1413DD-018D-4AD2-8316-A000FDD44350}" type="presParOf" srcId="{C650A871-0967-46DB-B8A1-3A6D57F701B4}" destId="{94404558-FC2F-4CD7-9C33-35752FF152E2}" srcOrd="5" destOrd="0" presId="urn:microsoft.com/office/officeart/2008/layout/VerticalCurvedList"/>
    <dgm:cxn modelId="{024F31CB-C258-4DD1-A58F-282624AA77CF}" type="presParOf" srcId="{C650A871-0967-46DB-B8A1-3A6D57F701B4}" destId="{984CF672-979A-4105-A995-2D053DF508C8}" srcOrd="6" destOrd="0" presId="urn:microsoft.com/office/officeart/2008/layout/VerticalCurvedList"/>
    <dgm:cxn modelId="{965AF8BB-5F98-4D95-880A-8447D2BD8DCE}" type="presParOf" srcId="{984CF672-979A-4105-A995-2D053DF508C8}" destId="{4AAA8D86-E076-4A74-BA37-9ADFB7F3FE02}" srcOrd="0" destOrd="0" presId="urn:microsoft.com/office/officeart/2008/layout/VerticalCurvedList"/>
    <dgm:cxn modelId="{5DB16736-557B-4886-B016-4E5B8706D392}" type="presParOf" srcId="{C650A871-0967-46DB-B8A1-3A6D57F701B4}" destId="{A6082631-159F-4806-992E-AA71550C7FD6}" srcOrd="7" destOrd="0" presId="urn:microsoft.com/office/officeart/2008/layout/VerticalCurvedList"/>
    <dgm:cxn modelId="{228F9192-9404-4D48-865D-00975639D963}" type="presParOf" srcId="{C650A871-0967-46DB-B8A1-3A6D57F701B4}" destId="{E5D597AB-1849-446E-ADC1-856A30DEBEF6}" srcOrd="8" destOrd="0" presId="urn:microsoft.com/office/officeart/2008/layout/VerticalCurvedList"/>
    <dgm:cxn modelId="{95700C4B-86E8-4BB2-B48A-9F32533CB73E}" type="presParOf" srcId="{E5D597AB-1849-446E-ADC1-856A30DEBEF6}" destId="{E845C4F7-AEC2-434D-BF38-638E32584606}" srcOrd="0" destOrd="0" presId="urn:microsoft.com/office/officeart/2008/layout/VerticalCurvedList"/>
    <dgm:cxn modelId="{8710153B-4033-4BE1-B8EA-8ECE5E90BB1A}" type="presParOf" srcId="{C650A871-0967-46DB-B8A1-3A6D57F701B4}" destId="{BE3668DE-1D23-4F18-9D4C-CDE7B81BF328}" srcOrd="9" destOrd="0" presId="urn:microsoft.com/office/officeart/2008/layout/VerticalCurvedList"/>
    <dgm:cxn modelId="{B4A38DA8-EA49-4161-9F64-3871C1E6F030}" type="presParOf" srcId="{C650A871-0967-46DB-B8A1-3A6D57F701B4}" destId="{4FE13796-D4BB-42FF-94F0-79384EE26372}" srcOrd="10" destOrd="0" presId="urn:microsoft.com/office/officeart/2008/layout/VerticalCurvedList"/>
    <dgm:cxn modelId="{DA865C83-9E24-44CE-B043-89045080E827}" type="presParOf" srcId="{4FE13796-D4BB-42FF-94F0-79384EE26372}" destId="{666912A2-BD97-4E89-878C-107EB60294F3}" srcOrd="0" destOrd="0" presId="urn:microsoft.com/office/officeart/2008/layout/VerticalCurvedList"/>
    <dgm:cxn modelId="{67334EE4-D93F-4BFB-AA03-699961266479}" type="presParOf" srcId="{C650A871-0967-46DB-B8A1-3A6D57F701B4}" destId="{C81F021B-F978-4E71-8F28-A188F6ED0062}" srcOrd="11" destOrd="0" presId="urn:microsoft.com/office/officeart/2008/layout/VerticalCurvedList"/>
    <dgm:cxn modelId="{BB44DD83-E724-4A23-8CCD-7C9C0278E2AD}" type="presParOf" srcId="{C650A871-0967-46DB-B8A1-3A6D57F701B4}" destId="{EF1273FF-4902-44D7-AE52-EB93A27D10D6}" srcOrd="12" destOrd="0" presId="urn:microsoft.com/office/officeart/2008/layout/VerticalCurvedList"/>
    <dgm:cxn modelId="{28A04A76-9729-4FA2-87B1-36CB7BB9767C}" type="presParOf" srcId="{EF1273FF-4902-44D7-AE52-EB93A27D10D6}" destId="{BEE13A2C-9427-4ED7-BB24-4B8314D7193C}" srcOrd="0" destOrd="0" presId="urn:microsoft.com/office/officeart/2008/layout/VerticalCurv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01962D-CB12-478F-AA14-5E711D0DFD66}">
      <dsp:nvSpPr>
        <dsp:cNvPr id="0" name=""/>
        <dsp:cNvSpPr/>
      </dsp:nvSpPr>
      <dsp:spPr>
        <a:xfrm>
          <a:off x="354166" y="336393"/>
          <a:ext cx="2242511" cy="2242511"/>
        </a:xfrm>
        <a:prstGeom prst="blockArc">
          <a:avLst>
            <a:gd name="adj1" fmla="val 9000000"/>
            <a:gd name="adj2" fmla="val 162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91D6454-0025-44A8-9CDD-449281328AA3}">
      <dsp:nvSpPr>
        <dsp:cNvPr id="0" name=""/>
        <dsp:cNvSpPr/>
      </dsp:nvSpPr>
      <dsp:spPr>
        <a:xfrm>
          <a:off x="354166" y="336393"/>
          <a:ext cx="2242511" cy="2242511"/>
        </a:xfrm>
        <a:prstGeom prst="blockArc">
          <a:avLst>
            <a:gd name="adj1" fmla="val 1800000"/>
            <a:gd name="adj2" fmla="val 90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054CA62-A9FF-410B-9EA2-3947425A1D14}">
      <dsp:nvSpPr>
        <dsp:cNvPr id="0" name=""/>
        <dsp:cNvSpPr/>
      </dsp:nvSpPr>
      <dsp:spPr>
        <a:xfrm>
          <a:off x="354166" y="336393"/>
          <a:ext cx="2242511" cy="2242511"/>
        </a:xfrm>
        <a:prstGeom prst="blockArc">
          <a:avLst>
            <a:gd name="adj1" fmla="val 16200000"/>
            <a:gd name="adj2" fmla="val 18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7320055-6C78-4D51-A5C5-29CADEE13636}">
      <dsp:nvSpPr>
        <dsp:cNvPr id="0" name=""/>
        <dsp:cNvSpPr/>
      </dsp:nvSpPr>
      <dsp:spPr>
        <a:xfrm>
          <a:off x="958880" y="941107"/>
          <a:ext cx="1033083" cy="10330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o-RO" sz="1200" kern="1200"/>
            <a:t>Autonomia strategică deschisă</a:t>
          </a:r>
        </a:p>
      </dsp:txBody>
      <dsp:txXfrm>
        <a:off x="1110172" y="1092399"/>
        <a:ext cx="730499" cy="730499"/>
      </dsp:txXfrm>
    </dsp:sp>
    <dsp:sp modelId="{D8AE66B2-B084-4942-AA91-B18AD3F9A3B8}">
      <dsp:nvSpPr>
        <dsp:cNvPr id="0" name=""/>
        <dsp:cNvSpPr/>
      </dsp:nvSpPr>
      <dsp:spPr>
        <a:xfrm>
          <a:off x="1069737" y="847"/>
          <a:ext cx="811369"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ro-RO" sz="700" kern="1200"/>
            <a:t>Reziliență și competitivitate</a:t>
          </a:r>
        </a:p>
      </dsp:txBody>
      <dsp:txXfrm>
        <a:off x="1188559" y="106751"/>
        <a:ext cx="573725" cy="511350"/>
      </dsp:txXfrm>
    </dsp:sp>
    <dsp:sp modelId="{213F6EDC-EB7D-4AB9-8440-9110A947582E}">
      <dsp:nvSpPr>
        <dsp:cNvPr id="0" name=""/>
        <dsp:cNvSpPr/>
      </dsp:nvSpPr>
      <dsp:spPr>
        <a:xfrm>
          <a:off x="2062333" y="1643680"/>
          <a:ext cx="723158"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ro-RO" sz="700" kern="1200"/>
            <a:t>Durabilitate și echitate</a:t>
          </a:r>
        </a:p>
      </dsp:txBody>
      <dsp:txXfrm>
        <a:off x="2168237" y="1749584"/>
        <a:ext cx="511350" cy="511350"/>
      </dsp:txXfrm>
    </dsp:sp>
    <dsp:sp modelId="{945B1EF8-E86F-472E-B304-701175145DA7}">
      <dsp:nvSpPr>
        <dsp:cNvPr id="0" name=""/>
        <dsp:cNvSpPr/>
      </dsp:nvSpPr>
      <dsp:spPr>
        <a:xfrm>
          <a:off x="165352" y="1643680"/>
          <a:ext cx="723158"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ro-RO" sz="700" b="0" kern="1200"/>
            <a:t>Fermitate și cooperare bazată pe norme</a:t>
          </a:r>
        </a:p>
      </dsp:txBody>
      <dsp:txXfrm>
        <a:off x="271256" y="1749584"/>
        <a:ext cx="511350" cy="5113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3067A9-D2E2-48F7-A450-F15F0538E996}">
      <dsp:nvSpPr>
        <dsp:cNvPr id="0" name=""/>
        <dsp:cNvSpPr/>
      </dsp:nvSpPr>
      <dsp:spPr>
        <a:xfrm>
          <a:off x="-3531813" y="-542876"/>
          <a:ext cx="4210615" cy="4210615"/>
        </a:xfrm>
        <a:prstGeom prst="blockArc">
          <a:avLst>
            <a:gd name="adj1" fmla="val 18900000"/>
            <a:gd name="adj2" fmla="val 2700000"/>
            <a:gd name="adj3" fmla="val 513"/>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3BDEFB-94D3-441A-83B9-27142A1455F3}">
      <dsp:nvSpPr>
        <dsp:cNvPr id="0" name=""/>
        <dsp:cNvSpPr/>
      </dsp:nvSpPr>
      <dsp:spPr>
        <a:xfrm>
          <a:off x="200982" y="179793"/>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Reformarea OMC </a:t>
          </a:r>
        </a:p>
      </dsp:txBody>
      <dsp:txXfrm>
        <a:off x="200982" y="179793"/>
        <a:ext cx="5382225" cy="328985"/>
      </dsp:txXfrm>
    </dsp:sp>
    <dsp:sp modelId="{A473D55E-13CD-4B10-8A8B-26CAF01C6DAA}">
      <dsp:nvSpPr>
        <dsp:cNvPr id="0" name=""/>
        <dsp:cNvSpPr/>
      </dsp:nvSpPr>
      <dsp:spPr>
        <a:xfrm>
          <a:off x="48704" y="123432"/>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B33856-CEB8-4796-9F79-A7F8447C3065}">
      <dsp:nvSpPr>
        <dsp:cNvPr id="0" name=""/>
        <dsp:cNvSpPr/>
      </dsp:nvSpPr>
      <dsp:spPr>
        <a:xfrm>
          <a:off x="524933" y="657971"/>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Sprijinirea tranziției verzi și promovarea lanțurilor valorice responsabile și durabile </a:t>
          </a:r>
        </a:p>
      </dsp:txBody>
      <dsp:txXfrm>
        <a:off x="524933" y="657971"/>
        <a:ext cx="5111612" cy="328985"/>
      </dsp:txXfrm>
    </dsp:sp>
    <dsp:sp modelId="{3B9616CF-F83D-43E1-86F6-A295F0E7B9D1}">
      <dsp:nvSpPr>
        <dsp:cNvPr id="0" name=""/>
        <dsp:cNvSpPr/>
      </dsp:nvSpPr>
      <dsp:spPr>
        <a:xfrm>
          <a:off x="319317" y="61684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4404558-FC2F-4CD7-9C33-35752FF152E2}">
      <dsp:nvSpPr>
        <dsp:cNvPr id="0" name=""/>
        <dsp:cNvSpPr/>
      </dsp:nvSpPr>
      <dsp:spPr>
        <a:xfrm>
          <a:off x="648678" y="1151387"/>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Sprijinirea tranziției digitale și a comerțului cu servicii</a:t>
          </a:r>
        </a:p>
      </dsp:txBody>
      <dsp:txXfrm>
        <a:off x="648678" y="1151387"/>
        <a:ext cx="4987867" cy="328985"/>
      </dsp:txXfrm>
    </dsp:sp>
    <dsp:sp modelId="{4AAA8D86-E076-4A74-BA37-9ADFB7F3FE02}">
      <dsp:nvSpPr>
        <dsp:cNvPr id="0" name=""/>
        <dsp:cNvSpPr/>
      </dsp:nvSpPr>
      <dsp:spPr>
        <a:xfrm>
          <a:off x="443062" y="111026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082631-159F-4806-992E-AA71550C7FD6}">
      <dsp:nvSpPr>
        <dsp:cNvPr id="0" name=""/>
        <dsp:cNvSpPr/>
      </dsp:nvSpPr>
      <dsp:spPr>
        <a:xfrm>
          <a:off x="648678" y="1644490"/>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Consolidarea impactului UE în materie de reglementare</a:t>
          </a:r>
        </a:p>
      </dsp:txBody>
      <dsp:txXfrm>
        <a:off x="648678" y="1644490"/>
        <a:ext cx="4987867" cy="328985"/>
      </dsp:txXfrm>
    </dsp:sp>
    <dsp:sp modelId="{E845C4F7-AEC2-434D-BF38-638E32584606}">
      <dsp:nvSpPr>
        <dsp:cNvPr id="0" name=""/>
        <dsp:cNvSpPr/>
      </dsp:nvSpPr>
      <dsp:spPr>
        <a:xfrm>
          <a:off x="443062" y="160336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E3668DE-1D23-4F18-9D4C-CDE7B81BF328}">
      <dsp:nvSpPr>
        <dsp:cNvPr id="0" name=""/>
        <dsp:cNvSpPr/>
      </dsp:nvSpPr>
      <dsp:spPr>
        <a:xfrm>
          <a:off x="524933" y="2137906"/>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Consolidarea parteneriatelor UE cu țările învecinate, țările implicate în procesul de aderare și cu Africa</a:t>
          </a:r>
        </a:p>
      </dsp:txBody>
      <dsp:txXfrm>
        <a:off x="524933" y="2137906"/>
        <a:ext cx="5111612" cy="328985"/>
      </dsp:txXfrm>
    </dsp:sp>
    <dsp:sp modelId="{666912A2-BD97-4E89-878C-107EB60294F3}">
      <dsp:nvSpPr>
        <dsp:cNvPr id="0" name=""/>
        <dsp:cNvSpPr/>
      </dsp:nvSpPr>
      <dsp:spPr>
        <a:xfrm>
          <a:off x="319317" y="209678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1F021B-F978-4E71-8F28-A188F6ED0062}">
      <dsp:nvSpPr>
        <dsp:cNvPr id="0" name=""/>
        <dsp:cNvSpPr/>
      </dsp:nvSpPr>
      <dsp:spPr>
        <a:xfrm>
          <a:off x="254320" y="2631322"/>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ro-RO" sz="1000" b="1" kern="1200"/>
            <a:t>Consolidarea accentului pus de UE pe punerea în aplicare și asigurarea respectării acordurilor comerciale și asigurarea unor condiții de concurență echitabile</a:t>
          </a:r>
        </a:p>
      </dsp:txBody>
      <dsp:txXfrm>
        <a:off x="254320" y="2631322"/>
        <a:ext cx="5382225" cy="328985"/>
      </dsp:txXfrm>
    </dsp:sp>
    <dsp:sp modelId="{BEE13A2C-9427-4ED7-BB24-4B8314D7193C}">
      <dsp:nvSpPr>
        <dsp:cNvPr id="0" name=""/>
        <dsp:cNvSpPr/>
      </dsp:nvSpPr>
      <dsp:spPr>
        <a:xfrm>
          <a:off x="48704" y="2590198"/>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0.04812</cdr:x>
      <cdr:y>0.90821</cdr:y>
    </cdr:from>
    <cdr:to>
      <cdr:x>0.38641</cdr:x>
      <cdr:y>1</cdr:y>
    </cdr:to>
    <cdr:sp macro="" textlink="">
      <cdr:nvSpPr>
        <cdr:cNvPr id="2" name="TextBox 1"/>
        <cdr:cNvSpPr txBox="1"/>
      </cdr:nvSpPr>
      <cdr:spPr>
        <a:xfrm xmlns:a="http://schemas.openxmlformats.org/drawingml/2006/main">
          <a:off x="157364" y="2387600"/>
          <a:ext cx="1106286"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S</a:t>
          </a:r>
          <a:r>
            <a:rPr lang="ro-RO" sz="900"/>
            <a:t>ursă</a:t>
          </a:r>
          <a:r>
            <a:rPr lang="en-GB" sz="900"/>
            <a:t>: </a:t>
          </a:r>
          <a:r>
            <a:rPr lang="ro-RO" sz="900"/>
            <a:t>datele FMI</a:t>
          </a:r>
          <a:endParaRPr lang="en-GB"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471340CBA4654BA84E7DD4CE698728" ma:contentTypeVersion="2" ma:contentTypeDescription="Create a new document." ma:contentTypeScope="" ma:versionID="36d905695e1f3e7f45fe844e4128c8b9">
  <xsd:schema xmlns:xsd="http://www.w3.org/2001/XMLSchema" xmlns:xs="http://www.w3.org/2001/XMLSchema" xmlns:p="http://schemas.microsoft.com/office/2006/metadata/properties" xmlns:ns2="53619c5a-7cd8-4d48-81ef-767b21413fb2" xmlns:ns3="12e4cd07-ce28-47ef-abba-e1b50083baae" targetNamespace="http://schemas.microsoft.com/office/2006/metadata/properties" ma:root="true" ma:fieldsID="8fd2ebfba59c6ad7792bb50b7f8dd8e8" ns2:_="" ns3:_="">
    <xsd:import namespace="53619c5a-7cd8-4d48-81ef-767b21413fb2"/>
    <xsd:import namespace="12e4cd07-ce28-47ef-abba-e1b50083baae"/>
    <xsd:element name="properties">
      <xsd:complexType>
        <xsd:sequence>
          <xsd:element name="documentManagement">
            <xsd:complexType>
              <xsd:all>
                <xsd:element ref="ns2:Classifi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19c5a-7cd8-4d48-81ef-767b21413fb2" elementFormDefault="qualified">
    <xsd:import namespace="http://schemas.microsoft.com/office/2006/documentManagement/types"/>
    <xsd:import namespace="http://schemas.microsoft.com/office/infopath/2007/PartnerControls"/>
    <xsd:element name="Classification" ma:index="8" nillable="true" ma:displayName="Classification" ma:list="{908909eb-df2b-455a-8dd9-3fe96e4427ae}" ma:internalName="Classification"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e4cd07-ce28-47ef-abba-e1b50083baa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assification xmlns="53619c5a-7cd8-4d48-81ef-767b21413fb2">
      <Value>11</Value>
    </Classification>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4ED82C8-9025-4D12-9B3D-A3EE80E84854}">
  <ds:schemaRefs>
    <ds:schemaRef ds:uri="http://schemas.microsoft.com/sharepoint/v3/contenttype/forms"/>
  </ds:schemaRefs>
</ds:datastoreItem>
</file>

<file path=customXml/itemProps2.xml><?xml version="1.0" encoding="utf-8"?>
<ds:datastoreItem xmlns:ds="http://schemas.openxmlformats.org/officeDocument/2006/customXml" ds:itemID="{564541EA-A149-47BF-A0D4-C0DB0D132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19c5a-7cd8-4d48-81ef-767b21413fb2"/>
    <ds:schemaRef ds:uri="12e4cd07-ce28-47ef-abba-e1b50083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C5174-75C7-4536-9B9A-3094C20CED02}">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53619c5a-7cd8-4d48-81ef-767b21413fb2"/>
    <ds:schemaRef ds:uri="http://schemas.openxmlformats.org/package/2006/metadata/core-properties"/>
    <ds:schemaRef ds:uri="12e4cd07-ce28-47ef-abba-e1b50083baae"/>
    <ds:schemaRef ds:uri="http://www.w3.org/XML/1998/namespace"/>
  </ds:schemaRefs>
</ds:datastoreItem>
</file>

<file path=customXml/itemProps4.xml><?xml version="1.0" encoding="utf-8"?>
<ds:datastoreItem xmlns:ds="http://schemas.openxmlformats.org/officeDocument/2006/customXml" ds:itemID="{7A3AA324-E8E1-46E9-B210-2B0408F5A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10</Pages>
  <Words>10116</Words>
  <Characters>59789</Characters>
  <Application>Microsoft Office Word</Application>
  <DocSecurity>0</DocSecurity>
  <Lines>879</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30</cp:revision>
  <dcterms:created xsi:type="dcterms:W3CDTF">2021-02-16T14:51:00Z</dcterms:created>
  <dcterms:modified xsi:type="dcterms:W3CDTF">2021-02-22T09:26:00Z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_LW_INVALIDATED__LW_INVALIDATED__LW_INVALIDATED__LW_INVALIDATED__LW_INVALIDATED_ContentTypeId">
    <vt:lpwstr>0x010100BF471340CBA4654BA84E7DD4CE698728</vt:lpwstr>
  </property>
  <property fmtid="{D5CDD505-2E9C-101B-9397-08002B2CF9AE}" pid="10" name="_LW_INVALIDATED__LW_INVALIDATED__LW_INVALIDATED__LW_INVALIDATED_ContentTypeId">
    <vt:lpwstr>0x010100BF471340CBA4654BA84E7DD4CE698728</vt:lpwstr>
  </property>
  <property fmtid="{D5CDD505-2E9C-101B-9397-08002B2CF9AE}" pid="11" name="_LW_INVALIDATED__LW_INVALIDATED__LW_INVALIDATED_ContentTypeId">
    <vt:lpwstr>0x010100BF471340CBA4654BA84E7DD4CE698728</vt:lpwstr>
  </property>
</Properties>
</file>