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4D3FE" w14:textId="36599341" w:rsidR="00EF4B8E" w:rsidRDefault="006C3072" w:rsidP="006C3072">
      <w:pPr>
        <w:pStyle w:val="Pagedecouverture"/>
        <w:rPr>
          <w:noProof/>
        </w:rPr>
      </w:pPr>
      <w:bookmarkStart w:id="0" w:name="LW_BM_COVERPAGE"/>
      <w:r>
        <w:rPr>
          <w:noProof/>
        </w:rPr>
        <w:pict w14:anchorId="7D4C65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64851C4-8A4D-4E30-A7D8-7C49E1487017" style="width:455.25pt;height:351.75pt">
            <v:imagedata r:id="rId8" o:title=""/>
          </v:shape>
        </w:pict>
      </w:r>
    </w:p>
    <w:bookmarkEnd w:id="0"/>
    <w:p w14:paraId="412ED0CA" w14:textId="77777777" w:rsidR="00EF4B8E" w:rsidRDefault="00EF4B8E" w:rsidP="00EF4B8E">
      <w:pPr>
        <w:rPr>
          <w:noProof/>
          <w:lang w:val="en-IE"/>
        </w:rPr>
        <w:sectPr w:rsidR="00EF4B8E" w:rsidSect="006C3072">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14:paraId="721BB145" w14:textId="5374C177" w:rsidR="007E6F5E" w:rsidRPr="00011967" w:rsidRDefault="00336C0A" w:rsidP="006475C1">
      <w:pPr>
        <w:pStyle w:val="ListParagraph"/>
        <w:numPr>
          <w:ilvl w:val="0"/>
          <w:numId w:val="2"/>
        </w:numPr>
        <w:spacing w:after="240"/>
        <w:ind w:left="714" w:hanging="357"/>
        <w:jc w:val="both"/>
        <w:rPr>
          <w:rFonts w:ascii="Times New Roman" w:hAnsi="Times New Roman" w:cs="Times New Roman"/>
          <w:b/>
          <w:smallCaps/>
          <w:noProof/>
          <w:sz w:val="24"/>
          <w:szCs w:val="24"/>
        </w:rPr>
      </w:pPr>
      <w:bookmarkStart w:id="1" w:name="_GoBack"/>
      <w:bookmarkEnd w:id="1"/>
      <w:r>
        <w:rPr>
          <w:rFonts w:ascii="Times New Roman" w:hAnsi="Times New Roman"/>
          <w:b/>
          <w:smallCaps/>
          <w:noProof/>
          <w:sz w:val="24"/>
        </w:rPr>
        <w:lastRenderedPageBreak/>
        <w:t>Introduction</w:t>
      </w:r>
    </w:p>
    <w:p w14:paraId="48F32541" w14:textId="77777777" w:rsidR="00365171" w:rsidRDefault="00CD63F0" w:rsidP="003D6C12">
      <w:pPr>
        <w:pStyle w:val="gmail-body"/>
        <w:shd w:val="clear" w:color="auto" w:fill="FFFFFF"/>
        <w:spacing w:before="0" w:after="160" w:line="235" w:lineRule="atLeast"/>
        <w:jc w:val="both"/>
        <w:rPr>
          <w:rFonts w:cs="Times New Roman"/>
          <w:bCs/>
          <w:noProof/>
        </w:rPr>
      </w:pPr>
      <w:r>
        <w:rPr>
          <w:b/>
          <w:noProof/>
        </w:rPr>
        <w:t>L’Union européenne (UE) est fermement résolue à faire en sorte que ses accords commerciaux favorisent la durabilité</w:t>
      </w:r>
      <w:r>
        <w:rPr>
          <w:noProof/>
        </w:rPr>
        <w:t xml:space="preserve">, de manière à ce que la croissance économique aille de pair avec la protection des droits de l’homme, du travail décent, du climat et de l’environnement, dans le plein respect des valeurs et des priorités de l’Union. Dans le contexte géopolitique actuel, marqué par une instabilité accrue, l’UE doit renforcer son engagement vis-à-vis des pays tiers en tant que partenaire fiable. La politique commerciale de l’UE instaure un cadre solide pour la coopération avec les partenaires commerciaux sur les questions de durabilité liées au commerce. Cette approche se fonde sur les règles internationales concernant le travail et l’environnement, par l’intermédiaire de processus structurés et transparents, avec le concours de la société civile. </w:t>
      </w:r>
    </w:p>
    <w:p w14:paraId="25003E9E" w14:textId="3844F837" w:rsidR="003D6C12" w:rsidRPr="00011967" w:rsidRDefault="00336C0A" w:rsidP="003D6C12">
      <w:pPr>
        <w:pStyle w:val="gmail-body"/>
        <w:shd w:val="clear" w:color="auto" w:fill="FFFFFF"/>
        <w:spacing w:before="0" w:after="160" w:line="235" w:lineRule="atLeast"/>
        <w:jc w:val="both"/>
        <w:rPr>
          <w:rStyle w:val="None"/>
          <w:rFonts w:cs="Times New Roman"/>
          <w:noProof/>
        </w:rPr>
      </w:pPr>
      <w:r>
        <w:rPr>
          <w:b/>
          <w:noProof/>
        </w:rPr>
        <w:t>La présente communication précise comment renforcer encore davantage la contribution des accords commerciaux au développement durable</w:t>
      </w:r>
      <w:r>
        <w:rPr>
          <w:noProof/>
        </w:rPr>
        <w:t xml:space="preserve">. Tous les accords commerciaux modernes de l’UE comprennent déjà des chapitres consacrés au commerce et au développement durable (CDD). Depuis </w:t>
      </w:r>
      <w:r w:rsidRPr="00626FE8">
        <w:rPr>
          <w:noProof/>
        </w:rPr>
        <w:t>2018</w:t>
      </w:r>
      <w:r>
        <w:rPr>
          <w:noProof/>
        </w:rPr>
        <w:t xml:space="preserve">, le plan d’action en </w:t>
      </w:r>
      <w:r w:rsidRPr="00626FE8">
        <w:rPr>
          <w:noProof/>
        </w:rPr>
        <w:t>15</w:t>
      </w:r>
      <w:r>
        <w:rPr>
          <w:noProof/>
        </w:rPr>
        <w:t xml:space="preserve"> points oriente la mise en œuvre et l’application renforcées de ces chapitres</w:t>
      </w:r>
      <w:r>
        <w:rPr>
          <w:rFonts w:cs="Times New Roman"/>
          <w:noProof/>
          <w:vertAlign w:val="superscript"/>
          <w:lang w:val="en-IE"/>
        </w:rPr>
        <w:footnoteReference w:id="2"/>
      </w:r>
      <w:r>
        <w:rPr>
          <w:noProof/>
        </w:rPr>
        <w:t xml:space="preserve">. En juin </w:t>
      </w:r>
      <w:r w:rsidRPr="00626FE8">
        <w:rPr>
          <w:noProof/>
        </w:rPr>
        <w:t>2021</w:t>
      </w:r>
      <w:r>
        <w:rPr>
          <w:noProof/>
        </w:rPr>
        <w:t xml:space="preserve">, la Commission a lancé </w:t>
      </w:r>
      <w:r>
        <w:rPr>
          <w:b/>
          <w:noProof/>
        </w:rPr>
        <w:t>un réexamen approfondi</w:t>
      </w:r>
      <w:r>
        <w:rPr>
          <w:noProof/>
        </w:rPr>
        <w:t xml:space="preserve"> visant à </w:t>
      </w:r>
      <w:r>
        <w:rPr>
          <w:b/>
          <w:noProof/>
        </w:rPr>
        <w:t>consolider la capacité des accords commerciaux dans leur ensemble</w:t>
      </w:r>
      <w:r>
        <w:rPr>
          <w:noProof/>
        </w:rPr>
        <w:t xml:space="preserve"> – plutôt que de leurs seuls chapitres CDD – </w:t>
      </w:r>
      <w:r>
        <w:rPr>
          <w:b/>
          <w:noProof/>
        </w:rPr>
        <w:t>à défendre le commerce durable, en coopération avec les partenaires commerciaux</w:t>
      </w:r>
      <w:r>
        <w:rPr>
          <w:noProof/>
        </w:rPr>
        <w:t xml:space="preserve"> et </w:t>
      </w:r>
      <w:r>
        <w:rPr>
          <w:b/>
          <w:noProof/>
        </w:rPr>
        <w:t>en association avec d’autres instruments d’action pertinents de l’UE, dont le pacte vert pour l’Europe</w:t>
      </w:r>
      <w:r>
        <w:rPr>
          <w:rStyle w:val="FootnoteReference"/>
          <w:rFonts w:cs="Times New Roman"/>
          <w:noProof/>
          <w:lang w:val="en-IE"/>
        </w:rPr>
        <w:footnoteReference w:id="3"/>
      </w:r>
      <w:r>
        <w:rPr>
          <w:rStyle w:val="FootnoteReference"/>
          <w:rFonts w:cs="Times New Roman"/>
          <w:noProof/>
          <w:lang w:val="en-IE"/>
        </w:rPr>
        <w:footnoteReference w:id="4"/>
      </w:r>
      <w:r>
        <w:rPr>
          <w:noProof/>
        </w:rPr>
        <w:t>.</w:t>
      </w:r>
    </w:p>
    <w:p w14:paraId="22D4C2FC" w14:textId="50E1F737" w:rsidR="007E6F5E" w:rsidRPr="00011967" w:rsidRDefault="51664043" w:rsidP="00784DDB">
      <w:pPr>
        <w:pStyle w:val="gmail-body"/>
        <w:shd w:val="clear" w:color="auto" w:fill="FFFFFF" w:themeFill="background1"/>
        <w:spacing w:after="160" w:line="235" w:lineRule="atLeast"/>
        <w:jc w:val="both"/>
        <w:rPr>
          <w:rFonts w:cs="Times New Roman"/>
          <w:noProof/>
        </w:rPr>
      </w:pPr>
      <w:r>
        <w:rPr>
          <w:rStyle w:val="None"/>
          <w:noProof/>
        </w:rPr>
        <w:t xml:space="preserve">Dans le cadre de ce réexamen, la Commission a demandé une </w:t>
      </w:r>
      <w:r>
        <w:rPr>
          <w:rStyle w:val="None"/>
          <w:b/>
          <w:noProof/>
        </w:rPr>
        <w:t>étude comparative indépendante</w:t>
      </w:r>
      <w:r>
        <w:rPr>
          <w:rStyle w:val="None"/>
          <w:noProof/>
        </w:rPr>
        <w:t xml:space="preserve"> sur les pratiques en matière de commerce et de développement durable dans les accords commerciaux avec les pays tiers, étude qui a confirmé que l’UE faisait partie des pionniers et des principaux chefs de file en matière de promotion de la durabilité grâce à ses accords commerciaux</w:t>
      </w:r>
      <w:r>
        <w:rPr>
          <w:rStyle w:val="None"/>
          <w:rFonts w:cs="Times New Roman"/>
          <w:noProof/>
          <w:vertAlign w:val="superscript"/>
          <w:lang w:val="en-IE"/>
        </w:rPr>
        <w:footnoteReference w:id="5"/>
      </w:r>
      <w:r>
        <w:rPr>
          <w:rStyle w:val="None"/>
          <w:noProof/>
        </w:rPr>
        <w:t xml:space="preserve">. De plus, afin de collecter des informations auprès d’un éventail aussi large que possible de citoyens et de parties prenantes, la Commission a mené une </w:t>
      </w:r>
      <w:r>
        <w:rPr>
          <w:rStyle w:val="None"/>
          <w:b/>
          <w:noProof/>
        </w:rPr>
        <w:t>consultation publique ouverte</w:t>
      </w:r>
      <w:r>
        <w:rPr>
          <w:rStyle w:val="None"/>
          <w:noProof/>
        </w:rPr>
        <w:t>, qui a permis de recueillir de nombreuses contributions à la fois auprès des entreprises et des syndicats, mais aussi auprès des associations de défense de l’environnement et des droits de l’homme ainsi que des partenaires sociaux</w:t>
      </w:r>
      <w:r>
        <w:rPr>
          <w:rStyle w:val="None"/>
          <w:rFonts w:cs="Times New Roman"/>
          <w:noProof/>
          <w:vertAlign w:val="superscript"/>
          <w:lang w:val="en-IE"/>
        </w:rPr>
        <w:footnoteReference w:id="6"/>
      </w:r>
      <w:r>
        <w:rPr>
          <w:rStyle w:val="None"/>
          <w:noProof/>
        </w:rPr>
        <w:t xml:space="preserve">. Celle-ci s’est accompagnée d’un échange de vues approfondi avec les États membres, le Parlement européen et le Comité économique et social européen. </w:t>
      </w:r>
    </w:p>
    <w:p w14:paraId="6DAE6FA0" w14:textId="0CADBD56" w:rsidR="007E6F5E" w:rsidRDefault="00336C0A" w:rsidP="0080719A">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Sur la base des informations et des recommandations reçues tout au long du processus de réexamen des chapitres portant sur le commerce et le développement durable (ci-après le «réexamen des chapitres CDD»), la Commission a recensé un ensemble de </w:t>
      </w:r>
      <w:r>
        <w:rPr>
          <w:rStyle w:val="None"/>
          <w:rFonts w:ascii="Times New Roman" w:hAnsi="Times New Roman"/>
          <w:b/>
          <w:noProof/>
          <w:sz w:val="24"/>
        </w:rPr>
        <w:t>priorités d’intervention</w:t>
      </w:r>
      <w:r>
        <w:rPr>
          <w:rStyle w:val="None"/>
          <w:rFonts w:ascii="Times New Roman" w:hAnsi="Times New Roman"/>
          <w:noProof/>
          <w:sz w:val="24"/>
        </w:rPr>
        <w:t xml:space="preserve"> et de </w:t>
      </w:r>
      <w:r>
        <w:rPr>
          <w:rStyle w:val="None"/>
          <w:rFonts w:ascii="Times New Roman" w:hAnsi="Times New Roman"/>
          <w:b/>
          <w:noProof/>
          <w:sz w:val="24"/>
        </w:rPr>
        <w:t>grands points d’action</w:t>
      </w:r>
      <w:r>
        <w:rPr>
          <w:rStyle w:val="None"/>
          <w:rFonts w:ascii="Times New Roman" w:hAnsi="Times New Roman"/>
          <w:noProof/>
          <w:sz w:val="24"/>
        </w:rPr>
        <w:t xml:space="preserve">, qui permettront, grâce à des règles d’application plus strictes, de renforcer encore davantage l’efficacité de son approche actuelle en matière de commerce et de développement durable, approche fondée sur des engagements ainsi que sur un cadre et des normes définis au niveau international. La nouvelle approche détaillée ci-après inclut une étape de mise en conformité pleine et entière ainsi que le recours à des sanctions commerciales dans des cas spécifiques et bien définis. </w:t>
      </w:r>
    </w:p>
    <w:p w14:paraId="57FD38DF" w14:textId="77777777" w:rsidR="007E6F5E" w:rsidRPr="00011967" w:rsidRDefault="00336C0A" w:rsidP="006475C1">
      <w:pPr>
        <w:pStyle w:val="ListParagraph"/>
        <w:numPr>
          <w:ilvl w:val="0"/>
          <w:numId w:val="2"/>
        </w:numPr>
        <w:spacing w:after="240"/>
        <w:ind w:left="714" w:hanging="357"/>
        <w:jc w:val="both"/>
        <w:rPr>
          <w:rFonts w:ascii="Times New Roman" w:hAnsi="Times New Roman" w:cs="Times New Roman"/>
          <w:b/>
          <w:smallCaps/>
          <w:noProof/>
          <w:sz w:val="24"/>
          <w:szCs w:val="24"/>
        </w:rPr>
      </w:pPr>
      <w:r>
        <w:rPr>
          <w:rFonts w:ascii="Times New Roman" w:hAnsi="Times New Roman"/>
          <w:b/>
          <w:smallCaps/>
          <w:noProof/>
          <w:sz w:val="24"/>
        </w:rPr>
        <w:t>Comment les accords commerciaux de l’UE contribuent-ils au programme de développement durable?</w:t>
      </w:r>
    </w:p>
    <w:p w14:paraId="451E6CEA" w14:textId="4F924888" w:rsidR="00271445" w:rsidRPr="00011967" w:rsidRDefault="51664043" w:rsidP="00271445">
      <w:pPr>
        <w:pStyle w:val="BodyA"/>
        <w:jc w:val="both"/>
        <w:rPr>
          <w:rStyle w:val="None"/>
          <w:rFonts w:ascii="Times New Roman" w:hAnsi="Times New Roman" w:cs="Times New Roman"/>
          <w:noProof/>
          <w:sz w:val="24"/>
          <w:szCs w:val="24"/>
        </w:rPr>
      </w:pPr>
      <w:r>
        <w:rPr>
          <w:rStyle w:val="None"/>
          <w:rFonts w:ascii="Times New Roman" w:hAnsi="Times New Roman"/>
          <w:b/>
          <w:noProof/>
          <w:sz w:val="24"/>
        </w:rPr>
        <w:t>Les accords commerciaux constituent un moteur important de croissance durable, tant pour l’UE que pour les pays partenaires</w:t>
      </w:r>
      <w:r>
        <w:rPr>
          <w:rStyle w:val="None"/>
          <w:rFonts w:ascii="Times New Roman" w:hAnsi="Times New Roman"/>
          <w:noProof/>
          <w:sz w:val="24"/>
        </w:rPr>
        <w:t xml:space="preserve">. La prospérité et la compétitivité économiques de l’Europe reposent sur une stratégie commerciale active. </w:t>
      </w:r>
      <w:r>
        <w:rPr>
          <w:rFonts w:ascii="Times New Roman" w:hAnsi="Times New Roman"/>
          <w:noProof/>
          <w:sz w:val="24"/>
        </w:rPr>
        <w:t>Les accords commerciaux contribuent à créer des emplois, à élargir les marchés et à stimuler la croissance économique et l’innovation</w:t>
      </w:r>
      <w:r>
        <w:rPr>
          <w:rStyle w:val="FootnoteReference"/>
          <w:rFonts w:ascii="Times New Roman" w:hAnsi="Times New Roman" w:cs="Times New Roman"/>
          <w:noProof/>
          <w:sz w:val="24"/>
          <w:szCs w:val="24"/>
          <w:lang w:val="en-IE"/>
        </w:rPr>
        <w:footnoteReference w:id="7"/>
      </w:r>
      <w:r>
        <w:rPr>
          <w:noProof/>
        </w:rPr>
        <w:t>.</w:t>
      </w:r>
      <w:r>
        <w:rPr>
          <w:rStyle w:val="None"/>
          <w:rFonts w:ascii="Times New Roman" w:hAnsi="Times New Roman"/>
          <w:noProof/>
          <w:sz w:val="24"/>
        </w:rPr>
        <w:t xml:space="preserve"> En éliminant les obstacles à l’accès aux marchés, ils abaissent également les coûts et facilitent l’adoption et le déploiement de technologies respectueuses du climat, ainsi que de biens et de services associés qui favorisent la réduction des émissions de gaz à effet de serre dans le monde entier et l’adaptation aux changements climatiques. Les accords commerciaux contribuent également à sécuriser l’approvisionnement en matières premières nécessaires, y compris celles utilisées dans les technologies à faible intensité de carbone. Dans le même temps, le commerce mondial risque aussi d’avoir une incidence sur le climat, la biodiversité ou les conditions de travail. Pour garantir les bienfaits du commerce ouvert, la libéralisation des échanges et la promotion des normes internationales du travail doivent s’accompagner d’une action décisive en matière de climat et d’environnement. En tant qu’instruments pour un partenariat privilégié, les accords commerciaux servent de plateforme pour le dialogue et la coopération stratégiques en matière de durabilité avec les pays partenaires. C’est un élément crucial, car seule une coopération à l’échelle mondiale permettra de faire face aux défis internationaux. </w:t>
      </w:r>
    </w:p>
    <w:p w14:paraId="26D9915E" w14:textId="39F564F8" w:rsidR="007E6F5E" w:rsidRDefault="0053053E" w:rsidP="00044BA2">
      <w:pPr>
        <w:pStyle w:val="BodyA"/>
        <w:jc w:val="both"/>
        <w:rPr>
          <w:rStyle w:val="None"/>
          <w:rFonts w:ascii="Times New Roman" w:hAnsi="Times New Roman" w:cs="Times New Roman"/>
          <w:noProof/>
          <w:sz w:val="24"/>
          <w:szCs w:val="24"/>
        </w:rPr>
      </w:pPr>
      <w:r>
        <w:rPr>
          <w:rStyle w:val="None"/>
          <w:rFonts w:ascii="Times New Roman" w:hAnsi="Times New Roman"/>
          <w:noProof/>
          <w:sz w:val="24"/>
        </w:rPr>
        <w:t>Le</w:t>
      </w:r>
      <w:r>
        <w:rPr>
          <w:rStyle w:val="None"/>
          <w:rFonts w:ascii="Times New Roman" w:hAnsi="Times New Roman"/>
          <w:b/>
          <w:noProof/>
          <w:sz w:val="24"/>
        </w:rPr>
        <w:t xml:space="preserve"> réexamen de la politique commerciale</w:t>
      </w:r>
      <w:r>
        <w:rPr>
          <w:rStyle w:val="None"/>
          <w:rFonts w:ascii="Times New Roman" w:hAnsi="Times New Roman"/>
          <w:noProof/>
          <w:sz w:val="24"/>
        </w:rPr>
        <w:t xml:space="preserve"> a fait du soutien en faveur d’une transition verte et juste l’un des piliers de la politique commerciale de l’UE, en plus de l’ouverture et de la fermeté</w:t>
      </w:r>
      <w:r>
        <w:rPr>
          <w:rStyle w:val="None"/>
          <w:rFonts w:ascii="Times New Roman" w:hAnsi="Times New Roman" w:cs="Times New Roman"/>
          <w:noProof/>
          <w:sz w:val="24"/>
          <w:szCs w:val="24"/>
          <w:vertAlign w:val="superscript"/>
          <w:lang w:val="en-IE"/>
        </w:rPr>
        <w:footnoteReference w:id="8"/>
      </w:r>
      <w:r>
        <w:rPr>
          <w:rStyle w:val="None"/>
          <w:rFonts w:ascii="Times New Roman" w:hAnsi="Times New Roman"/>
          <w:noProof/>
          <w:sz w:val="24"/>
        </w:rPr>
        <w:t xml:space="preserve">. </w:t>
      </w:r>
      <w:r>
        <w:rPr>
          <w:rFonts w:ascii="Times New Roman" w:hAnsi="Times New Roman"/>
          <w:noProof/>
          <w:sz w:val="24"/>
        </w:rPr>
        <w:t xml:space="preserve">Cela est conforme au </w:t>
      </w:r>
      <w:r>
        <w:rPr>
          <w:rFonts w:ascii="Times New Roman" w:hAnsi="Times New Roman"/>
          <w:b/>
          <w:noProof/>
          <w:sz w:val="24"/>
        </w:rPr>
        <w:t>pacte vert pour l’Europe</w:t>
      </w:r>
      <w:r>
        <w:rPr>
          <w:rFonts w:ascii="Times New Roman" w:hAnsi="Times New Roman"/>
          <w:noProof/>
          <w:sz w:val="24"/>
        </w:rPr>
        <w:t xml:space="preserve"> et à la </w:t>
      </w:r>
      <w:r>
        <w:rPr>
          <w:rFonts w:ascii="Times New Roman" w:hAnsi="Times New Roman"/>
          <w:b/>
          <w:noProof/>
          <w:sz w:val="24"/>
        </w:rPr>
        <w:t>communication sur le travail décent dans le monde</w:t>
      </w:r>
      <w:r>
        <w:rPr>
          <w:rFonts w:ascii="Times New Roman" w:hAnsi="Times New Roman" w:cs="Times New Roman"/>
          <w:noProof/>
          <w:sz w:val="24"/>
          <w:szCs w:val="24"/>
          <w:vertAlign w:val="superscript"/>
          <w:lang w:val="en-IE"/>
        </w:rPr>
        <w:footnoteReference w:id="9"/>
      </w:r>
      <w:r>
        <w:rPr>
          <w:rFonts w:ascii="Times New Roman" w:hAnsi="Times New Roman"/>
          <w:noProof/>
          <w:sz w:val="24"/>
        </w:rPr>
        <w:t xml:space="preserve">, qui placent le développement durable au cœur de l’élaboration des politiques et des actions de l’UE. </w:t>
      </w:r>
      <w:r>
        <w:rPr>
          <w:rStyle w:val="None"/>
          <w:rFonts w:ascii="Times New Roman" w:hAnsi="Times New Roman"/>
          <w:noProof/>
          <w:sz w:val="24"/>
        </w:rPr>
        <w:t xml:space="preserve">Les priorités et objectifs en matière de développement durable ont été intégrés dans toutes les politiques de l’UE, conformément au </w:t>
      </w:r>
      <w:r>
        <w:rPr>
          <w:rStyle w:val="None"/>
          <w:rFonts w:ascii="Times New Roman" w:hAnsi="Times New Roman"/>
          <w:b/>
          <w:noProof/>
          <w:sz w:val="24"/>
        </w:rPr>
        <w:t xml:space="preserve">programme des Nations unies à l’horizon </w:t>
      </w:r>
      <w:r w:rsidRPr="00626FE8">
        <w:rPr>
          <w:rStyle w:val="None"/>
          <w:rFonts w:ascii="Times New Roman" w:hAnsi="Times New Roman"/>
          <w:b/>
          <w:noProof/>
          <w:sz w:val="24"/>
        </w:rPr>
        <w:t>2030</w:t>
      </w:r>
      <w:r>
        <w:rPr>
          <w:rStyle w:val="None"/>
          <w:rFonts w:ascii="Times New Roman" w:hAnsi="Times New Roman"/>
          <w:noProof/>
          <w:sz w:val="24"/>
        </w:rPr>
        <w:t xml:space="preserve"> et à ses </w:t>
      </w:r>
      <w:r w:rsidRPr="00626FE8">
        <w:rPr>
          <w:rStyle w:val="None"/>
          <w:rFonts w:ascii="Times New Roman" w:hAnsi="Times New Roman"/>
          <w:b/>
          <w:noProof/>
          <w:sz w:val="24"/>
        </w:rPr>
        <w:t>17</w:t>
      </w:r>
      <w:r>
        <w:rPr>
          <w:rStyle w:val="None"/>
          <w:rFonts w:ascii="Times New Roman" w:hAnsi="Times New Roman"/>
          <w:b/>
          <w:noProof/>
          <w:sz w:val="24"/>
        </w:rPr>
        <w:t> objectifs de développement durable</w:t>
      </w:r>
      <w:r>
        <w:rPr>
          <w:rStyle w:val="None"/>
          <w:rFonts w:ascii="Times New Roman" w:hAnsi="Times New Roman"/>
          <w:noProof/>
          <w:sz w:val="24"/>
        </w:rPr>
        <w:t>, à l’</w:t>
      </w:r>
      <w:r>
        <w:rPr>
          <w:rStyle w:val="None"/>
          <w:rFonts w:ascii="Times New Roman" w:hAnsi="Times New Roman"/>
          <w:b/>
          <w:noProof/>
          <w:sz w:val="24"/>
        </w:rPr>
        <w:t>accord de Paris sur le changement climatique</w:t>
      </w:r>
      <w:r>
        <w:rPr>
          <w:rStyle w:val="None"/>
          <w:rFonts w:ascii="Times New Roman" w:hAnsi="Times New Roman"/>
          <w:noProof/>
          <w:sz w:val="24"/>
        </w:rPr>
        <w:t xml:space="preserve">, et aux autres </w:t>
      </w:r>
      <w:r>
        <w:rPr>
          <w:rStyle w:val="None"/>
          <w:rFonts w:ascii="Times New Roman" w:hAnsi="Times New Roman"/>
          <w:b/>
          <w:noProof/>
          <w:sz w:val="24"/>
        </w:rPr>
        <w:t>accords multilatéraux pour la protection de l’environnement et des normes du travail</w:t>
      </w:r>
      <w:r>
        <w:rPr>
          <w:rStyle w:val="None"/>
          <w:rFonts w:ascii="Times New Roman" w:hAnsi="Times New Roman"/>
          <w:noProof/>
          <w:sz w:val="24"/>
        </w:rPr>
        <w:t>.</w:t>
      </w:r>
      <w:r>
        <w:rPr>
          <w:rStyle w:val="None"/>
          <w:rFonts w:ascii="Times New Roman" w:hAnsi="Times New Roman"/>
          <w:b/>
          <w:noProof/>
          <w:sz w:val="24"/>
        </w:rPr>
        <w:t xml:space="preserve"> </w:t>
      </w:r>
      <w:r>
        <w:rPr>
          <w:rStyle w:val="None"/>
          <w:rFonts w:ascii="Times New Roman" w:hAnsi="Times New Roman"/>
          <w:noProof/>
          <w:sz w:val="24"/>
        </w:rPr>
        <w:t>Ces conventions et accords multilatéraux se sont mués en un cadre mondial pour la coopération internationale et l’action en faveur du développement durable, et servent de boussole pour les engagements en matière de développement durable inscrits également dans les accords commerciaux de l’UE.</w:t>
      </w:r>
    </w:p>
    <w:p w14:paraId="2BE1ED62" w14:textId="31197FD3" w:rsidR="003A4708" w:rsidRPr="003A4708" w:rsidRDefault="003A4708" w:rsidP="003A470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rPr>
          <w:noProof/>
          <w:color w:val="000000"/>
          <w:u w:color="000000"/>
          <w:bdr w:val="none" w:sz="0" w:space="0" w:color="auto"/>
          <w14:textOutline w14:w="12700" w14:cap="flat" w14:cmpd="sng" w14:algn="ctr">
            <w14:noFill/>
            <w14:prstDash w14:val="solid"/>
            <w14:miter w14:lim="100000"/>
          </w14:textOutline>
        </w:rPr>
      </w:pPr>
      <w:r>
        <w:rPr>
          <w:noProof/>
          <w:color w:val="000000"/>
          <w:u w:color="000000"/>
          <w:bdr w:val="none" w:sz="0" w:space="0" w:color="auto"/>
        </w:rPr>
        <w:t xml:space="preserve">L’approche de l’UE en matière de commerce et de développement durable, fondée sur des valeurs, cherche à obtenir </w:t>
      </w:r>
      <w:r>
        <w:rPr>
          <w:b/>
          <w:noProof/>
          <w:color w:val="000000"/>
          <w:u w:color="000000"/>
          <w:bdr w:val="none" w:sz="0" w:space="0" w:color="auto"/>
        </w:rPr>
        <w:t>des pays partenaires des engagements plus larges que ceux qui figurent dans les accords commerciaux des autres acteurs internationaux</w:t>
      </w:r>
      <w:r>
        <w:rPr>
          <w:noProof/>
          <w:color w:val="000000"/>
          <w:u w:color="000000"/>
          <w:bdr w:val="none" w:sz="0" w:space="0" w:color="auto"/>
        </w:rPr>
        <w:t>.</w:t>
      </w:r>
      <w:r>
        <w:rPr>
          <w:noProof/>
          <w:color w:val="000000"/>
          <w:u w:color="000000"/>
          <w:bdr w:val="none" w:sz="0" w:space="0" w:color="auto"/>
          <w14:textOutline w14:w="12700" w14:cap="flat" w14:cmpd="sng" w14:algn="ctr">
            <w14:noFill/>
            <w14:prstDash w14:val="solid"/>
            <w14:miter w14:lim="100000"/>
          </w14:textOutline>
        </w:rPr>
        <w:t xml:space="preserve"> Plus précisément, les chapitres CDD des accords commerciaux de l’UE exigent la </w:t>
      </w:r>
      <w:r>
        <w:rPr>
          <w:b/>
          <w:noProof/>
          <w:color w:val="000000"/>
          <w:u w:color="000000"/>
          <w:bdr w:val="none" w:sz="0" w:space="0" w:color="auto"/>
          <w14:textOutline w14:w="12700" w14:cap="flat" w14:cmpd="sng" w14:algn="ctr">
            <w14:noFill/>
            <w14:prstDash w14:val="solid"/>
            <w14:miter w14:lim="100000"/>
          </w14:textOutline>
        </w:rPr>
        <w:t>mise en œuvre effective</w:t>
      </w:r>
      <w:r>
        <w:rPr>
          <w:noProof/>
          <w:color w:val="000000"/>
          <w:u w:color="000000"/>
          <w:bdr w:val="none" w:sz="0" w:space="0" w:color="auto"/>
          <w14:textOutline w14:w="12700" w14:cap="flat" w14:cmpd="sng" w14:algn="ctr">
            <w14:noFill/>
            <w14:prstDash w14:val="solid"/>
            <w14:miter w14:lim="100000"/>
          </w14:textOutline>
        </w:rPr>
        <w:t xml:space="preserve"> des conventions de l’Organisation internationale du travail (OIT) et des accords multilatéraux sur l’environnement (AME) que chaque partie a ratifiés, tels que l’accord de Paris sur le changement climatique et la convention sur la diversité biologique. </w:t>
      </w:r>
    </w:p>
    <w:p w14:paraId="155CA0DF" w14:textId="2F6D1D2E" w:rsidR="003A4708" w:rsidRPr="003A4708" w:rsidRDefault="003A4708" w:rsidP="003A470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rPr>
          <w:noProof/>
          <w:color w:val="000000"/>
          <w:u w:color="000000"/>
          <w:bdr w:val="none" w:sz="0" w:space="0" w:color="auto"/>
          <w14:textOutline w14:w="0" w14:cap="flat" w14:cmpd="sng" w14:algn="ctr">
            <w14:noFill/>
            <w14:prstDash w14:val="solid"/>
            <w14:bevel/>
          </w14:textOutline>
        </w:rPr>
      </w:pPr>
      <w:r>
        <w:rPr>
          <w:noProof/>
        </w:rPr>
        <w:t xml:space="preserve">Les chapitres CDD des accords commerciaux de l’UE demandent également le </w:t>
      </w:r>
      <w:r>
        <w:rPr>
          <w:b/>
          <w:noProof/>
        </w:rPr>
        <w:t>respect des principes fondamentaux de l’OIT</w:t>
      </w:r>
      <w:r>
        <w:rPr>
          <w:noProof/>
        </w:rPr>
        <w:t xml:space="preserve"> tels qu’établis dans la déclaration de l’OIT relative aux principes et droits fondamentaux au travail de </w:t>
      </w:r>
      <w:r w:rsidRPr="00626FE8">
        <w:rPr>
          <w:noProof/>
        </w:rPr>
        <w:t>1998</w:t>
      </w:r>
      <w:r>
        <w:rPr>
          <w:rStyle w:val="FootnoteReference"/>
          <w:noProof/>
          <w:color w:val="000000"/>
          <w:u w:color="000000"/>
          <w:bdr w:val="none" w:sz="0" w:space="0" w:color="auto"/>
          <w:lang w:val="en-GB" w:eastAsia="en-IE"/>
        </w:rPr>
        <w:footnoteReference w:id="10"/>
      </w:r>
      <w:r>
        <w:rPr>
          <w:noProof/>
        </w:rPr>
        <w:t>.</w:t>
      </w:r>
      <w:r>
        <w:rPr>
          <w:noProof/>
          <w:color w:val="000000"/>
          <w:u w:color="000000"/>
          <w:bdr w:val="none" w:sz="0" w:space="0" w:color="auto"/>
          <w14:textOutline w14:w="12700" w14:cap="flat" w14:cmpd="sng" w14:algn="ctr">
            <w14:noFill/>
            <w14:prstDash w14:val="solid"/>
            <w14:miter w14:lim="100000"/>
          </w14:textOutline>
        </w:rPr>
        <w:t xml:space="preserve"> À cet égard, la Commission salue le travail de l’OIT et sa volonté de renforcer et d’élargir lesdits principes fondamentaux, notamment par la décision prise récemment d’y inclure la sécurité et la santé au travail, et estime que les chapitres CDD devraient également refléter ces évolutions de manière adéquate.</w:t>
      </w:r>
    </w:p>
    <w:p w14:paraId="017FB4A0" w14:textId="1A0C5912" w:rsidR="003A4708" w:rsidRPr="003A4708" w:rsidRDefault="003A4708" w:rsidP="003A470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rPr>
          <w:rStyle w:val="None"/>
          <w:noProof/>
          <w:color w:val="000000"/>
          <w:u w:color="000000"/>
          <w:bdr w:val="none" w:sz="0" w:space="0" w:color="auto"/>
          <w14:textOutline w14:w="12700" w14:cap="flat" w14:cmpd="sng" w14:algn="ctr">
            <w14:noFill/>
            <w14:prstDash w14:val="solid"/>
            <w14:miter w14:lim="100000"/>
          </w14:textOutline>
        </w:rPr>
      </w:pPr>
      <w:r>
        <w:rPr>
          <w:noProof/>
          <w:color w:val="000000"/>
          <w:u w:color="000000"/>
          <w:bdr w:val="none" w:sz="0" w:space="0" w:color="auto"/>
          <w14:textOutline w14:w="12700" w14:cap="flat" w14:cmpd="sng" w14:algn="ctr">
            <w14:noFill/>
            <w14:prstDash w14:val="solid"/>
            <w14:miter w14:lim="100000"/>
          </w14:textOutline>
        </w:rPr>
        <w:t xml:space="preserve">Les chapitres sur le commerce et le développement durable </w:t>
      </w:r>
      <w:r>
        <w:rPr>
          <w:b/>
          <w:noProof/>
          <w:color w:val="000000"/>
          <w:u w:color="000000"/>
          <w:bdr w:val="none" w:sz="0" w:space="0" w:color="auto"/>
          <w14:textOutline w14:w="12700" w14:cap="flat" w14:cmpd="sng" w14:algn="ctr">
            <w14:noFill/>
            <w14:prstDash w14:val="solid"/>
            <w14:miter w14:lim="100000"/>
          </w14:textOutline>
        </w:rPr>
        <w:t>encouragent</w:t>
      </w:r>
      <w:r>
        <w:rPr>
          <w:noProof/>
          <w:color w:val="000000"/>
          <w:u w:color="000000"/>
          <w:bdr w:val="none" w:sz="0" w:space="0" w:color="auto"/>
          <w14:textOutline w14:w="12700" w14:cap="flat" w14:cmpd="sng" w14:algn="ctr">
            <w14:noFill/>
            <w14:prstDash w14:val="solid"/>
            <w14:miter w14:lim="100000"/>
          </w14:textOutline>
        </w:rPr>
        <w:t xml:space="preserve"> également </w:t>
      </w:r>
      <w:r>
        <w:rPr>
          <w:b/>
          <w:noProof/>
          <w:color w:val="000000"/>
          <w:u w:color="000000"/>
          <w:bdr w:val="none" w:sz="0" w:space="0" w:color="auto"/>
          <w14:textOutline w14:w="12700" w14:cap="flat" w14:cmpd="sng" w14:algn="ctr">
            <w14:noFill/>
            <w14:prstDash w14:val="solid"/>
            <w14:miter w14:lim="100000"/>
          </w14:textOutline>
        </w:rPr>
        <w:t>la ratification des conventions fondamentales de l’OIT non encore ratifiées</w:t>
      </w:r>
      <w:r>
        <w:rPr>
          <w:noProof/>
          <w:color w:val="000000"/>
          <w:u w:color="000000"/>
          <w:bdr w:val="none" w:sz="0" w:space="0" w:color="auto"/>
          <w14:textOutline w14:w="12700" w14:cap="flat" w14:cmpd="sng" w14:algn="ctr">
            <w14:noFill/>
            <w14:prstDash w14:val="solid"/>
            <w14:miter w14:lim="100000"/>
          </w14:textOutline>
        </w:rPr>
        <w:t xml:space="preserve"> et comprennent un </w:t>
      </w:r>
      <w:r>
        <w:rPr>
          <w:b/>
          <w:noProof/>
          <w:color w:val="000000"/>
          <w:u w:color="000000"/>
          <w:bdr w:val="none" w:sz="0" w:space="0" w:color="auto"/>
          <w14:textOutline w14:w="12700" w14:cap="flat" w14:cmpd="sng" w14:algn="ctr">
            <w14:noFill/>
            <w14:prstDash w14:val="solid"/>
            <w14:miter w14:lim="100000"/>
          </w14:textOutline>
        </w:rPr>
        <w:t>large éventail d’engagements et de dispositions en matière de coopération</w:t>
      </w:r>
      <w:r>
        <w:rPr>
          <w:noProof/>
          <w:color w:val="000000"/>
          <w:u w:color="000000"/>
          <w:bdr w:val="none" w:sz="0" w:space="0" w:color="auto"/>
          <w14:textOutline w14:w="12700" w14:cap="flat" w14:cmpd="sng" w14:algn="ctr">
            <w14:noFill/>
            <w14:prstDash w14:val="solid"/>
            <w14:miter w14:lim="100000"/>
          </w14:textOutline>
        </w:rPr>
        <w:t xml:space="preserve"> relatifs à des questions comme les droits des travailleurs, le dialogue social, les conditions de travail décentes dont les inspections du travail, la gestion durable des ressources naturelles, la sylviculture, l’aquaculture, la gouvernance des océans et la promotion d’une conduite responsable des entreprises</w:t>
      </w:r>
      <w:r>
        <w:rPr>
          <w:rFonts w:cs="Arial Unicode MS"/>
          <w:noProof/>
          <w:color w:val="000000"/>
          <w:u w:color="000000"/>
          <w:bdr w:val="none" w:sz="0" w:space="0" w:color="auto"/>
          <w:vertAlign w:val="superscript"/>
          <w:lang w:eastAsia="en-IE"/>
        </w:rPr>
        <w:footnoteReference w:id="11"/>
      </w:r>
      <w:r>
        <w:rPr>
          <w:noProof/>
          <w:color w:val="000000"/>
          <w:u w:color="000000"/>
          <w:bdr w:val="none" w:sz="0" w:space="0" w:color="auto"/>
          <w14:textOutline w14:w="12700" w14:cap="flat" w14:cmpd="sng" w14:algn="ctr">
            <w14:noFill/>
            <w14:prstDash w14:val="solid"/>
            <w14:miter w14:lim="100000"/>
          </w14:textOutline>
        </w:rPr>
        <w:t xml:space="preserve">. Désormais, les accords commerciaux de l’UE promeuvent également la coopération comme catalyseur de la transition vers une économie circulaire et économe en ressources ou vers des chaînes d’approvisionnement «zéro déforestation», et encouragent la gouvernance environnementale internationale. Les récents accords commerciaux de l’UE contiennent également des dispositions relatives aux conventions pertinentes de l’ONU et de l’OIT qui favorisent </w:t>
      </w:r>
      <w:r>
        <w:rPr>
          <w:b/>
          <w:noProof/>
          <w:color w:val="000000"/>
          <w:u w:color="000000"/>
          <w:bdr w:val="none" w:sz="0" w:space="0" w:color="auto"/>
          <w14:textOutline w14:w="12700" w14:cap="flat" w14:cmpd="sng" w14:algn="ctr">
            <w14:noFill/>
            <w14:prstDash w14:val="solid"/>
            <w14:miter w14:lim="100000"/>
          </w14:textOutline>
        </w:rPr>
        <w:t>l’émancipation économique des femmes et l’égalité de genre</w:t>
      </w:r>
      <w:r>
        <w:rPr>
          <w:noProof/>
          <w:color w:val="000000"/>
          <w:u w:color="000000"/>
          <w:bdr w:val="none" w:sz="0" w:space="0" w:color="auto"/>
          <w14:textOutline w14:w="12700" w14:cap="flat" w14:cmpd="sng" w14:algn="ctr">
            <w14:noFill/>
            <w14:prstDash w14:val="solid"/>
            <w14:miter w14:lim="100000"/>
          </w14:textOutline>
        </w:rPr>
        <w:t xml:space="preserve">, y compris en promouvant la coopération dans les enceintes internationales dans le but de soutenir ces objectifs, par exemple au sein de l’OMC. </w:t>
      </w:r>
    </w:p>
    <w:p w14:paraId="3BBB6E5D" w14:textId="5BDC274D" w:rsidR="00FA57E0" w:rsidRPr="00011967" w:rsidRDefault="00FA57E0" w:rsidP="005B48CA">
      <w:pPr>
        <w:pStyle w:val="BodyA"/>
        <w:jc w:val="both"/>
        <w:rPr>
          <w:rStyle w:val="None"/>
          <w:rFonts w:ascii="Times New Roman" w:hAnsi="Times New Roman" w:cs="Times New Roman"/>
          <w:i/>
          <w:noProof/>
          <w:sz w:val="24"/>
          <w:szCs w:val="24"/>
          <w:u w:val="single"/>
        </w:rPr>
      </w:pPr>
      <w:r>
        <w:rPr>
          <w:rStyle w:val="None"/>
          <w:rFonts w:ascii="Times New Roman" w:hAnsi="Times New Roman"/>
          <w:i/>
          <w:noProof/>
          <w:sz w:val="24"/>
          <w:u w:val="single"/>
        </w:rPr>
        <w:t>Interaction avec d’autres outils stratégiques</w:t>
      </w:r>
    </w:p>
    <w:p w14:paraId="03AA9460" w14:textId="6DCDB8ED" w:rsidR="007E6F5E" w:rsidRPr="00011967" w:rsidRDefault="51664043" w:rsidP="005B48CA">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Les accords commerciaux de l’UE ne constituent pas des instruments isolés pour la promotion et l’avancement du programme de l’Union en matière de durabilité auprès des pays tiers. Les engagements relatifs au commerce et au développement durable qu’ils contiennent s’inscrivent dans une approche générale associant un </w:t>
      </w:r>
      <w:r>
        <w:rPr>
          <w:rStyle w:val="None"/>
          <w:rFonts w:ascii="Times New Roman" w:hAnsi="Times New Roman"/>
          <w:b/>
          <w:noProof/>
          <w:sz w:val="24"/>
        </w:rPr>
        <w:t>ensemble plus large d’instruments d'action</w:t>
      </w:r>
      <w:r>
        <w:rPr>
          <w:rStyle w:val="None"/>
          <w:rFonts w:ascii="Times New Roman" w:hAnsi="Times New Roman"/>
          <w:noProof/>
          <w:sz w:val="24"/>
        </w:rPr>
        <w:t xml:space="preserve">, des </w:t>
      </w:r>
      <w:r>
        <w:rPr>
          <w:rStyle w:val="None"/>
          <w:rFonts w:ascii="Times New Roman" w:hAnsi="Times New Roman"/>
          <w:b/>
          <w:noProof/>
          <w:sz w:val="24"/>
        </w:rPr>
        <w:t>efforts multilatéraux</w:t>
      </w:r>
      <w:r>
        <w:rPr>
          <w:rStyle w:val="None"/>
          <w:rFonts w:ascii="Times New Roman" w:hAnsi="Times New Roman"/>
          <w:noProof/>
          <w:sz w:val="24"/>
        </w:rPr>
        <w:t xml:space="preserve"> et des </w:t>
      </w:r>
      <w:r>
        <w:rPr>
          <w:rStyle w:val="None"/>
          <w:rFonts w:ascii="Times New Roman" w:hAnsi="Times New Roman"/>
          <w:b/>
          <w:noProof/>
          <w:sz w:val="24"/>
        </w:rPr>
        <w:t>outils de coopération au développement</w:t>
      </w:r>
      <w:r>
        <w:rPr>
          <w:rStyle w:val="None"/>
          <w:rFonts w:ascii="Times New Roman" w:hAnsi="Times New Roman"/>
          <w:noProof/>
          <w:sz w:val="24"/>
        </w:rPr>
        <w:t xml:space="preserve">. En association avec des instruments autonomes de l’UE, ils contribuent à exploiter au mieux les retombées positives du commerce sur le développement durable et à faire en sorte, à l’inverse, que les conséquences négatives soient limitées. </w:t>
      </w:r>
    </w:p>
    <w:p w14:paraId="71AC3465" w14:textId="46CC311B" w:rsidR="009277D0" w:rsidRPr="00011967" w:rsidRDefault="51664043" w:rsidP="005B48CA">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D’ici la fin du mandat actuel de la Commission, l’UE devrait disposer d’un </w:t>
      </w:r>
      <w:r>
        <w:rPr>
          <w:rStyle w:val="None"/>
          <w:rFonts w:ascii="Times New Roman" w:hAnsi="Times New Roman"/>
          <w:b/>
          <w:noProof/>
          <w:sz w:val="24"/>
        </w:rPr>
        <w:t>ensemble ambitieux d’instruments autonomes supplémentaires pour soutenir le développement durable</w:t>
      </w:r>
      <w:r>
        <w:rPr>
          <w:rStyle w:val="None"/>
          <w:rFonts w:ascii="Times New Roman" w:hAnsi="Times New Roman"/>
          <w:noProof/>
          <w:sz w:val="24"/>
        </w:rPr>
        <w:t xml:space="preserve">. En </w:t>
      </w:r>
      <w:r w:rsidRPr="00626FE8">
        <w:rPr>
          <w:rStyle w:val="None"/>
          <w:rFonts w:ascii="Times New Roman" w:hAnsi="Times New Roman"/>
          <w:noProof/>
          <w:sz w:val="24"/>
        </w:rPr>
        <w:t>2021</w:t>
      </w:r>
      <w:r>
        <w:rPr>
          <w:rStyle w:val="None"/>
          <w:rFonts w:ascii="Times New Roman" w:hAnsi="Times New Roman"/>
          <w:noProof/>
          <w:sz w:val="24"/>
        </w:rPr>
        <w:t>, la Commission a présenté une proposition relative à l’établissement d’un mécanisme d’ajustement carbone aux frontières de façon à éviter les fuites de carbone et à accroître l’efficacité de l’action climatique internationale</w:t>
      </w:r>
      <w:r>
        <w:rPr>
          <w:rStyle w:val="None"/>
          <w:rFonts w:ascii="Times New Roman" w:hAnsi="Times New Roman" w:cs="Times New Roman"/>
          <w:noProof/>
          <w:sz w:val="24"/>
          <w:szCs w:val="24"/>
          <w:vertAlign w:val="superscript"/>
          <w:lang w:val="en-IE"/>
        </w:rPr>
        <w:footnoteReference w:id="12"/>
      </w:r>
      <w:r>
        <w:rPr>
          <w:rStyle w:val="None"/>
          <w:rFonts w:ascii="Times New Roman" w:hAnsi="Times New Roman"/>
          <w:noProof/>
          <w:sz w:val="24"/>
        </w:rPr>
        <w:t>, ainsi qu’une proposition sur les produits «zéro déforestation», qui vise à renforcer les efforts de lutte contre la déforestation et la dégradation des forêts</w:t>
      </w:r>
      <w:r>
        <w:rPr>
          <w:rStyle w:val="None"/>
          <w:rFonts w:ascii="Times New Roman" w:hAnsi="Times New Roman" w:cs="Times New Roman"/>
          <w:noProof/>
          <w:sz w:val="24"/>
          <w:szCs w:val="24"/>
          <w:vertAlign w:val="superscript"/>
          <w:lang w:val="en-IE"/>
        </w:rPr>
        <w:footnoteReference w:id="13"/>
      </w:r>
      <w:r>
        <w:rPr>
          <w:rStyle w:val="None"/>
          <w:rFonts w:ascii="Times New Roman" w:hAnsi="Times New Roman"/>
          <w:noProof/>
          <w:sz w:val="24"/>
        </w:rPr>
        <w:t xml:space="preserve">. </w:t>
      </w:r>
      <w:r>
        <w:rPr>
          <w:rFonts w:ascii="Times New Roman" w:hAnsi="Times New Roman"/>
          <w:noProof/>
          <w:sz w:val="24"/>
        </w:rPr>
        <w:t>La même année, la Commission a adopté une stratégie instaurant un train de mesures ambitieux et complet visant à améliorer le flux de capitaux en faveur du financement de la transition vers une économie durable</w:t>
      </w:r>
      <w:r>
        <w:rPr>
          <w:rStyle w:val="FootnoteReference"/>
          <w:rFonts w:ascii="Times New Roman" w:hAnsi="Times New Roman" w:cs="Times New Roman"/>
          <w:noProof/>
          <w:sz w:val="24"/>
          <w:szCs w:val="24"/>
          <w:lang w:val="en-IE"/>
        </w:rPr>
        <w:footnoteReference w:id="14"/>
      </w:r>
      <w:r>
        <w:rPr>
          <w:noProof/>
        </w:rPr>
        <w:t>.</w:t>
      </w:r>
      <w:r>
        <w:rPr>
          <w:rStyle w:val="None"/>
          <w:rFonts w:ascii="Times New Roman" w:hAnsi="Times New Roman"/>
          <w:noProof/>
          <w:sz w:val="24"/>
        </w:rPr>
        <w:t xml:space="preserve"> Au début de l’année </w:t>
      </w:r>
      <w:r w:rsidRPr="00626FE8">
        <w:rPr>
          <w:rStyle w:val="None"/>
          <w:rFonts w:ascii="Times New Roman" w:hAnsi="Times New Roman"/>
          <w:noProof/>
          <w:sz w:val="24"/>
        </w:rPr>
        <w:t>2022</w:t>
      </w:r>
      <w:r>
        <w:rPr>
          <w:rStyle w:val="None"/>
          <w:rFonts w:ascii="Times New Roman" w:hAnsi="Times New Roman"/>
          <w:noProof/>
          <w:sz w:val="24"/>
        </w:rPr>
        <w:t>, la Commission a présenté une proposition sur le devoir de diligence des entreprises en matière de durabilité, qui favorise un comportement durable et responsable des entreprises tout au long des chaînes de valeur mondiales</w:t>
      </w:r>
      <w:r>
        <w:rPr>
          <w:rStyle w:val="None"/>
          <w:rFonts w:ascii="Times New Roman" w:hAnsi="Times New Roman" w:cs="Times New Roman"/>
          <w:noProof/>
          <w:sz w:val="24"/>
          <w:szCs w:val="24"/>
          <w:vertAlign w:val="superscript"/>
          <w:lang w:val="en-IE"/>
        </w:rPr>
        <w:footnoteReference w:id="15"/>
      </w:r>
      <w:r>
        <w:rPr>
          <w:rStyle w:val="None"/>
          <w:rFonts w:ascii="Times New Roman" w:hAnsi="Times New Roman"/>
          <w:noProof/>
          <w:sz w:val="24"/>
        </w:rPr>
        <w:t>.</w:t>
      </w:r>
      <w:r>
        <w:rPr>
          <w:rFonts w:ascii="Times New Roman" w:hAnsi="Times New Roman"/>
          <w:noProof/>
          <w:sz w:val="24"/>
        </w:rPr>
        <w:t xml:space="preserve"> Elle a également proposé un cadre visant à rendre tous les produits mis sur le marché de l’Union plus durables sur le plan environnemental et plus circulaires</w:t>
      </w:r>
      <w:r>
        <w:rPr>
          <w:rStyle w:val="FootnoteReference"/>
          <w:rFonts w:ascii="Times New Roman" w:hAnsi="Times New Roman" w:cs="Times New Roman"/>
          <w:noProof/>
          <w:sz w:val="24"/>
          <w:szCs w:val="24"/>
          <w:lang w:val="en-IE"/>
        </w:rPr>
        <w:footnoteReference w:id="16"/>
      </w:r>
      <w:r>
        <w:rPr>
          <w:noProof/>
        </w:rPr>
        <w:t>.</w:t>
      </w:r>
      <w:r>
        <w:rPr>
          <w:rFonts w:ascii="Times New Roman" w:hAnsi="Times New Roman"/>
          <w:noProof/>
          <w:sz w:val="24"/>
        </w:rPr>
        <w:t xml:space="preserve"> Comme annoncé dans la communication sur le travail décent dans le monde, la Commission présentera également, dans le courant de l’année, une nouvelle initiative législative visant à interdire effectivement la mise sur le marché de l’UE de produits issus du travail forcé</w:t>
      </w:r>
      <w:r>
        <w:rPr>
          <w:rStyle w:val="None"/>
          <w:rFonts w:ascii="Times New Roman" w:hAnsi="Times New Roman" w:cs="Times New Roman"/>
          <w:noProof/>
          <w:sz w:val="24"/>
          <w:szCs w:val="24"/>
          <w:vertAlign w:val="superscript"/>
          <w:lang w:val="en-IE"/>
        </w:rPr>
        <w:footnoteReference w:id="17"/>
      </w:r>
      <w:r>
        <w:rPr>
          <w:rFonts w:ascii="Times New Roman" w:hAnsi="Times New Roman"/>
          <w:noProof/>
          <w:sz w:val="24"/>
        </w:rPr>
        <w:t>.</w:t>
      </w:r>
      <w:r>
        <w:rPr>
          <w:rStyle w:val="None"/>
          <w:rFonts w:ascii="Times New Roman" w:hAnsi="Times New Roman"/>
          <w:noProof/>
          <w:sz w:val="24"/>
        </w:rPr>
        <w:t xml:space="preserve"> </w:t>
      </w:r>
    </w:p>
    <w:p w14:paraId="08289B32" w14:textId="2BB5189B" w:rsidR="007E6F5E" w:rsidRPr="00011967" w:rsidRDefault="000E6D3E" w:rsidP="005B48CA">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Dans sa proposition relative à un nouveau </w:t>
      </w:r>
      <w:r>
        <w:rPr>
          <w:rStyle w:val="None"/>
          <w:rFonts w:ascii="Times New Roman" w:hAnsi="Times New Roman"/>
          <w:b/>
          <w:noProof/>
          <w:sz w:val="24"/>
        </w:rPr>
        <w:t>règlement de l’UE sur le schéma de préférences généralisé</w:t>
      </w:r>
      <w:r>
        <w:rPr>
          <w:rStyle w:val="None"/>
          <w:rFonts w:ascii="Times New Roman" w:hAnsi="Times New Roman"/>
          <w:noProof/>
          <w:sz w:val="24"/>
        </w:rPr>
        <w:t>, la Commission a renforcé l’incidence du mécanisme sur la promotion du développement durable, entre autres en y ajoutant une série d’instruments internationaux dans les domaines des droits de l’homme, de la bonne gouvernance, du travail et de la protection de l’environnement. Ces ajouts incluent l’accord de Paris sur le changement climatique, la convention des Nations unies contre la criminalité transnationale organisée et deux nouvelles conventions de l’OIT, et couvrent la migration internationale régulière contribuant au développement durable. Cette proposition vise également à faire de l’exportation de marchandises issues du travail des enfants interdit à l’échelle internationale, ainsi que du travail forcé, un motif de retrait des préférences commerciales</w:t>
      </w:r>
      <w:r>
        <w:rPr>
          <w:rStyle w:val="None"/>
          <w:rFonts w:ascii="Times New Roman" w:eastAsia="Times New Roman" w:hAnsi="Times New Roman" w:cs="Times New Roman"/>
          <w:noProof/>
          <w:sz w:val="24"/>
          <w:szCs w:val="24"/>
          <w:vertAlign w:val="superscript"/>
          <w:lang w:val="en-IE"/>
        </w:rPr>
        <w:footnoteReference w:id="18"/>
      </w:r>
      <w:r>
        <w:rPr>
          <w:rStyle w:val="None"/>
          <w:rFonts w:ascii="Times New Roman" w:hAnsi="Times New Roman"/>
          <w:noProof/>
          <w:sz w:val="24"/>
        </w:rPr>
        <w:t xml:space="preserve">. </w:t>
      </w:r>
    </w:p>
    <w:p w14:paraId="760C7C87" w14:textId="6D662F14" w:rsidR="007E6F5E" w:rsidRPr="00011967" w:rsidRDefault="32AFD438" w:rsidP="005B48CA">
      <w:pPr>
        <w:pStyle w:val="BodyA"/>
        <w:jc w:val="both"/>
        <w:rPr>
          <w:rStyle w:val="None"/>
          <w:rFonts w:ascii="Times New Roman" w:hAnsi="Times New Roman" w:cs="Times New Roman"/>
          <w:noProof/>
          <w:sz w:val="24"/>
          <w:szCs w:val="24"/>
        </w:rPr>
      </w:pPr>
      <w:bookmarkStart w:id="2" w:name="_Hlk106449195"/>
      <w:r>
        <w:rPr>
          <w:rStyle w:val="None"/>
          <w:rFonts w:ascii="Times New Roman" w:hAnsi="Times New Roman"/>
          <w:noProof/>
          <w:sz w:val="24"/>
        </w:rPr>
        <w:t xml:space="preserve">Sur le </w:t>
      </w:r>
      <w:r>
        <w:rPr>
          <w:rStyle w:val="None"/>
          <w:rFonts w:ascii="Times New Roman" w:hAnsi="Times New Roman"/>
          <w:b/>
          <w:noProof/>
          <w:sz w:val="24"/>
        </w:rPr>
        <w:t>front multilatéral</w:t>
      </w:r>
      <w:r>
        <w:rPr>
          <w:rStyle w:val="None"/>
          <w:rFonts w:ascii="Times New Roman" w:hAnsi="Times New Roman"/>
          <w:noProof/>
          <w:sz w:val="24"/>
        </w:rPr>
        <w:t xml:space="preserve">, l’UE a récemment </w:t>
      </w:r>
      <w:r>
        <w:rPr>
          <w:rStyle w:val="None"/>
          <w:rFonts w:ascii="Times New Roman" w:hAnsi="Times New Roman"/>
          <w:b/>
          <w:noProof/>
          <w:sz w:val="24"/>
        </w:rPr>
        <w:t>coparrainé trois initiatives plurilatérales de l’OMC</w:t>
      </w:r>
      <w:r>
        <w:rPr>
          <w:rStyle w:val="None"/>
          <w:rFonts w:ascii="Times New Roman" w:hAnsi="Times New Roman"/>
          <w:noProof/>
          <w:sz w:val="24"/>
        </w:rPr>
        <w:t xml:space="preserve"> sur le commerce et la durabilité environnementale, sur la pollution par les plastiques et le commerce durable des plastiques, ainsi que sur la réforme des subventions aux combustibles fossiles</w:t>
      </w:r>
      <w:r>
        <w:rPr>
          <w:rStyle w:val="None"/>
          <w:rFonts w:ascii="Times New Roman" w:hAnsi="Times New Roman" w:cs="Times New Roman"/>
          <w:noProof/>
          <w:sz w:val="24"/>
          <w:szCs w:val="24"/>
          <w:vertAlign w:val="superscript"/>
          <w:lang w:val="en-IE"/>
        </w:rPr>
        <w:footnoteReference w:id="19"/>
      </w:r>
      <w:r>
        <w:rPr>
          <w:rStyle w:val="None"/>
          <w:rFonts w:ascii="Times New Roman" w:hAnsi="Times New Roman"/>
          <w:noProof/>
          <w:sz w:val="24"/>
        </w:rPr>
        <w:t xml:space="preserve">. Lors de la </w:t>
      </w:r>
      <w:r w:rsidRPr="00626FE8">
        <w:rPr>
          <w:rStyle w:val="None"/>
          <w:rFonts w:ascii="Times New Roman" w:hAnsi="Times New Roman"/>
          <w:noProof/>
          <w:sz w:val="24"/>
        </w:rPr>
        <w:t>12</w:t>
      </w:r>
      <w:r>
        <w:rPr>
          <w:rStyle w:val="None"/>
          <w:rFonts w:ascii="Times New Roman" w:hAnsi="Times New Roman"/>
          <w:noProof/>
          <w:sz w:val="24"/>
          <w:vertAlign w:val="superscript"/>
        </w:rPr>
        <w:t>e</w:t>
      </w:r>
      <w:r>
        <w:rPr>
          <w:rStyle w:val="None"/>
          <w:rFonts w:ascii="Times New Roman" w:hAnsi="Times New Roman"/>
          <w:noProof/>
          <w:sz w:val="24"/>
        </w:rPr>
        <w:t xml:space="preserve"> conférence ministérielle de l’OMC, l’UE a joué un rôle crucial dans l’obtention d’un premier </w:t>
      </w:r>
      <w:r>
        <w:rPr>
          <w:rStyle w:val="None"/>
          <w:rFonts w:ascii="Times New Roman" w:hAnsi="Times New Roman"/>
          <w:b/>
          <w:noProof/>
          <w:sz w:val="24"/>
        </w:rPr>
        <w:t>accord multilatéral sur les subventions à la pêche</w:t>
      </w:r>
      <w:r>
        <w:rPr>
          <w:rStyle w:val="None"/>
          <w:rFonts w:ascii="Times New Roman" w:hAnsi="Times New Roman"/>
          <w:noProof/>
          <w:sz w:val="24"/>
        </w:rPr>
        <w:t xml:space="preserve">, qui réglemente les subventions à la pêche ayant des effets néfastes dans le monde entier, dans un objectif de durabilité. </w:t>
      </w:r>
      <w:r>
        <w:rPr>
          <w:rFonts w:ascii="Times New Roman" w:hAnsi="Times New Roman"/>
          <w:noProof/>
          <w:sz w:val="24"/>
        </w:rPr>
        <w:t>L’UE continuera à demander un élargissement des disciplines relatives aux subventions d’ici à la prochaine conférence ministérielle</w:t>
      </w:r>
      <w:r>
        <w:rPr>
          <w:rStyle w:val="FootnoteReference"/>
          <w:rFonts w:ascii="Times New Roman" w:hAnsi="Times New Roman" w:cs="Times New Roman"/>
          <w:noProof/>
          <w:sz w:val="24"/>
          <w:szCs w:val="24"/>
          <w:lang w:val="en-IE"/>
        </w:rPr>
        <w:footnoteReference w:id="20"/>
      </w:r>
      <w:r>
        <w:rPr>
          <w:rFonts w:ascii="Times New Roman" w:hAnsi="Times New Roman"/>
          <w:noProof/>
          <w:sz w:val="24"/>
        </w:rPr>
        <w:t>.</w:t>
      </w:r>
      <w:r>
        <w:rPr>
          <w:rStyle w:val="None"/>
          <w:rFonts w:ascii="Times New Roman" w:hAnsi="Times New Roman"/>
          <w:noProof/>
          <w:sz w:val="24"/>
        </w:rPr>
        <w:t xml:space="preserve"> L’UE a également soutenu activement le lancement d’une </w:t>
      </w:r>
      <w:r>
        <w:rPr>
          <w:rStyle w:val="None"/>
          <w:rFonts w:ascii="Times New Roman" w:hAnsi="Times New Roman"/>
          <w:b/>
          <w:noProof/>
          <w:sz w:val="24"/>
        </w:rPr>
        <w:t>coalition des ministres du commerce en faveur du climat</w:t>
      </w:r>
      <w:r>
        <w:rPr>
          <w:rStyle w:val="None"/>
          <w:rFonts w:ascii="Times New Roman" w:hAnsi="Times New Roman"/>
          <w:noProof/>
          <w:sz w:val="24"/>
        </w:rPr>
        <w:t xml:space="preserve"> afin de donner un nouvel élan politique à l’élaboration d’un programme positif pour le commerce et le climat, notamment au sein de l’OMC</w:t>
      </w:r>
      <w:r>
        <w:rPr>
          <w:rStyle w:val="None"/>
          <w:rFonts w:ascii="Times New Roman" w:hAnsi="Times New Roman" w:cs="Times New Roman"/>
          <w:noProof/>
          <w:sz w:val="24"/>
          <w:szCs w:val="24"/>
          <w:vertAlign w:val="superscript"/>
          <w:lang w:val="en-IE"/>
        </w:rPr>
        <w:footnoteReference w:id="21"/>
      </w:r>
      <w:r>
        <w:rPr>
          <w:rStyle w:val="None"/>
          <w:rFonts w:ascii="Times New Roman" w:hAnsi="Times New Roman"/>
          <w:noProof/>
          <w:sz w:val="24"/>
        </w:rPr>
        <w:t>. Dans le cadre de la réforme de l’OMC, l’UE entend favoriser le dialogue concernant l’interaction entre le commerce et le travail décent, y compris par l’intermédiaire d’une coopération OMC-OIT. Au sein de l’</w:t>
      </w:r>
      <w:r>
        <w:rPr>
          <w:rStyle w:val="None"/>
          <w:rFonts w:ascii="Times New Roman" w:hAnsi="Times New Roman"/>
          <w:b/>
          <w:noProof/>
          <w:sz w:val="24"/>
        </w:rPr>
        <w:t>OCDE</w:t>
      </w:r>
      <w:r>
        <w:rPr>
          <w:rStyle w:val="None"/>
          <w:rFonts w:ascii="Times New Roman" w:hAnsi="Times New Roman"/>
          <w:noProof/>
          <w:sz w:val="24"/>
        </w:rPr>
        <w:t xml:space="preserve">, l’UE défend des modifications de l’ensemble de règles régissant les </w:t>
      </w:r>
      <w:r>
        <w:rPr>
          <w:rStyle w:val="None"/>
          <w:rFonts w:ascii="Times New Roman" w:hAnsi="Times New Roman"/>
          <w:b/>
          <w:noProof/>
          <w:sz w:val="24"/>
        </w:rPr>
        <w:t>crédits</w:t>
      </w:r>
      <w:r>
        <w:rPr>
          <w:rStyle w:val="None"/>
          <w:rFonts w:ascii="Times New Roman" w:hAnsi="Times New Roman"/>
          <w:noProof/>
          <w:sz w:val="24"/>
        </w:rPr>
        <w:t xml:space="preserve"> officiels </w:t>
      </w:r>
      <w:r>
        <w:rPr>
          <w:rStyle w:val="None"/>
          <w:rFonts w:ascii="Times New Roman" w:hAnsi="Times New Roman"/>
          <w:b/>
          <w:noProof/>
          <w:sz w:val="24"/>
        </w:rPr>
        <w:t>à l’exportation</w:t>
      </w:r>
      <w:r>
        <w:rPr>
          <w:rStyle w:val="None"/>
          <w:rFonts w:ascii="Times New Roman" w:hAnsi="Times New Roman"/>
          <w:noProof/>
          <w:sz w:val="24"/>
        </w:rPr>
        <w:t xml:space="preserve"> afin d’encourager l’alignement de celles-ci sur les objectifs climatiques. L’UE a également obtenu une interdiction des centrales électriques conventionnelles au charbon</w:t>
      </w:r>
      <w:r>
        <w:rPr>
          <w:rStyle w:val="None"/>
          <w:rFonts w:ascii="Times New Roman" w:hAnsi="Times New Roman" w:cs="Times New Roman"/>
          <w:noProof/>
          <w:sz w:val="24"/>
          <w:szCs w:val="24"/>
          <w:vertAlign w:val="superscript"/>
          <w:lang w:val="en-IE"/>
        </w:rPr>
        <w:footnoteReference w:id="22"/>
      </w:r>
      <w:r>
        <w:rPr>
          <w:rStyle w:val="None"/>
          <w:rFonts w:ascii="Times New Roman" w:hAnsi="Times New Roman"/>
          <w:noProof/>
          <w:sz w:val="24"/>
        </w:rPr>
        <w:t xml:space="preserve">. </w:t>
      </w:r>
    </w:p>
    <w:bookmarkEnd w:id="2"/>
    <w:p w14:paraId="50D23363" w14:textId="625C1A5C" w:rsidR="00B52628" w:rsidRPr="00011967" w:rsidRDefault="51664043" w:rsidP="002E117B">
      <w:pPr>
        <w:pStyle w:val="BodyA"/>
        <w:spacing w:after="200"/>
        <w:jc w:val="both"/>
        <w:rPr>
          <w:rStyle w:val="None"/>
          <w:rFonts w:ascii="Times New Roman" w:hAnsi="Times New Roman" w:cs="Times New Roman"/>
          <w:noProof/>
          <w:sz w:val="24"/>
          <w:szCs w:val="24"/>
        </w:rPr>
      </w:pPr>
      <w:r>
        <w:rPr>
          <w:rStyle w:val="None"/>
          <w:rFonts w:ascii="Times New Roman" w:hAnsi="Times New Roman"/>
          <w:noProof/>
          <w:sz w:val="24"/>
        </w:rPr>
        <w:t xml:space="preserve">Tous ces instruments et initiatives liés au commerce font partie d’une réponse globale aux défis mondiaux en matière de durabilité et sont indissociables des accords commerciaux. </w:t>
      </w:r>
    </w:p>
    <w:p w14:paraId="5F340CA9" w14:textId="6B350F7D" w:rsidR="007E6F5E" w:rsidRPr="00011967" w:rsidRDefault="00336C0A" w:rsidP="00AF4829">
      <w:pPr>
        <w:pStyle w:val="ListParagraph"/>
        <w:numPr>
          <w:ilvl w:val="0"/>
          <w:numId w:val="2"/>
        </w:numPr>
        <w:spacing w:after="200"/>
        <w:ind w:left="714" w:hanging="357"/>
        <w:jc w:val="both"/>
        <w:rPr>
          <w:rFonts w:ascii="Times New Roman" w:hAnsi="Times New Roman" w:cs="Times New Roman"/>
          <w:b/>
          <w:smallCaps/>
          <w:noProof/>
          <w:sz w:val="24"/>
          <w:szCs w:val="24"/>
        </w:rPr>
      </w:pPr>
      <w:r>
        <w:rPr>
          <w:rFonts w:ascii="Times New Roman" w:hAnsi="Times New Roman"/>
          <w:b/>
          <w:smallCaps/>
          <w:noProof/>
          <w:sz w:val="24"/>
        </w:rPr>
        <w:t xml:space="preserve">Nouvelles orientations en faveur du développement durable dans les accords commerciaux </w:t>
      </w:r>
    </w:p>
    <w:p w14:paraId="11CCF294" w14:textId="39D6C692" w:rsidR="00317630" w:rsidRPr="00011967" w:rsidRDefault="009A1D9C" w:rsidP="00317630">
      <w:pPr>
        <w:pStyle w:val="BodyA"/>
        <w:jc w:val="both"/>
        <w:rPr>
          <w:rFonts w:ascii="Times New Roman" w:hAnsi="Times New Roman" w:cs="Times New Roman"/>
          <w:noProof/>
          <w:sz w:val="24"/>
          <w:szCs w:val="24"/>
        </w:rPr>
      </w:pPr>
      <w:r>
        <w:rPr>
          <w:rFonts w:ascii="Times New Roman" w:hAnsi="Times New Roman"/>
          <w:noProof/>
          <w:sz w:val="24"/>
        </w:rPr>
        <w:t xml:space="preserve">Le réexamen des chapitres CDD a prouvé la fiabilité du modèle de l’UE en la matière mais a également montré que des améliorations étaient possibles selon </w:t>
      </w:r>
      <w:r>
        <w:rPr>
          <w:rFonts w:ascii="Times New Roman" w:hAnsi="Times New Roman"/>
          <w:b/>
          <w:noProof/>
          <w:sz w:val="24"/>
        </w:rPr>
        <w:t>six priorités d’intervention</w:t>
      </w:r>
      <w:r>
        <w:rPr>
          <w:rFonts w:ascii="Times New Roman" w:hAnsi="Times New Roman"/>
          <w:noProof/>
          <w:sz w:val="24"/>
        </w:rPr>
        <w:t xml:space="preserve">, à savoir: </w:t>
      </w:r>
      <w:r w:rsidRPr="00626FE8">
        <w:rPr>
          <w:rFonts w:ascii="Times New Roman" w:hAnsi="Times New Roman"/>
          <w:noProof/>
          <w:sz w:val="24"/>
        </w:rPr>
        <w:t>1</w:t>
      </w:r>
      <w:r>
        <w:rPr>
          <w:rFonts w:ascii="Times New Roman" w:hAnsi="Times New Roman"/>
          <w:noProof/>
          <w:sz w:val="24"/>
        </w:rPr>
        <w:t xml:space="preserve">) la nécessité d’être plus proactif dans la coopération avec les partenaires; </w:t>
      </w:r>
      <w:r w:rsidRPr="00626FE8">
        <w:rPr>
          <w:rFonts w:ascii="Times New Roman" w:hAnsi="Times New Roman"/>
          <w:noProof/>
          <w:sz w:val="24"/>
        </w:rPr>
        <w:t>2</w:t>
      </w:r>
      <w:r>
        <w:rPr>
          <w:rFonts w:ascii="Times New Roman" w:hAnsi="Times New Roman"/>
          <w:noProof/>
          <w:sz w:val="24"/>
        </w:rPr>
        <w:t xml:space="preserve">) le renforcement de l’approche spécifique par pays; </w:t>
      </w:r>
      <w:r w:rsidRPr="00626FE8">
        <w:rPr>
          <w:rFonts w:ascii="Times New Roman" w:hAnsi="Times New Roman"/>
          <w:noProof/>
          <w:sz w:val="24"/>
        </w:rPr>
        <w:t>3</w:t>
      </w:r>
      <w:r>
        <w:rPr>
          <w:rFonts w:ascii="Times New Roman" w:hAnsi="Times New Roman"/>
          <w:noProof/>
          <w:sz w:val="24"/>
        </w:rPr>
        <w:t xml:space="preserve">) l’intégration de la durabilité dans les accords commerciaux au-delà du chapitre CDD; </w:t>
      </w:r>
      <w:r w:rsidRPr="00626FE8">
        <w:rPr>
          <w:rFonts w:ascii="Times New Roman" w:hAnsi="Times New Roman"/>
          <w:noProof/>
          <w:sz w:val="24"/>
        </w:rPr>
        <w:t>4</w:t>
      </w:r>
      <w:r>
        <w:rPr>
          <w:rFonts w:ascii="Times New Roman" w:hAnsi="Times New Roman"/>
          <w:noProof/>
          <w:sz w:val="24"/>
        </w:rPr>
        <w:t xml:space="preserve">) l’augmentation du suivi de la mise en œuvre des engagements en matière de commerce et de développement durable; </w:t>
      </w:r>
      <w:r w:rsidRPr="00626FE8">
        <w:rPr>
          <w:rFonts w:ascii="Times New Roman" w:hAnsi="Times New Roman"/>
          <w:noProof/>
          <w:sz w:val="24"/>
        </w:rPr>
        <w:t>5</w:t>
      </w:r>
      <w:r>
        <w:rPr>
          <w:rFonts w:ascii="Times New Roman" w:hAnsi="Times New Roman"/>
          <w:noProof/>
          <w:sz w:val="24"/>
        </w:rPr>
        <w:t xml:space="preserve">) le renforcement du rôle de la société civile; et </w:t>
      </w:r>
      <w:r w:rsidRPr="00626FE8">
        <w:rPr>
          <w:rFonts w:ascii="Times New Roman" w:hAnsi="Times New Roman"/>
          <w:noProof/>
          <w:sz w:val="24"/>
        </w:rPr>
        <w:t>6</w:t>
      </w:r>
      <w:r>
        <w:rPr>
          <w:rFonts w:ascii="Times New Roman" w:hAnsi="Times New Roman"/>
          <w:noProof/>
          <w:sz w:val="24"/>
        </w:rPr>
        <w:t>) l’amélioration du contrôle de l’application au moyen de sanctions commerciales comme mesures de dernier recours</w:t>
      </w:r>
      <w:r>
        <w:rPr>
          <w:rStyle w:val="FootnoteReference"/>
          <w:rFonts w:ascii="Times New Roman" w:hAnsi="Times New Roman" w:cs="Times New Roman"/>
          <w:noProof/>
          <w:sz w:val="24"/>
          <w:szCs w:val="24"/>
          <w:lang w:val="en-IE"/>
        </w:rPr>
        <w:footnoteReference w:id="23"/>
      </w:r>
      <w:r>
        <w:rPr>
          <w:rFonts w:ascii="Times New Roman" w:hAnsi="Times New Roman"/>
          <w:noProof/>
          <w:sz w:val="24"/>
        </w:rPr>
        <w:t>.</w:t>
      </w:r>
    </w:p>
    <w:p w14:paraId="459A7A9B" w14:textId="33C56A51" w:rsidR="007E6F5E" w:rsidRPr="00011967" w:rsidRDefault="00593B0A" w:rsidP="00833DD2">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Afin d’optimiser l’efficacité de sa contribution, la politique de la Commission en matière de développement durable dans les accords commerciaux se concentrera sur une série de </w:t>
      </w:r>
      <w:r>
        <w:rPr>
          <w:rStyle w:val="None"/>
          <w:rFonts w:ascii="Times New Roman" w:hAnsi="Times New Roman"/>
          <w:b/>
          <w:noProof/>
          <w:sz w:val="24"/>
        </w:rPr>
        <w:t>points d’action</w:t>
      </w:r>
      <w:r>
        <w:rPr>
          <w:rStyle w:val="None"/>
          <w:rFonts w:ascii="Times New Roman" w:hAnsi="Times New Roman"/>
          <w:noProof/>
          <w:sz w:val="24"/>
        </w:rPr>
        <w:t xml:space="preserve"> pour chaque priorité d’intervention. Ces points d’action s’appuient sur l’expérience acquise en matière de mise en œuvre, sur les données probantes recueillies ainsi que sur les contributions reçues par l’intermédiaire de la consultation publique ouverte. Ces points d’action complètent et élargissent les domaines d’action recensés dans le plan d’action en </w:t>
      </w:r>
      <w:r w:rsidRPr="00626FE8">
        <w:rPr>
          <w:rStyle w:val="None"/>
          <w:rFonts w:ascii="Times New Roman" w:hAnsi="Times New Roman"/>
          <w:noProof/>
          <w:sz w:val="24"/>
        </w:rPr>
        <w:t>15</w:t>
      </w:r>
      <w:r>
        <w:rPr>
          <w:rStyle w:val="None"/>
          <w:rFonts w:ascii="Times New Roman" w:hAnsi="Times New Roman"/>
          <w:noProof/>
          <w:sz w:val="24"/>
        </w:rPr>
        <w:t xml:space="preserve"> points.  </w:t>
      </w:r>
    </w:p>
    <w:p w14:paraId="52CC8B3A" w14:textId="3069D60F" w:rsidR="002239D2" w:rsidRPr="00011967" w:rsidRDefault="49018CEF" w:rsidP="002239D2">
      <w:pPr>
        <w:ind w:left="350"/>
        <w:jc w:val="both"/>
        <w:rPr>
          <w:noProof/>
        </w:rPr>
      </w:pPr>
      <w:r w:rsidRPr="00626FE8">
        <w:rPr>
          <w:noProof/>
        </w:rPr>
        <w:t>3</w:t>
      </w:r>
      <w:r>
        <w:rPr>
          <w:noProof/>
        </w:rPr>
        <w:t>.</w:t>
      </w:r>
      <w:r w:rsidRPr="00626FE8">
        <w:rPr>
          <w:noProof/>
        </w:rPr>
        <w:t>1</w:t>
      </w:r>
      <w:r>
        <w:rPr>
          <w:noProof/>
        </w:rPr>
        <w:tab/>
        <w:t xml:space="preserve"> </w:t>
      </w:r>
      <w:r>
        <w:rPr>
          <w:noProof/>
          <w:u w:val="single"/>
        </w:rPr>
        <w:t>Une approche globale du commerce et du développement durable fondée sur les accords multilatéraux et la coopération</w:t>
      </w:r>
    </w:p>
    <w:p w14:paraId="6E30B25C" w14:textId="77777777" w:rsidR="002239D2" w:rsidRPr="00087316" w:rsidRDefault="002239D2" w:rsidP="002239D2">
      <w:pPr>
        <w:ind w:left="350"/>
        <w:jc w:val="both"/>
        <w:rPr>
          <w:noProof/>
          <w:lang w:val="fr-BE"/>
        </w:rPr>
      </w:pPr>
    </w:p>
    <w:p w14:paraId="1A669244" w14:textId="026C340F" w:rsidR="007E6F5E" w:rsidRPr="00011967" w:rsidRDefault="51664043">
      <w:pPr>
        <w:pStyle w:val="BodyA"/>
        <w:jc w:val="both"/>
        <w:rPr>
          <w:rStyle w:val="None"/>
          <w:rFonts w:ascii="Times New Roman" w:hAnsi="Times New Roman" w:cs="Times New Roman"/>
          <w:noProof/>
          <w:color w:val="auto"/>
          <w:sz w:val="24"/>
          <w:szCs w:val="24"/>
          <w14:textOutline w14:w="0" w14:cap="rnd" w14:cmpd="sng" w14:algn="ctr">
            <w14:noFill/>
            <w14:prstDash w14:val="solid"/>
            <w14:bevel/>
          </w14:textOutline>
        </w:rPr>
      </w:pPr>
      <w:r>
        <w:rPr>
          <w:rStyle w:val="None"/>
          <w:rFonts w:ascii="Times New Roman" w:hAnsi="Times New Roman"/>
          <w:noProof/>
          <w:sz w:val="24"/>
        </w:rPr>
        <w:t xml:space="preserve">Comme expliqué précédemment, </w:t>
      </w:r>
      <w:r>
        <w:rPr>
          <w:rStyle w:val="None"/>
          <w:rFonts w:ascii="Times New Roman" w:hAnsi="Times New Roman"/>
          <w:b/>
          <w:noProof/>
          <w:sz w:val="24"/>
        </w:rPr>
        <w:t>l’interaction entre le commerce et le développement durable doit être étudiée de manière globale</w:t>
      </w:r>
      <w:r>
        <w:rPr>
          <w:rStyle w:val="None"/>
          <w:rFonts w:ascii="Times New Roman" w:hAnsi="Times New Roman"/>
          <w:noProof/>
          <w:sz w:val="24"/>
        </w:rPr>
        <w:t xml:space="preserve">, en replaçant la politique commerciale dans le contexte plus vaste des autres outils de soutien de la durabilité. Dans cette approche globale, </w:t>
      </w:r>
      <w:r>
        <w:rPr>
          <w:rStyle w:val="None"/>
          <w:rFonts w:ascii="Times New Roman" w:hAnsi="Times New Roman"/>
          <w:b/>
          <w:noProof/>
          <w:sz w:val="24"/>
        </w:rPr>
        <w:t>les accords commerciaux promeuvent le cadre de gouvernance mondial</w:t>
      </w:r>
      <w:r>
        <w:rPr>
          <w:rStyle w:val="None"/>
          <w:rFonts w:ascii="Times New Roman" w:hAnsi="Times New Roman"/>
          <w:noProof/>
          <w:sz w:val="24"/>
        </w:rPr>
        <w:t>, notamment en intégrant les normes et engagements internationaux clefs ainsi qu’en soutenant leur mise en œuvre effective, leur respect et leur renforcement par l’intermédiaire de processus de coopération. L’ancrage ferme des engagements bilatéraux en matière de CDD dans le contexte multilatéral confère légitimité, crédibilité et efficacité à l’approche de l’UE en la matière. Il vise également à éviter la fragmentation et garantit à l’inverse que les engagements en matière de commerce et de développement durable viennent renforcer les efforts à l’échelle mondiale. En se fondant sur les normes internationales, ces engagements constituent également un bouclier face aux réflexes protectionnistes.</w:t>
      </w:r>
    </w:p>
    <w:p w14:paraId="42BBE7C8" w14:textId="143F64E6" w:rsidR="007E6F5E" w:rsidRPr="00B07BC8" w:rsidRDefault="00827678" w:rsidP="002E117B">
      <w:pPr>
        <w:pStyle w:val="Body"/>
        <w:spacing w:after="160" w:line="259" w:lineRule="auto"/>
        <w:jc w:val="both"/>
        <w:rPr>
          <w:rStyle w:val="None"/>
          <w:rFonts w:cs="Times New Roman"/>
          <w:noProof/>
        </w:rPr>
      </w:pPr>
      <w:r>
        <w:rPr>
          <w:rStyle w:val="None"/>
          <w:noProof/>
        </w:rPr>
        <w:t xml:space="preserve">Une approche basée sur l’engagement et la coopération permet à l’UE et à ses partenaires de </w:t>
      </w:r>
      <w:r>
        <w:rPr>
          <w:rStyle w:val="None"/>
          <w:b/>
          <w:noProof/>
        </w:rPr>
        <w:t>s’approprier conjointement</w:t>
      </w:r>
      <w:r>
        <w:rPr>
          <w:rStyle w:val="None"/>
          <w:noProof/>
        </w:rPr>
        <w:t xml:space="preserve"> la contribution des accords commerciaux à la promotion d’une transition verte et juste et à la réalisation </w:t>
      </w:r>
      <w:r>
        <w:rPr>
          <w:rStyle w:val="None"/>
          <w:b/>
          <w:noProof/>
        </w:rPr>
        <w:t>des objectifs de développement durable</w:t>
      </w:r>
      <w:r>
        <w:rPr>
          <w:rStyle w:val="None"/>
          <w:noProof/>
        </w:rPr>
        <w:t>. Elle encourage une plus grande adhésion par un éventail de parties prenantes, y compris les communautés locales, les organisations non gouvernementales (ONG), les employeurs et les syndicats, qui sont autant d’acteurs essentiels permettant d’apporter des changements sur le terrain.</w:t>
      </w:r>
    </w:p>
    <w:p w14:paraId="4CDC4396" w14:textId="0C15E7DD" w:rsidR="007E6F5E" w:rsidRPr="00011967" w:rsidRDefault="0026538F" w:rsidP="00833DD2">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Dans ce contexte, la Commission fera pleinement usage des plateformes mises en place par les accords commerciaux </w:t>
      </w:r>
      <w:r>
        <w:rPr>
          <w:rStyle w:val="None"/>
          <w:rFonts w:ascii="Times New Roman" w:hAnsi="Times New Roman"/>
          <w:b/>
          <w:noProof/>
          <w:sz w:val="24"/>
        </w:rPr>
        <w:t>pour faciliter le dialogue sur les instruments autonomes de durabilité de l’UE liés au commerce</w:t>
      </w:r>
      <w:r>
        <w:rPr>
          <w:rStyle w:val="None"/>
          <w:rFonts w:ascii="Times New Roman" w:hAnsi="Times New Roman"/>
          <w:noProof/>
          <w:sz w:val="24"/>
        </w:rPr>
        <w:t xml:space="preserve"> et </w:t>
      </w:r>
      <w:r>
        <w:rPr>
          <w:rStyle w:val="None"/>
          <w:rFonts w:ascii="Times New Roman" w:hAnsi="Times New Roman"/>
          <w:b/>
          <w:noProof/>
          <w:sz w:val="24"/>
        </w:rPr>
        <w:t>encourager les partenaires commerciaux à promouvoir le respect de ces instruments</w:t>
      </w:r>
      <w:r>
        <w:rPr>
          <w:rStyle w:val="None"/>
          <w:rFonts w:ascii="Times New Roman" w:hAnsi="Times New Roman"/>
          <w:noProof/>
          <w:sz w:val="24"/>
        </w:rPr>
        <w:t xml:space="preserve">. La Commission entend également améliorer l’efficacité générale de ses efforts de coopération en s’appuyant sur les actions du pilier «Travailler ensemble» figurant dans le plan d’action en </w:t>
      </w:r>
      <w:r w:rsidRPr="00626FE8">
        <w:rPr>
          <w:rStyle w:val="None"/>
          <w:rFonts w:ascii="Times New Roman" w:hAnsi="Times New Roman"/>
          <w:noProof/>
          <w:sz w:val="24"/>
        </w:rPr>
        <w:t>15</w:t>
      </w:r>
      <w:r>
        <w:rPr>
          <w:rStyle w:val="None"/>
          <w:rFonts w:ascii="Times New Roman" w:hAnsi="Times New Roman"/>
          <w:noProof/>
          <w:sz w:val="24"/>
        </w:rPr>
        <w:t xml:space="preserve"> points, et renforcer l’approche collective de l’UE dans les situations où </w:t>
      </w:r>
      <w:r>
        <w:rPr>
          <w:rStyle w:val="None"/>
          <w:rFonts w:ascii="Times New Roman" w:hAnsi="Times New Roman"/>
          <w:b/>
          <w:noProof/>
          <w:sz w:val="24"/>
        </w:rPr>
        <w:t>une aide technique ou financière est nécessaire ou peut encourager les partenaires commerciaux à continuer d’augmenter leurs niveaux de protection des travailleurs et de l’environnement</w:t>
      </w:r>
      <w:r>
        <w:rPr>
          <w:rStyle w:val="None"/>
          <w:rFonts w:ascii="Times New Roman" w:hAnsi="Times New Roman"/>
          <w:noProof/>
          <w:sz w:val="24"/>
        </w:rPr>
        <w:t>.</w:t>
      </w:r>
    </w:p>
    <w:tbl>
      <w:tblPr>
        <w:tblW w:w="893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931"/>
      </w:tblGrid>
      <w:tr w:rsidR="007E6F5E" w:rsidRPr="00011967" w14:paraId="719EDC48" w14:textId="77777777" w:rsidTr="005D4F8F">
        <w:trPr>
          <w:trHeight w:val="194"/>
        </w:trPr>
        <w:tc>
          <w:tcPr>
            <w:tcW w:w="89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39199D3F" w14:textId="77777777" w:rsidR="007E6F5E" w:rsidRPr="00011967" w:rsidRDefault="00336C0A" w:rsidP="00833DD2">
            <w:pPr>
              <w:pStyle w:val="BodyA"/>
              <w:spacing w:after="0"/>
              <w:jc w:val="center"/>
              <w:rPr>
                <w:rStyle w:val="None"/>
                <w:rFonts w:ascii="Times New Roman" w:hAnsi="Times New Roman" w:cs="Times New Roman"/>
                <w:b/>
                <w:noProof/>
                <w:sz w:val="24"/>
                <w:szCs w:val="24"/>
              </w:rPr>
            </w:pPr>
            <w:r>
              <w:rPr>
                <w:rStyle w:val="None"/>
                <w:rFonts w:ascii="Times New Roman" w:hAnsi="Times New Roman"/>
                <w:b/>
                <w:noProof/>
                <w:sz w:val="24"/>
              </w:rPr>
              <w:t>Points d’action</w:t>
            </w:r>
          </w:p>
          <w:p w14:paraId="26B245DE"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rPr>
            </w:pPr>
            <w:r>
              <w:rPr>
                <w:rStyle w:val="None"/>
                <w:rFonts w:ascii="Times New Roman" w:hAnsi="Times New Roman"/>
                <w:noProof/>
                <w:sz w:val="24"/>
              </w:rPr>
              <w:t>La Commission:</w:t>
            </w:r>
            <w:r>
              <w:rPr>
                <w:rStyle w:val="None"/>
                <w:rFonts w:ascii="Times New Roman" w:hAnsi="Times New Roman"/>
                <w:i/>
                <w:noProof/>
                <w:sz w:val="24"/>
              </w:rPr>
              <w:t xml:space="preserve"> </w:t>
            </w:r>
          </w:p>
          <w:p w14:paraId="202F102B" w14:textId="3F6CB68B"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b/>
                <w:noProof/>
                <w:sz w:val="24"/>
              </w:rPr>
              <w:t>intensifiera son engagement auprès</w:t>
            </w:r>
            <w:r>
              <w:rPr>
                <w:rStyle w:val="None"/>
                <w:rFonts w:ascii="Times New Roman" w:hAnsi="Times New Roman"/>
                <w:noProof/>
                <w:sz w:val="24"/>
              </w:rPr>
              <w:t xml:space="preserve"> des partenaires commerciaux par l’intermédiaire d’un </w:t>
            </w:r>
            <w:r>
              <w:rPr>
                <w:rStyle w:val="None"/>
                <w:rFonts w:ascii="Times New Roman" w:hAnsi="Times New Roman"/>
                <w:b/>
                <w:noProof/>
                <w:sz w:val="24"/>
              </w:rPr>
              <w:t>processus de coopération</w:t>
            </w:r>
            <w:r>
              <w:rPr>
                <w:rStyle w:val="None"/>
                <w:rFonts w:ascii="Times New Roman" w:hAnsi="Times New Roman"/>
                <w:noProof/>
                <w:sz w:val="24"/>
              </w:rPr>
              <w:t xml:space="preserve"> visant à promouvoir le </w:t>
            </w:r>
            <w:r>
              <w:rPr>
                <w:rStyle w:val="None"/>
                <w:rFonts w:ascii="Times New Roman" w:hAnsi="Times New Roman"/>
                <w:b/>
                <w:noProof/>
                <w:sz w:val="24"/>
              </w:rPr>
              <w:t>respect</w:t>
            </w:r>
            <w:r>
              <w:rPr>
                <w:rStyle w:val="None"/>
                <w:rFonts w:ascii="Times New Roman" w:hAnsi="Times New Roman"/>
                <w:noProof/>
                <w:sz w:val="24"/>
              </w:rPr>
              <w:t xml:space="preserve"> des </w:t>
            </w:r>
            <w:r>
              <w:rPr>
                <w:rStyle w:val="None"/>
                <w:rFonts w:ascii="Times New Roman" w:hAnsi="Times New Roman"/>
                <w:b/>
                <w:noProof/>
                <w:sz w:val="24"/>
              </w:rPr>
              <w:t>normes internationales en matière de travail et d’environnement</w:t>
            </w:r>
            <w:r>
              <w:rPr>
                <w:rStyle w:val="None"/>
                <w:rFonts w:ascii="Times New Roman" w:hAnsi="Times New Roman"/>
                <w:noProof/>
                <w:sz w:val="24"/>
              </w:rPr>
              <w:t>;</w:t>
            </w:r>
            <w:r>
              <w:rPr>
                <w:rStyle w:val="None"/>
                <w:rFonts w:ascii="Times New Roman" w:hAnsi="Times New Roman"/>
                <w:b/>
                <w:noProof/>
                <w:sz w:val="24"/>
              </w:rPr>
              <w:t xml:space="preserve"> </w:t>
            </w:r>
          </w:p>
          <w:p w14:paraId="488C1624" w14:textId="3B2FDC9E" w:rsidR="007E6F5E" w:rsidRPr="00011967" w:rsidRDefault="00D84C1A" w:rsidP="00073A7F">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 xml:space="preserve">si nécessaire, proposera aux partenaires commerciaux des </w:t>
            </w:r>
            <w:r>
              <w:rPr>
                <w:rStyle w:val="None"/>
                <w:rFonts w:ascii="Times New Roman" w:hAnsi="Times New Roman"/>
                <w:b/>
                <w:noProof/>
                <w:sz w:val="24"/>
              </w:rPr>
              <w:t>mesures d’incitation</w:t>
            </w:r>
            <w:r>
              <w:rPr>
                <w:rStyle w:val="None"/>
                <w:rFonts w:ascii="Times New Roman" w:hAnsi="Times New Roman"/>
                <w:noProof/>
                <w:sz w:val="24"/>
              </w:rPr>
              <w:t xml:space="preserve"> et un </w:t>
            </w:r>
            <w:r>
              <w:rPr>
                <w:rStyle w:val="None"/>
                <w:rFonts w:ascii="Times New Roman" w:hAnsi="Times New Roman"/>
                <w:b/>
                <w:noProof/>
                <w:sz w:val="24"/>
              </w:rPr>
              <w:t>soutien</w:t>
            </w:r>
            <w:r>
              <w:rPr>
                <w:rStyle w:val="None"/>
                <w:rFonts w:ascii="Times New Roman" w:hAnsi="Times New Roman"/>
                <w:noProof/>
                <w:sz w:val="24"/>
              </w:rPr>
              <w:t xml:space="preserve"> en faveur de </w:t>
            </w:r>
            <w:r>
              <w:rPr>
                <w:rStyle w:val="None"/>
                <w:rFonts w:ascii="Times New Roman" w:hAnsi="Times New Roman"/>
                <w:b/>
                <w:noProof/>
                <w:sz w:val="24"/>
              </w:rPr>
              <w:t>processus de réforme</w:t>
            </w:r>
            <w:r>
              <w:rPr>
                <w:rStyle w:val="None"/>
                <w:rFonts w:ascii="Times New Roman" w:hAnsi="Times New Roman"/>
                <w:noProof/>
                <w:sz w:val="24"/>
              </w:rPr>
              <w:t xml:space="preserve"> et du </w:t>
            </w:r>
            <w:r>
              <w:rPr>
                <w:rStyle w:val="None"/>
                <w:rFonts w:ascii="Times New Roman" w:hAnsi="Times New Roman"/>
                <w:b/>
                <w:noProof/>
                <w:sz w:val="24"/>
              </w:rPr>
              <w:t>renforcement des capacités</w:t>
            </w:r>
            <w:r>
              <w:rPr>
                <w:rStyle w:val="None"/>
                <w:rFonts w:ascii="Times New Roman" w:hAnsi="Times New Roman"/>
                <w:noProof/>
                <w:sz w:val="24"/>
              </w:rPr>
              <w:t xml:space="preserve">, au moyen d’une </w:t>
            </w:r>
            <w:r>
              <w:rPr>
                <w:rStyle w:val="None"/>
                <w:rFonts w:ascii="Times New Roman" w:hAnsi="Times New Roman"/>
                <w:b/>
                <w:noProof/>
                <w:sz w:val="24"/>
              </w:rPr>
              <w:t>aide technique et financière</w:t>
            </w:r>
            <w:r>
              <w:rPr>
                <w:rStyle w:val="None"/>
                <w:rFonts w:ascii="Times New Roman" w:hAnsi="Times New Roman"/>
                <w:noProof/>
                <w:sz w:val="24"/>
              </w:rPr>
              <w:t>. Le cas échéant, l’UE devrait également élaborer une approche de l’«équipe Europe» afin de soutenir les priorités en matière de développement durable convenues conjointement avec les pays partenaires;</w:t>
            </w:r>
          </w:p>
          <w:p w14:paraId="413A38B9" w14:textId="48A3D83D" w:rsidR="007E6F5E" w:rsidRPr="00011967" w:rsidRDefault="51664043" w:rsidP="000D382B">
            <w:pPr>
              <w:pStyle w:val="ListParagraph"/>
              <w:numPr>
                <w:ilvl w:val="0"/>
                <w:numId w:val="5"/>
              </w:numPr>
              <w:spacing w:after="0" w:line="240" w:lineRule="auto"/>
              <w:ind w:left="448" w:hanging="357"/>
              <w:jc w:val="both"/>
              <w:rPr>
                <w:rFonts w:ascii="Times New Roman" w:hAnsi="Times New Roman" w:cs="Times New Roman"/>
                <w:noProof/>
                <w:sz w:val="24"/>
                <w:szCs w:val="24"/>
              </w:rPr>
            </w:pPr>
            <w:r>
              <w:rPr>
                <w:rStyle w:val="None"/>
                <w:rFonts w:ascii="Times New Roman" w:hAnsi="Times New Roman"/>
                <w:noProof/>
                <w:sz w:val="24"/>
              </w:rPr>
              <w:t xml:space="preserve">utilisera les accords commerciaux pour faciliter le dialogue avec les pays partenaires et, le cas échéant, pour aider ces partenaires à </w:t>
            </w:r>
            <w:r>
              <w:rPr>
                <w:rStyle w:val="None"/>
                <w:rFonts w:ascii="Times New Roman" w:hAnsi="Times New Roman"/>
                <w:b/>
                <w:noProof/>
                <w:sz w:val="24"/>
              </w:rPr>
              <w:t>satisfaire</w:t>
            </w:r>
            <w:r>
              <w:rPr>
                <w:rStyle w:val="None"/>
                <w:rFonts w:ascii="Times New Roman" w:hAnsi="Times New Roman"/>
                <w:noProof/>
                <w:sz w:val="24"/>
              </w:rPr>
              <w:t xml:space="preserve"> aux </w:t>
            </w:r>
            <w:r>
              <w:rPr>
                <w:rStyle w:val="None"/>
                <w:rFonts w:ascii="Times New Roman" w:hAnsi="Times New Roman"/>
                <w:b/>
                <w:noProof/>
                <w:sz w:val="24"/>
              </w:rPr>
              <w:t>exigences en matière de durabilité</w:t>
            </w:r>
            <w:r>
              <w:rPr>
                <w:rStyle w:val="None"/>
                <w:rFonts w:ascii="Times New Roman" w:hAnsi="Times New Roman"/>
                <w:noProof/>
                <w:sz w:val="24"/>
              </w:rPr>
              <w:t xml:space="preserve"> des </w:t>
            </w:r>
            <w:r>
              <w:rPr>
                <w:rStyle w:val="None"/>
                <w:rFonts w:ascii="Times New Roman" w:hAnsi="Times New Roman"/>
                <w:b/>
                <w:noProof/>
                <w:sz w:val="24"/>
              </w:rPr>
              <w:t>instruments autonomes de l’UE liés au commerce</w:t>
            </w:r>
            <w:r>
              <w:rPr>
                <w:rStyle w:val="None"/>
                <w:rFonts w:ascii="Times New Roman" w:hAnsi="Times New Roman"/>
                <w:noProof/>
                <w:sz w:val="24"/>
              </w:rPr>
              <w:t>.</w:t>
            </w:r>
          </w:p>
        </w:tc>
      </w:tr>
    </w:tbl>
    <w:p w14:paraId="1CE778EA" w14:textId="0CB6A48F" w:rsidR="004E57CE" w:rsidRPr="00087316" w:rsidRDefault="004E57CE" w:rsidP="00BD20F1">
      <w:pPr>
        <w:pStyle w:val="Body"/>
        <w:jc w:val="both"/>
        <w:rPr>
          <w:rStyle w:val="None"/>
          <w:rFonts w:cs="Times New Roman"/>
          <w:noProof/>
          <w:u w:val="single"/>
          <w:lang w:val="fr-BE"/>
        </w:rPr>
      </w:pPr>
    </w:p>
    <w:p w14:paraId="55D3C575" w14:textId="6098DAB5" w:rsidR="004E57CE" w:rsidRPr="00087316" w:rsidRDefault="004E57CE">
      <w:pPr>
        <w:rPr>
          <w:rStyle w:val="None"/>
          <w:noProof/>
          <w:u w:val="single"/>
          <w:lang w:val="fr-BE"/>
        </w:rPr>
      </w:pPr>
    </w:p>
    <w:p w14:paraId="630B3089" w14:textId="77777777" w:rsidR="00D94917" w:rsidRPr="00087316" w:rsidRDefault="00D94917">
      <w:pPr>
        <w:rPr>
          <w:rStyle w:val="None"/>
          <w:noProof/>
          <w:color w:val="000000"/>
          <w:u w:val="single" w:color="000000"/>
          <w:lang w:val="fr-BE" w:eastAsia="en-IE"/>
          <w14:textOutline w14:w="0" w14:cap="flat" w14:cmpd="sng" w14:algn="ctr">
            <w14:noFill/>
            <w14:prstDash w14:val="solid"/>
            <w14:bevel/>
          </w14:textOutline>
        </w:rPr>
      </w:pPr>
    </w:p>
    <w:p w14:paraId="2F541BF0" w14:textId="25D1D2B0" w:rsidR="002239D2" w:rsidRPr="00011967" w:rsidRDefault="49018CEF" w:rsidP="002239D2">
      <w:pPr>
        <w:tabs>
          <w:tab w:val="left" w:pos="1276"/>
        </w:tabs>
        <w:spacing w:after="240"/>
        <w:ind w:firstLine="720"/>
        <w:rPr>
          <w:rStyle w:val="None"/>
          <w:noProof/>
          <w:u w:val="single"/>
        </w:rPr>
      </w:pPr>
      <w:r w:rsidRPr="00626FE8">
        <w:rPr>
          <w:rStyle w:val="None"/>
          <w:noProof/>
        </w:rPr>
        <w:t>3</w:t>
      </w:r>
      <w:r>
        <w:rPr>
          <w:rStyle w:val="None"/>
          <w:noProof/>
        </w:rPr>
        <w:t>.</w:t>
      </w:r>
      <w:r w:rsidRPr="00626FE8">
        <w:rPr>
          <w:rStyle w:val="None"/>
          <w:noProof/>
        </w:rPr>
        <w:t>2</w:t>
      </w:r>
      <w:r>
        <w:rPr>
          <w:rStyle w:val="None"/>
          <w:noProof/>
        </w:rPr>
        <w:t>.</w:t>
      </w:r>
      <w:r>
        <w:rPr>
          <w:noProof/>
        </w:rPr>
        <w:tab/>
      </w:r>
      <w:r>
        <w:rPr>
          <w:rStyle w:val="None"/>
          <w:noProof/>
          <w:u w:val="single"/>
        </w:rPr>
        <w:t>Recensement des priorités de mise en œuvre spécifiques par pays</w:t>
      </w:r>
    </w:p>
    <w:p w14:paraId="21D8C0E2" w14:textId="6BC763F9" w:rsidR="00577C20" w:rsidRPr="00011967" w:rsidRDefault="00AA190A">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Il ressort du réexamen des chapitres CDD que les engagements en matière de commerce et de développement durable devraient de toute évidence être un moteur plus efficace et plus rapide de changement sur le terrain et que les résultats dépendent grandement de la situation spécifique de chaque pays. Ces constatations justifient </w:t>
      </w:r>
      <w:r>
        <w:rPr>
          <w:rStyle w:val="None"/>
          <w:rFonts w:ascii="Times New Roman" w:hAnsi="Times New Roman"/>
          <w:b/>
          <w:noProof/>
          <w:sz w:val="24"/>
        </w:rPr>
        <w:t xml:space="preserve">le renforcement de l’approche spécifique par pays établie dans le plan d’action en </w:t>
      </w:r>
      <w:r w:rsidRPr="00626FE8">
        <w:rPr>
          <w:rStyle w:val="None"/>
          <w:rFonts w:ascii="Times New Roman" w:hAnsi="Times New Roman"/>
          <w:b/>
          <w:noProof/>
          <w:sz w:val="24"/>
        </w:rPr>
        <w:t>15</w:t>
      </w:r>
      <w:r>
        <w:rPr>
          <w:rStyle w:val="None"/>
          <w:rFonts w:ascii="Times New Roman" w:hAnsi="Times New Roman"/>
          <w:b/>
          <w:noProof/>
          <w:sz w:val="24"/>
        </w:rPr>
        <w:t xml:space="preserve"> points de manière plus personnalisée et ciblée</w:t>
      </w:r>
      <w:r>
        <w:rPr>
          <w:rStyle w:val="None"/>
          <w:rFonts w:ascii="Times New Roman" w:hAnsi="Times New Roman"/>
          <w:noProof/>
          <w:sz w:val="24"/>
        </w:rPr>
        <w:t xml:space="preserve">. </w:t>
      </w:r>
    </w:p>
    <w:p w14:paraId="2FA79591" w14:textId="7E0E35C2" w:rsidR="007E6F5E" w:rsidRPr="00011967" w:rsidRDefault="51664043">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Les relations commerciales bilatérales de l’UE s’étendent sur l’ensemble de la planète et englobent des partenaires présentant différents niveaux de développement, confrontés à divers défis économiques, sociaux et environnementaux, et jouissant d’opportunités variées en la matière. Si les chapitres CDD intègrent les mêmes engagements contraignants pour l’UE et les pays partenaires, l’élaboration de solutions efficaces pour ce large éventail de partenaires nécessite une flexibilité et une hiérarchisation des priorités pour mieux adapter les objectifs en matière de commerce et de développement durable aux défis, besoins et capacités de chacun. </w:t>
      </w:r>
    </w:p>
    <w:p w14:paraId="4B219CA3" w14:textId="5E675DD3" w:rsidR="007E6F5E" w:rsidRPr="00011967" w:rsidRDefault="5963A5F4">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Fixer de telles </w:t>
      </w:r>
      <w:r>
        <w:rPr>
          <w:rStyle w:val="None"/>
          <w:rFonts w:ascii="Times New Roman" w:hAnsi="Times New Roman"/>
          <w:b/>
          <w:noProof/>
          <w:sz w:val="24"/>
        </w:rPr>
        <w:t>priorités de mise en œuvre par pays</w:t>
      </w:r>
      <w:r>
        <w:rPr>
          <w:rStyle w:val="None"/>
          <w:rFonts w:ascii="Times New Roman" w:hAnsi="Times New Roman"/>
          <w:noProof/>
          <w:sz w:val="24"/>
        </w:rPr>
        <w:t xml:space="preserve"> requiert une </w:t>
      </w:r>
      <w:r>
        <w:rPr>
          <w:rStyle w:val="None"/>
          <w:rFonts w:ascii="Times New Roman" w:hAnsi="Times New Roman"/>
          <w:b/>
          <w:noProof/>
          <w:sz w:val="24"/>
        </w:rPr>
        <w:t>analyse</w:t>
      </w:r>
      <w:r>
        <w:rPr>
          <w:rStyle w:val="None"/>
          <w:rFonts w:ascii="Times New Roman" w:hAnsi="Times New Roman"/>
          <w:noProof/>
          <w:sz w:val="24"/>
        </w:rPr>
        <w:t xml:space="preserve"> précoce </w:t>
      </w:r>
      <w:r>
        <w:rPr>
          <w:rStyle w:val="None"/>
          <w:rFonts w:ascii="Times New Roman" w:hAnsi="Times New Roman"/>
          <w:b/>
          <w:noProof/>
          <w:sz w:val="24"/>
        </w:rPr>
        <w:t>des lacunes</w:t>
      </w:r>
      <w:r>
        <w:rPr>
          <w:rStyle w:val="None"/>
          <w:rFonts w:ascii="Times New Roman" w:hAnsi="Times New Roman"/>
          <w:noProof/>
          <w:sz w:val="24"/>
        </w:rPr>
        <w:t xml:space="preserve"> et l’intégration d’un </w:t>
      </w:r>
      <w:r>
        <w:rPr>
          <w:rStyle w:val="None"/>
          <w:rFonts w:ascii="Times New Roman" w:hAnsi="Times New Roman"/>
          <w:b/>
          <w:noProof/>
          <w:sz w:val="24"/>
        </w:rPr>
        <w:t>plus grand degré de granularité et de spécificité à la dimension du commerce et du développement durable</w:t>
      </w:r>
      <w:r>
        <w:rPr>
          <w:rStyle w:val="None"/>
          <w:rFonts w:ascii="Times New Roman" w:hAnsi="Times New Roman"/>
          <w:noProof/>
          <w:sz w:val="24"/>
        </w:rPr>
        <w:t xml:space="preserve">. Il convient de recenser conjointement les principaux défis, opportunités et priorités à un stade précoce de l’engagement avec chaque partenaire spécifique. Ces priorités devraient être élaborées avec le concours de la société civile et devraient déjà figurer dans l’analyse d’impact précédant le lancement des négociations, avant d’être précisées lors de l’analyse d’impact sur le développement durable et évaluées dans l’analyse ex-post durant la phase de mise en œuvre. </w:t>
      </w:r>
      <w:r>
        <w:rPr>
          <w:rFonts w:ascii="Times New Roman" w:hAnsi="Times New Roman"/>
          <w:noProof/>
          <w:sz w:val="24"/>
        </w:rPr>
        <w:t>Conformément à la stratégie de l’UE en faveur de la biodiversité</w:t>
      </w:r>
      <w:r>
        <w:rPr>
          <w:rStyle w:val="FootnoteReference"/>
          <w:rFonts w:ascii="Times New Roman" w:hAnsi="Times New Roman" w:cs="Times New Roman"/>
          <w:noProof/>
          <w:sz w:val="24"/>
          <w:szCs w:val="24"/>
          <w:lang w:val="en-IE"/>
        </w:rPr>
        <w:footnoteReference w:id="24"/>
      </w:r>
      <w:r>
        <w:rPr>
          <w:rFonts w:ascii="Times New Roman" w:hAnsi="Times New Roman"/>
          <w:noProof/>
          <w:sz w:val="24"/>
        </w:rPr>
        <w:t>, l’incidence de la libéralisation des échanges sur la biodiversité jouera un rôle important dans ces analyses.</w:t>
      </w:r>
      <w:r>
        <w:rPr>
          <w:rStyle w:val="None"/>
          <w:rFonts w:ascii="Times New Roman" w:hAnsi="Times New Roman"/>
          <w:noProof/>
          <w:sz w:val="24"/>
        </w:rPr>
        <w:t xml:space="preserve"> </w:t>
      </w:r>
      <w:r>
        <w:rPr>
          <w:rFonts w:ascii="Times New Roman" w:hAnsi="Times New Roman"/>
          <w:noProof/>
          <w:sz w:val="24"/>
        </w:rPr>
        <w:t xml:space="preserve">Sur cette base, l’UE et les pays partenaires devraient envisager de négocier les </w:t>
      </w:r>
      <w:r>
        <w:rPr>
          <w:rFonts w:ascii="Times New Roman" w:hAnsi="Times New Roman"/>
          <w:b/>
          <w:noProof/>
          <w:sz w:val="24"/>
        </w:rPr>
        <w:t>priorités de mise en œuvre par pays</w:t>
      </w:r>
      <w:r>
        <w:rPr>
          <w:rFonts w:ascii="Times New Roman" w:hAnsi="Times New Roman"/>
          <w:noProof/>
          <w:sz w:val="24"/>
        </w:rPr>
        <w:t xml:space="preserve"> et de se concentrer sur celles-ci, afin de veiller à l’accomplissement de progrès dans la réalisation des objectifs en matière de commerce et de développement durable. Ces priorités devraient être réalistes et ciblées, de manière à contribuer à l’obtention de résultats.</w:t>
      </w:r>
      <w:r>
        <w:rPr>
          <w:rStyle w:val="None"/>
          <w:rFonts w:ascii="Times New Roman" w:hAnsi="Times New Roman"/>
          <w:noProof/>
          <w:sz w:val="24"/>
        </w:rPr>
        <w:t xml:space="preserve"> Elles devraient également être suffisamment flexibles pour être adaptées au fil du temps, à mesure que la situation en matière de durabilité évolue. </w:t>
      </w:r>
    </w:p>
    <w:p w14:paraId="6383058F" w14:textId="3E8747C9" w:rsidR="007E6F5E" w:rsidRPr="00011967" w:rsidRDefault="00336C0A" w:rsidP="00BD20F1">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L’objectif serait de renforcer, le cas échéant, la mise en œuvre dans un domaine spécifique, par exemple en ce qui concerne le respect d’un principe ou d’une convention de l’OIT, ou encore d’un AME ratifié. Lorsque cela est nécessaire et pertinent, cet objectif peut être atteint en convenant d’étapes spécifiques avec un pays partenaire conformément aux dates butoirs et jalons fixés pour la phase de mise en œuvre (à savoir les </w:t>
      </w:r>
      <w:r>
        <w:rPr>
          <w:rStyle w:val="None"/>
          <w:rFonts w:ascii="Times New Roman" w:hAnsi="Times New Roman"/>
          <w:b/>
          <w:noProof/>
          <w:sz w:val="24"/>
        </w:rPr>
        <w:t>feuilles de route de mise en œuvre</w:t>
      </w:r>
      <w:r>
        <w:rPr>
          <w:rStyle w:val="None"/>
          <w:rFonts w:ascii="Times New Roman" w:hAnsi="Times New Roman"/>
          <w:noProof/>
          <w:sz w:val="24"/>
        </w:rPr>
        <w:t xml:space="preserve">), en garantissant un suivi adéquat, et en prévoyant, le cas échéant, l’aide des organisations internationales et des parties prenantes dans le cadre de ce processus. </w:t>
      </w:r>
    </w:p>
    <w:p w14:paraId="63341E36" w14:textId="46C264B1" w:rsidR="00080CC3" w:rsidRPr="00011967" w:rsidRDefault="0058357D" w:rsidP="00BD20F1">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En outre, l’UE </w:t>
      </w:r>
      <w:r>
        <w:rPr>
          <w:rStyle w:val="None"/>
          <w:rFonts w:ascii="Times New Roman" w:hAnsi="Times New Roman"/>
          <w:b/>
          <w:noProof/>
          <w:sz w:val="24"/>
        </w:rPr>
        <w:t>continuera de promouvoir la ratification des conventions fondamentales de l’OIT</w:t>
      </w:r>
      <w:r>
        <w:rPr>
          <w:rStyle w:val="None"/>
          <w:rFonts w:ascii="Times New Roman" w:hAnsi="Times New Roman"/>
          <w:noProof/>
          <w:sz w:val="24"/>
        </w:rPr>
        <w:t>. Elle concentrera les efforts en matière de ratification sur les priorités de mise en œuvre recensées. Il sera nécessaire de procéder à une évaluation au cas par cas, axée sur les questions ayant une forte incidence sur la mise en œuvre effective des droits fondamentaux.</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11967" w14:paraId="1DCF4790" w14:textId="77777777" w:rsidTr="3D9CC460">
        <w:trPr>
          <w:trHeight w:val="2459"/>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2878E3DD" w14:textId="77777777" w:rsidR="007E6F5E" w:rsidRPr="00011967" w:rsidRDefault="00336C0A" w:rsidP="00BD20F1">
            <w:pPr>
              <w:pStyle w:val="BodyA"/>
              <w:spacing w:after="0"/>
              <w:jc w:val="center"/>
              <w:rPr>
                <w:rStyle w:val="None"/>
                <w:rFonts w:ascii="Times New Roman" w:hAnsi="Times New Roman" w:cs="Times New Roman"/>
                <w:b/>
                <w:noProof/>
                <w:sz w:val="24"/>
                <w:szCs w:val="24"/>
              </w:rPr>
            </w:pPr>
            <w:r>
              <w:rPr>
                <w:rStyle w:val="None"/>
                <w:rFonts w:ascii="Times New Roman" w:hAnsi="Times New Roman"/>
                <w:b/>
                <w:noProof/>
                <w:sz w:val="24"/>
              </w:rPr>
              <w:t>Points d’action</w:t>
            </w:r>
          </w:p>
          <w:p w14:paraId="40CA4CF5"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rPr>
            </w:pPr>
            <w:r>
              <w:rPr>
                <w:rStyle w:val="None"/>
                <w:rFonts w:ascii="Times New Roman" w:hAnsi="Times New Roman"/>
                <w:noProof/>
                <w:sz w:val="24"/>
              </w:rPr>
              <w:t>La Commission:</w:t>
            </w:r>
            <w:r>
              <w:rPr>
                <w:rStyle w:val="None"/>
                <w:rFonts w:ascii="Times New Roman" w:hAnsi="Times New Roman"/>
                <w:i/>
                <w:noProof/>
                <w:sz w:val="24"/>
              </w:rPr>
              <w:t xml:space="preserve"> </w:t>
            </w:r>
          </w:p>
          <w:p w14:paraId="2BF72B45" w14:textId="658794E4"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 xml:space="preserve">mettra en place une </w:t>
            </w:r>
            <w:r>
              <w:rPr>
                <w:rStyle w:val="None"/>
                <w:rFonts w:ascii="Times New Roman" w:hAnsi="Times New Roman"/>
                <w:b/>
                <w:noProof/>
                <w:sz w:val="24"/>
              </w:rPr>
              <w:t>approche sur mesure</w:t>
            </w:r>
            <w:r>
              <w:rPr>
                <w:rStyle w:val="None"/>
                <w:rFonts w:ascii="Times New Roman" w:hAnsi="Times New Roman"/>
                <w:noProof/>
                <w:sz w:val="24"/>
              </w:rPr>
              <w:t xml:space="preserve"> et réalisera des </w:t>
            </w:r>
            <w:r>
              <w:rPr>
                <w:rStyle w:val="None"/>
                <w:rFonts w:ascii="Times New Roman" w:hAnsi="Times New Roman"/>
                <w:b/>
                <w:noProof/>
                <w:sz w:val="24"/>
              </w:rPr>
              <w:t>analyses d’impact mieux ciblées sur le commerce et le développement durable</w:t>
            </w:r>
            <w:r>
              <w:rPr>
                <w:rStyle w:val="None"/>
                <w:rFonts w:ascii="Times New Roman" w:hAnsi="Times New Roman"/>
                <w:noProof/>
                <w:sz w:val="24"/>
              </w:rPr>
              <w:t xml:space="preserve"> dans le but de </w:t>
            </w:r>
            <w:r>
              <w:rPr>
                <w:rStyle w:val="None"/>
                <w:rFonts w:ascii="Times New Roman" w:hAnsi="Times New Roman"/>
                <w:b/>
                <w:noProof/>
                <w:sz w:val="24"/>
              </w:rPr>
              <w:t>recenser les priorités par pays en matière de durabilité</w:t>
            </w:r>
            <w:r>
              <w:rPr>
                <w:rStyle w:val="None"/>
                <w:rFonts w:ascii="Times New Roman" w:hAnsi="Times New Roman"/>
                <w:noProof/>
                <w:sz w:val="24"/>
              </w:rPr>
              <w:t xml:space="preserve"> et d’</w:t>
            </w:r>
            <w:r>
              <w:rPr>
                <w:rStyle w:val="None"/>
                <w:rFonts w:ascii="Times New Roman" w:hAnsi="Times New Roman"/>
                <w:b/>
                <w:noProof/>
                <w:sz w:val="24"/>
              </w:rPr>
              <w:t>effectuer des analyses d’impact détaillées à un stade précoce</w:t>
            </w:r>
            <w:r>
              <w:rPr>
                <w:rStyle w:val="None"/>
                <w:rFonts w:ascii="Times New Roman" w:hAnsi="Times New Roman"/>
                <w:noProof/>
                <w:sz w:val="24"/>
              </w:rPr>
              <w:t xml:space="preserve">; </w:t>
            </w:r>
          </w:p>
          <w:p w14:paraId="4443CEDB" w14:textId="18EAB109" w:rsidR="007E6F5E" w:rsidRPr="00011967" w:rsidRDefault="51664043" w:rsidP="00A75D80">
            <w:pPr>
              <w:pStyle w:val="ListParagraph"/>
              <w:numPr>
                <w:ilvl w:val="0"/>
                <w:numId w:val="5"/>
              </w:numPr>
              <w:spacing w:after="0" w:line="240" w:lineRule="auto"/>
              <w:ind w:left="448" w:hanging="357"/>
              <w:jc w:val="both"/>
              <w:rPr>
                <w:rFonts w:ascii="Times New Roman" w:hAnsi="Times New Roman" w:cs="Times New Roman"/>
                <w:noProof/>
                <w:sz w:val="24"/>
                <w:szCs w:val="24"/>
              </w:rPr>
            </w:pPr>
            <w:r>
              <w:rPr>
                <w:rStyle w:val="None"/>
                <w:rFonts w:ascii="Times New Roman" w:hAnsi="Times New Roman"/>
                <w:noProof/>
                <w:sz w:val="24"/>
              </w:rPr>
              <w:t xml:space="preserve">négociera, le cas échéant, à la lumière des priorités recensées spécifiquement dans les pays partenaires et au cas par cas, des </w:t>
            </w:r>
            <w:r>
              <w:rPr>
                <w:rStyle w:val="None"/>
                <w:rFonts w:ascii="Times New Roman" w:hAnsi="Times New Roman"/>
                <w:b/>
                <w:noProof/>
                <w:sz w:val="24"/>
              </w:rPr>
              <w:t>feuilles de route détaillées</w:t>
            </w:r>
            <w:r>
              <w:rPr>
                <w:rStyle w:val="None"/>
                <w:rFonts w:ascii="Times New Roman" w:hAnsi="Times New Roman"/>
                <w:noProof/>
                <w:sz w:val="24"/>
              </w:rPr>
              <w:t xml:space="preserve"> et </w:t>
            </w:r>
            <w:r>
              <w:rPr>
                <w:rStyle w:val="None"/>
                <w:rFonts w:ascii="Times New Roman" w:hAnsi="Times New Roman"/>
                <w:b/>
                <w:noProof/>
                <w:sz w:val="24"/>
              </w:rPr>
              <w:t>assorties d’échéances</w:t>
            </w:r>
            <w:r>
              <w:rPr>
                <w:rStyle w:val="None"/>
                <w:rFonts w:ascii="Times New Roman" w:hAnsi="Times New Roman"/>
                <w:noProof/>
                <w:sz w:val="24"/>
              </w:rPr>
              <w:t xml:space="preserve"> ainsi que de </w:t>
            </w:r>
            <w:r>
              <w:rPr>
                <w:rStyle w:val="None"/>
                <w:rFonts w:ascii="Times New Roman" w:hAnsi="Times New Roman"/>
                <w:b/>
                <w:noProof/>
                <w:sz w:val="24"/>
              </w:rPr>
              <w:t>jalons</w:t>
            </w:r>
            <w:r>
              <w:rPr>
                <w:rStyle w:val="None"/>
                <w:rFonts w:ascii="Times New Roman" w:hAnsi="Times New Roman"/>
                <w:noProof/>
                <w:sz w:val="24"/>
              </w:rPr>
              <w:t xml:space="preserve">. Les feuilles de route devraient </w:t>
            </w:r>
            <w:r>
              <w:rPr>
                <w:rStyle w:val="None"/>
                <w:rFonts w:ascii="Times New Roman" w:hAnsi="Times New Roman"/>
                <w:b/>
                <w:noProof/>
                <w:sz w:val="24"/>
              </w:rPr>
              <w:t>reconnaître le rôle de la société civile</w:t>
            </w:r>
            <w:r>
              <w:rPr>
                <w:rStyle w:val="None"/>
                <w:rFonts w:ascii="Times New Roman" w:hAnsi="Times New Roman"/>
                <w:noProof/>
                <w:sz w:val="24"/>
              </w:rPr>
              <w:t xml:space="preserve"> dans le suivi de leur mise en œuvre.</w:t>
            </w:r>
          </w:p>
        </w:tc>
      </w:tr>
    </w:tbl>
    <w:p w14:paraId="788E7BCE" w14:textId="77777777" w:rsidR="007E6F5E" w:rsidRPr="00087316" w:rsidRDefault="007E6F5E" w:rsidP="007E4014">
      <w:pPr>
        <w:pStyle w:val="Body"/>
        <w:jc w:val="both"/>
        <w:rPr>
          <w:rFonts w:cs="Times New Roman"/>
          <w:noProof/>
          <w:lang w:val="fr-BE"/>
        </w:rPr>
      </w:pPr>
    </w:p>
    <w:p w14:paraId="0D308FFD" w14:textId="5A50E7F9" w:rsidR="007E6F5E" w:rsidRPr="00011967" w:rsidRDefault="002239D2" w:rsidP="002239D2">
      <w:pPr>
        <w:tabs>
          <w:tab w:val="left" w:pos="993"/>
          <w:tab w:val="left" w:pos="1276"/>
        </w:tabs>
        <w:ind w:firstLine="720"/>
        <w:rPr>
          <w:rStyle w:val="None"/>
          <w:noProof/>
          <w:u w:val="single"/>
        </w:rPr>
      </w:pPr>
      <w:r w:rsidRPr="00626FE8">
        <w:rPr>
          <w:rStyle w:val="None"/>
          <w:noProof/>
        </w:rPr>
        <w:t>3</w:t>
      </w:r>
      <w:r>
        <w:rPr>
          <w:rStyle w:val="None"/>
          <w:noProof/>
        </w:rPr>
        <w:t>.</w:t>
      </w:r>
      <w:r w:rsidRPr="00626FE8">
        <w:rPr>
          <w:rStyle w:val="None"/>
          <w:noProof/>
        </w:rPr>
        <w:t>3</w:t>
      </w:r>
      <w:r>
        <w:rPr>
          <w:noProof/>
        </w:rPr>
        <w:t xml:space="preserve"> </w:t>
      </w:r>
      <w:r>
        <w:rPr>
          <w:noProof/>
        </w:rPr>
        <w:tab/>
      </w:r>
      <w:r>
        <w:rPr>
          <w:rStyle w:val="None"/>
          <w:noProof/>
          <w:u w:val="single"/>
        </w:rPr>
        <w:t>Intégration de la durabilité dans l’ensemble des accords commerciaux</w:t>
      </w:r>
    </w:p>
    <w:p w14:paraId="71BD41C2" w14:textId="77777777" w:rsidR="002239D2" w:rsidRPr="00087316" w:rsidRDefault="002239D2" w:rsidP="002239D2">
      <w:pPr>
        <w:rPr>
          <w:rStyle w:val="None"/>
          <w:noProof/>
          <w:u w:val="single"/>
          <w:lang w:val="fr-BE"/>
        </w:rPr>
      </w:pPr>
    </w:p>
    <w:p w14:paraId="762011FA" w14:textId="66D9C594" w:rsidR="00145785" w:rsidRPr="00011967" w:rsidRDefault="00336C0A" w:rsidP="00B52B86">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Tous les accords commerciaux de l’UE comprennent plusieurs dispositions qui visent à préserver le droit des pays à légiférer afin de s’efforcer d’atteindre des objectifs légitimes en matière d’environnement et de travail. Outre le respect de cette marge de manœuvre nécessaire, les questions de durabilité devraient également être intégrées de manière proactive dans différentes parties des accords commerciaux. </w:t>
      </w:r>
    </w:p>
    <w:p w14:paraId="48E9E511" w14:textId="31E04418" w:rsidR="00F70E50" w:rsidRPr="00011967" w:rsidRDefault="3B0AE0D4" w:rsidP="00B52B86">
      <w:pPr>
        <w:pStyle w:val="BodyA"/>
        <w:jc w:val="both"/>
        <w:rPr>
          <w:rStyle w:val="None"/>
          <w:rFonts w:ascii="Times New Roman" w:hAnsi="Times New Roman" w:cs="Times New Roman"/>
          <w:noProof/>
          <w:color w:val="auto"/>
          <w:sz w:val="24"/>
          <w:szCs w:val="24"/>
          <w14:textOutline w14:w="0" w14:cap="rnd" w14:cmpd="sng" w14:algn="ctr">
            <w14:noFill/>
            <w14:prstDash w14:val="solid"/>
            <w14:bevel/>
          </w14:textOutline>
        </w:rPr>
      </w:pPr>
      <w:r>
        <w:rPr>
          <w:rStyle w:val="None"/>
          <w:rFonts w:ascii="Times New Roman" w:hAnsi="Times New Roman"/>
          <w:noProof/>
          <w:sz w:val="24"/>
        </w:rPr>
        <w:t xml:space="preserve">L’intégration d’objectifs relatifs au commerce et au développement durable dans les accords commerciaux pourrait passer par </w:t>
      </w:r>
      <w:r>
        <w:rPr>
          <w:rStyle w:val="None"/>
          <w:rFonts w:ascii="Times New Roman" w:hAnsi="Times New Roman"/>
          <w:b/>
          <w:noProof/>
          <w:sz w:val="24"/>
        </w:rPr>
        <w:t>l’octroi d’un statut prioritaire à la libéralisation des biens et services environnementaux</w:t>
      </w:r>
      <w:r>
        <w:rPr>
          <w:rStyle w:val="None"/>
          <w:rFonts w:ascii="Times New Roman" w:hAnsi="Times New Roman"/>
          <w:noProof/>
          <w:sz w:val="24"/>
        </w:rPr>
        <w:t xml:space="preserve">, notamment des biens et services qui contribuent à la réduction des émissions de gaz à effet de serre et qui promeuvent l’utilisation efficace des ressources et l’économie circulaire. En outre, les accords commerciaux devraient </w:t>
      </w:r>
      <w:r>
        <w:rPr>
          <w:rStyle w:val="None"/>
          <w:rFonts w:ascii="Times New Roman" w:hAnsi="Times New Roman"/>
          <w:b/>
          <w:noProof/>
          <w:sz w:val="24"/>
        </w:rPr>
        <w:t>garantir des échanges commerciaux non faussés et des investissements dans les matières premières et les biens énergétiques nécessaires à la transition vers des économies neutres en carbone et économes en ressources</w:t>
      </w:r>
      <w:r>
        <w:rPr>
          <w:rStyle w:val="None"/>
          <w:rFonts w:ascii="Times New Roman" w:hAnsi="Times New Roman"/>
          <w:noProof/>
          <w:sz w:val="24"/>
        </w:rPr>
        <w:t xml:space="preserve">. </w:t>
      </w:r>
    </w:p>
    <w:p w14:paraId="687115C0" w14:textId="6E521E40" w:rsidR="007E6F5E" w:rsidRPr="00011967" w:rsidRDefault="5963A5F4">
      <w:pPr>
        <w:pStyle w:val="BodyA"/>
        <w:jc w:val="both"/>
        <w:rPr>
          <w:rStyle w:val="None"/>
          <w:rFonts w:ascii="Times New Roman" w:hAnsi="Times New Roman" w:cs="Times New Roman"/>
          <w:noProof/>
          <w:color w:val="auto"/>
          <w:sz w:val="24"/>
          <w:szCs w:val="24"/>
          <w14:textOutline w14:w="0" w14:cap="rnd" w14:cmpd="sng" w14:algn="ctr">
            <w14:noFill/>
            <w14:prstDash w14:val="solid"/>
            <w14:bevel/>
          </w14:textOutline>
        </w:rPr>
      </w:pPr>
      <w:r>
        <w:rPr>
          <w:rFonts w:ascii="Times New Roman" w:hAnsi="Times New Roman"/>
          <w:noProof/>
          <w:sz w:val="24"/>
        </w:rPr>
        <w:t>Cela devrait passer, par exemple, par la lutte contre les obstacles non tarifaires et par le recours aux normes internationales pour la promotion du commerce et des investissements en faveur de la protection de l’environnement, de l’efficacité des ressources et des sources d’énergie renouvelable.</w:t>
      </w:r>
      <w:r>
        <w:rPr>
          <w:rStyle w:val="None"/>
          <w:rFonts w:ascii="Times New Roman" w:hAnsi="Times New Roman"/>
          <w:noProof/>
          <w:sz w:val="24"/>
        </w:rPr>
        <w:t xml:space="preserve"> De plus, il conviendrait que les accords commerciaux encouragent l’utilisation de considérations de durabilité non discriminatoires dans les procédures de passation de marchés publics et visent à inclure des dispositions relatives aux systèmes alimentaires durables. </w:t>
      </w:r>
    </w:p>
    <w:p w14:paraId="555C60F5" w14:textId="5EF98C21" w:rsidR="007E6F5E" w:rsidRPr="00011967" w:rsidRDefault="51664043" w:rsidP="00D736A4">
      <w:pPr>
        <w:jc w:val="both"/>
        <w:rPr>
          <w:rStyle w:val="None"/>
          <w:noProof/>
        </w:rPr>
      </w:pPr>
      <w:r>
        <w:rPr>
          <w:rStyle w:val="None"/>
          <w:noProof/>
        </w:rPr>
        <w:t>Afin d’étendre le statut prioritaire des objectifs en matière de commerce et de développement durable au-delà des chapitres CDD, les analyses d’impact et les analyses d’impact sur le développement durable devraient étudier les défis de durabilité et les opportunités en la matière dans tous les domaines pertinents des accords commerciaux. L’approche par pays mentionnée dans la section précédente devrait s’appliquer à l’ensemble des accords commerciaux.</w:t>
      </w:r>
    </w:p>
    <w:p w14:paraId="6DF59A0D" w14:textId="77777777" w:rsidR="00AE271E" w:rsidRPr="00087316" w:rsidRDefault="00AE271E" w:rsidP="00D736A4">
      <w:pPr>
        <w:jc w:val="both"/>
        <w:rPr>
          <w:rStyle w:val="None"/>
          <w:noProof/>
          <w:lang w:val="fr-BE"/>
        </w:rPr>
      </w:pP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11967" w14:paraId="0D658C75" w14:textId="77777777" w:rsidTr="007E0A7D">
        <w:trPr>
          <w:trHeight w:val="336"/>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54007AA8" w14:textId="77777777" w:rsidR="007E6F5E" w:rsidRPr="00011967" w:rsidRDefault="00336C0A" w:rsidP="00BD20F1">
            <w:pPr>
              <w:pStyle w:val="BodyA"/>
              <w:spacing w:after="0"/>
              <w:jc w:val="center"/>
              <w:rPr>
                <w:rStyle w:val="None"/>
                <w:rFonts w:ascii="Times New Roman" w:hAnsi="Times New Roman" w:cs="Times New Roman"/>
                <w:b/>
                <w:noProof/>
                <w:sz w:val="24"/>
                <w:szCs w:val="24"/>
              </w:rPr>
            </w:pPr>
            <w:r>
              <w:rPr>
                <w:rStyle w:val="None"/>
                <w:rFonts w:ascii="Times New Roman" w:hAnsi="Times New Roman"/>
                <w:b/>
                <w:noProof/>
                <w:sz w:val="24"/>
              </w:rPr>
              <w:t>Points d’action</w:t>
            </w:r>
          </w:p>
          <w:p w14:paraId="316E6F33"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rPr>
            </w:pPr>
            <w:r>
              <w:rPr>
                <w:rStyle w:val="None"/>
                <w:rFonts w:ascii="Times New Roman" w:hAnsi="Times New Roman"/>
                <w:noProof/>
                <w:sz w:val="24"/>
              </w:rPr>
              <w:t>La Commission:</w:t>
            </w:r>
            <w:r>
              <w:rPr>
                <w:rStyle w:val="None"/>
                <w:rFonts w:ascii="Times New Roman" w:hAnsi="Times New Roman"/>
                <w:i/>
                <w:noProof/>
                <w:sz w:val="24"/>
              </w:rPr>
              <w:t xml:space="preserve"> </w:t>
            </w:r>
          </w:p>
          <w:p w14:paraId="74ACCE24" w14:textId="57DE12CB"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donnera la priorité à l’</w:t>
            </w:r>
            <w:r>
              <w:rPr>
                <w:rStyle w:val="None"/>
                <w:rFonts w:ascii="Times New Roman" w:hAnsi="Times New Roman"/>
                <w:b/>
                <w:noProof/>
                <w:sz w:val="24"/>
              </w:rPr>
              <w:t>accès aux marchés</w:t>
            </w:r>
            <w:r>
              <w:rPr>
                <w:rStyle w:val="None"/>
                <w:rFonts w:ascii="Times New Roman" w:hAnsi="Times New Roman"/>
                <w:noProof/>
                <w:sz w:val="24"/>
              </w:rPr>
              <w:t xml:space="preserve"> pour les </w:t>
            </w:r>
            <w:r>
              <w:rPr>
                <w:rStyle w:val="None"/>
                <w:rFonts w:ascii="Times New Roman" w:hAnsi="Times New Roman"/>
                <w:b/>
                <w:noProof/>
                <w:sz w:val="24"/>
              </w:rPr>
              <w:t>biens</w:t>
            </w:r>
            <w:r>
              <w:rPr>
                <w:rStyle w:val="None"/>
                <w:rFonts w:ascii="Times New Roman" w:hAnsi="Times New Roman"/>
                <w:noProof/>
                <w:sz w:val="24"/>
              </w:rPr>
              <w:t xml:space="preserve"> et </w:t>
            </w:r>
            <w:r>
              <w:rPr>
                <w:rStyle w:val="None"/>
                <w:rFonts w:ascii="Times New Roman" w:hAnsi="Times New Roman"/>
                <w:b/>
                <w:noProof/>
                <w:sz w:val="24"/>
              </w:rPr>
              <w:t>services environnementaux</w:t>
            </w:r>
            <w:r>
              <w:rPr>
                <w:rStyle w:val="None"/>
                <w:rFonts w:ascii="Times New Roman" w:hAnsi="Times New Roman"/>
                <w:noProof/>
                <w:sz w:val="24"/>
              </w:rPr>
              <w:t>, notamment dans le domaine des énergies renouvelables et de l’efficacité énergétique, par exemple en luttant contre les obstacles tarifaires et non tarifaires, ainsi qu’en favorisant l’accès aux matières premières et aux biens nécessaires à la transition verte, et l’investissement en faveur de ces produits;</w:t>
            </w:r>
          </w:p>
          <w:p w14:paraId="246D3A62" w14:textId="7D83DA85" w:rsidR="007E6F5E" w:rsidRPr="00011967" w:rsidRDefault="51664043" w:rsidP="00393CAC">
            <w:pPr>
              <w:pStyle w:val="ListParagraph"/>
              <w:numPr>
                <w:ilvl w:val="0"/>
                <w:numId w:val="5"/>
              </w:numPr>
              <w:spacing w:after="0" w:line="240" w:lineRule="auto"/>
              <w:ind w:left="448" w:hanging="357"/>
              <w:jc w:val="both"/>
              <w:rPr>
                <w:rFonts w:ascii="Times New Roman" w:hAnsi="Times New Roman" w:cs="Times New Roman"/>
                <w:noProof/>
                <w:sz w:val="24"/>
                <w:szCs w:val="24"/>
              </w:rPr>
            </w:pPr>
            <w:r>
              <w:rPr>
                <w:rStyle w:val="None"/>
                <w:rFonts w:ascii="Times New Roman" w:hAnsi="Times New Roman"/>
                <w:noProof/>
                <w:sz w:val="24"/>
              </w:rPr>
              <w:t xml:space="preserve">garantira que les </w:t>
            </w:r>
            <w:r>
              <w:rPr>
                <w:rStyle w:val="None"/>
                <w:rFonts w:ascii="Times New Roman" w:hAnsi="Times New Roman"/>
                <w:b/>
                <w:noProof/>
                <w:sz w:val="24"/>
              </w:rPr>
              <w:t>analyses d’impact</w:t>
            </w:r>
            <w:r>
              <w:rPr>
                <w:rStyle w:val="None"/>
                <w:rFonts w:ascii="Times New Roman" w:hAnsi="Times New Roman"/>
                <w:noProof/>
                <w:sz w:val="24"/>
              </w:rPr>
              <w:t xml:space="preserve"> et les </w:t>
            </w:r>
            <w:r>
              <w:rPr>
                <w:rStyle w:val="None"/>
                <w:rFonts w:ascii="Times New Roman" w:hAnsi="Times New Roman"/>
                <w:b/>
                <w:noProof/>
                <w:sz w:val="24"/>
              </w:rPr>
              <w:t>analyses d’impact sur le développement durable</w:t>
            </w:r>
            <w:r>
              <w:rPr>
                <w:rStyle w:val="None"/>
                <w:rFonts w:ascii="Times New Roman" w:hAnsi="Times New Roman"/>
                <w:noProof/>
                <w:sz w:val="24"/>
              </w:rPr>
              <w:t xml:space="preserve"> évaluent tous les </w:t>
            </w:r>
            <w:r>
              <w:rPr>
                <w:rStyle w:val="None"/>
                <w:rFonts w:ascii="Times New Roman" w:hAnsi="Times New Roman"/>
                <w:b/>
                <w:noProof/>
                <w:sz w:val="24"/>
              </w:rPr>
              <w:t>chapitres pertinents</w:t>
            </w:r>
            <w:r>
              <w:rPr>
                <w:rStyle w:val="None"/>
                <w:rFonts w:ascii="Times New Roman" w:hAnsi="Times New Roman"/>
                <w:noProof/>
                <w:sz w:val="24"/>
              </w:rPr>
              <w:t xml:space="preserve"> des accords commerciaux afin de recenser les dispositions et les engagements les plus susceptibles d’avoir une </w:t>
            </w:r>
            <w:r>
              <w:rPr>
                <w:rStyle w:val="None"/>
                <w:rFonts w:ascii="Times New Roman" w:hAnsi="Times New Roman"/>
                <w:b/>
                <w:noProof/>
                <w:sz w:val="24"/>
              </w:rPr>
              <w:t>incidence sur les questions de durabilité</w:t>
            </w:r>
            <w:r>
              <w:rPr>
                <w:rStyle w:val="None"/>
                <w:rFonts w:ascii="Times New Roman" w:hAnsi="Times New Roman"/>
                <w:noProof/>
                <w:sz w:val="24"/>
              </w:rPr>
              <w:t xml:space="preserve"> ainsi que les </w:t>
            </w:r>
            <w:r>
              <w:rPr>
                <w:rStyle w:val="None"/>
                <w:rFonts w:ascii="Times New Roman" w:hAnsi="Times New Roman"/>
                <w:b/>
                <w:noProof/>
                <w:sz w:val="24"/>
              </w:rPr>
              <w:t>opportunités</w:t>
            </w:r>
            <w:r>
              <w:rPr>
                <w:rStyle w:val="None"/>
                <w:rFonts w:ascii="Times New Roman" w:hAnsi="Times New Roman"/>
                <w:noProof/>
                <w:sz w:val="24"/>
              </w:rPr>
              <w:t xml:space="preserve">, offertes par ces accords, </w:t>
            </w:r>
            <w:r>
              <w:rPr>
                <w:rStyle w:val="None"/>
                <w:rFonts w:ascii="Times New Roman" w:hAnsi="Times New Roman"/>
                <w:b/>
                <w:noProof/>
                <w:sz w:val="24"/>
              </w:rPr>
              <w:t>de réalisation d’objectifs de durabilité allant au-delà des chapitres CDD</w:t>
            </w:r>
            <w:r>
              <w:rPr>
                <w:rStyle w:val="None"/>
                <w:rFonts w:ascii="Times New Roman" w:hAnsi="Times New Roman"/>
                <w:noProof/>
                <w:sz w:val="24"/>
              </w:rPr>
              <w:t>.</w:t>
            </w:r>
          </w:p>
        </w:tc>
      </w:tr>
    </w:tbl>
    <w:p w14:paraId="65AA4B76" w14:textId="77777777" w:rsidR="007E6F5E" w:rsidRPr="00087316" w:rsidRDefault="007E6F5E" w:rsidP="00DC315E">
      <w:pPr>
        <w:jc w:val="both"/>
        <w:rPr>
          <w:rStyle w:val="None"/>
          <w:noProof/>
          <w:lang w:val="fr-BE"/>
        </w:rPr>
      </w:pPr>
    </w:p>
    <w:p w14:paraId="540D7036" w14:textId="5ABC4370" w:rsidR="002239D2" w:rsidRPr="00011967" w:rsidRDefault="002239D2" w:rsidP="002239D2">
      <w:pPr>
        <w:tabs>
          <w:tab w:val="left" w:pos="851"/>
        </w:tabs>
        <w:ind w:left="350"/>
        <w:jc w:val="both"/>
        <w:rPr>
          <w:rStyle w:val="None"/>
          <w:noProof/>
          <w:u w:val="single"/>
        </w:rPr>
      </w:pPr>
      <w:r w:rsidRPr="00626FE8">
        <w:rPr>
          <w:rStyle w:val="None"/>
          <w:noProof/>
        </w:rPr>
        <w:t>3</w:t>
      </w:r>
      <w:r>
        <w:rPr>
          <w:rStyle w:val="None"/>
          <w:noProof/>
        </w:rPr>
        <w:t>.</w:t>
      </w:r>
      <w:r w:rsidRPr="00626FE8">
        <w:rPr>
          <w:rStyle w:val="None"/>
          <w:noProof/>
        </w:rPr>
        <w:t>4</w:t>
      </w:r>
      <w:r>
        <w:rPr>
          <w:rStyle w:val="None"/>
          <w:noProof/>
        </w:rPr>
        <w:t xml:space="preserve"> </w:t>
      </w:r>
      <w:r>
        <w:rPr>
          <w:noProof/>
        </w:rPr>
        <w:tab/>
      </w:r>
      <w:r>
        <w:rPr>
          <w:rStyle w:val="None"/>
          <w:noProof/>
          <w:u w:val="single"/>
        </w:rPr>
        <w:t>Suivi collectif de la mise en œuvre des engagements en matière de commerce et de développement durable</w:t>
      </w:r>
    </w:p>
    <w:p w14:paraId="1CA34724" w14:textId="77777777" w:rsidR="002239D2" w:rsidRPr="00087316" w:rsidRDefault="002239D2" w:rsidP="002239D2">
      <w:pPr>
        <w:tabs>
          <w:tab w:val="left" w:pos="851"/>
        </w:tabs>
        <w:ind w:left="350"/>
        <w:jc w:val="both"/>
        <w:rPr>
          <w:rStyle w:val="None"/>
          <w:noProof/>
          <w:u w:val="single"/>
          <w:lang w:val="fr-BE"/>
        </w:rPr>
      </w:pPr>
    </w:p>
    <w:p w14:paraId="02CA6B28" w14:textId="3FD7F66D" w:rsidR="007E6F5E" w:rsidRPr="00011967" w:rsidRDefault="51664043" w:rsidP="003F6983">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L’une des leçons tirées de l’application du plan d’action en </w:t>
      </w:r>
      <w:r w:rsidRPr="00626FE8">
        <w:rPr>
          <w:rStyle w:val="None"/>
          <w:rFonts w:ascii="Times New Roman" w:hAnsi="Times New Roman"/>
          <w:noProof/>
          <w:sz w:val="24"/>
        </w:rPr>
        <w:t>15</w:t>
      </w:r>
      <w:r>
        <w:rPr>
          <w:rStyle w:val="None"/>
          <w:rFonts w:ascii="Times New Roman" w:hAnsi="Times New Roman"/>
          <w:noProof/>
          <w:sz w:val="24"/>
        </w:rPr>
        <w:t xml:space="preserve"> points est qu’</w:t>
      </w:r>
      <w:r>
        <w:rPr>
          <w:rStyle w:val="None"/>
          <w:rFonts w:ascii="Times New Roman" w:hAnsi="Times New Roman"/>
          <w:b/>
          <w:noProof/>
          <w:sz w:val="24"/>
        </w:rPr>
        <w:t>un engagement continu auprès du partenaire commercial concerné permet d’obtenir des résultats</w:t>
      </w:r>
      <w:r>
        <w:rPr>
          <w:rStyle w:val="None"/>
          <w:rFonts w:ascii="Times New Roman" w:hAnsi="Times New Roman"/>
          <w:noProof/>
          <w:sz w:val="24"/>
        </w:rPr>
        <w:t xml:space="preserve">. Cette approche nécessite des ressources considérables mais génère des résultats durables sur le terrain. La </w:t>
      </w:r>
      <w:r>
        <w:rPr>
          <w:rStyle w:val="None"/>
          <w:rFonts w:ascii="Times New Roman" w:hAnsi="Times New Roman"/>
          <w:b/>
          <w:noProof/>
          <w:sz w:val="24"/>
        </w:rPr>
        <w:t>Commission entend continuer d’associer l’expertise et les instruments et programmes dont elle dispose dans le cadre d’une approche européenne globale sur l’ensemble des services</w:t>
      </w:r>
      <w:r>
        <w:rPr>
          <w:rStyle w:val="None"/>
          <w:rFonts w:ascii="Times New Roman" w:hAnsi="Times New Roman"/>
          <w:noProof/>
          <w:sz w:val="24"/>
        </w:rPr>
        <w:t>. Cela passerait, par exemple, par des dialogues bilatéraux sur la politique et la législation en matière de travail et d’environnement et, lorsque cela se justifie, par une coopération au développement et un soutien financier.</w:t>
      </w:r>
    </w:p>
    <w:p w14:paraId="4BF220D2" w14:textId="026F1054" w:rsidR="00CC58CC" w:rsidRPr="00011967" w:rsidRDefault="00CC58CC" w:rsidP="00CC58CC">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Le rôle des </w:t>
      </w:r>
      <w:r>
        <w:rPr>
          <w:rStyle w:val="None"/>
          <w:rFonts w:ascii="Times New Roman" w:hAnsi="Times New Roman"/>
          <w:b/>
          <w:noProof/>
          <w:sz w:val="24"/>
        </w:rPr>
        <w:t>délégations de l’UE</w:t>
      </w:r>
      <w:r>
        <w:rPr>
          <w:rStyle w:val="None"/>
          <w:rFonts w:ascii="Times New Roman" w:hAnsi="Times New Roman"/>
          <w:noProof/>
          <w:sz w:val="24"/>
        </w:rPr>
        <w:t xml:space="preserve"> dans le suivi de la mise en œuvre des engagements en matière de commerce et de développement durable est particulièrement important. Les délégations jouissent d’un contact direct avec les gouvernements et les administrations ainsi que les parties prenantes locales, y compris les groupes consultatifs internes (GCI)</w:t>
      </w:r>
      <w:r>
        <w:rPr>
          <w:rStyle w:val="None"/>
          <w:rFonts w:ascii="Times New Roman" w:eastAsia="Times New Roman" w:hAnsi="Times New Roman" w:cs="Times New Roman"/>
          <w:noProof/>
          <w:sz w:val="24"/>
          <w:szCs w:val="24"/>
          <w:vertAlign w:val="superscript"/>
          <w:lang w:val="en-IE"/>
        </w:rPr>
        <w:footnoteReference w:id="25"/>
      </w:r>
      <w:r>
        <w:rPr>
          <w:rStyle w:val="None"/>
          <w:rFonts w:ascii="Times New Roman" w:hAnsi="Times New Roman"/>
          <w:noProof/>
          <w:sz w:val="24"/>
        </w:rPr>
        <w:t xml:space="preserve">. Elles ont également la possibilité de s’investir de façon concrète dans les questions de développement durable liées au commerce. En association avec les États membres, elles sont non seulement les yeux et les oreilles de l’Union sur le terrain, mais forment aussi un réseau collectif de diplomates européens qui œuvrent ensemble à anticiper les difficultés en matière de durabilité et à lutter contre ces difficultés dans leurs domaines géographiques et de compétence respectifs. </w:t>
      </w:r>
    </w:p>
    <w:p w14:paraId="2A7D9355" w14:textId="166E40AA" w:rsidR="007E6F5E" w:rsidRPr="00011967" w:rsidRDefault="00336C0A" w:rsidP="003F6983">
      <w:pPr>
        <w:pStyle w:val="BodyA"/>
        <w:jc w:val="both"/>
        <w:rPr>
          <w:rStyle w:val="None"/>
          <w:rFonts w:ascii="Times New Roman" w:hAnsi="Times New Roman" w:cs="Times New Roman"/>
          <w:noProof/>
          <w:sz w:val="24"/>
          <w:szCs w:val="24"/>
        </w:rPr>
      </w:pPr>
      <w:r>
        <w:rPr>
          <w:rFonts w:ascii="Times New Roman" w:hAnsi="Times New Roman"/>
          <w:noProof/>
          <w:sz w:val="24"/>
        </w:rPr>
        <w:t xml:space="preserve">Cette approche exhaustive devrait être complétée par une coopération accrue avec les </w:t>
      </w:r>
      <w:r>
        <w:rPr>
          <w:rFonts w:ascii="Times New Roman" w:hAnsi="Times New Roman"/>
          <w:b/>
          <w:noProof/>
          <w:sz w:val="24"/>
        </w:rPr>
        <w:t>États membres</w:t>
      </w:r>
      <w:r>
        <w:rPr>
          <w:rFonts w:ascii="Times New Roman" w:hAnsi="Times New Roman"/>
          <w:noProof/>
          <w:sz w:val="24"/>
        </w:rPr>
        <w:t xml:space="preserve"> dans les capitales mais aussi sur le terrain, par l’intermédiaire des ambassades et des missions dans les pays tiers.</w:t>
      </w:r>
      <w:r>
        <w:rPr>
          <w:rStyle w:val="None"/>
          <w:rFonts w:ascii="Times New Roman" w:hAnsi="Times New Roman"/>
          <w:noProof/>
          <w:sz w:val="24"/>
        </w:rPr>
        <w:t xml:space="preserve"> L’objectif devrait être de veiller à ce que les instruments nationaux et de la Commission pertinents interagissent et se renforcent mutuellement, pour permettre à l’UE de réaliser des économies d’échelle et d’avoir une incidence plus importante sur le terrain. </w:t>
      </w:r>
    </w:p>
    <w:p w14:paraId="7A510364" w14:textId="59BF56AF" w:rsidR="002C5625" w:rsidRPr="00011967" w:rsidRDefault="51664043" w:rsidP="003F6983">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Il importe également d’accroître la participation du </w:t>
      </w:r>
      <w:r>
        <w:rPr>
          <w:rStyle w:val="None"/>
          <w:rFonts w:ascii="Times New Roman" w:hAnsi="Times New Roman"/>
          <w:b/>
          <w:noProof/>
          <w:sz w:val="24"/>
        </w:rPr>
        <w:t>Parlement européen</w:t>
      </w:r>
      <w:r>
        <w:rPr>
          <w:rStyle w:val="None"/>
          <w:rFonts w:ascii="Times New Roman" w:hAnsi="Times New Roman"/>
          <w:noProof/>
          <w:sz w:val="24"/>
        </w:rPr>
        <w:t xml:space="preserve">. Grâce aux missions et aux visites de terrain effectuées par ses membres, le Parlement européen pourrait contribuer davantage au suivi et à la mise en œuvre des engagements en matière de commerce et de développement durable. Les interactions entre le Parlement européen et les parlements des pays partenaires peuvent s’avérer particulièrement efficaces dès lors que des réformes législatives sont nécessaires. Les visites de terrain réalisées par le Parlement européen et les parlements nationaux constituent également des occasions de faire connaître les objectifs de durabilité de l’UE à l’étranger, car elles permettent d’interagir non seulement avec les fonctionnaires locaux mais aussi avec les représentants locaux de la société civile, les GCI locaux et les entreprises. </w:t>
      </w:r>
    </w:p>
    <w:p w14:paraId="335A905B" w14:textId="02787032" w:rsidR="007E6F5E" w:rsidRPr="00011967" w:rsidRDefault="00336C0A" w:rsidP="003F6983">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Les </w:t>
      </w:r>
      <w:r>
        <w:rPr>
          <w:rStyle w:val="None"/>
          <w:rFonts w:ascii="Times New Roman" w:hAnsi="Times New Roman"/>
          <w:b/>
          <w:noProof/>
          <w:sz w:val="24"/>
        </w:rPr>
        <w:t>groupes de suivi</w:t>
      </w:r>
      <w:r>
        <w:rPr>
          <w:rStyle w:val="None"/>
          <w:rFonts w:ascii="Times New Roman" w:hAnsi="Times New Roman"/>
          <w:noProof/>
          <w:sz w:val="24"/>
        </w:rPr>
        <w:t xml:space="preserve"> mis en place par la commission INTA ont également joué un rôle essentiel dans les négociations et la mise en œuvre des accords commerciaux. Cette dimension pourrait être davantage renforcée, par exemple grâce à des discussions régulières par pays sur le commerce et le développement durable. En association avec les délégations de l’UE, la Commission se tiendrait prête à soutenir le Parlement européen dans ses efforts.</w:t>
      </w:r>
    </w:p>
    <w:p w14:paraId="3460B3F3" w14:textId="36F0F608" w:rsidR="007E6F5E" w:rsidRPr="00011967" w:rsidRDefault="00336C0A" w:rsidP="003F6983">
      <w:pPr>
        <w:pStyle w:val="BodyA"/>
        <w:jc w:val="both"/>
        <w:rPr>
          <w:rStyle w:val="None"/>
          <w:rFonts w:ascii="Times New Roman" w:hAnsi="Times New Roman" w:cs="Times New Roman"/>
          <w:noProof/>
          <w:sz w:val="24"/>
          <w:szCs w:val="24"/>
        </w:rPr>
      </w:pPr>
      <w:r>
        <w:rPr>
          <w:rFonts w:ascii="Times New Roman" w:hAnsi="Times New Roman"/>
          <w:noProof/>
          <w:sz w:val="24"/>
        </w:rPr>
        <w:t xml:space="preserve">Un suivi collectif de la mise en œuvre des engagements en matière de commerce et de développement durable figurant dans les accords commerciaux supposerait également de donner un </w:t>
      </w:r>
      <w:r>
        <w:rPr>
          <w:rFonts w:ascii="Times New Roman" w:hAnsi="Times New Roman"/>
          <w:b/>
          <w:noProof/>
          <w:sz w:val="24"/>
        </w:rPr>
        <w:t>rôle plus important à la société civile, y compris les partenaires sociaux</w:t>
      </w:r>
      <w:r>
        <w:rPr>
          <w:rFonts w:ascii="Times New Roman" w:hAnsi="Times New Roman"/>
          <w:noProof/>
          <w:sz w:val="24"/>
        </w:rPr>
        <w:t>.</w:t>
      </w:r>
      <w:r>
        <w:rPr>
          <w:rStyle w:val="None"/>
          <w:rFonts w:ascii="Times New Roman" w:hAnsi="Times New Roman"/>
          <w:noProof/>
          <w:sz w:val="24"/>
        </w:rPr>
        <w:t xml:space="preserve"> </w:t>
      </w:r>
      <w:r>
        <w:rPr>
          <w:rStyle w:val="None"/>
          <w:rFonts w:ascii="Times New Roman" w:hAnsi="Times New Roman"/>
          <w:b/>
          <w:noProof/>
          <w:sz w:val="24"/>
        </w:rPr>
        <w:t>Tant l’UE que chacun de ses partenaires commerciaux devraient s’efforcer de nouer un dialogue avec les organisations de la société civile</w:t>
      </w:r>
      <w:r>
        <w:rPr>
          <w:rStyle w:val="None"/>
          <w:rFonts w:ascii="Times New Roman" w:hAnsi="Times New Roman"/>
          <w:noProof/>
          <w:sz w:val="24"/>
        </w:rPr>
        <w:t xml:space="preserve"> des deux parties et encourager des contributions structurées et concrètes. </w:t>
      </w:r>
    </w:p>
    <w:p w14:paraId="7CE4304A" w14:textId="167D839C" w:rsidR="007E6F5E" w:rsidRPr="00011967" w:rsidRDefault="00336C0A" w:rsidP="003F6983">
      <w:pPr>
        <w:pStyle w:val="BodyA"/>
        <w:tabs>
          <w:tab w:val="left" w:pos="6804"/>
        </w:tabs>
        <w:jc w:val="both"/>
        <w:rPr>
          <w:rStyle w:val="None"/>
          <w:rFonts w:ascii="Times New Roman" w:hAnsi="Times New Roman" w:cs="Times New Roman"/>
          <w:noProof/>
          <w:sz w:val="24"/>
          <w:szCs w:val="24"/>
        </w:rPr>
      </w:pPr>
      <w:r>
        <w:rPr>
          <w:rStyle w:val="None"/>
          <w:rFonts w:ascii="Times New Roman" w:hAnsi="Times New Roman"/>
          <w:noProof/>
          <w:sz w:val="24"/>
        </w:rPr>
        <w:t xml:space="preserve">La création, en </w:t>
      </w:r>
      <w:r w:rsidRPr="00626FE8">
        <w:rPr>
          <w:rStyle w:val="None"/>
          <w:rFonts w:ascii="Times New Roman" w:hAnsi="Times New Roman"/>
          <w:noProof/>
          <w:sz w:val="24"/>
        </w:rPr>
        <w:t>2020</w:t>
      </w:r>
      <w:r>
        <w:rPr>
          <w:rStyle w:val="None"/>
          <w:rFonts w:ascii="Times New Roman" w:hAnsi="Times New Roman"/>
          <w:noProof/>
          <w:sz w:val="24"/>
        </w:rPr>
        <w:t xml:space="preserve">, du poste de </w:t>
      </w:r>
      <w:r>
        <w:rPr>
          <w:rStyle w:val="None"/>
          <w:rFonts w:ascii="Times New Roman" w:hAnsi="Times New Roman"/>
          <w:b/>
          <w:noProof/>
          <w:sz w:val="24"/>
        </w:rPr>
        <w:t>responsable européen du respect des règles du commerce</w:t>
      </w:r>
      <w:r>
        <w:rPr>
          <w:rStyle w:val="None"/>
          <w:rFonts w:ascii="Times New Roman" w:hAnsi="Times New Roman"/>
          <w:noProof/>
          <w:sz w:val="24"/>
        </w:rPr>
        <w:t xml:space="preserve"> et du </w:t>
      </w:r>
      <w:r>
        <w:rPr>
          <w:rStyle w:val="None"/>
          <w:rFonts w:ascii="Times New Roman" w:hAnsi="Times New Roman"/>
          <w:b/>
          <w:noProof/>
          <w:sz w:val="24"/>
        </w:rPr>
        <w:t>guichet unique</w:t>
      </w:r>
      <w:r>
        <w:rPr>
          <w:rStyle w:val="None"/>
          <w:rFonts w:ascii="Times New Roman" w:hAnsi="Times New Roman"/>
          <w:noProof/>
          <w:sz w:val="24"/>
        </w:rPr>
        <w:t xml:space="preserve"> constitue une étape importante dans le renforcement de la mise en œuvre et du contrôle de l’application des engagements en matière de commerce et de développement durable</w:t>
      </w:r>
      <w:r>
        <w:rPr>
          <w:rStyle w:val="None"/>
          <w:rFonts w:ascii="Times New Roman" w:hAnsi="Times New Roman" w:cs="Times New Roman"/>
          <w:noProof/>
          <w:sz w:val="24"/>
          <w:szCs w:val="24"/>
          <w:vertAlign w:val="superscript"/>
          <w:lang w:val="en-IE"/>
        </w:rPr>
        <w:footnoteReference w:id="26"/>
      </w:r>
      <w:r>
        <w:rPr>
          <w:rStyle w:val="None"/>
          <w:rFonts w:ascii="Times New Roman" w:hAnsi="Times New Roman"/>
          <w:noProof/>
          <w:sz w:val="24"/>
        </w:rPr>
        <w:t xml:space="preserve">. Le guichet unique fournit un point de contact centralisé à tous les acteurs basés dans l’UE qui souhaiteraient </w:t>
      </w:r>
      <w:r>
        <w:rPr>
          <w:rStyle w:val="None"/>
          <w:rFonts w:ascii="Times New Roman" w:hAnsi="Times New Roman"/>
          <w:b/>
          <w:noProof/>
          <w:sz w:val="24"/>
        </w:rPr>
        <w:t>introduire une plainte</w:t>
      </w:r>
      <w:r>
        <w:rPr>
          <w:rStyle w:val="None"/>
          <w:rFonts w:ascii="Times New Roman" w:hAnsi="Times New Roman"/>
          <w:noProof/>
          <w:sz w:val="24"/>
        </w:rPr>
        <w:t xml:space="preserve"> concernant, entre autres, </w:t>
      </w:r>
      <w:r>
        <w:rPr>
          <w:rStyle w:val="None"/>
          <w:rFonts w:ascii="Times New Roman" w:hAnsi="Times New Roman"/>
          <w:b/>
          <w:noProof/>
          <w:sz w:val="24"/>
        </w:rPr>
        <w:t>des violations des engagements en matière de commerce et de développement durable</w:t>
      </w:r>
      <w:r>
        <w:rPr>
          <w:rStyle w:val="None"/>
          <w:rFonts w:ascii="Times New Roman" w:hAnsi="Times New Roman" w:cs="Times New Roman"/>
          <w:noProof/>
          <w:sz w:val="24"/>
          <w:szCs w:val="24"/>
          <w:vertAlign w:val="superscript"/>
          <w:lang w:val="en-IE"/>
        </w:rPr>
        <w:footnoteReference w:id="27"/>
      </w:r>
      <w:r>
        <w:rPr>
          <w:rStyle w:val="None"/>
          <w:rFonts w:ascii="Times New Roman" w:hAnsi="Times New Roman"/>
          <w:noProof/>
          <w:sz w:val="24"/>
        </w:rPr>
        <w:t xml:space="preserve">. Les lignes directrices opérationnelles et le formulaire de plainte qui les accompagnent ont été rédigés pour aider les parties prenantes (c’est-à-dire les syndicats, les associations industrielles, les ONG) à tirer le meilleur parti du nouveau système. La gestion et le suivi des plaintes relatives au commerce et au développement durable constituent une facette importante du rôle joué par le  </w:t>
      </w:r>
      <w:r>
        <w:rPr>
          <w:rStyle w:val="None"/>
          <w:rFonts w:ascii="Times New Roman" w:hAnsi="Times New Roman"/>
          <w:b/>
          <w:noProof/>
          <w:sz w:val="24"/>
        </w:rPr>
        <w:t>responsable européen du respect des règles du commerce</w:t>
      </w:r>
      <w:r>
        <w:rPr>
          <w:rStyle w:val="None"/>
          <w:rFonts w:ascii="Times New Roman" w:hAnsi="Times New Roman"/>
          <w:noProof/>
          <w:sz w:val="24"/>
        </w:rPr>
        <w:t xml:space="preserve"> dans la  mise en œuvre et le contrôle de l’application des accords commerciaux</w:t>
      </w:r>
      <w:r>
        <w:rPr>
          <w:rStyle w:val="None"/>
          <w:rFonts w:ascii="Times New Roman" w:hAnsi="Times New Roman" w:cs="Times New Roman"/>
          <w:noProof/>
          <w:sz w:val="24"/>
          <w:szCs w:val="24"/>
          <w:vertAlign w:val="superscript"/>
          <w:lang w:val="en-IE"/>
        </w:rPr>
        <w:footnoteReference w:id="28"/>
      </w:r>
      <w:r>
        <w:rPr>
          <w:rStyle w:val="None"/>
          <w:rFonts w:ascii="Times New Roman" w:hAnsi="Times New Roman"/>
          <w:noProof/>
          <w:sz w:val="24"/>
        </w:rPr>
        <w:t>.</w:t>
      </w:r>
    </w:p>
    <w:p w14:paraId="6EC18616" w14:textId="0B383DDE" w:rsidR="007E6F5E" w:rsidRPr="00011967" w:rsidRDefault="00336C0A" w:rsidP="003F6983">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Néanmoins, peu de parties prenantes ont contacté le guichet unique à propos du CDD à ce jour. Le système de guichet unique a été conçu pour permettre des contacts précoces concernant certains problèmes et la Commission confirme sa volonté de se pencher sur les éventuelles failles en matière de commerce et de développement durable et d’expliquer, en plus des informations détaillées publiées en ligne, la manière dont le système peut être utilisé et les informations qui peuvent être exigées. La Commission apportera des précisions et une assistance supplémentaires afin de renforcer l’utilisation du système. À cette fin, parallèlement au réexamen des chapitres CDD, elle a mis à jour les lignes directrices opérationnelles pour rendre plus clair le fait que </w:t>
      </w:r>
      <w:r>
        <w:rPr>
          <w:rStyle w:val="None"/>
          <w:rFonts w:ascii="Times New Roman" w:hAnsi="Times New Roman"/>
          <w:b/>
          <w:noProof/>
          <w:sz w:val="24"/>
        </w:rPr>
        <w:t>les GCI peuvent également déposer des plaintes collectives</w:t>
      </w:r>
      <w:r>
        <w:rPr>
          <w:rStyle w:val="None"/>
          <w:rFonts w:ascii="Times New Roman" w:hAnsi="Times New Roman"/>
          <w:noProof/>
          <w:sz w:val="24"/>
        </w:rPr>
        <w:t xml:space="preserve"> et qu’</w:t>
      </w:r>
      <w:r>
        <w:rPr>
          <w:rStyle w:val="None"/>
          <w:rFonts w:ascii="Times New Roman" w:hAnsi="Times New Roman"/>
          <w:b/>
          <w:noProof/>
          <w:sz w:val="24"/>
        </w:rPr>
        <w:t>un plaignant établi dans l’UE peut se faire le représentant des inquiétudes en matière de commerce et de développement durable d’une entité basée dans un pays partenaire</w:t>
      </w:r>
      <w:r>
        <w:rPr>
          <w:rStyle w:val="None"/>
          <w:rFonts w:ascii="Times New Roman" w:hAnsi="Times New Roman"/>
          <w:noProof/>
          <w:sz w:val="24"/>
        </w:rPr>
        <w:t>. Cette mise à jour fournit plus de transparence et de clarté sur la manière dont le guichet unique peut gérer les étapes initiales d’une plainte relative à une violation en matière de commerce et de développement durable, et sur les délais correspondants.</w:t>
      </w:r>
    </w:p>
    <w:tbl>
      <w:tblPr>
        <w:tblW w:w="901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16"/>
      </w:tblGrid>
      <w:tr w:rsidR="007E6F5E" w:rsidRPr="00011967" w14:paraId="606E1FB8" w14:textId="77777777" w:rsidTr="00A75D80">
        <w:trPr>
          <w:trHeight w:val="487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78A43AFE" w14:textId="77777777" w:rsidR="007E6F5E" w:rsidRPr="00011967" w:rsidRDefault="00336C0A" w:rsidP="003F6983">
            <w:pPr>
              <w:pStyle w:val="BodyA"/>
              <w:spacing w:after="0"/>
              <w:jc w:val="center"/>
              <w:rPr>
                <w:rStyle w:val="None"/>
                <w:rFonts w:ascii="Times New Roman" w:hAnsi="Times New Roman" w:cs="Times New Roman"/>
                <w:b/>
                <w:noProof/>
                <w:sz w:val="24"/>
                <w:szCs w:val="24"/>
              </w:rPr>
            </w:pPr>
            <w:r>
              <w:rPr>
                <w:rStyle w:val="None"/>
                <w:rFonts w:ascii="Times New Roman" w:hAnsi="Times New Roman"/>
                <w:b/>
                <w:noProof/>
                <w:sz w:val="24"/>
              </w:rPr>
              <w:t>Points d’action</w:t>
            </w:r>
          </w:p>
          <w:p w14:paraId="4F7819B5"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rPr>
            </w:pPr>
            <w:r>
              <w:rPr>
                <w:rStyle w:val="None"/>
                <w:rFonts w:ascii="Times New Roman" w:hAnsi="Times New Roman"/>
                <w:noProof/>
                <w:sz w:val="24"/>
              </w:rPr>
              <w:t>La Commission:</w:t>
            </w:r>
            <w:r>
              <w:rPr>
                <w:rStyle w:val="None"/>
                <w:rFonts w:ascii="Times New Roman" w:hAnsi="Times New Roman"/>
                <w:i/>
                <w:noProof/>
                <w:sz w:val="24"/>
              </w:rPr>
              <w:t xml:space="preserve"> </w:t>
            </w:r>
          </w:p>
          <w:p w14:paraId="4D7F2346" w14:textId="2AF5B680"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 xml:space="preserve">mettra au point une </w:t>
            </w:r>
            <w:r>
              <w:rPr>
                <w:rStyle w:val="None"/>
                <w:rFonts w:ascii="Times New Roman" w:hAnsi="Times New Roman"/>
                <w:b/>
                <w:noProof/>
                <w:sz w:val="24"/>
              </w:rPr>
              <w:t>approche globale de l’UE sur l’ensemble des services</w:t>
            </w:r>
            <w:r>
              <w:rPr>
                <w:rStyle w:val="None"/>
                <w:rFonts w:ascii="Times New Roman" w:hAnsi="Times New Roman"/>
                <w:noProof/>
                <w:sz w:val="24"/>
              </w:rPr>
              <w:t>, en s’appuyant sur tous les instruments disponibles pour suivre la mise en œuvre des engagements en matière de commerce et de développement durable, et en associant les délégations de l’UE aux efforts déployés, ainsi qu’en coopérant activement avec les capitales, les ambassades et les bureaux sur le terrain des États membres;</w:t>
            </w:r>
          </w:p>
          <w:p w14:paraId="21790B33" w14:textId="771788CE" w:rsidR="007E6F5E" w:rsidRPr="00011967" w:rsidRDefault="00336C0A" w:rsidP="00073A7F">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 xml:space="preserve">collaborera avec les </w:t>
            </w:r>
            <w:r>
              <w:rPr>
                <w:rStyle w:val="None"/>
                <w:rFonts w:ascii="Times New Roman" w:hAnsi="Times New Roman"/>
                <w:b/>
                <w:noProof/>
                <w:sz w:val="24"/>
              </w:rPr>
              <w:t>délégations de l’UE</w:t>
            </w:r>
            <w:r>
              <w:rPr>
                <w:rStyle w:val="None"/>
                <w:rFonts w:ascii="Times New Roman" w:hAnsi="Times New Roman"/>
                <w:noProof/>
                <w:sz w:val="24"/>
              </w:rPr>
              <w:t xml:space="preserve"> pour les aider à soutenir et à définir les bonnes pratiques à mesure que les partenaires commerciaux établissent leurs GCI locaux et entament le travail avec eux;</w:t>
            </w:r>
          </w:p>
          <w:p w14:paraId="529DBC88" w14:textId="3E55D626" w:rsidR="007E6F5E" w:rsidRPr="00011967" w:rsidRDefault="003027BC" w:rsidP="00680EB2">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 xml:space="preserve">soutiendra </w:t>
            </w:r>
            <w:r>
              <w:rPr>
                <w:rStyle w:val="None"/>
                <w:rFonts w:ascii="Times New Roman" w:hAnsi="Times New Roman"/>
                <w:b/>
                <w:noProof/>
                <w:sz w:val="24"/>
              </w:rPr>
              <w:t>la participation</w:t>
            </w:r>
            <w:r>
              <w:rPr>
                <w:rStyle w:val="None"/>
                <w:rFonts w:ascii="Times New Roman" w:hAnsi="Times New Roman"/>
                <w:noProof/>
                <w:sz w:val="24"/>
              </w:rPr>
              <w:t xml:space="preserve"> continue </w:t>
            </w:r>
            <w:r>
              <w:rPr>
                <w:rStyle w:val="None"/>
                <w:rFonts w:ascii="Times New Roman" w:hAnsi="Times New Roman"/>
                <w:b/>
                <w:noProof/>
                <w:sz w:val="24"/>
              </w:rPr>
              <w:t>du Parlement européen</w:t>
            </w:r>
            <w:r>
              <w:rPr>
                <w:rStyle w:val="None"/>
                <w:rFonts w:ascii="Times New Roman" w:hAnsi="Times New Roman"/>
                <w:noProof/>
                <w:sz w:val="24"/>
              </w:rPr>
              <w:t xml:space="preserve"> à la mise en œuvre des chapitres CDD dans le cadre de ses contacts interparlementaires, et se tiendra prête à l’aider dans ses efforts pour instaurer des discussions régulières par pays sur le commerce et le développement durable;  </w:t>
            </w:r>
          </w:p>
          <w:p w14:paraId="085692A3" w14:textId="2F9A0F47" w:rsidR="007E6F5E" w:rsidRPr="00011967" w:rsidRDefault="00336C0A" w:rsidP="00A75D80">
            <w:pPr>
              <w:pStyle w:val="ListParagraph"/>
              <w:numPr>
                <w:ilvl w:val="0"/>
                <w:numId w:val="5"/>
              </w:numPr>
              <w:spacing w:after="0" w:line="240" w:lineRule="auto"/>
              <w:ind w:left="448" w:hanging="357"/>
              <w:jc w:val="both"/>
              <w:rPr>
                <w:rFonts w:ascii="Times New Roman" w:hAnsi="Times New Roman" w:cs="Times New Roman"/>
                <w:noProof/>
                <w:sz w:val="24"/>
                <w:szCs w:val="24"/>
              </w:rPr>
            </w:pPr>
            <w:r>
              <w:rPr>
                <w:rStyle w:val="None"/>
                <w:rFonts w:ascii="Times New Roman" w:hAnsi="Times New Roman"/>
                <w:noProof/>
                <w:sz w:val="24"/>
              </w:rPr>
              <w:t xml:space="preserve">parallèlement au réexamen des chapitres CDD, </w:t>
            </w:r>
            <w:r>
              <w:rPr>
                <w:rStyle w:val="None"/>
                <w:rFonts w:ascii="Times New Roman" w:hAnsi="Times New Roman"/>
                <w:b/>
                <w:noProof/>
                <w:sz w:val="24"/>
              </w:rPr>
              <w:t>révisera les lignes directrices opérationnelles relatives au guichet unique</w:t>
            </w:r>
            <w:r>
              <w:rPr>
                <w:rStyle w:val="None"/>
                <w:rFonts w:ascii="Times New Roman" w:hAnsi="Times New Roman"/>
                <w:noProof/>
                <w:sz w:val="24"/>
              </w:rPr>
              <w:t xml:space="preserve">, dans le but d’accroître sa transparence et sa prévisibilité aux yeux des parties prenantes, tout en précisant quels acteurs peuvent introduire des plaintes, comment celles-ci seront gérées et dans quels délais. Les lignes directrices montreront également de manière claire que les GCI </w:t>
            </w:r>
            <w:r>
              <w:rPr>
                <w:rStyle w:val="None"/>
                <w:rFonts w:ascii="Times New Roman" w:hAnsi="Times New Roman"/>
                <w:b/>
                <w:noProof/>
                <w:sz w:val="24"/>
              </w:rPr>
              <w:t>peuvent introduire des plaintes collectives</w:t>
            </w:r>
            <w:r>
              <w:rPr>
                <w:rStyle w:val="None"/>
                <w:rFonts w:ascii="Times New Roman" w:hAnsi="Times New Roman"/>
                <w:noProof/>
                <w:sz w:val="24"/>
              </w:rPr>
              <w:t xml:space="preserve"> concernant des violations des engagements en matière de commerce et de développement durable, et représenter les intérêts d’une partie basée dans un pays partenaire. </w:t>
            </w:r>
          </w:p>
        </w:tc>
      </w:tr>
    </w:tbl>
    <w:p w14:paraId="1E45D218" w14:textId="77777777" w:rsidR="007E6F5E" w:rsidRPr="00087316" w:rsidRDefault="007E6F5E" w:rsidP="00A75D80">
      <w:pPr>
        <w:pStyle w:val="Body"/>
        <w:jc w:val="both"/>
        <w:rPr>
          <w:rStyle w:val="None"/>
          <w:rFonts w:cs="Times New Roman"/>
          <w:b/>
          <w:noProof/>
          <w:u w:val="single"/>
          <w:lang w:val="fr-BE"/>
        </w:rPr>
      </w:pPr>
    </w:p>
    <w:p w14:paraId="4F103564" w14:textId="6AFEB92B" w:rsidR="002239D2" w:rsidRPr="00011967" w:rsidRDefault="002239D2" w:rsidP="002239D2">
      <w:pPr>
        <w:tabs>
          <w:tab w:val="left" w:pos="851"/>
          <w:tab w:val="left" w:pos="993"/>
        </w:tabs>
        <w:ind w:left="350"/>
        <w:jc w:val="both"/>
        <w:rPr>
          <w:rStyle w:val="None"/>
          <w:noProof/>
          <w:u w:val="single"/>
        </w:rPr>
      </w:pPr>
      <w:r w:rsidRPr="00626FE8">
        <w:rPr>
          <w:rStyle w:val="None"/>
          <w:noProof/>
        </w:rPr>
        <w:t>3</w:t>
      </w:r>
      <w:r>
        <w:rPr>
          <w:rStyle w:val="None"/>
          <w:noProof/>
        </w:rPr>
        <w:t>.</w:t>
      </w:r>
      <w:r w:rsidRPr="00626FE8">
        <w:rPr>
          <w:rStyle w:val="None"/>
          <w:noProof/>
        </w:rPr>
        <w:t>5</w:t>
      </w:r>
      <w:r>
        <w:rPr>
          <w:noProof/>
        </w:rPr>
        <w:tab/>
      </w:r>
      <w:r>
        <w:rPr>
          <w:noProof/>
        </w:rPr>
        <w:tab/>
      </w:r>
      <w:r>
        <w:rPr>
          <w:rStyle w:val="None"/>
          <w:noProof/>
          <w:u w:val="single"/>
        </w:rPr>
        <w:t>Renforcement du rôle de la société civile</w:t>
      </w:r>
    </w:p>
    <w:p w14:paraId="491288A1" w14:textId="77777777" w:rsidR="002239D2" w:rsidRPr="00087316" w:rsidRDefault="002239D2" w:rsidP="004E57CE">
      <w:pPr>
        <w:jc w:val="both"/>
        <w:rPr>
          <w:rStyle w:val="None"/>
          <w:noProof/>
          <w:u w:val="single"/>
          <w:lang w:val="fr-BE"/>
        </w:rPr>
      </w:pPr>
    </w:p>
    <w:p w14:paraId="5982D514" w14:textId="20D4B2EF" w:rsidR="007E6F5E" w:rsidRPr="00011967" w:rsidRDefault="00336C0A" w:rsidP="00D736A4">
      <w:pPr>
        <w:pStyle w:val="Body"/>
        <w:spacing w:after="160" w:line="259" w:lineRule="auto"/>
        <w:jc w:val="both"/>
        <w:rPr>
          <w:rStyle w:val="None"/>
          <w:rFonts w:cs="Times New Roman"/>
          <w:noProof/>
          <w14:textOutline w14:w="12700" w14:cap="flat" w14:cmpd="sng" w14:algn="ctr">
            <w14:noFill/>
            <w14:prstDash w14:val="solid"/>
            <w14:miter w14:lim="400000"/>
          </w14:textOutline>
        </w:rPr>
      </w:pPr>
      <w:r>
        <w:rPr>
          <w:rStyle w:val="None"/>
          <w:noProof/>
          <w14:textOutline w14:w="12700" w14:cap="flat" w14:cmpd="sng" w14:algn="ctr">
            <w14:noFill/>
            <w14:prstDash w14:val="solid"/>
            <w14:miter w14:lim="400000"/>
          </w14:textOutline>
        </w:rPr>
        <w:t xml:space="preserve">La Commission consulte régulièrement et fréquemment les parties intéressées par l’intermédiaire des </w:t>
      </w:r>
      <w:r>
        <w:rPr>
          <w:rStyle w:val="None"/>
          <w:b/>
          <w:noProof/>
          <w14:textOutline w14:w="12700" w14:cap="flat" w14:cmpd="sng" w14:algn="ctr">
            <w14:noFill/>
            <w14:prstDash w14:val="solid"/>
            <w14:miter w14:lim="400000"/>
          </w14:textOutline>
        </w:rPr>
        <w:t>dialogues avec la société civile</w:t>
      </w:r>
      <w:r>
        <w:rPr>
          <w:rStyle w:val="None"/>
          <w:noProof/>
          <w14:textOutline w14:w="12700" w14:cap="flat" w14:cmpd="sng" w14:algn="ctr">
            <w14:noFill/>
            <w14:prstDash w14:val="solid"/>
            <w14:miter w14:lim="400000"/>
          </w14:textOutline>
        </w:rPr>
        <w:t xml:space="preserve">, qui forment une structure horizontale bien établie et permettent de soulever et d’examiner de manière courante les questions relatives au commerce et au développement durable. La Commission déploie également des efforts accrus pour toucher </w:t>
      </w:r>
      <w:r>
        <w:rPr>
          <w:rStyle w:val="None"/>
          <w:b/>
          <w:noProof/>
          <w14:textOutline w14:w="12700" w14:cap="flat" w14:cmpd="sng" w14:algn="ctr">
            <w14:noFill/>
            <w14:prstDash w14:val="solid"/>
            <w14:miter w14:lim="400000"/>
          </w14:textOutline>
        </w:rPr>
        <w:t>plus efficacement la société civile dans les États membres</w:t>
      </w:r>
      <w:r>
        <w:rPr>
          <w:rStyle w:val="None"/>
          <w:noProof/>
          <w14:textOutline w14:w="12700" w14:cap="flat" w14:cmpd="sng" w14:algn="ctr">
            <w14:noFill/>
            <w14:prstDash w14:val="solid"/>
            <w14:miter w14:lim="400000"/>
          </w14:textOutline>
        </w:rPr>
        <w:t xml:space="preserve">, y compris en multipliant les évènements dédiés et les discussions de haut niveau. En outre, les accords commerciaux de l’UE prévoient spécifiquement la participation de la société civile à la mise en œuvre des engagements en matière de commerce et de développement durable, notamment par l’intermédiaire des </w:t>
      </w:r>
      <w:r>
        <w:rPr>
          <w:rStyle w:val="None"/>
          <w:b/>
          <w:noProof/>
          <w14:textOutline w14:w="12700" w14:cap="flat" w14:cmpd="sng" w14:algn="ctr">
            <w14:noFill/>
            <w14:prstDash w14:val="solid"/>
            <w14:miter w14:lim="400000"/>
          </w14:textOutline>
        </w:rPr>
        <w:t>GCI</w:t>
      </w:r>
      <w:r>
        <w:rPr>
          <w:rStyle w:val="None"/>
          <w:noProof/>
          <w14:textOutline w14:w="12700" w14:cap="flat" w14:cmpd="sng" w14:algn="ctr">
            <w14:noFill/>
            <w14:prstDash w14:val="solid"/>
            <w14:miter w14:lim="400000"/>
          </w14:textOutline>
        </w:rPr>
        <w:t xml:space="preserve">. La société civile peut également jouer un rôle actif dans la phase d’application en introduisant des plaintes relatives au commerce et au développement durable par l’intermédiaire du </w:t>
      </w:r>
      <w:r>
        <w:rPr>
          <w:rStyle w:val="None"/>
          <w:b/>
          <w:noProof/>
          <w14:textOutline w14:w="12700" w14:cap="flat" w14:cmpd="sng" w14:algn="ctr">
            <w14:noFill/>
            <w14:prstDash w14:val="solid"/>
            <w14:miter w14:lim="400000"/>
          </w14:textOutline>
        </w:rPr>
        <w:t>guichet unique</w:t>
      </w:r>
      <w:r>
        <w:rPr>
          <w:rStyle w:val="None"/>
          <w:noProof/>
          <w14:textOutline w14:w="12700" w14:cap="flat" w14:cmpd="sng" w14:algn="ctr">
            <w14:noFill/>
            <w14:prstDash w14:val="solid"/>
            <w14:miter w14:lim="400000"/>
          </w14:textOutline>
        </w:rPr>
        <w:t xml:space="preserve"> (voir </w:t>
      </w:r>
      <w:r>
        <w:rPr>
          <w:rStyle w:val="None"/>
          <w:i/>
          <w:noProof/>
          <w14:textOutline w14:w="12700" w14:cap="flat" w14:cmpd="sng" w14:algn="ctr">
            <w14:noFill/>
            <w14:prstDash w14:val="solid"/>
            <w14:miter w14:lim="400000"/>
          </w14:textOutline>
        </w:rPr>
        <w:t>supra</w:t>
      </w:r>
      <w:r>
        <w:rPr>
          <w:rStyle w:val="None"/>
          <w:noProof/>
          <w14:textOutline w14:w="12700" w14:cap="flat" w14:cmpd="sng" w14:algn="ctr">
            <w14:noFill/>
            <w14:prstDash w14:val="solid"/>
            <w14:miter w14:lim="400000"/>
          </w14:textOutline>
        </w:rPr>
        <w:t>) et en présentant des mémoires d’</w:t>
      </w:r>
      <w:r>
        <w:rPr>
          <w:rStyle w:val="None"/>
          <w:i/>
          <w:noProof/>
          <w14:textOutline w14:w="12700" w14:cap="flat" w14:cmpd="sng" w14:algn="ctr">
            <w14:noFill/>
            <w14:prstDash w14:val="solid"/>
            <w14:miter w14:lim="400000"/>
          </w14:textOutline>
        </w:rPr>
        <w:t>amicus curiae</w:t>
      </w:r>
      <w:r>
        <w:rPr>
          <w:rStyle w:val="None"/>
          <w:noProof/>
          <w14:textOutline w14:w="12700" w14:cap="flat" w14:cmpd="sng" w14:algn="ctr">
            <w14:noFill/>
            <w14:prstDash w14:val="solid"/>
            <w14:miter w14:lim="400000"/>
          </w14:textOutline>
        </w:rPr>
        <w:t xml:space="preserve"> au groupe d’experts. </w:t>
      </w:r>
    </w:p>
    <w:p w14:paraId="0B353A68" w14:textId="5E1C1CF4" w:rsidR="007E6F5E" w:rsidRPr="00011967" w:rsidRDefault="00AE410A" w:rsidP="00D736A4">
      <w:pPr>
        <w:pStyle w:val="Body"/>
        <w:spacing w:after="160" w:line="259" w:lineRule="auto"/>
        <w:jc w:val="both"/>
        <w:rPr>
          <w:rStyle w:val="None"/>
          <w:rFonts w:cs="Times New Roman"/>
          <w:noProof/>
          <w14:textOutline w14:w="12700" w14:cap="flat" w14:cmpd="sng" w14:algn="ctr">
            <w14:noFill/>
            <w14:prstDash w14:val="solid"/>
            <w14:miter w14:lim="400000"/>
          </w14:textOutline>
        </w:rPr>
      </w:pPr>
      <w:r>
        <w:rPr>
          <w:rStyle w:val="None"/>
          <w:noProof/>
          <w14:textOutline w14:w="12700" w14:cap="flat" w14:cmpd="sng" w14:algn="ctr">
            <w14:noFill/>
            <w14:prstDash w14:val="solid"/>
            <w14:miter w14:lim="400000"/>
          </w14:textOutline>
        </w:rPr>
        <w:t xml:space="preserve">Les informations fournies par les organisations de la société civile, sous la forme de contributions bien documentées et fondées sur des faits, sont essentielles à la Commission pour recenser et hiérarchiser les questions liées au commerce et au développement durable, et agir sur ces questions. </w:t>
      </w:r>
      <w:r>
        <w:rPr>
          <w:rStyle w:val="None"/>
          <w:b/>
          <w:noProof/>
          <w14:textOutline w14:w="12700" w14:cap="flat" w14:cmpd="sng" w14:algn="ctr">
            <w14:noFill/>
            <w14:prstDash w14:val="solid"/>
            <w14:miter w14:lim="400000"/>
          </w14:textOutline>
        </w:rPr>
        <w:t>La coopération et les échanges entre les parties prenantes de l’UE et leurs organisations partenaires à l’étranger</w:t>
      </w:r>
      <w:r>
        <w:rPr>
          <w:rStyle w:val="None"/>
          <w:noProof/>
          <w14:textOutline w14:w="12700" w14:cap="flat" w14:cmpd="sng" w14:algn="ctr">
            <w14:noFill/>
            <w14:prstDash w14:val="solid"/>
            <w14:miter w14:lim="400000"/>
          </w14:textOutline>
        </w:rPr>
        <w:t xml:space="preserve"> sont également indispensables à cet égard. Une telle contribution pourrait ensuite être mieux valorisée à des fins </w:t>
      </w:r>
      <w:r>
        <w:rPr>
          <w:rStyle w:val="None"/>
          <w:b/>
          <w:noProof/>
          <w14:textOutline w14:w="12700" w14:cap="flat" w14:cmpd="sng" w14:algn="ctr">
            <w14:noFill/>
            <w14:prstDash w14:val="solid"/>
            <w14:miter w14:lim="400000"/>
          </w14:textOutline>
        </w:rPr>
        <w:t>de ciblage et de fixation des priorités</w:t>
      </w:r>
      <w:r>
        <w:rPr>
          <w:rStyle w:val="None"/>
          <w:noProof/>
          <w14:textOutline w14:w="12700" w14:cap="flat" w14:cmpd="sng" w14:algn="ctr">
            <w14:noFill/>
            <w14:prstDash w14:val="solid"/>
            <w14:miter w14:lim="400000"/>
          </w14:textOutline>
        </w:rPr>
        <w:t xml:space="preserve">. Pendant la phase des analyses d’impact (comprenant tant les analyses d’impact que les analyses d’impact sur le développement durable), par exemple, les consultations de la société civile pourraient permettre de recenser les lacunes et les défis, et contribuer à fixer des priorités à prendre en considération pendant le processus de négociation, ainsi qu’à anticiper les éventuelles questions clefs concernant la mise en œuvre. À la suite de l’entrée en vigueur d’un accord, la présentation aux comités «Commerce et développement durable» établis dans le cadre des accords commerciaux d’observations opportunes et pertinentes fondées sur une connaissance et une expertise de terrain peuvent éclairer le suivi commun du respect des chapitres CDD et </w:t>
      </w:r>
      <w:r>
        <w:rPr>
          <w:rStyle w:val="None"/>
          <w:b/>
          <w:noProof/>
          <w14:textOutline w14:w="12700" w14:cap="flat" w14:cmpd="sng" w14:algn="ctr">
            <w14:noFill/>
            <w14:prstDash w14:val="solid"/>
            <w14:miter w14:lim="400000"/>
          </w14:textOutline>
        </w:rPr>
        <w:t>orienter les efforts bilatéraux de mise en œuvre</w:t>
      </w:r>
      <w:r>
        <w:rPr>
          <w:rStyle w:val="None"/>
          <w:noProof/>
          <w14:textOutline w14:w="12700" w14:cap="flat" w14:cmpd="sng" w14:algn="ctr">
            <w14:noFill/>
            <w14:prstDash w14:val="solid"/>
            <w14:miter w14:lim="400000"/>
          </w14:textOutline>
        </w:rPr>
        <w:t xml:space="preserve">. </w:t>
      </w:r>
    </w:p>
    <w:p w14:paraId="140E6EF7" w14:textId="4EAA1BB7" w:rsidR="007E6F5E" w:rsidRPr="00011967" w:rsidRDefault="00336C0A" w:rsidP="00D736A4">
      <w:pPr>
        <w:pStyle w:val="Body"/>
        <w:spacing w:after="160" w:line="259" w:lineRule="auto"/>
        <w:jc w:val="both"/>
        <w:rPr>
          <w:rFonts w:cs="Times New Roman"/>
          <w:noProof/>
        </w:rPr>
      </w:pPr>
      <w:r>
        <w:rPr>
          <w:rStyle w:val="None"/>
          <w:noProof/>
          <w14:textOutline w14:w="12700" w14:cap="flat" w14:cmpd="sng" w14:algn="ctr">
            <w14:noFill/>
            <w14:prstDash w14:val="solid"/>
            <w14:miter w14:lim="400000"/>
          </w14:textOutline>
        </w:rPr>
        <w:t xml:space="preserve">La Commission continuera également à interagir avec les </w:t>
      </w:r>
      <w:r>
        <w:rPr>
          <w:rStyle w:val="None"/>
          <w:b/>
          <w:noProof/>
          <w14:textOutline w14:w="12700" w14:cap="flat" w14:cmpd="sng" w14:algn="ctr">
            <w14:noFill/>
            <w14:prstDash w14:val="solid"/>
            <w14:miter w14:lim="400000"/>
          </w14:textOutline>
        </w:rPr>
        <w:t>GCI</w:t>
      </w:r>
      <w:r>
        <w:rPr>
          <w:rStyle w:val="None"/>
          <w:noProof/>
          <w14:textOutline w14:w="12700" w14:cap="flat" w14:cmpd="sng" w14:algn="ctr">
            <w14:noFill/>
            <w14:prstDash w14:val="solid"/>
            <w14:miter w14:lim="400000"/>
          </w14:textOutline>
        </w:rPr>
        <w:t xml:space="preserve"> instaurés au titre des accords commerciaux, en offrant son soutien logistique et </w:t>
      </w:r>
      <w:r>
        <w:rPr>
          <w:rStyle w:val="None"/>
          <w:b/>
          <w:noProof/>
          <w14:textOutline w14:w="12700" w14:cap="flat" w14:cmpd="sng" w14:algn="ctr">
            <w14:noFill/>
            <w14:prstDash w14:val="solid"/>
            <w14:miter w14:lim="400000"/>
          </w14:textOutline>
        </w:rPr>
        <w:t>son aide en faveur du renforcement des capacités et de l’expertise</w:t>
      </w:r>
      <w:r>
        <w:rPr>
          <w:rStyle w:val="None"/>
          <w:noProof/>
          <w14:textOutline w14:w="12700" w14:cap="flat" w14:cmpd="sng" w14:algn="ctr">
            <w14:noFill/>
            <w14:prstDash w14:val="solid"/>
            <w14:miter w14:lim="400000"/>
          </w14:textOutline>
        </w:rPr>
        <w:t xml:space="preserve">. La Commission a également </w:t>
      </w:r>
      <w:r>
        <w:rPr>
          <w:rStyle w:val="None"/>
          <w:b/>
          <w:noProof/>
          <w14:textOutline w14:w="12700" w14:cap="flat" w14:cmpd="sng" w14:algn="ctr">
            <w14:noFill/>
            <w14:prstDash w14:val="solid"/>
            <w14:miter w14:lim="400000"/>
          </w14:textOutline>
        </w:rPr>
        <w:t>accru la transparence</w:t>
      </w:r>
      <w:r>
        <w:rPr>
          <w:rStyle w:val="None"/>
          <w:noProof/>
          <w14:textOutline w14:w="12700" w14:cap="flat" w14:cmpd="sng" w14:algn="ctr">
            <w14:noFill/>
            <w14:prstDash w14:val="solid"/>
            <w14:miter w14:lim="400000"/>
          </w14:textOutline>
        </w:rPr>
        <w:t xml:space="preserve"> en publiant les ordres du jour et procès-verbaux des comités «Commerce et développement durable» existants. À l’avenir, la Commission continuera de renforcer les GCI en suivant attentivement leur mise en place conformément aux termes convenus dans les accords commerciaux et soutiendra l’</w:t>
      </w:r>
      <w:r>
        <w:rPr>
          <w:rStyle w:val="None"/>
          <w:b/>
          <w:noProof/>
          <w14:textOutline w14:w="12700" w14:cap="flat" w14:cmpd="sng" w14:algn="ctr">
            <w14:noFill/>
            <w14:prstDash w14:val="solid"/>
            <w14:miter w14:lim="400000"/>
          </w14:textOutline>
        </w:rPr>
        <w:t>interaction entre les GCI de l’UE et ceux des pays partenaires</w:t>
      </w:r>
      <w:r>
        <w:rPr>
          <w:rStyle w:val="None"/>
          <w:noProof/>
          <w14:textOutline w14:w="12700" w14:cap="flat" w14:cmpd="sng" w14:algn="ctr">
            <w14:noFill/>
            <w14:prstDash w14:val="solid"/>
            <w14:miter w14:lim="400000"/>
          </w14:textOutline>
        </w:rPr>
        <w:t xml:space="preserve">. En reconnaissant l’importance de leur contribution et en valorisant leur expérience et leur expertise, la Commission cherchera également à </w:t>
      </w:r>
      <w:r>
        <w:rPr>
          <w:rStyle w:val="None"/>
          <w:b/>
          <w:noProof/>
          <w14:textOutline w14:w="12700" w14:cap="flat" w14:cmpd="sng" w14:algn="ctr">
            <w14:noFill/>
            <w14:prstDash w14:val="solid"/>
            <w14:miter w14:lim="400000"/>
          </w14:textOutline>
        </w:rPr>
        <w:t>élargir les compétences des GCI au-delà du commerce et du développement durable</w:t>
      </w:r>
      <w:r>
        <w:rPr>
          <w:rStyle w:val="None"/>
          <w:noProof/>
          <w14:textOutline w14:w="12700" w14:cap="flat" w14:cmpd="sng" w14:algn="ctr">
            <w14:noFill/>
            <w14:prstDash w14:val="solid"/>
            <w14:miter w14:lim="400000"/>
          </w14:textOutline>
        </w:rPr>
        <w:t xml:space="preserve"> afin de couvrir les accords commerciaux dans leur intégralité, comme le prévoit déjà l’accord de commerce et de coopération entre l’UE et le Royaume-Uni.</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11967" w14:paraId="38241455" w14:textId="77777777" w:rsidTr="001551F6">
        <w:trPr>
          <w:trHeight w:val="477"/>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08C3C2A4" w14:textId="77777777" w:rsidR="007E6F5E" w:rsidRPr="00011967" w:rsidRDefault="00336C0A" w:rsidP="00A75D80">
            <w:pPr>
              <w:pStyle w:val="BodyA"/>
              <w:spacing w:after="0"/>
              <w:jc w:val="center"/>
              <w:rPr>
                <w:rStyle w:val="None"/>
                <w:rFonts w:ascii="Times New Roman" w:hAnsi="Times New Roman" w:cs="Times New Roman"/>
                <w:b/>
                <w:noProof/>
                <w:sz w:val="24"/>
                <w:szCs w:val="24"/>
              </w:rPr>
            </w:pPr>
            <w:r>
              <w:rPr>
                <w:rStyle w:val="None"/>
                <w:rFonts w:ascii="Times New Roman" w:hAnsi="Times New Roman"/>
                <w:b/>
                <w:noProof/>
                <w:sz w:val="24"/>
              </w:rPr>
              <w:t>Points d’action</w:t>
            </w:r>
          </w:p>
          <w:p w14:paraId="590EB6F0" w14:textId="77777777" w:rsidR="007E6F5E" w:rsidRPr="00011967" w:rsidRDefault="00336C0A" w:rsidP="004E57CE">
            <w:pPr>
              <w:pStyle w:val="BodyA"/>
              <w:spacing w:after="100" w:line="240" w:lineRule="auto"/>
              <w:jc w:val="both"/>
              <w:rPr>
                <w:rStyle w:val="None"/>
                <w:rFonts w:ascii="Times New Roman" w:hAnsi="Times New Roman" w:cs="Times New Roman"/>
                <w:noProof/>
                <w:sz w:val="24"/>
                <w:szCs w:val="24"/>
                <w:u w:val="single"/>
              </w:rPr>
            </w:pPr>
            <w:r>
              <w:rPr>
                <w:rStyle w:val="None"/>
                <w:rFonts w:ascii="Times New Roman" w:hAnsi="Times New Roman"/>
                <w:noProof/>
                <w:sz w:val="24"/>
              </w:rPr>
              <w:t>La Commission:</w:t>
            </w:r>
          </w:p>
          <w:p w14:paraId="248CF938" w14:textId="5B6DD9BA" w:rsidR="007E6F5E" w:rsidRPr="00011967" w:rsidRDefault="51664043" w:rsidP="00073A7F">
            <w:pPr>
              <w:pStyle w:val="ListParagraph"/>
              <w:numPr>
                <w:ilvl w:val="0"/>
                <w:numId w:val="5"/>
              </w:numPr>
              <w:spacing w:after="120" w:line="240" w:lineRule="auto"/>
              <w:jc w:val="both"/>
              <w:rPr>
                <w:rFonts w:ascii="Times New Roman" w:eastAsia="Times New Roman" w:hAnsi="Times New Roman" w:cs="Times New Roman"/>
                <w:b/>
                <w:bCs/>
                <w:noProof/>
                <w:sz w:val="24"/>
                <w:szCs w:val="24"/>
                <w14:textOutline w14:w="12700" w14:cap="flat" w14:cmpd="sng" w14:algn="ctr">
                  <w14:noFill/>
                  <w14:prstDash w14:val="solid"/>
                  <w14:miter w14:lim="400000"/>
                </w14:textOutline>
              </w:rPr>
            </w:pPr>
            <w:r>
              <w:rPr>
                <w:rStyle w:val="None"/>
                <w:rFonts w:ascii="Times New Roman" w:hAnsi="Times New Roman"/>
                <w:noProof/>
                <w:sz w:val="24"/>
              </w:rPr>
              <w:t xml:space="preserve">garantira un </w:t>
            </w:r>
            <w:r>
              <w:rPr>
                <w:rStyle w:val="None"/>
                <w:rFonts w:ascii="Times New Roman" w:hAnsi="Times New Roman"/>
                <w:b/>
                <w:noProof/>
                <w:sz w:val="24"/>
              </w:rPr>
              <w:t>processus de consultation inclusif</w:t>
            </w:r>
            <w:r>
              <w:rPr>
                <w:rStyle w:val="None"/>
                <w:rFonts w:ascii="Times New Roman" w:hAnsi="Times New Roman"/>
                <w:noProof/>
                <w:sz w:val="24"/>
              </w:rPr>
              <w:t xml:space="preserve"> de la société civile à </w:t>
            </w:r>
            <w:r>
              <w:rPr>
                <w:rStyle w:val="None"/>
                <w:rFonts w:ascii="Times New Roman" w:hAnsi="Times New Roman"/>
                <w:b/>
                <w:noProof/>
                <w:sz w:val="24"/>
              </w:rPr>
              <w:t>toutes les étapes</w:t>
            </w:r>
            <w:r>
              <w:rPr>
                <w:rStyle w:val="None"/>
                <w:rFonts w:ascii="Times New Roman" w:hAnsi="Times New Roman"/>
                <w:noProof/>
                <w:sz w:val="24"/>
              </w:rPr>
              <w:t xml:space="preserve"> du cycle de vie des accords commerciaux, de l’analyse des lacunes à la mise en œuvre, en passant par l’identification des priorités;</w:t>
            </w:r>
          </w:p>
          <w:p w14:paraId="4F419FA0" w14:textId="49325B73"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14:textOutline w14:w="12700" w14:cap="flat" w14:cmpd="sng" w14:algn="ctr">
                  <w14:noFill/>
                  <w14:prstDash w14:val="solid"/>
                  <w14:miter w14:lim="400000"/>
                </w14:textOutline>
              </w:rPr>
            </w:pPr>
            <w:r>
              <w:rPr>
                <w:rStyle w:val="None"/>
                <w:rFonts w:ascii="Times New Roman" w:hAnsi="Times New Roman"/>
                <w:noProof/>
                <w:sz w:val="24"/>
              </w:rPr>
              <w:t xml:space="preserve">renforcera davantage le rôle des </w:t>
            </w:r>
            <w:r>
              <w:rPr>
                <w:rStyle w:val="None"/>
                <w:rFonts w:ascii="Times New Roman" w:hAnsi="Times New Roman"/>
                <w:b/>
                <w:noProof/>
                <w:sz w:val="24"/>
              </w:rPr>
              <w:t>GCI</w:t>
            </w:r>
            <w:r>
              <w:rPr>
                <w:rStyle w:val="None"/>
                <w:rFonts w:ascii="Times New Roman" w:hAnsi="Times New Roman"/>
                <w:noProof/>
                <w:sz w:val="24"/>
              </w:rPr>
              <w:t xml:space="preserve"> de l’UE en leur fournissant des ressources à des fins de soutien logistique, de renforcement des capacités et de fonctionnement;</w:t>
            </w:r>
            <w:r>
              <w:rPr>
                <w:rStyle w:val="None"/>
                <w:rFonts w:ascii="Times New Roman" w:hAnsi="Times New Roman"/>
                <w:noProof/>
                <w:sz w:val="24"/>
                <w14:textOutline w14:w="12700" w14:cap="flat" w14:cmpd="sng" w14:algn="ctr">
                  <w14:noFill/>
                  <w14:prstDash w14:val="solid"/>
                  <w14:miter w14:lim="400000"/>
                </w14:textOutline>
              </w:rPr>
              <w:t xml:space="preserve"> </w:t>
            </w:r>
          </w:p>
          <w:p w14:paraId="3EFAFA50" w14:textId="740D5D13" w:rsidR="007E6F5E" w:rsidRPr="00011967" w:rsidRDefault="51664043" w:rsidP="00924538">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 xml:space="preserve">invitera les </w:t>
            </w:r>
            <w:r>
              <w:rPr>
                <w:rStyle w:val="None"/>
                <w:rFonts w:ascii="Times New Roman" w:hAnsi="Times New Roman"/>
                <w:b/>
                <w:noProof/>
                <w:sz w:val="24"/>
              </w:rPr>
              <w:t>représentants des GCI de l’UE</w:t>
            </w:r>
            <w:r>
              <w:rPr>
                <w:rStyle w:val="None"/>
                <w:rFonts w:ascii="Times New Roman" w:hAnsi="Times New Roman"/>
                <w:noProof/>
                <w:sz w:val="24"/>
              </w:rPr>
              <w:t xml:space="preserve"> à prendre part aux </w:t>
            </w:r>
            <w:r>
              <w:rPr>
                <w:rStyle w:val="None"/>
                <w:rFonts w:ascii="Times New Roman" w:hAnsi="Times New Roman"/>
                <w:b/>
                <w:noProof/>
                <w:sz w:val="24"/>
              </w:rPr>
              <w:t>groupes d’experts «Commerce et développement durable» des États membres</w:t>
            </w:r>
            <w:r>
              <w:rPr>
                <w:rStyle w:val="None"/>
                <w:rFonts w:ascii="Times New Roman" w:hAnsi="Times New Roman"/>
                <w:noProof/>
                <w:sz w:val="24"/>
              </w:rPr>
              <w:t xml:space="preserve"> menés par la Commission, auxquels ils pourront contribuer en apportant leur expertise spécifique, et </w:t>
            </w:r>
            <w:r>
              <w:rPr>
                <w:rStyle w:val="None"/>
                <w:rFonts w:ascii="Times New Roman" w:hAnsi="Times New Roman"/>
                <w:b/>
                <w:noProof/>
                <w:sz w:val="24"/>
              </w:rPr>
              <w:t>associera étroitement les GCI</w:t>
            </w:r>
            <w:r>
              <w:rPr>
                <w:rStyle w:val="None"/>
                <w:rFonts w:ascii="Times New Roman" w:hAnsi="Times New Roman"/>
                <w:noProof/>
                <w:sz w:val="24"/>
              </w:rPr>
              <w:t xml:space="preserve"> à la préparation des </w:t>
            </w:r>
            <w:r>
              <w:rPr>
                <w:rStyle w:val="None"/>
                <w:rFonts w:ascii="Times New Roman" w:hAnsi="Times New Roman"/>
                <w:b/>
                <w:noProof/>
                <w:sz w:val="24"/>
              </w:rPr>
              <w:t>réunions des comités «Commerce et développement durable»</w:t>
            </w:r>
            <w:r>
              <w:rPr>
                <w:rStyle w:val="None"/>
                <w:rFonts w:ascii="Times New Roman" w:hAnsi="Times New Roman"/>
                <w:noProof/>
                <w:sz w:val="24"/>
              </w:rPr>
              <w:t>, notamment en ce qui concerne le recensement et le suivi des priorités de mise en œuvre;</w:t>
            </w:r>
          </w:p>
          <w:p w14:paraId="3D61AE99" w14:textId="77777777"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encouragera et facilitera l’</w:t>
            </w:r>
            <w:r>
              <w:rPr>
                <w:rStyle w:val="None"/>
                <w:rFonts w:ascii="Times New Roman" w:hAnsi="Times New Roman"/>
                <w:b/>
                <w:noProof/>
                <w:sz w:val="24"/>
              </w:rPr>
              <w:t>interaction entre les GCI de l’UE</w:t>
            </w:r>
            <w:r>
              <w:rPr>
                <w:rStyle w:val="None"/>
                <w:rFonts w:ascii="Times New Roman" w:hAnsi="Times New Roman"/>
                <w:noProof/>
                <w:sz w:val="24"/>
              </w:rPr>
              <w:t xml:space="preserve"> et </w:t>
            </w:r>
            <w:r>
              <w:rPr>
                <w:rStyle w:val="None"/>
                <w:rFonts w:ascii="Times New Roman" w:hAnsi="Times New Roman"/>
                <w:b/>
                <w:noProof/>
                <w:sz w:val="24"/>
              </w:rPr>
              <w:t>ceux des pays partenaires</w:t>
            </w:r>
            <w:r>
              <w:rPr>
                <w:rStyle w:val="None"/>
                <w:rFonts w:ascii="Times New Roman" w:hAnsi="Times New Roman"/>
                <w:noProof/>
                <w:sz w:val="24"/>
              </w:rPr>
              <w:t>;</w:t>
            </w:r>
          </w:p>
          <w:p w14:paraId="6773EDC2" w14:textId="77777777"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 xml:space="preserve">promouvra la </w:t>
            </w:r>
            <w:r>
              <w:rPr>
                <w:rStyle w:val="None"/>
                <w:rFonts w:ascii="Times New Roman" w:hAnsi="Times New Roman"/>
                <w:b/>
                <w:noProof/>
                <w:sz w:val="24"/>
              </w:rPr>
              <w:t>transparence en ce qui concerne la composition des GCI</w:t>
            </w:r>
            <w:r>
              <w:rPr>
                <w:rStyle w:val="None"/>
                <w:rFonts w:ascii="Times New Roman" w:hAnsi="Times New Roman"/>
                <w:noProof/>
                <w:sz w:val="24"/>
              </w:rPr>
              <w:t>;</w:t>
            </w:r>
          </w:p>
          <w:p w14:paraId="009681D8" w14:textId="7251336D" w:rsidR="00C65135" w:rsidRPr="00011967" w:rsidRDefault="004450C1" w:rsidP="00C65135">
            <w:pPr>
              <w:pStyle w:val="ListParagraph"/>
              <w:numPr>
                <w:ilvl w:val="0"/>
                <w:numId w:val="5"/>
              </w:numPr>
              <w:spacing w:after="120" w:line="240" w:lineRule="auto"/>
              <w:jc w:val="both"/>
              <w:rPr>
                <w:rStyle w:val="None"/>
                <w:rFonts w:ascii="Times New Roman" w:hAnsi="Times New Roman" w:cs="Times New Roman"/>
                <w:noProof/>
                <w:sz w:val="24"/>
                <w:szCs w:val="24"/>
              </w:rPr>
            </w:pPr>
            <w:r>
              <w:rPr>
                <w:rStyle w:val="None"/>
                <w:rFonts w:ascii="Times New Roman" w:hAnsi="Times New Roman"/>
                <w:b/>
                <w:noProof/>
                <w:sz w:val="24"/>
              </w:rPr>
              <w:t>échangera des points de vue avec les GCI de l’UE</w:t>
            </w:r>
            <w:r>
              <w:rPr>
                <w:rStyle w:val="None"/>
                <w:rFonts w:ascii="Times New Roman" w:hAnsi="Times New Roman"/>
                <w:noProof/>
                <w:sz w:val="24"/>
              </w:rPr>
              <w:t xml:space="preserve"> sur les </w:t>
            </w:r>
            <w:r>
              <w:rPr>
                <w:rStyle w:val="None"/>
                <w:rFonts w:ascii="Times New Roman" w:hAnsi="Times New Roman"/>
                <w:b/>
                <w:noProof/>
                <w:sz w:val="24"/>
              </w:rPr>
              <w:t>projets d’assistance technique</w:t>
            </w:r>
            <w:r>
              <w:rPr>
                <w:rStyle w:val="None"/>
                <w:rFonts w:ascii="Times New Roman" w:hAnsi="Times New Roman"/>
                <w:noProof/>
                <w:sz w:val="24"/>
              </w:rPr>
              <w:t xml:space="preserve"> européens liés au commerce et au développement durable;</w:t>
            </w:r>
          </w:p>
          <w:p w14:paraId="657524EF" w14:textId="6A28FC53" w:rsidR="00C74B0A" w:rsidRPr="00011967" w:rsidRDefault="006460A1" w:rsidP="00A75D80">
            <w:pPr>
              <w:pStyle w:val="ListParagraph"/>
              <w:numPr>
                <w:ilvl w:val="0"/>
                <w:numId w:val="5"/>
              </w:numPr>
              <w:spacing w:after="0" w:line="240" w:lineRule="auto"/>
              <w:ind w:left="448" w:hanging="357"/>
              <w:jc w:val="both"/>
              <w:rPr>
                <w:rFonts w:ascii="Times New Roman" w:hAnsi="Times New Roman" w:cs="Times New Roman"/>
                <w:noProof/>
                <w:sz w:val="24"/>
                <w:szCs w:val="24"/>
              </w:rPr>
            </w:pPr>
            <w:r>
              <w:rPr>
                <w:rFonts w:ascii="Times New Roman" w:hAnsi="Times New Roman"/>
                <w:noProof/>
                <w:sz w:val="24"/>
              </w:rPr>
              <w:t>veillera à l’</w:t>
            </w:r>
            <w:r>
              <w:rPr>
                <w:rFonts w:ascii="Times New Roman" w:hAnsi="Times New Roman"/>
                <w:b/>
                <w:noProof/>
                <w:sz w:val="24"/>
              </w:rPr>
              <w:t>extension des compétences des GCI au-delà du commerce et du développement durable</w:t>
            </w:r>
            <w:r>
              <w:rPr>
                <w:rFonts w:ascii="Times New Roman" w:hAnsi="Times New Roman"/>
                <w:noProof/>
                <w:sz w:val="24"/>
              </w:rPr>
              <w:t xml:space="preserve"> afin que celles-ci couvrent les accords commerciaux dans leur intégralité.</w:t>
            </w:r>
          </w:p>
        </w:tc>
      </w:tr>
    </w:tbl>
    <w:p w14:paraId="390835C1" w14:textId="3CCDE4E3" w:rsidR="002239D2" w:rsidRPr="00011967" w:rsidRDefault="49018CEF" w:rsidP="00AF4829">
      <w:pPr>
        <w:tabs>
          <w:tab w:val="left" w:pos="851"/>
          <w:tab w:val="left" w:pos="993"/>
        </w:tabs>
        <w:ind w:left="352"/>
        <w:jc w:val="both"/>
        <w:rPr>
          <w:rStyle w:val="None"/>
          <w:noProof/>
          <w:u w:val="single"/>
        </w:rPr>
      </w:pPr>
      <w:r w:rsidRPr="00626FE8">
        <w:rPr>
          <w:rStyle w:val="None"/>
          <w:noProof/>
        </w:rPr>
        <w:t>3</w:t>
      </w:r>
      <w:r>
        <w:rPr>
          <w:rStyle w:val="None"/>
          <w:noProof/>
        </w:rPr>
        <w:t>.</w:t>
      </w:r>
      <w:r w:rsidRPr="00626FE8">
        <w:rPr>
          <w:rStyle w:val="None"/>
          <w:noProof/>
        </w:rPr>
        <w:t>6</w:t>
      </w:r>
      <w:r>
        <w:rPr>
          <w:noProof/>
        </w:rPr>
        <w:tab/>
      </w:r>
      <w:r>
        <w:rPr>
          <w:noProof/>
        </w:rPr>
        <w:tab/>
      </w:r>
      <w:r>
        <w:rPr>
          <w:rStyle w:val="None"/>
          <w:noProof/>
          <w:u w:val="single"/>
        </w:rPr>
        <w:t xml:space="preserve">Une application plus ferme, y compris par l’intermédiaire de sanctions commerciales </w:t>
      </w:r>
    </w:p>
    <w:p w14:paraId="66F0D309" w14:textId="77777777" w:rsidR="002239D2" w:rsidRPr="00087316" w:rsidRDefault="002239D2" w:rsidP="00D94917">
      <w:pPr>
        <w:tabs>
          <w:tab w:val="left" w:pos="851"/>
          <w:tab w:val="left" w:pos="993"/>
        </w:tabs>
        <w:jc w:val="both"/>
        <w:rPr>
          <w:rStyle w:val="None"/>
          <w:noProof/>
          <w:u w:val="single"/>
          <w:lang w:val="fr-BE"/>
        </w:rPr>
      </w:pPr>
    </w:p>
    <w:p w14:paraId="58DB24B4" w14:textId="6A592605" w:rsidR="00E13829" w:rsidRPr="00011967" w:rsidRDefault="51664043" w:rsidP="005C00CB">
      <w:pPr>
        <w:pStyle w:val="Body"/>
        <w:spacing w:after="120" w:line="259" w:lineRule="auto"/>
        <w:jc w:val="both"/>
        <w:rPr>
          <w:rStyle w:val="None"/>
          <w:rFonts w:cs="Times New Roman"/>
          <w:noProof/>
        </w:rPr>
      </w:pPr>
      <w:r>
        <w:rPr>
          <w:b/>
          <w:noProof/>
        </w:rPr>
        <w:t>Les engagements en matière de commerce et de développement durable sont juridiquement contraignants</w:t>
      </w:r>
      <w:r>
        <w:rPr>
          <w:noProof/>
        </w:rPr>
        <w:t xml:space="preserve"> et </w:t>
      </w:r>
      <w:r>
        <w:rPr>
          <w:b/>
          <w:noProof/>
        </w:rPr>
        <w:t>applicables</w:t>
      </w:r>
      <w:r>
        <w:rPr>
          <w:noProof/>
        </w:rPr>
        <w:t xml:space="preserve"> par l’intermédiaire d’un mécanisme de règlement des différends entre États</w:t>
      </w:r>
      <w:r>
        <w:rPr>
          <w:rStyle w:val="FootnoteReference"/>
          <w:rFonts w:cs="Times New Roman"/>
          <w:noProof/>
          <w:lang w:val="en-IE"/>
        </w:rPr>
        <w:footnoteReference w:id="29"/>
      </w:r>
      <w:r>
        <w:rPr>
          <w:noProof/>
        </w:rPr>
        <w:t>, qui fait appel à un examen indépendant et transparent réalisé par un groupe d’experts et à une participation active de la société civile</w:t>
      </w:r>
      <w:r>
        <w:rPr>
          <w:rStyle w:val="FootnoteReference"/>
          <w:rFonts w:cs="Times New Roman"/>
          <w:noProof/>
          <w:lang w:val="en-IE"/>
        </w:rPr>
        <w:footnoteReference w:id="30"/>
      </w:r>
      <w:r>
        <w:rPr>
          <w:noProof/>
        </w:rPr>
        <w:t>.</w:t>
      </w:r>
      <w:r>
        <w:rPr>
          <w:rStyle w:val="None"/>
          <w:noProof/>
        </w:rPr>
        <w:t xml:space="preserve"> Cette approche s’appuie sur la participation et se penche sur les questions émergentes par l’intermédiaire du dialogue et de la coopération. </w:t>
      </w:r>
    </w:p>
    <w:p w14:paraId="27D97B5B" w14:textId="3F04468C" w:rsidR="00414102" w:rsidRPr="00011967" w:rsidRDefault="51664043" w:rsidP="005C00CB">
      <w:pPr>
        <w:pStyle w:val="Body"/>
        <w:spacing w:after="120" w:line="259" w:lineRule="auto"/>
        <w:jc w:val="both"/>
        <w:rPr>
          <w:rFonts w:cs="Times New Roman"/>
          <w:noProof/>
        </w:rPr>
      </w:pPr>
      <w:r>
        <w:rPr>
          <w:rStyle w:val="None"/>
          <w:noProof/>
        </w:rPr>
        <w:t>Jusqu’à aujourd’hui, ce mécanisme n’incluait aucune règle spécifique quant à la manière d’</w:t>
      </w:r>
      <w:r>
        <w:rPr>
          <w:rStyle w:val="None"/>
          <w:b/>
          <w:noProof/>
        </w:rPr>
        <w:t>assurer le suivi de la mise en œuvre du rapport publié par le groupe d’experts</w:t>
      </w:r>
      <w:r>
        <w:rPr>
          <w:rStyle w:val="None"/>
          <w:noProof/>
        </w:rPr>
        <w:t xml:space="preserve"> (aussi appelée phase de mise en conformité).</w:t>
      </w:r>
      <w:r>
        <w:rPr>
          <w:noProof/>
        </w:rPr>
        <w:t xml:space="preserve"> </w:t>
      </w:r>
      <w:r>
        <w:rPr>
          <w:rStyle w:val="None"/>
          <w:noProof/>
        </w:rPr>
        <w:t xml:space="preserve">La Commission propose désormais de mieux aligner le contrôle de l’application des chapitres CDD sur le système général de règlement des différends entre États, et d’élargir la phase de mise en conformité aux différends relatifs aux chapitres CDD. </w:t>
      </w:r>
      <w:r>
        <w:rPr>
          <w:noProof/>
        </w:rPr>
        <w:t>Cela signifie que la partie reconnue comme étant en violation de ses engagements en matière de commerce et de développement durable devra faire rapidement connaître la manière dont elle entend mettre en œuvre le rapport du groupe d’experts, et effectuer cette mise en œuvre dans un délai déterminé. Ces informations seront soumises à un réexamen du groupe d’experts. La société civile sera également en mesure, durant cette phase, de présenter des observations au groupe d’experts.</w:t>
      </w:r>
    </w:p>
    <w:p w14:paraId="7ADB466C" w14:textId="66D88496" w:rsidR="00CC562B" w:rsidRPr="008A0819" w:rsidRDefault="00BB1EC6">
      <w:pPr>
        <w:pStyle w:val="Body"/>
        <w:spacing w:after="160" w:line="259" w:lineRule="auto"/>
        <w:jc w:val="both"/>
        <w:rPr>
          <w:rStyle w:val="None"/>
          <w:noProof/>
        </w:rPr>
      </w:pPr>
      <w:r>
        <w:rPr>
          <w:rStyle w:val="None"/>
          <w:noProof/>
        </w:rPr>
        <w:t xml:space="preserve">De la même manière, l’approche de l’UE en matière de commerce et de développement durable n’a pas envisagé l’utilisation de sanctions dans les cas de non-respect du rapport du groupe d’experts. La Commission propose désormais </w:t>
      </w:r>
      <w:r>
        <w:rPr>
          <w:rStyle w:val="None"/>
          <w:b/>
          <w:noProof/>
        </w:rPr>
        <w:t>l’application éventuelle de sanctions commerciales</w:t>
      </w:r>
      <w:r>
        <w:rPr>
          <w:rStyle w:val="None"/>
          <w:noProof/>
        </w:rPr>
        <w:t xml:space="preserve"> en guise de dernier recours, dans des cas de violations graves des principaux engagements en matière de commerce et de développement durable, à savoir les principes et droits fondamentaux au travail de l’OIT ainsi que l’accord de Paris sur le changement climatique.</w:t>
      </w:r>
      <w:r>
        <w:rPr>
          <w:rStyle w:val="None"/>
          <w:noProof/>
          <w14:textOutline w14:w="12700" w14:cap="flat" w14:cmpd="sng" w14:algn="ctr">
            <w14:noFill/>
            <w14:prstDash w14:val="solid"/>
            <w14:miter w14:lim="400000"/>
          </w14:textOutline>
        </w:rPr>
        <w:t xml:space="preserve"> Dans ces situations, des sanctions commerciales constitueraient un moyen acceptable d’encourager la mise en conformité. Dans le cas de l’accord de Paris, l’objectif serait de détecter les manquements aux obligations portant substantiellement atteinte à l’objet et à la finalité de l’accord. En ce qui concerne les principes et droits fondamentaux au travail de l’OIT, des sanctions commerciales seraient imposées dans des cas graves de non-respect de ces principes, sur la base du suivi par l’OIT de l’évolution de la situation chez chacun de ses membres. </w:t>
      </w:r>
      <w:r>
        <w:rPr>
          <w:noProof/>
        </w:rPr>
        <w:t>Cette approche s’appuiera sur le respect des droits fondamentaux des travailleurs et de l’accord de Paris, qui constituent des éléments essentiels de nos accords commerciaux</w:t>
      </w:r>
      <w:r>
        <w:rPr>
          <w:rStyle w:val="FootnoteReference"/>
          <w:rFonts w:cs="Times New Roman"/>
          <w:iCs/>
          <w:noProof/>
          <w:lang w:val="en-IE"/>
        </w:rPr>
        <w:footnoteReference w:id="31"/>
      </w:r>
      <w:r>
        <w:rPr>
          <w:noProof/>
        </w:rPr>
        <w:t>, et renforcera ce respect.</w:t>
      </w:r>
      <w:r>
        <w:rPr>
          <w:noProof/>
          <w14:textOutline w14:w="12700" w14:cap="flat" w14:cmpd="sng" w14:algn="ctr">
            <w14:noFill/>
            <w14:prstDash w14:val="solid"/>
            <w14:miter w14:lim="400000"/>
          </w14:textOutline>
        </w:rPr>
        <w:t xml:space="preserve"> </w:t>
      </w:r>
    </w:p>
    <w:p w14:paraId="1025B8F4" w14:textId="24FBF1B5" w:rsidR="00AE271E" w:rsidRPr="00011967" w:rsidRDefault="5E1E0393">
      <w:pPr>
        <w:pStyle w:val="Body"/>
        <w:spacing w:after="160" w:line="259" w:lineRule="auto"/>
        <w:jc w:val="both"/>
        <w:rPr>
          <w:rStyle w:val="None"/>
          <w:rFonts w:cs="Times New Roman"/>
          <w:noProof/>
        </w:rPr>
      </w:pPr>
      <w:r>
        <w:rPr>
          <w:rStyle w:val="None"/>
          <w:noProof/>
        </w:rPr>
        <w:t>L’application de sanctions commerciales en cas de violation de dispositions spécifiques relatives au commerce et au développement durable s’alignera sur les règles générales en matière de règlement des différends. Par conséquent, les sanctions commerciales seront temporaires et proportionnées, et pourront prendre la forme d’une suspension des concessions commerciales.</w:t>
      </w:r>
      <w:r>
        <w:rPr>
          <w:rStyle w:val="None"/>
          <w:noProof/>
          <w14:textOutline w14:w="12700" w14:cap="flat" w14:cmpd="sng" w14:algn="ctr">
            <w14:noFill/>
            <w14:prstDash w14:val="solid"/>
            <w14:miter w14:lim="400000"/>
          </w14:textOutline>
        </w:rPr>
        <w:t xml:space="preserve"> </w:t>
      </w:r>
      <w:r>
        <w:rPr>
          <w:rStyle w:val="None"/>
          <w:noProof/>
        </w:rPr>
        <w:t>Elles ne pourront être imposées que si un groupe d’experts constate qu’une partie viole ses engagements en matière de commerce et de développement durable, et si cette partie ne se met pas en conformité dans les délais prescrits. Dans ce contexte, les parties pourront aussi, à tout moment, convenir conjointement d’une solution au différend.</w:t>
      </w:r>
    </w:p>
    <w:p w14:paraId="3B6B14A7" w14:textId="0122E726" w:rsidR="000E6265" w:rsidRPr="00011967" w:rsidRDefault="00F63D0D" w:rsidP="00F63D0D">
      <w:pPr>
        <w:pStyle w:val="Body"/>
        <w:spacing w:after="160" w:line="259" w:lineRule="auto"/>
        <w:jc w:val="both"/>
        <w:rPr>
          <w:rStyle w:val="None"/>
          <w:rFonts w:cs="Times New Roman"/>
          <w:noProof/>
        </w:rPr>
      </w:pPr>
      <w:r>
        <w:rPr>
          <w:rStyle w:val="None"/>
          <w:noProof/>
        </w:rPr>
        <w:t>L’introduction, pour la première fois, de sanctions commerciales portant sur les principaux engagements en matière de commerce et de développement durable dans les accords commerciaux de l’UE, en association avec une approche fondée sur la coopération, permettra à l’UE de procéder à un contrôle plus ferme de l’application de ses chapitres CDD.</w:t>
      </w:r>
      <w:r>
        <w:rPr>
          <w:noProof/>
        </w:rPr>
        <w:t xml:space="preserve"> Ainsi, l’UE améliorera les outils à sa disposition pour atteindre les objectifs de durabilité et renforcera la contribution des accords commerciaux à ces objectifs. </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11967" w14:paraId="019AA805" w14:textId="77777777" w:rsidTr="00A75D80">
        <w:trPr>
          <w:trHeight w:val="5104"/>
        </w:trPr>
        <w:tc>
          <w:tcPr>
            <w:tcW w:w="9072" w:type="dxa"/>
            <w:tcBorders>
              <w:top w:val="single" w:sz="4" w:space="0" w:color="000000"/>
              <w:left w:val="single" w:sz="4" w:space="0" w:color="000000"/>
              <w:bottom w:val="single" w:sz="4" w:space="0" w:color="000000"/>
              <w:right w:val="single" w:sz="4" w:space="0" w:color="000000"/>
            </w:tcBorders>
            <w:shd w:val="clear" w:color="auto" w:fill="D0CECE"/>
            <w:tcMar>
              <w:top w:w="80" w:type="dxa"/>
              <w:left w:w="80" w:type="dxa"/>
              <w:bottom w:w="80" w:type="dxa"/>
              <w:right w:w="80" w:type="dxa"/>
            </w:tcMar>
          </w:tcPr>
          <w:p w14:paraId="160416F3" w14:textId="77777777" w:rsidR="007E6F5E" w:rsidRPr="00011967" w:rsidRDefault="00336C0A" w:rsidP="00A75D80">
            <w:pPr>
              <w:pStyle w:val="BodyA"/>
              <w:spacing w:after="0"/>
              <w:jc w:val="center"/>
              <w:rPr>
                <w:rStyle w:val="None"/>
                <w:rFonts w:ascii="Times New Roman" w:hAnsi="Times New Roman" w:cs="Times New Roman"/>
                <w:b/>
                <w:noProof/>
                <w:sz w:val="24"/>
                <w:szCs w:val="24"/>
              </w:rPr>
            </w:pPr>
            <w:r>
              <w:rPr>
                <w:rStyle w:val="None"/>
                <w:rFonts w:ascii="Times New Roman" w:hAnsi="Times New Roman"/>
                <w:b/>
                <w:noProof/>
                <w:sz w:val="24"/>
              </w:rPr>
              <w:t>Points d’action</w:t>
            </w:r>
          </w:p>
          <w:p w14:paraId="35F1184F"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rPr>
            </w:pPr>
            <w:r>
              <w:rPr>
                <w:rStyle w:val="None"/>
                <w:rFonts w:ascii="Times New Roman" w:hAnsi="Times New Roman"/>
                <w:noProof/>
                <w:sz w:val="24"/>
              </w:rPr>
              <w:t>La Commission:</w:t>
            </w:r>
          </w:p>
          <w:p w14:paraId="7D3E52BB" w14:textId="1B635512" w:rsidR="007E6F5E" w:rsidRPr="00011967" w:rsidRDefault="00336C0A" w:rsidP="00C65135">
            <w:pPr>
              <w:pStyle w:val="ListParagraph"/>
              <w:numPr>
                <w:ilvl w:val="0"/>
                <w:numId w:val="5"/>
              </w:numPr>
              <w:spacing w:after="120" w:line="240" w:lineRule="auto"/>
              <w:jc w:val="both"/>
              <w:rPr>
                <w:rFonts w:ascii="Times New Roman" w:hAnsi="Times New Roman" w:cs="Times New Roman"/>
                <w:noProof/>
                <w:sz w:val="24"/>
                <w:szCs w:val="24"/>
              </w:rPr>
            </w:pPr>
            <w:r>
              <w:rPr>
                <w:rFonts w:ascii="Times New Roman" w:hAnsi="Times New Roman"/>
                <w:noProof/>
                <w:sz w:val="24"/>
              </w:rPr>
              <w:t>renforcera encore davantage le contrôle de l’application des engagements en matière de commerce et de développement durable dans les futurs accords en proposant aux partenaires commerciaux de l’UE:</w:t>
            </w:r>
          </w:p>
          <w:p w14:paraId="5AF8CD70" w14:textId="7E5C6A05" w:rsidR="007E6F5E" w:rsidRPr="00011967" w:rsidRDefault="00336C0A" w:rsidP="00073A7F">
            <w:pPr>
              <w:pStyle w:val="BodyA"/>
              <w:numPr>
                <w:ilvl w:val="4"/>
                <w:numId w:val="15"/>
              </w:numPr>
              <w:spacing w:after="120" w:line="240" w:lineRule="auto"/>
              <w:jc w:val="both"/>
              <w:rPr>
                <w:rFonts w:ascii="Times New Roman" w:hAnsi="Times New Roman" w:cs="Times New Roman"/>
                <w:noProof/>
                <w:sz w:val="24"/>
                <w:szCs w:val="24"/>
              </w:rPr>
            </w:pPr>
            <w:r>
              <w:rPr>
                <w:rStyle w:val="None"/>
                <w:rFonts w:ascii="Times New Roman" w:hAnsi="Times New Roman"/>
                <w:b/>
                <w:noProof/>
                <w:sz w:val="24"/>
              </w:rPr>
              <w:t>d’étendre</w:t>
            </w:r>
            <w:r>
              <w:rPr>
                <w:rStyle w:val="None"/>
                <w:rFonts w:ascii="Times New Roman" w:hAnsi="Times New Roman"/>
                <w:noProof/>
                <w:sz w:val="24"/>
              </w:rPr>
              <w:t xml:space="preserve"> la </w:t>
            </w:r>
            <w:r>
              <w:rPr>
                <w:rStyle w:val="None"/>
                <w:rFonts w:ascii="Times New Roman" w:hAnsi="Times New Roman"/>
                <w:b/>
                <w:noProof/>
                <w:sz w:val="24"/>
              </w:rPr>
              <w:t>phase générale de mise en conformité du règlement des différends entre États aux chapitres CDD</w:t>
            </w:r>
            <w:r>
              <w:rPr>
                <w:rStyle w:val="None"/>
                <w:rFonts w:ascii="Times New Roman" w:hAnsi="Times New Roman"/>
                <w:noProof/>
                <w:sz w:val="24"/>
              </w:rPr>
              <w:t>;</w:t>
            </w:r>
          </w:p>
          <w:p w14:paraId="15EE251F" w14:textId="48474089" w:rsidR="007E6F5E" w:rsidRPr="00011967" w:rsidRDefault="00336C0A" w:rsidP="00073A7F">
            <w:pPr>
              <w:pStyle w:val="BodyA"/>
              <w:numPr>
                <w:ilvl w:val="4"/>
                <w:numId w:val="15"/>
              </w:numPr>
              <w:spacing w:after="120" w:line="240" w:lineRule="auto"/>
              <w:jc w:val="both"/>
              <w:rPr>
                <w:rFonts w:ascii="Times New Roman" w:hAnsi="Times New Roman" w:cs="Times New Roman"/>
                <w:noProof/>
                <w:sz w:val="24"/>
                <w:szCs w:val="24"/>
              </w:rPr>
            </w:pPr>
            <w:r>
              <w:rPr>
                <w:rStyle w:val="None"/>
                <w:rFonts w:ascii="Times New Roman" w:hAnsi="Times New Roman"/>
                <w:noProof/>
                <w:sz w:val="24"/>
              </w:rPr>
              <w:t xml:space="preserve">d’associer les </w:t>
            </w:r>
            <w:r>
              <w:rPr>
                <w:rStyle w:val="None"/>
                <w:rFonts w:ascii="Times New Roman" w:hAnsi="Times New Roman"/>
                <w:b/>
                <w:noProof/>
                <w:sz w:val="24"/>
              </w:rPr>
              <w:t>GCI</w:t>
            </w:r>
            <w:r>
              <w:rPr>
                <w:rStyle w:val="None"/>
                <w:rFonts w:ascii="Times New Roman" w:hAnsi="Times New Roman"/>
                <w:noProof/>
                <w:sz w:val="24"/>
              </w:rPr>
              <w:t xml:space="preserve"> au </w:t>
            </w:r>
            <w:r>
              <w:rPr>
                <w:rStyle w:val="None"/>
                <w:rFonts w:ascii="Times New Roman" w:hAnsi="Times New Roman"/>
                <w:b/>
                <w:noProof/>
                <w:sz w:val="24"/>
              </w:rPr>
              <w:t>suivi</w:t>
            </w:r>
            <w:r>
              <w:rPr>
                <w:rStyle w:val="None"/>
                <w:rFonts w:ascii="Times New Roman" w:hAnsi="Times New Roman"/>
                <w:noProof/>
                <w:sz w:val="24"/>
              </w:rPr>
              <w:t xml:space="preserve"> de la </w:t>
            </w:r>
            <w:r>
              <w:rPr>
                <w:rStyle w:val="None"/>
                <w:rFonts w:ascii="Times New Roman" w:hAnsi="Times New Roman"/>
                <w:b/>
                <w:noProof/>
                <w:sz w:val="24"/>
              </w:rPr>
              <w:t>phase de mise en conformité</w:t>
            </w:r>
            <w:r>
              <w:rPr>
                <w:rStyle w:val="None"/>
                <w:rFonts w:ascii="Times New Roman" w:hAnsi="Times New Roman"/>
                <w:noProof/>
                <w:sz w:val="24"/>
              </w:rPr>
              <w:t>;</w:t>
            </w:r>
          </w:p>
          <w:p w14:paraId="6C12CB29" w14:textId="3A5C4FBB" w:rsidR="007E6F5E" w:rsidRPr="00011967" w:rsidRDefault="00336C0A" w:rsidP="00073A7F">
            <w:pPr>
              <w:pStyle w:val="BodyA"/>
              <w:numPr>
                <w:ilvl w:val="4"/>
                <w:numId w:val="15"/>
              </w:numPr>
              <w:spacing w:after="120" w:line="240" w:lineRule="auto"/>
              <w:jc w:val="both"/>
              <w:rPr>
                <w:rFonts w:ascii="Times New Roman" w:hAnsi="Times New Roman" w:cs="Times New Roman"/>
                <w:noProof/>
                <w:sz w:val="24"/>
                <w:szCs w:val="24"/>
              </w:rPr>
            </w:pPr>
            <w:bookmarkStart w:id="3" w:name="_Hlk103250868"/>
            <w:r>
              <w:rPr>
                <w:rStyle w:val="None"/>
                <w:rFonts w:ascii="Times New Roman" w:hAnsi="Times New Roman"/>
                <w:b/>
                <w:noProof/>
                <w:sz w:val="24"/>
              </w:rPr>
              <w:t>d’étendre la possibilité d’appliquer des sanctions commerciales</w:t>
            </w:r>
            <w:r>
              <w:rPr>
                <w:rStyle w:val="None"/>
                <w:rFonts w:ascii="Times New Roman" w:hAnsi="Times New Roman"/>
                <w:noProof/>
                <w:sz w:val="24"/>
              </w:rPr>
              <w:t xml:space="preserve"> aux cas de manquements aux obligations portant substantiellement atteinte à l’objet et à la finalité de l’</w:t>
            </w:r>
            <w:r>
              <w:rPr>
                <w:rStyle w:val="None"/>
                <w:rFonts w:ascii="Times New Roman" w:hAnsi="Times New Roman"/>
                <w:b/>
                <w:noProof/>
                <w:sz w:val="24"/>
              </w:rPr>
              <w:t>accord de Paris sur le changement climatique</w:t>
            </w:r>
            <w:r>
              <w:rPr>
                <w:rStyle w:val="None"/>
                <w:rFonts w:ascii="Times New Roman" w:hAnsi="Times New Roman"/>
                <w:noProof/>
                <w:sz w:val="24"/>
              </w:rPr>
              <w:t xml:space="preserve"> ou aux cas graves de non-respect des </w:t>
            </w:r>
            <w:r>
              <w:rPr>
                <w:rStyle w:val="None"/>
                <w:rFonts w:ascii="Times New Roman" w:hAnsi="Times New Roman"/>
                <w:b/>
                <w:noProof/>
                <w:sz w:val="24"/>
              </w:rPr>
              <w:t>principes et droits fondamentaux au travail de l’OIT</w:t>
            </w:r>
            <w:r>
              <w:rPr>
                <w:rStyle w:val="None"/>
                <w:rFonts w:ascii="Times New Roman" w:hAnsi="Times New Roman"/>
                <w:noProof/>
                <w:sz w:val="24"/>
              </w:rPr>
              <w:t xml:space="preserve">. </w:t>
            </w:r>
          </w:p>
          <w:bookmarkEnd w:id="3"/>
          <w:p w14:paraId="2808C6E0" w14:textId="2B38C5F3" w:rsidR="007E6F5E" w:rsidRPr="00011967" w:rsidRDefault="00336C0A" w:rsidP="00073A7F">
            <w:pPr>
              <w:pStyle w:val="ListParagraph"/>
              <w:spacing w:after="120" w:line="240" w:lineRule="auto"/>
              <w:ind w:left="459"/>
              <w:jc w:val="both"/>
              <w:rPr>
                <w:rStyle w:val="None"/>
                <w:rFonts w:ascii="Times New Roman" w:hAnsi="Times New Roman" w:cs="Times New Roman"/>
                <w:noProof/>
                <w:sz w:val="24"/>
                <w:szCs w:val="24"/>
              </w:rPr>
            </w:pPr>
            <w:r>
              <w:rPr>
                <w:rStyle w:val="None"/>
                <w:rFonts w:ascii="Times New Roman" w:hAnsi="Times New Roman"/>
                <w:noProof/>
                <w:sz w:val="24"/>
              </w:rPr>
              <w:t xml:space="preserve">L’application de sanctions commerciales sera alignée sur les règles générales en matière de règlement des différends entre États; </w:t>
            </w:r>
          </w:p>
          <w:p w14:paraId="73C25743" w14:textId="2E5E82E0" w:rsidR="007E6F5E" w:rsidRPr="00011967" w:rsidRDefault="00336C0A" w:rsidP="00A75D80">
            <w:pPr>
              <w:pStyle w:val="ListParagraph"/>
              <w:numPr>
                <w:ilvl w:val="0"/>
                <w:numId w:val="5"/>
              </w:numPr>
              <w:spacing w:after="0" w:line="240" w:lineRule="auto"/>
              <w:ind w:left="448" w:hanging="357"/>
              <w:jc w:val="both"/>
              <w:rPr>
                <w:rFonts w:ascii="Times New Roman" w:hAnsi="Times New Roman" w:cs="Times New Roman"/>
                <w:noProof/>
                <w:sz w:val="24"/>
                <w:szCs w:val="24"/>
              </w:rPr>
            </w:pPr>
            <w:r>
              <w:rPr>
                <w:rFonts w:ascii="Times New Roman" w:hAnsi="Times New Roman"/>
                <w:noProof/>
                <w:sz w:val="24"/>
              </w:rPr>
              <w:t>donnera la priorité au contrôle de l’</w:t>
            </w:r>
            <w:r>
              <w:rPr>
                <w:rFonts w:ascii="Times New Roman" w:hAnsi="Times New Roman"/>
                <w:b/>
                <w:noProof/>
                <w:sz w:val="24"/>
              </w:rPr>
              <w:t>application des chapitres CDD</w:t>
            </w:r>
            <w:r>
              <w:rPr>
                <w:rFonts w:ascii="Times New Roman" w:hAnsi="Times New Roman"/>
                <w:noProof/>
                <w:sz w:val="24"/>
              </w:rPr>
              <w:t xml:space="preserve"> selon l’importance de la nature des engagements en cause, la </w:t>
            </w:r>
            <w:r>
              <w:rPr>
                <w:rFonts w:ascii="Times New Roman" w:hAnsi="Times New Roman"/>
                <w:b/>
                <w:noProof/>
                <w:sz w:val="24"/>
              </w:rPr>
              <w:t>gravité de leur violation</w:t>
            </w:r>
            <w:r>
              <w:rPr>
                <w:rFonts w:ascii="Times New Roman" w:hAnsi="Times New Roman"/>
                <w:noProof/>
                <w:sz w:val="24"/>
              </w:rPr>
              <w:t xml:space="preserve"> et leur incidence sur </w:t>
            </w:r>
            <w:r>
              <w:rPr>
                <w:rFonts w:ascii="Times New Roman" w:hAnsi="Times New Roman"/>
                <w:b/>
                <w:noProof/>
                <w:sz w:val="24"/>
              </w:rPr>
              <w:t>l’environnement ou les travailleurs</w:t>
            </w:r>
            <w:r>
              <w:rPr>
                <w:rFonts w:ascii="Times New Roman" w:hAnsi="Times New Roman"/>
                <w:noProof/>
                <w:sz w:val="24"/>
              </w:rPr>
              <w:t>.</w:t>
            </w:r>
          </w:p>
        </w:tc>
      </w:tr>
    </w:tbl>
    <w:p w14:paraId="3540CC68" w14:textId="77777777" w:rsidR="007E6F5E" w:rsidRPr="00087316" w:rsidRDefault="007E6F5E" w:rsidP="0006671A">
      <w:pPr>
        <w:pStyle w:val="Body"/>
        <w:jc w:val="both"/>
        <w:rPr>
          <w:rStyle w:val="None"/>
          <w:rFonts w:cs="Times New Roman"/>
          <w:b/>
          <w:bCs/>
          <w:noProof/>
          <w:u w:val="single"/>
          <w:lang w:val="fr-BE"/>
        </w:rPr>
      </w:pPr>
    </w:p>
    <w:p w14:paraId="11EE7183" w14:textId="744AF5EA" w:rsidR="007E6F5E" w:rsidRPr="00011967" w:rsidRDefault="00336C0A" w:rsidP="00AF4829">
      <w:pPr>
        <w:pStyle w:val="ListParagraph"/>
        <w:numPr>
          <w:ilvl w:val="0"/>
          <w:numId w:val="2"/>
        </w:numPr>
        <w:spacing w:after="120"/>
        <w:ind w:left="714" w:hanging="357"/>
        <w:jc w:val="both"/>
        <w:rPr>
          <w:rFonts w:ascii="Times New Roman" w:hAnsi="Times New Roman" w:cs="Times New Roman"/>
          <w:b/>
          <w:smallCaps/>
          <w:noProof/>
          <w:sz w:val="24"/>
          <w:szCs w:val="24"/>
        </w:rPr>
      </w:pPr>
      <w:r>
        <w:rPr>
          <w:rStyle w:val="None"/>
          <w:rFonts w:ascii="Times New Roman" w:hAnsi="Times New Roman"/>
          <w:b/>
          <w:smallCaps/>
          <w:noProof/>
          <w:sz w:val="24"/>
        </w:rPr>
        <w:t>Conclusion</w:t>
      </w:r>
    </w:p>
    <w:p w14:paraId="03856182" w14:textId="122D8F4A" w:rsidR="007E6F5E" w:rsidRPr="00011967" w:rsidRDefault="001269C3" w:rsidP="00614BAD">
      <w:pPr>
        <w:pStyle w:val="Body"/>
        <w:spacing w:after="160" w:line="259" w:lineRule="auto"/>
        <w:jc w:val="both"/>
        <w:rPr>
          <w:rFonts w:cs="Times New Roman"/>
          <w:noProof/>
        </w:rPr>
      </w:pPr>
      <w:r>
        <w:rPr>
          <w:rStyle w:val="None"/>
          <w:b/>
          <w:noProof/>
        </w:rPr>
        <w:t>Plusieurs des points d’action recensés</w:t>
      </w:r>
      <w:r>
        <w:rPr>
          <w:rStyle w:val="None"/>
          <w:noProof/>
        </w:rPr>
        <w:t xml:space="preserve">, notamment la majorité de ceux qui concernent la mise en œuvre des engagements en matière de commerce et de développement durable et le renforcement du rôle de la société civile, peuvent être immédiatement </w:t>
      </w:r>
      <w:r>
        <w:rPr>
          <w:rStyle w:val="None"/>
          <w:b/>
          <w:noProof/>
        </w:rPr>
        <w:t>déployés</w:t>
      </w:r>
      <w:r>
        <w:rPr>
          <w:rStyle w:val="None"/>
          <w:noProof/>
        </w:rPr>
        <w:t xml:space="preserve">, y compris </w:t>
      </w:r>
      <w:r>
        <w:rPr>
          <w:rStyle w:val="None"/>
          <w:b/>
          <w:noProof/>
        </w:rPr>
        <w:t>dans les accords commerciaux déjà en vigueur</w:t>
      </w:r>
      <w:r>
        <w:rPr>
          <w:rStyle w:val="None"/>
          <w:noProof/>
        </w:rPr>
        <w:t>.</w:t>
      </w:r>
    </w:p>
    <w:p w14:paraId="6A684F9F" w14:textId="77777777" w:rsidR="00FB732B" w:rsidRPr="00011967" w:rsidRDefault="003C3FB9" w:rsidP="00614BAD">
      <w:pPr>
        <w:pStyle w:val="BodyA"/>
        <w:jc w:val="both"/>
        <w:rPr>
          <w:rStyle w:val="None"/>
          <w:rFonts w:ascii="Times New Roman" w:hAnsi="Times New Roman" w:cs="Times New Roman"/>
          <w:noProof/>
          <w:sz w:val="24"/>
          <w:szCs w:val="24"/>
        </w:rPr>
      </w:pPr>
      <w:r>
        <w:rPr>
          <w:rStyle w:val="None"/>
          <w:rFonts w:ascii="Times New Roman" w:hAnsi="Times New Roman"/>
          <w:noProof/>
          <w:sz w:val="24"/>
        </w:rPr>
        <w:t xml:space="preserve">À l’avenir, les résultats du réexamen des chapitres sur le commerce et le développement durable seront mentionnés dans toutes les </w:t>
      </w:r>
      <w:r>
        <w:rPr>
          <w:rStyle w:val="None"/>
          <w:rFonts w:ascii="Times New Roman" w:hAnsi="Times New Roman"/>
          <w:b/>
          <w:noProof/>
          <w:sz w:val="24"/>
        </w:rPr>
        <w:t>futures négociations</w:t>
      </w:r>
      <w:r>
        <w:rPr>
          <w:rStyle w:val="None"/>
          <w:rFonts w:ascii="Times New Roman" w:hAnsi="Times New Roman"/>
          <w:noProof/>
          <w:sz w:val="24"/>
        </w:rPr>
        <w:t xml:space="preserve"> et reflétés dans les </w:t>
      </w:r>
      <w:r>
        <w:rPr>
          <w:rStyle w:val="None"/>
          <w:rFonts w:ascii="Times New Roman" w:hAnsi="Times New Roman"/>
          <w:b/>
          <w:noProof/>
          <w:sz w:val="24"/>
        </w:rPr>
        <w:t>négociations en cours le cas échéant</w:t>
      </w:r>
      <w:r>
        <w:rPr>
          <w:rStyle w:val="None"/>
          <w:rFonts w:ascii="Times New Roman" w:hAnsi="Times New Roman"/>
          <w:noProof/>
          <w:sz w:val="24"/>
        </w:rPr>
        <w:t xml:space="preserve">. La Commission intégrera dûment les points d’action recensés à un stade précoce de ses activités de pré-négociation. </w:t>
      </w:r>
    </w:p>
    <w:p w14:paraId="777359F7" w14:textId="0F42F952" w:rsidR="002D312B" w:rsidRPr="00011967" w:rsidRDefault="00336C0A" w:rsidP="00EF4B8E">
      <w:pPr>
        <w:pStyle w:val="BodyA"/>
        <w:spacing w:after="120"/>
        <w:jc w:val="both"/>
        <w:rPr>
          <w:rFonts w:ascii="Times New Roman" w:hAnsi="Times New Roman" w:cs="Times New Roman"/>
          <w:noProof/>
          <w:sz w:val="24"/>
          <w:szCs w:val="24"/>
        </w:rPr>
      </w:pPr>
      <w:r>
        <w:rPr>
          <w:rStyle w:val="None"/>
          <w:rFonts w:ascii="Times New Roman" w:hAnsi="Times New Roman"/>
          <w:noProof/>
          <w:sz w:val="24"/>
        </w:rPr>
        <w:t>La Commission invite le Parlement européen et le Conseil à approuver l’approche exposée dans la présente communication et à œuvrer ensemble à la mise en œuvre des points d’action qu’elle contient.</w:t>
      </w:r>
    </w:p>
    <w:sectPr w:rsidR="002D312B" w:rsidRPr="00011967" w:rsidSect="00EF4B8E">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549AD" w14:textId="77777777" w:rsidR="00651AD0" w:rsidRDefault="00651AD0">
      <w:r>
        <w:separator/>
      </w:r>
    </w:p>
  </w:endnote>
  <w:endnote w:type="continuationSeparator" w:id="0">
    <w:p w14:paraId="1C7FE7D1" w14:textId="77777777" w:rsidR="00651AD0" w:rsidRDefault="00651AD0">
      <w:r>
        <w:continuationSeparator/>
      </w:r>
    </w:p>
  </w:endnote>
  <w:endnote w:type="continuationNotice" w:id="1">
    <w:p w14:paraId="2DBD83D4" w14:textId="77777777" w:rsidR="00651AD0" w:rsidRDefault="00651A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0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54272" w14:textId="77777777" w:rsidR="006C3072" w:rsidRPr="006C3072" w:rsidRDefault="006C3072" w:rsidP="006C3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12E01" w14:textId="6A9C0A90" w:rsidR="00626FE8" w:rsidRPr="006C3072" w:rsidRDefault="006C3072" w:rsidP="006C3072">
    <w:pPr>
      <w:pStyle w:val="FooterCoverPage"/>
      <w:rPr>
        <w:rFonts w:ascii="Arial" w:hAnsi="Arial" w:cs="Arial"/>
        <w:b/>
        <w:sz w:val="48"/>
      </w:rPr>
    </w:pPr>
    <w:r w:rsidRPr="006C3072">
      <w:rPr>
        <w:rFonts w:ascii="Arial" w:hAnsi="Arial" w:cs="Arial"/>
        <w:b/>
        <w:sz w:val="48"/>
      </w:rPr>
      <w:t>FR</w:t>
    </w:r>
    <w:r w:rsidRPr="006C3072">
      <w:rPr>
        <w:rFonts w:ascii="Arial" w:hAnsi="Arial" w:cs="Arial"/>
        <w:b/>
        <w:sz w:val="48"/>
      </w:rPr>
      <w:tab/>
    </w:r>
    <w:r w:rsidRPr="006C3072">
      <w:rPr>
        <w:rFonts w:ascii="Arial" w:hAnsi="Arial" w:cs="Arial"/>
        <w:b/>
        <w:sz w:val="48"/>
      </w:rPr>
      <w:tab/>
    </w:r>
    <w:r w:rsidRPr="006C3072">
      <w:tab/>
    </w:r>
    <w:r w:rsidRPr="006C307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00DD5" w14:textId="77777777" w:rsidR="006C3072" w:rsidRPr="006C3072" w:rsidRDefault="006C3072" w:rsidP="006C307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72B96" w14:textId="77777777" w:rsidR="007A44E6" w:rsidRDefault="007A44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567945713"/>
      <w:docPartObj>
        <w:docPartGallery w:val="Page Numbers (Bottom of Page)"/>
        <w:docPartUnique/>
      </w:docPartObj>
    </w:sdtPr>
    <w:sdtEndPr>
      <w:rPr>
        <w:noProof/>
      </w:rPr>
    </w:sdtEndPr>
    <w:sdtContent>
      <w:p w14:paraId="76AB1C4A" w14:textId="07FEA487" w:rsidR="007A44E6" w:rsidRPr="00E43B4B" w:rsidRDefault="007A44E6" w:rsidP="00E43B4B">
        <w:pPr>
          <w:pStyle w:val="Footer"/>
          <w:jc w:val="right"/>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6C3072">
          <w:rPr>
            <w:rFonts w:ascii="Times New Roman" w:hAnsi="Times New Roman" w:cs="Times New Roman"/>
            <w:noProof/>
            <w:sz w:val="20"/>
          </w:rPr>
          <w:t>1</w:t>
        </w:r>
        <w:r>
          <w:rPr>
            <w:rFonts w:ascii="Times New Roman" w:hAnsi="Times New Roman" w:cs="Times New Roman"/>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FDEFE" w14:textId="77777777" w:rsidR="007A44E6" w:rsidRDefault="007A4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26EAB" w14:textId="77777777" w:rsidR="00651AD0" w:rsidRDefault="00651AD0">
      <w:r>
        <w:separator/>
      </w:r>
    </w:p>
  </w:footnote>
  <w:footnote w:type="continuationSeparator" w:id="0">
    <w:p w14:paraId="38C74779" w14:textId="77777777" w:rsidR="00651AD0" w:rsidRDefault="00651AD0">
      <w:r>
        <w:continuationSeparator/>
      </w:r>
    </w:p>
  </w:footnote>
  <w:footnote w:type="continuationNotice" w:id="1">
    <w:p w14:paraId="38B072E4" w14:textId="77777777" w:rsidR="00651AD0" w:rsidRDefault="00651AD0"/>
  </w:footnote>
  <w:footnote w:id="2">
    <w:p w14:paraId="584A436B" w14:textId="4BD0CA86" w:rsidR="007A44E6" w:rsidRPr="00B82216" w:rsidRDefault="007A44E6" w:rsidP="006F536F">
      <w:pPr>
        <w:pStyle w:val="FootnoteText"/>
        <w:jc w:val="both"/>
        <w:rPr>
          <w:rFonts w:ascii="Times New Roman" w:hAnsi="Times New Roman" w:cs="Times New Roman"/>
        </w:rPr>
      </w:pPr>
      <w:r>
        <w:rPr>
          <w:rFonts w:ascii="Times New Roman" w:hAnsi="Times New Roman" w:cs="Times New Roman"/>
          <w:vertAlign w:val="superscript"/>
          <w:lang w:val="en-IE"/>
        </w:rPr>
        <w:footnoteRef/>
      </w:r>
      <w:r w:rsidRPr="00087316">
        <w:rPr>
          <w:rFonts w:ascii="Times New Roman" w:hAnsi="Times New Roman"/>
          <w:lang w:val="en-US"/>
        </w:rPr>
        <w:t xml:space="preserve">Document officieux des services de la Commission intitulé «Feedback and way forward on improving the implementation and enforcement of Trade and Sustainable Development chapters in EU Free Trade Agreements». </w:t>
      </w:r>
      <w:r>
        <w:rPr>
          <w:rFonts w:ascii="Times New Roman" w:hAnsi="Times New Roman"/>
        </w:rPr>
        <w:t>Le plan d’action en 15 points comprend des mesures qui visent à rendre plus efficace la mise en œuvre des chapitres CDD et à améliorer le respect de leur application, et ce selon quatre axes: i) travailler ensemble, ii) permettre à la société civile, y compris les partenaires sociaux, de jouer un rôle plus grand dans la mise en œuvre, iii) produire des résultats, et iv) veiller à la transparence et à la communication. Ce document est disponible à l’adresse suivante:</w:t>
      </w:r>
      <w:r>
        <w:t xml:space="preserve"> </w:t>
      </w:r>
      <w:hyperlink r:id="rId1" w:history="1">
        <w:r>
          <w:rPr>
            <w:rStyle w:val="Hyperlink"/>
            <w:rFonts w:ascii="Times New Roman" w:hAnsi="Times New Roman"/>
          </w:rPr>
          <w:t>https://trade.ec.europa.eu/doclib/docs/2018/february/tradoc_156618.pdf</w:t>
        </w:r>
      </w:hyperlink>
    </w:p>
  </w:footnote>
  <w:footnote w:id="3">
    <w:p w14:paraId="0D8CFB9E" w14:textId="109C6D82" w:rsidR="00205C7B" w:rsidRPr="00B82216" w:rsidRDefault="00205C7B">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COM(2019) 640, disponible à l’adresse suivante:</w:t>
      </w:r>
      <w:r>
        <w:t xml:space="preserve"> </w:t>
      </w:r>
      <w:hyperlink r:id="rId2" w:history="1">
        <w:r>
          <w:rPr>
            <w:rStyle w:val="Hyperlink"/>
            <w:rFonts w:ascii="Times New Roman" w:hAnsi="Times New Roman"/>
          </w:rPr>
          <w:t>https://eur-lex.europa.eu/resource.html?uri=cellar:b828d165-1c22-11ea-8c1f-01aa75ed71a1.0022.02/DOC_1&amp;format=PDF</w:t>
        </w:r>
      </w:hyperlink>
      <w:r>
        <w:rPr>
          <w:rFonts w:ascii="Times New Roman" w:hAnsi="Times New Roman"/>
        </w:rPr>
        <w:t xml:space="preserve"> </w:t>
      </w:r>
    </w:p>
  </w:footnote>
  <w:footnote w:id="4">
    <w:p w14:paraId="093E4BB5" w14:textId="1097D30C" w:rsidR="007A44E6" w:rsidRPr="00B82216" w:rsidRDefault="007A44E6" w:rsidP="002D29A1">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Voir la page suivante: </w:t>
      </w:r>
      <w:hyperlink r:id="rId3" w:history="1">
        <w:r>
          <w:rPr>
            <w:rStyle w:val="Hyperlink"/>
            <w:rFonts w:ascii="Times New Roman" w:hAnsi="Times New Roman"/>
          </w:rPr>
          <w:t>https://policy.trade.ec.europa.eu/development-and-sustainability/sustainable-development/sustainable-development-eu-trade-agreements_en</w:t>
        </w:r>
      </w:hyperlink>
      <w:r>
        <w:rPr>
          <w:rFonts w:ascii="Times New Roman" w:hAnsi="Times New Roman"/>
        </w:rPr>
        <w:t xml:space="preserve"> </w:t>
      </w:r>
    </w:p>
  </w:footnote>
  <w:footnote w:id="5">
    <w:p w14:paraId="6EE7A67A" w14:textId="6EDF53F2" w:rsidR="007A44E6" w:rsidRPr="00B82216" w:rsidRDefault="007A44E6" w:rsidP="006F536F">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Velut, J. </w:t>
      </w:r>
      <w:r>
        <w:rPr>
          <w:rStyle w:val="None"/>
          <w:rFonts w:ascii="Times New Roman" w:hAnsi="Times New Roman"/>
          <w:i/>
        </w:rPr>
        <w:t>et al.</w:t>
      </w:r>
      <w:r>
        <w:rPr>
          <w:rStyle w:val="None"/>
          <w:rFonts w:ascii="Times New Roman" w:hAnsi="Times New Roman"/>
        </w:rPr>
        <w:t>,</w:t>
      </w:r>
      <w:r>
        <w:rPr>
          <w:rStyle w:val="None"/>
          <w:rFonts w:ascii="Times New Roman" w:hAnsi="Times New Roman"/>
          <w:i/>
        </w:rPr>
        <w:t xml:space="preserve"> Comparative Analysis of Trade and Sustainable Development Provisions in Free Trade Agreements</w:t>
      </w:r>
      <w:r>
        <w:rPr>
          <w:rStyle w:val="None"/>
          <w:rFonts w:ascii="Times New Roman" w:hAnsi="Times New Roman"/>
        </w:rPr>
        <w:t xml:space="preserve">, LSE Consulting, Londres, 2022, disponible à l’adresse suivante: </w:t>
      </w:r>
      <w:hyperlink r:id="rId4" w:history="1">
        <w:r>
          <w:rPr>
            <w:rStyle w:val="Hyperlink"/>
            <w:rFonts w:ascii="Times New Roman" w:hAnsi="Times New Roman"/>
          </w:rPr>
          <w:t>https://trade.ec.europa.eu/doclib/docs/2022/february/tradoc_160043.pdf</w:t>
        </w:r>
      </w:hyperlink>
      <w:r>
        <w:rPr>
          <w:rStyle w:val="None"/>
          <w:rFonts w:ascii="Times New Roman" w:hAnsi="Times New Roman"/>
        </w:rPr>
        <w:t xml:space="preserve"> </w:t>
      </w:r>
    </w:p>
  </w:footnote>
  <w:footnote w:id="6">
    <w:p w14:paraId="769F46A8" w14:textId="7A8D0A57" w:rsidR="007A44E6" w:rsidRPr="00B82216" w:rsidRDefault="007A44E6" w:rsidP="00DB57FB">
      <w:pPr>
        <w:pStyle w:val="FootnoteText"/>
        <w:ind w:left="142" w:hanging="142"/>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Voir la page suivante: </w:t>
      </w:r>
      <w:hyperlink r:id="rId5" w:history="1">
        <w:r>
          <w:rPr>
            <w:rStyle w:val="Hyperlink"/>
            <w:rFonts w:ascii="Times New Roman" w:hAnsi="Times New Roman"/>
          </w:rPr>
          <w:t>https://policy.trade.ec.europa.eu/consultations/open-public-consultation-trade-and-sustainable-development-tsd-review_en</w:t>
        </w:r>
      </w:hyperlink>
      <w:r>
        <w:rPr>
          <w:rStyle w:val="None"/>
          <w:rFonts w:ascii="Times New Roman" w:hAnsi="Times New Roman"/>
        </w:rPr>
        <w:t xml:space="preserve"> </w:t>
      </w:r>
    </w:p>
  </w:footnote>
  <w:footnote w:id="7">
    <w:p w14:paraId="122FE6E6" w14:textId="3D1A91B0" w:rsidR="007A44E6" w:rsidRPr="00B82216" w:rsidRDefault="007A44E6" w:rsidP="006F536F">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Les exportations de l’UE soutiennent 38 millions d’emplois (deux tiers de plus qu’en 2000) et l’importance des échanges pour la prospérité des citoyens de l’UE augmentera encore à l’avenir: on prévoit que 86 % de la croissance mondiale sera générée hors de l’UE d’ici à 2026.</w:t>
      </w:r>
    </w:p>
  </w:footnote>
  <w:footnote w:id="8">
    <w:p w14:paraId="6B757B41" w14:textId="4EFB82B6"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w:t>
      </w:r>
      <w:r>
        <w:rPr>
          <w:rFonts w:ascii="Times New Roman" w:hAnsi="Times New Roman"/>
        </w:rPr>
        <w:t>COM(2021) 66, disponible à l’adresse suivante:</w:t>
      </w:r>
      <w:r>
        <w:t xml:space="preserve"> </w:t>
      </w:r>
      <w:hyperlink r:id="rId6" w:history="1">
        <w:r>
          <w:rPr>
            <w:rStyle w:val="Hyperlink"/>
            <w:rFonts w:ascii="Times New Roman" w:hAnsi="Times New Roman"/>
          </w:rPr>
          <w:t>https://eur-lex.europa.eu/legal-content/FR/TXT/HTML/?uri=CELEX:52021DC0066&amp;from=FR</w:t>
        </w:r>
      </w:hyperlink>
      <w:r>
        <w:rPr>
          <w:rFonts w:ascii="Times New Roman" w:hAnsi="Times New Roman"/>
        </w:rPr>
        <w:t xml:space="preserve"> </w:t>
      </w:r>
    </w:p>
  </w:footnote>
  <w:footnote w:id="9">
    <w:p w14:paraId="6EAD8628" w14:textId="77777777" w:rsidR="007A44E6" w:rsidRPr="00B82216" w:rsidRDefault="007A44E6" w:rsidP="0053053E">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COM(2022) 66, disponible à l’adresse suivante:</w:t>
      </w:r>
      <w:r>
        <w:t xml:space="preserve"> </w:t>
      </w:r>
      <w:hyperlink r:id="rId7" w:history="1">
        <w:r>
          <w:rPr>
            <w:rStyle w:val="Hyperlink"/>
            <w:rFonts w:ascii="Times New Roman" w:hAnsi="Times New Roman"/>
          </w:rPr>
          <w:t>https://ec.europa.eu/commission/presscorner/detail/fr/ip_22_1187</w:t>
        </w:r>
      </w:hyperlink>
      <w:r>
        <w:rPr>
          <w:rStyle w:val="None"/>
          <w:rFonts w:ascii="Times New Roman" w:hAnsi="Times New Roman"/>
        </w:rPr>
        <w:t xml:space="preserve"> </w:t>
      </w:r>
    </w:p>
  </w:footnote>
  <w:footnote w:id="10">
    <w:p w14:paraId="07E2D0BA" w14:textId="012148BB" w:rsidR="00166142" w:rsidRPr="00B82216" w:rsidRDefault="00166142" w:rsidP="00166142">
      <w:pPr>
        <w:pStyle w:val="FootnoteText"/>
        <w:jc w:val="both"/>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Notamment: la liberté d’association et la reconnaissance effective du droit de négociation collective; l’élimination de toute forme de travail forcé ou obligatoire; l’abolition effective du travail des enfants; et l’élimination de la discrimination en matière d’emploi et de profession. Le 10 juin 2022, l’OIT a modifié la déclaration de 1998 et ajouté un nouveau principe de sécurité et de santé au travail à la liste des principes fondamentaux.</w:t>
      </w:r>
    </w:p>
  </w:footnote>
  <w:footnote w:id="11">
    <w:p w14:paraId="2F066BBD" w14:textId="77777777" w:rsidR="007A44E6" w:rsidRPr="00B82216" w:rsidRDefault="007A44E6" w:rsidP="003A4708">
      <w:pPr>
        <w:pStyle w:val="FootnoteText"/>
        <w:rPr>
          <w:rFonts w:ascii="Times New Roman" w:hAnsi="Times New Roman" w:cs="Times New Roman"/>
        </w:rPr>
      </w:pPr>
      <w:r>
        <w:rPr>
          <w:rStyle w:val="None"/>
          <w:rFonts w:ascii="Times New Roman" w:hAnsi="Times New Roman" w:cs="Times New Roman"/>
          <w:vertAlign w:val="superscript"/>
          <w:lang w:val="en-IE"/>
          <w14:textOutline w14:w="12700" w14:cap="flat" w14:cmpd="sng" w14:algn="ctr">
            <w14:noFill/>
            <w14:prstDash w14:val="solid"/>
            <w14:miter w14:lim="100000"/>
          </w14:textOutline>
        </w:rPr>
        <w:footnoteRef/>
      </w:r>
      <w:r>
        <w:rPr>
          <w:rStyle w:val="None"/>
          <w:rFonts w:ascii="Times New Roman" w:hAnsi="Times New Roman"/>
        </w:rPr>
        <w:t xml:space="preserve"> Conformément aux instruments internationaux pertinents, tels que les principes directeurs des Nations unies relatifs aux entreprises et aux droits de l’homme, les principes directeurs de l’OCDE à l’intention des entreprises multinationales, la déclaration de principes tripartite sur les entreprises multinationales et la politique sociale de l’OIT et le pacte mondial des Nations unies.</w:t>
      </w:r>
    </w:p>
  </w:footnote>
  <w:footnote w:id="12">
    <w:p w14:paraId="15066AB8" w14:textId="03571EB2"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COM(2021) 564, disponible à l’adresse suivante:</w:t>
      </w:r>
      <w:r>
        <w:t xml:space="preserve"> </w:t>
      </w:r>
      <w:hyperlink r:id="rId8" w:history="1">
        <w:r>
          <w:rPr>
            <w:rStyle w:val="Hyperlink"/>
            <w:rFonts w:ascii="Times New Roman" w:hAnsi="Times New Roman"/>
          </w:rPr>
          <w:t>https://eur-lex.europa.eu/legal-content/fr/TXT/?uri=CELEX:52021PC0564</w:t>
        </w:r>
      </w:hyperlink>
      <w:r>
        <w:rPr>
          <w:rStyle w:val="None"/>
          <w:rFonts w:ascii="Times New Roman" w:hAnsi="Times New Roman"/>
        </w:rPr>
        <w:t xml:space="preserve"> </w:t>
      </w:r>
    </w:p>
  </w:footnote>
  <w:footnote w:id="13">
    <w:p w14:paraId="3238E34B" w14:textId="6B5B710C" w:rsidR="007A44E6" w:rsidRPr="00B82216" w:rsidRDefault="007A44E6" w:rsidP="000E0D7A">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w:t>
      </w:r>
      <w:r>
        <w:rPr>
          <w:rFonts w:ascii="Times New Roman" w:hAnsi="Times New Roman"/>
        </w:rPr>
        <w:t>COM(2021) 706, disponible à l’adresse suivante:</w:t>
      </w:r>
      <w:r>
        <w:t xml:space="preserve"> </w:t>
      </w:r>
      <w:hyperlink r:id="rId9" w:history="1">
        <w:r>
          <w:rPr>
            <w:rStyle w:val="Hyperlink"/>
            <w:rFonts w:ascii="Times New Roman" w:hAnsi="Times New Roman"/>
          </w:rPr>
          <w:t>https://eur-lex.europa.eu/legal-content/FR/TXT/?uri=CELEX%3A52021PC0706</w:t>
        </w:r>
      </w:hyperlink>
      <w:r>
        <w:rPr>
          <w:rFonts w:ascii="Times New Roman" w:hAnsi="Times New Roman"/>
        </w:rPr>
        <w:t xml:space="preserve"> </w:t>
      </w:r>
    </w:p>
  </w:footnote>
  <w:footnote w:id="14">
    <w:p w14:paraId="1A0860ED" w14:textId="03A8EFC9" w:rsidR="007A44E6" w:rsidRPr="00B82216" w:rsidRDefault="007A44E6" w:rsidP="00FC0930">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COM(2021) 390, disponible à l’adresse suivante:</w:t>
      </w:r>
      <w:r>
        <w:t xml:space="preserve"> </w:t>
      </w:r>
      <w:hyperlink r:id="rId10" w:history="1">
        <w:r>
          <w:rPr>
            <w:rStyle w:val="Hyperlink"/>
            <w:rFonts w:ascii="Times New Roman" w:hAnsi="Times New Roman"/>
          </w:rPr>
          <w:t>https://eur-lex.europa.eu/legal-content/FR/TXT/?uri=CELEX:52021DC0390</w:t>
        </w:r>
      </w:hyperlink>
      <w:r>
        <w:rPr>
          <w:rFonts w:ascii="Times New Roman" w:hAnsi="Times New Roman"/>
        </w:rPr>
        <w:t xml:space="preserve"> </w:t>
      </w:r>
    </w:p>
  </w:footnote>
  <w:footnote w:id="15">
    <w:p w14:paraId="4B7494E7" w14:textId="0E1ABFD0"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COM(2022) 71, disponible à l’adresse suivante:</w:t>
      </w:r>
      <w:r>
        <w:t xml:space="preserve"> </w:t>
      </w:r>
      <w:hyperlink r:id="rId11" w:history="1">
        <w:r>
          <w:rPr>
            <w:rStyle w:val="Hyperlink"/>
            <w:rFonts w:ascii="Times New Roman" w:hAnsi="Times New Roman"/>
          </w:rPr>
          <w:t>https://eur-lex.europa.eu/legal-content/FR/TXT/?uri=CELEX%3A52022PC0071</w:t>
        </w:r>
      </w:hyperlink>
      <w:r>
        <w:rPr>
          <w:rStyle w:val="None"/>
          <w:rFonts w:ascii="Times New Roman" w:hAnsi="Times New Roman"/>
        </w:rPr>
        <w:t xml:space="preserve"> </w:t>
      </w:r>
    </w:p>
  </w:footnote>
  <w:footnote w:id="16">
    <w:p w14:paraId="11BABA8C" w14:textId="19FA4C87" w:rsidR="007A44E6" w:rsidRPr="00B82216" w:rsidRDefault="007A44E6" w:rsidP="00924538">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w:t>
      </w:r>
      <w:r>
        <w:rPr>
          <w:rFonts w:ascii="Times New Roman" w:hAnsi="Times New Roman"/>
          <w:color w:val="333333"/>
          <w:shd w:val="clear" w:color="auto" w:fill="FFFFFF"/>
        </w:rPr>
        <w:t>COM(2022) 142, disponible à l’adresse suivante: https://eur-lex.europa.eu/legal-content/FR/TXT/?uri=CELEX%3A52022PC0071</w:t>
      </w:r>
    </w:p>
  </w:footnote>
  <w:footnote w:id="17">
    <w:p w14:paraId="528147E5" w14:textId="78DEB976"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Fonts w:ascii="Times New Roman" w:hAnsi="Times New Roman"/>
        </w:rPr>
        <w:t xml:space="preserve">Voir </w:t>
      </w:r>
      <w:r>
        <w:rPr>
          <w:rFonts w:ascii="Times New Roman" w:hAnsi="Times New Roman"/>
          <w:i/>
        </w:rPr>
        <w:t>supra</w:t>
      </w:r>
      <w:r>
        <w:rPr>
          <w:rFonts w:ascii="Times New Roman" w:hAnsi="Times New Roman"/>
        </w:rPr>
        <w:t>, note de bas de page 8</w:t>
      </w:r>
      <w:r>
        <w:t>.</w:t>
      </w:r>
    </w:p>
  </w:footnote>
  <w:footnote w:id="18">
    <w:p w14:paraId="44AFFE33" w14:textId="015A68B4" w:rsidR="007A44E6" w:rsidRPr="00B82216" w:rsidRDefault="007A44E6" w:rsidP="00FC0930">
      <w:pPr>
        <w:pStyle w:val="FootnoteText"/>
        <w:rPr>
          <w:rFonts w:ascii="Times New Roman" w:hAnsi="Times New Roman" w:cs="Times New Roman"/>
        </w:rPr>
      </w:pPr>
      <w:r>
        <w:rPr>
          <w:rStyle w:val="None"/>
          <w:rFonts w:ascii="Times New Roman" w:eastAsia="Times New Roman" w:hAnsi="Times New Roman" w:cs="Times New Roman"/>
          <w:vertAlign w:val="superscript"/>
          <w:lang w:val="en-IE"/>
        </w:rPr>
        <w:footnoteRef/>
      </w:r>
      <w:r>
        <w:rPr>
          <w:rStyle w:val="None"/>
          <w:rFonts w:ascii="Times New Roman" w:hAnsi="Times New Roman"/>
        </w:rPr>
        <w:t xml:space="preserve"> COM(2021) 579, disponible à l’adresse suivante:</w:t>
      </w:r>
      <w:r>
        <w:t xml:space="preserve"> </w:t>
      </w:r>
      <w:hyperlink r:id="rId12" w:history="1">
        <w:r>
          <w:rPr>
            <w:rStyle w:val="Hyperlink"/>
            <w:rFonts w:ascii="Times New Roman" w:hAnsi="Times New Roman"/>
          </w:rPr>
          <w:t>https://eur-lex.europa.eu/legal-content/FR/TXT/HTML/?uri=CELEX:52021PC0579&amp;qid=1655368426412&amp;from=FR</w:t>
        </w:r>
      </w:hyperlink>
      <w:r>
        <w:rPr>
          <w:rStyle w:val="None"/>
          <w:rFonts w:ascii="Times New Roman" w:hAnsi="Times New Roman"/>
        </w:rPr>
        <w:t xml:space="preserve"> </w:t>
      </w:r>
    </w:p>
  </w:footnote>
  <w:footnote w:id="19">
    <w:p w14:paraId="2EB7B47C" w14:textId="0F3963AF"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Voir la page suivante: </w:t>
      </w:r>
      <w:hyperlink r:id="rId13" w:history="1">
        <w:r>
          <w:rPr>
            <w:rStyle w:val="Hyperlink"/>
            <w:rFonts w:ascii="Times New Roman" w:hAnsi="Times New Roman"/>
          </w:rPr>
          <w:t>https://ec.europa.eu/commission/presscorner/detail/fr/IP_21_6882</w:t>
        </w:r>
      </w:hyperlink>
      <w:r>
        <w:rPr>
          <w:rStyle w:val="None"/>
          <w:rFonts w:ascii="Times New Roman" w:hAnsi="Times New Roman"/>
        </w:rPr>
        <w:t xml:space="preserve"> </w:t>
      </w:r>
    </w:p>
  </w:footnote>
  <w:footnote w:id="20">
    <w:p w14:paraId="4DADB519" w14:textId="211F1A5D" w:rsidR="009024E5" w:rsidRPr="00B82216" w:rsidRDefault="009024E5">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Voir la page suivante: https://ec.europa.eu/commission/presscorner/detail/fr/IP_22_3792</w:t>
      </w:r>
    </w:p>
  </w:footnote>
  <w:footnote w:id="21">
    <w:p w14:paraId="5893B73C" w14:textId="067810FE"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Voir la page suivante: </w:t>
      </w:r>
      <w:hyperlink r:id="rId14" w:history="1">
        <w:r>
          <w:rPr>
            <w:rStyle w:val="Hyperlink"/>
            <w:rFonts w:ascii="Times New Roman" w:hAnsi="Times New Roman"/>
          </w:rPr>
          <w:t>https://ec.europa.eu/commission/commissioners/2019-2024/dombrovskis/announcements/speech-executive-vice-president-valdis-dombrovskis-trade-climate-cop26_en</w:t>
        </w:r>
      </w:hyperlink>
      <w:r>
        <w:rPr>
          <w:rStyle w:val="None"/>
          <w:rFonts w:ascii="Times New Roman" w:hAnsi="Times New Roman"/>
        </w:rPr>
        <w:t xml:space="preserve"> </w:t>
      </w:r>
    </w:p>
  </w:footnote>
  <w:footnote w:id="22">
    <w:p w14:paraId="35E96FDC" w14:textId="7B3D86CE"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w:t>
      </w:r>
      <w:r>
        <w:rPr>
          <w:rFonts w:ascii="Times New Roman" w:hAnsi="Times New Roman"/>
          <w:color w:val="auto"/>
        </w:rPr>
        <w:t xml:space="preserve">Voir la page suivante: </w:t>
      </w:r>
      <w:hyperlink r:id="rId15" w:history="1">
        <w:r>
          <w:rPr>
            <w:rStyle w:val="Hyperlink"/>
            <w:rFonts w:ascii="Times New Roman" w:hAnsi="Times New Roman"/>
          </w:rPr>
          <w:t>https://policy.trade.ec.europa.eu/news/ban-export-credits-coal-fired-electricity-projects-agreed-oecd-2021-10-22_en</w:t>
        </w:r>
      </w:hyperlink>
      <w:r>
        <w:rPr>
          <w:rFonts w:ascii="Times New Roman" w:hAnsi="Times New Roman"/>
          <w:color w:val="auto"/>
        </w:rPr>
        <w:t xml:space="preserve"> </w:t>
      </w:r>
    </w:p>
  </w:footnote>
  <w:footnote w:id="23">
    <w:p w14:paraId="7F8C9D56" w14:textId="6DF98C05" w:rsidR="0061509F" w:rsidRPr="00B82216" w:rsidRDefault="0061509F">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Le suivi et l’application des chapitres CDD dans les accords commerciaux, y compris la possibilité de recourir à un mécanisme fondé sur des sanctions en guise de dernier recours, figurent également parmi les 49 propositions incluses dans le rapport final de la conférence sur l’avenir de l’Europe. Voir le document intitulé «Conference on the Future of Europe — Report on the Final Outcome», mai 2022, proposition nº 19, paragraphe 4, p. 63.</w:t>
      </w:r>
    </w:p>
  </w:footnote>
  <w:footnote w:id="24">
    <w:p w14:paraId="13D27FD3" w14:textId="163F0501" w:rsidR="006C23D5" w:rsidRPr="00B82216" w:rsidRDefault="006C23D5">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COM(2020) 380, disponible à l’adresse suivante: https://eur-lex.europa.eu/legal-content/FR/TXT/HTML/?uri=CELEX:52020DC0380&amp;from=FR</w:t>
      </w:r>
    </w:p>
  </w:footnote>
  <w:footnote w:id="25">
    <w:p w14:paraId="22E1E9D0" w14:textId="5EBDF300" w:rsidR="007A44E6" w:rsidRPr="00B82216" w:rsidRDefault="007A44E6" w:rsidP="00FC0930">
      <w:pPr>
        <w:pStyle w:val="FootnoteText"/>
        <w:rPr>
          <w:rFonts w:ascii="Times New Roman" w:hAnsi="Times New Roman" w:cs="Times New Roman"/>
        </w:rPr>
      </w:pPr>
      <w:r>
        <w:rPr>
          <w:rStyle w:val="None"/>
          <w:rFonts w:ascii="Times New Roman" w:eastAsia="Times New Roman" w:hAnsi="Times New Roman" w:cs="Times New Roman"/>
          <w:vertAlign w:val="superscript"/>
          <w:lang w:val="en-IE"/>
        </w:rPr>
        <w:footnoteRef/>
      </w:r>
      <w:r>
        <w:rPr>
          <w:rStyle w:val="None"/>
          <w:rFonts w:ascii="Times New Roman" w:hAnsi="Times New Roman"/>
        </w:rPr>
        <w:t xml:space="preserve"> Les groupes consultatifs internes sont des organismes établis au titre des accords commerciaux et composés de représentants indépendants de groupes de la société civile, y compris des organisations non gouvernementales, des entreprises et des syndicats, de manière à représenter équitablement les différents intérêts en matière notamment d’économie, de société, de droits de l’homme et d’environnement. Les GCI suivent la mise en œuvre des engagements en matière de développement durable figurant dans les accords commerciaux et fournissent des conseils et des avis aux parties contractantes respectives.</w:t>
      </w:r>
    </w:p>
  </w:footnote>
  <w:footnote w:id="26">
    <w:p w14:paraId="72E65FDC" w14:textId="7955571C"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Voir la page suivante: </w:t>
      </w:r>
      <w:hyperlink r:id="rId16" w:history="1">
        <w:r>
          <w:rPr>
            <w:rStyle w:val="Hyperlink"/>
            <w:rFonts w:ascii="Times New Roman" w:hAnsi="Times New Roman"/>
          </w:rPr>
          <w:t>https://policy.trade.ec.europa.eu/enforcement-and-protection/chief-trade-enforcement-officer_fr</w:t>
        </w:r>
      </w:hyperlink>
      <w:r>
        <w:rPr>
          <w:rStyle w:val="None"/>
          <w:rFonts w:ascii="Times New Roman" w:hAnsi="Times New Roman"/>
        </w:rPr>
        <w:t xml:space="preserve"> </w:t>
      </w:r>
    </w:p>
  </w:footnote>
  <w:footnote w:id="27">
    <w:p w14:paraId="0AF874AF" w14:textId="3FDC829F" w:rsidR="007A44E6" w:rsidRPr="00B82216" w:rsidRDefault="007A44E6" w:rsidP="00FC0930">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Voir la page suivante: </w:t>
      </w:r>
      <w:hyperlink r:id="rId17" w:history="1">
        <w:r>
          <w:rPr>
            <w:rStyle w:val="Hyperlink"/>
            <w:rFonts w:ascii="Times New Roman" w:hAnsi="Times New Roman"/>
          </w:rPr>
          <w:t>https://trade.ec.europa.eu/doclib/docs/2021/november/tradoc_159907.pdf</w:t>
        </w:r>
      </w:hyperlink>
      <w:r>
        <w:rPr>
          <w:rStyle w:val="None"/>
          <w:rFonts w:ascii="Times New Roman" w:hAnsi="Times New Roman"/>
        </w:rPr>
        <w:t xml:space="preserve"> </w:t>
      </w:r>
    </w:p>
  </w:footnote>
  <w:footnote w:id="28">
    <w:p w14:paraId="78A1177E" w14:textId="44947763" w:rsidR="007A44E6" w:rsidRPr="00B82216" w:rsidRDefault="007A44E6" w:rsidP="00DB57FB">
      <w:pPr>
        <w:pStyle w:val="FootnoteText"/>
        <w:rPr>
          <w:rFonts w:ascii="Times New Roman" w:hAnsi="Times New Roman" w:cs="Times New Roman"/>
        </w:rPr>
      </w:pPr>
      <w:r>
        <w:rPr>
          <w:rStyle w:val="None"/>
          <w:rFonts w:ascii="Times New Roman" w:hAnsi="Times New Roman" w:cs="Times New Roman"/>
          <w:vertAlign w:val="superscript"/>
          <w:lang w:val="en-IE"/>
        </w:rPr>
        <w:footnoteRef/>
      </w:r>
      <w:r>
        <w:rPr>
          <w:rStyle w:val="None"/>
          <w:rFonts w:ascii="Times New Roman" w:hAnsi="Times New Roman"/>
        </w:rPr>
        <w:t xml:space="preserve"> «Operating guidelines for the Single Entry Point and complaints mechanism for the enforcement of EU trade agreements and arrangements» (Lignes directrices opérationnelles relatives au guichet unique et le mécanisme de plainte pour le respect des accords et arrangements commerciaux de l’Union européenne), document disponible à l’adresse suivante:</w:t>
      </w:r>
      <w:r>
        <w:rPr>
          <w:rFonts w:ascii="Times New Roman" w:hAnsi="Times New Roman"/>
        </w:rPr>
        <w:t xml:space="preserve"> </w:t>
      </w:r>
      <w:hyperlink r:id="rId18" w:history="1">
        <w:r>
          <w:rPr>
            <w:rStyle w:val="Hyperlink"/>
            <w:rFonts w:ascii="Times New Roman" w:hAnsi="Times New Roman"/>
          </w:rPr>
          <w:t>https://trade.ec.europa.eu/access-to-markets/en/form-assets/operational_guidelines.pdf</w:t>
        </w:r>
      </w:hyperlink>
      <w:r>
        <w:rPr>
          <w:rStyle w:val="None"/>
          <w:rFonts w:ascii="Times New Roman" w:hAnsi="Times New Roman"/>
        </w:rPr>
        <w:t xml:space="preserve"> </w:t>
      </w:r>
    </w:p>
  </w:footnote>
  <w:footnote w:id="29">
    <w:p w14:paraId="73979506" w14:textId="1A26477E" w:rsidR="007A44E6" w:rsidRPr="00B82216" w:rsidRDefault="007A44E6">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Le règlement des différends en matière de commerce et de développement durable suit la procédure du mécanisme d’application des dispositions entre États, applicable aux autres parties de l’accord commercial, avec quelques ajustements (tels qu’une exigence d’expertise en matière de commerce, de travail et d’environnement pour les membres du groupe d’experts), mais sans qu’il soit possible d’avoir recours à des sanctions en cas de non-respect du rapport élaboré par le groupe. </w:t>
      </w:r>
    </w:p>
  </w:footnote>
  <w:footnote w:id="30">
    <w:p w14:paraId="330DA13C" w14:textId="53FF358B" w:rsidR="007A44E6" w:rsidRPr="00B82216" w:rsidRDefault="007A44E6" w:rsidP="00FC0930">
      <w:pPr>
        <w:pStyle w:val="FootnoteText"/>
        <w:rPr>
          <w:rFonts w:ascii="Times New Roman" w:hAnsi="Times New Roman" w:cs="Times New Roman"/>
        </w:rPr>
      </w:pPr>
      <w:r>
        <w:rPr>
          <w:rStyle w:val="FootnoteReference"/>
          <w:rFonts w:ascii="Times New Roman" w:hAnsi="Times New Roman" w:cs="Times New Roman"/>
          <w:lang w:val="en-IE"/>
        </w:rPr>
        <w:footnoteRef/>
      </w:r>
      <w:r>
        <w:rPr>
          <w:rFonts w:ascii="Times New Roman" w:hAnsi="Times New Roman"/>
        </w:rPr>
        <w:t xml:space="preserve"> Par exemple, en présentant des mémoires d’</w:t>
      </w:r>
      <w:r>
        <w:rPr>
          <w:rFonts w:ascii="Times New Roman" w:hAnsi="Times New Roman"/>
          <w:i/>
        </w:rPr>
        <w:t>amicus curiae</w:t>
      </w:r>
      <w:r>
        <w:rPr>
          <w:rFonts w:ascii="Times New Roman" w:hAnsi="Times New Roman"/>
        </w:rPr>
        <w:t xml:space="preserve"> ou en assistant aux auditions publiques.</w:t>
      </w:r>
    </w:p>
  </w:footnote>
  <w:footnote w:id="31">
    <w:p w14:paraId="35968490" w14:textId="319FE94E" w:rsidR="005D4F8F" w:rsidRPr="00B82216" w:rsidRDefault="005D4F8F" w:rsidP="007E0A7D">
      <w:pPr>
        <w:pStyle w:val="FootnoteText"/>
        <w:jc w:val="both"/>
        <w:rPr>
          <w:rFonts w:ascii="Times New Roman" w:hAnsi="Times New Roman" w:cs="Times New Roman"/>
        </w:rPr>
      </w:pPr>
      <w:r>
        <w:rPr>
          <w:rStyle w:val="FootnoteReference"/>
          <w:rFonts w:ascii="Times New Roman" w:hAnsi="Times New Roman" w:cs="Times New Roman"/>
          <w:lang w:val="en-IE"/>
        </w:rPr>
        <w:footnoteRef/>
      </w:r>
      <w:r>
        <w:t xml:space="preserve"> </w:t>
      </w:r>
      <w:r>
        <w:rPr>
          <w:rFonts w:ascii="Times New Roman" w:hAnsi="Times New Roman"/>
        </w:rPr>
        <w:t>En se fondant sur la mise au point du futur et solide cadre mondial de la biodiversité, notamment en ce qui concerne l’élaboration d’objectifs de biodiversité et la mise en place d’un mécanisme approprié pour l’établissement de rapport et le suivi internationaux, la Commission évaluera la possibilité d’inclure la convention sur la diversité biologique dans cette nouvelle approche.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88A5E" w14:textId="77777777" w:rsidR="006C3072" w:rsidRPr="006C3072" w:rsidRDefault="006C3072" w:rsidP="006C3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AB9E9" w14:textId="77777777" w:rsidR="006C3072" w:rsidRPr="006C3072" w:rsidRDefault="006C3072" w:rsidP="006C307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CCA8" w14:textId="77777777" w:rsidR="006C3072" w:rsidRPr="006C3072" w:rsidRDefault="006C3072" w:rsidP="006C307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D1010" w14:textId="77777777" w:rsidR="007A44E6" w:rsidRDefault="007A44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DA987" w14:textId="77777777" w:rsidR="007A44E6" w:rsidRDefault="007A44E6">
    <w:pPr>
      <w:pStyle w:val="Header"/>
      <w:tabs>
        <w:tab w:val="clear" w:pos="9026"/>
        <w:tab w:val="right" w:pos="9000"/>
      </w:tabs>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3E919" w14:textId="77777777" w:rsidR="007A44E6" w:rsidRDefault="007A4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501B2"/>
    <w:multiLevelType w:val="hybridMultilevel"/>
    <w:tmpl w:val="6D585C80"/>
    <w:lvl w:ilvl="0" w:tplc="1809001B">
      <w:start w:val="1"/>
      <w:numFmt w:val="lowerRoman"/>
      <w:lvlText w:val="%1."/>
      <w:lvlJc w:val="right"/>
      <w:pPr>
        <w:ind w:left="1179" w:hanging="360"/>
      </w:pPr>
      <w:rPr>
        <w:rFonts w:hint="default"/>
      </w:rPr>
    </w:lvl>
    <w:lvl w:ilvl="1" w:tplc="18090003" w:tentative="1">
      <w:start w:val="1"/>
      <w:numFmt w:val="bullet"/>
      <w:lvlText w:val="o"/>
      <w:lvlJc w:val="left"/>
      <w:pPr>
        <w:ind w:left="1899" w:hanging="360"/>
      </w:pPr>
      <w:rPr>
        <w:rFonts w:ascii="Courier New" w:hAnsi="Courier New" w:cs="Courier New" w:hint="default"/>
      </w:rPr>
    </w:lvl>
    <w:lvl w:ilvl="2" w:tplc="18090005" w:tentative="1">
      <w:start w:val="1"/>
      <w:numFmt w:val="bullet"/>
      <w:lvlText w:val=""/>
      <w:lvlJc w:val="left"/>
      <w:pPr>
        <w:ind w:left="2619" w:hanging="360"/>
      </w:pPr>
      <w:rPr>
        <w:rFonts w:ascii="Wingdings" w:hAnsi="Wingdings" w:hint="default"/>
      </w:rPr>
    </w:lvl>
    <w:lvl w:ilvl="3" w:tplc="18090001" w:tentative="1">
      <w:start w:val="1"/>
      <w:numFmt w:val="bullet"/>
      <w:lvlText w:val=""/>
      <w:lvlJc w:val="left"/>
      <w:pPr>
        <w:ind w:left="3339" w:hanging="360"/>
      </w:pPr>
      <w:rPr>
        <w:rFonts w:ascii="Symbol" w:hAnsi="Symbol" w:hint="default"/>
      </w:rPr>
    </w:lvl>
    <w:lvl w:ilvl="4" w:tplc="18090003" w:tentative="1">
      <w:start w:val="1"/>
      <w:numFmt w:val="bullet"/>
      <w:lvlText w:val="o"/>
      <w:lvlJc w:val="left"/>
      <w:pPr>
        <w:ind w:left="4059" w:hanging="360"/>
      </w:pPr>
      <w:rPr>
        <w:rFonts w:ascii="Courier New" w:hAnsi="Courier New" w:cs="Courier New" w:hint="default"/>
      </w:rPr>
    </w:lvl>
    <w:lvl w:ilvl="5" w:tplc="18090005" w:tentative="1">
      <w:start w:val="1"/>
      <w:numFmt w:val="bullet"/>
      <w:lvlText w:val=""/>
      <w:lvlJc w:val="left"/>
      <w:pPr>
        <w:ind w:left="4779" w:hanging="360"/>
      </w:pPr>
      <w:rPr>
        <w:rFonts w:ascii="Wingdings" w:hAnsi="Wingdings" w:hint="default"/>
      </w:rPr>
    </w:lvl>
    <w:lvl w:ilvl="6" w:tplc="18090001" w:tentative="1">
      <w:start w:val="1"/>
      <w:numFmt w:val="bullet"/>
      <w:lvlText w:val=""/>
      <w:lvlJc w:val="left"/>
      <w:pPr>
        <w:ind w:left="5499" w:hanging="360"/>
      </w:pPr>
      <w:rPr>
        <w:rFonts w:ascii="Symbol" w:hAnsi="Symbol" w:hint="default"/>
      </w:rPr>
    </w:lvl>
    <w:lvl w:ilvl="7" w:tplc="18090003" w:tentative="1">
      <w:start w:val="1"/>
      <w:numFmt w:val="bullet"/>
      <w:lvlText w:val="o"/>
      <w:lvlJc w:val="left"/>
      <w:pPr>
        <w:ind w:left="6219" w:hanging="360"/>
      </w:pPr>
      <w:rPr>
        <w:rFonts w:ascii="Courier New" w:hAnsi="Courier New" w:cs="Courier New" w:hint="default"/>
      </w:rPr>
    </w:lvl>
    <w:lvl w:ilvl="8" w:tplc="18090005" w:tentative="1">
      <w:start w:val="1"/>
      <w:numFmt w:val="bullet"/>
      <w:lvlText w:val=""/>
      <w:lvlJc w:val="left"/>
      <w:pPr>
        <w:ind w:left="6939" w:hanging="360"/>
      </w:pPr>
      <w:rPr>
        <w:rFonts w:ascii="Wingdings" w:hAnsi="Wingdings" w:hint="default"/>
      </w:rPr>
    </w:lvl>
  </w:abstractNum>
  <w:abstractNum w:abstractNumId="1" w15:restartNumberingAfterBreak="0">
    <w:nsid w:val="08D62B8D"/>
    <w:multiLevelType w:val="multilevel"/>
    <w:tmpl w:val="F800AD5A"/>
    <w:styleLink w:val="ImportedStyle1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851" w:hanging="50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11" w:hanging="86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211" w:hanging="86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571" w:hanging="122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571" w:hanging="122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931" w:hanging="158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931" w:hanging="158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291" w:hanging="19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E013C4"/>
    <w:multiLevelType w:val="hybridMultilevel"/>
    <w:tmpl w:val="D27693D0"/>
    <w:lvl w:ilvl="0" w:tplc="F7984138">
      <w:start w:val="1"/>
      <w:numFmt w:val="decimal"/>
      <w:lvlText w:val="%1."/>
      <w:lvlJc w:val="left"/>
      <w:pPr>
        <w:ind w:left="45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292BF08">
      <w:start w:val="1"/>
      <w:numFmt w:val="lowerLetter"/>
      <w:lvlText w:val="%2."/>
      <w:lvlJc w:val="left"/>
      <w:pPr>
        <w:ind w:left="117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6800AA">
      <w:start w:val="1"/>
      <w:numFmt w:val="lowerRoman"/>
      <w:lvlText w:val="%3."/>
      <w:lvlJc w:val="left"/>
      <w:pPr>
        <w:ind w:left="189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740E32">
      <w:start w:val="1"/>
      <w:numFmt w:val="decimal"/>
      <w:lvlText w:val="%4."/>
      <w:lvlJc w:val="left"/>
      <w:pPr>
        <w:ind w:left="261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602B840">
      <w:start w:val="1"/>
      <w:numFmt w:val="lowerLetter"/>
      <w:lvlText w:val="%5."/>
      <w:lvlJc w:val="left"/>
      <w:pPr>
        <w:ind w:left="333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9141546">
      <w:start w:val="1"/>
      <w:numFmt w:val="lowerRoman"/>
      <w:lvlText w:val="%6."/>
      <w:lvlJc w:val="left"/>
      <w:pPr>
        <w:ind w:left="405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B76D5B8">
      <w:start w:val="1"/>
      <w:numFmt w:val="decimal"/>
      <w:lvlText w:val="%7."/>
      <w:lvlJc w:val="left"/>
      <w:pPr>
        <w:ind w:left="477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CDCA3F2">
      <w:start w:val="1"/>
      <w:numFmt w:val="lowerLetter"/>
      <w:lvlText w:val="%8."/>
      <w:lvlJc w:val="left"/>
      <w:pPr>
        <w:ind w:left="549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37A6E74">
      <w:start w:val="1"/>
      <w:numFmt w:val="lowerRoman"/>
      <w:lvlText w:val="%9."/>
      <w:lvlJc w:val="left"/>
      <w:pPr>
        <w:ind w:left="621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EE47575"/>
    <w:multiLevelType w:val="hybridMultilevel"/>
    <w:tmpl w:val="9D04149E"/>
    <w:lvl w:ilvl="0" w:tplc="79C27BBE">
      <w:start w:val="1"/>
      <w:numFmt w:val="lowerLetter"/>
      <w:lvlText w:val="%1."/>
      <w:lvlJc w:val="left"/>
      <w:pPr>
        <w:ind w:left="39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84708E">
      <w:start w:val="1"/>
      <w:numFmt w:val="lowerLetter"/>
      <w:lvlText w:val="%2."/>
      <w:lvlJc w:val="left"/>
      <w:pPr>
        <w:ind w:left="11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8C42B72">
      <w:start w:val="1"/>
      <w:numFmt w:val="lowerLetter"/>
      <w:lvlText w:val="%3."/>
      <w:lvlJc w:val="left"/>
      <w:pPr>
        <w:ind w:left="183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47077D4">
      <w:start w:val="1"/>
      <w:numFmt w:val="decimal"/>
      <w:lvlText w:val="%4."/>
      <w:lvlJc w:val="left"/>
      <w:pPr>
        <w:ind w:left="459"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8ACA0ADE">
      <w:start w:val="1"/>
      <w:numFmt w:val="lowerLetter"/>
      <w:lvlText w:val="%5."/>
      <w:lvlJc w:val="left"/>
      <w:pPr>
        <w:ind w:left="933"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64DCAE88">
      <w:start w:val="1"/>
      <w:numFmt w:val="decimal"/>
      <w:lvlText w:val="%6."/>
      <w:lvlJc w:val="left"/>
      <w:pPr>
        <w:ind w:left="967"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44667B7E">
      <w:start w:val="1"/>
      <w:numFmt w:val="decimal"/>
      <w:lvlText w:val="%7."/>
      <w:lvlJc w:val="left"/>
      <w:pPr>
        <w:ind w:left="1001"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3356E7DC">
      <w:start w:val="1"/>
      <w:numFmt w:val="decimal"/>
      <w:lvlText w:val="%8."/>
      <w:lvlJc w:val="left"/>
      <w:pPr>
        <w:ind w:left="1035"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835A936C">
      <w:start w:val="1"/>
      <w:numFmt w:val="decimal"/>
      <w:lvlText w:val="%9."/>
      <w:lvlJc w:val="left"/>
      <w:pPr>
        <w:ind w:left="1069"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9126AD0"/>
    <w:multiLevelType w:val="hybridMultilevel"/>
    <w:tmpl w:val="06380C68"/>
    <w:styleLink w:val="ImportedStyle3"/>
    <w:lvl w:ilvl="0" w:tplc="526A2D3C">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DFC66FA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23EF6A0">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09C691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09A057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6941AF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CF601A1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F7085C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6B4209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B15271E"/>
    <w:multiLevelType w:val="hybridMultilevel"/>
    <w:tmpl w:val="3EC6AF52"/>
    <w:lvl w:ilvl="0" w:tplc="5894A5BC">
      <w:start w:val="1"/>
      <w:numFmt w:val="decimal"/>
      <w:lvlText w:val="%1."/>
      <w:lvlJc w:val="left"/>
      <w:pPr>
        <w:ind w:left="360" w:hanging="360"/>
      </w:pPr>
      <w:rPr>
        <w:rFonts w:hAnsi="Arial Unicode MS"/>
        <w:b w:val="0"/>
        <w:caps w:val="0"/>
        <w:smallCaps w:val="0"/>
        <w:strike w:val="0"/>
        <w:dstrike w:val="0"/>
        <w:outline w:val="0"/>
        <w:emboss w:val="0"/>
        <w:imprint w:val="0"/>
        <w:spacing w:val="0"/>
        <w:w w:val="100"/>
        <w:kern w:val="0"/>
        <w:position w:val="0"/>
        <w:highlight w:val="none"/>
        <w:vertAlign w:val="baseline"/>
      </w:rPr>
    </w:lvl>
    <w:lvl w:ilvl="1" w:tplc="41B4227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2E88E4">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ECA88C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CCEBD9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ABA495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F6EC59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9229136">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061FA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93396C"/>
    <w:multiLevelType w:val="hybridMultilevel"/>
    <w:tmpl w:val="4A52C128"/>
    <w:lvl w:ilvl="0" w:tplc="1514081A">
      <w:start w:val="1"/>
      <w:numFmt w:val="decimal"/>
      <w:lvlText w:val="%1."/>
      <w:lvlJc w:val="left"/>
      <w:pPr>
        <w:ind w:left="4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156638E">
      <w:start w:val="1"/>
      <w:numFmt w:val="lowerLetter"/>
      <w:lvlText w:val="%2."/>
      <w:lvlJc w:val="left"/>
      <w:pPr>
        <w:ind w:left="11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3C28506">
      <w:start w:val="1"/>
      <w:numFmt w:val="lowerRoman"/>
      <w:lvlText w:val="%3."/>
      <w:lvlJc w:val="left"/>
      <w:pPr>
        <w:ind w:left="188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B2D9E4">
      <w:start w:val="1"/>
      <w:numFmt w:val="decimal"/>
      <w:lvlText w:val="%4."/>
      <w:lvlJc w:val="left"/>
      <w:pPr>
        <w:ind w:left="26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68011B6">
      <w:start w:val="1"/>
      <w:numFmt w:val="lowerLetter"/>
      <w:lvlText w:val="%5."/>
      <w:lvlJc w:val="left"/>
      <w:pPr>
        <w:ind w:left="33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B0A1396">
      <w:start w:val="1"/>
      <w:numFmt w:val="lowerRoman"/>
      <w:lvlText w:val="%6."/>
      <w:lvlJc w:val="left"/>
      <w:pPr>
        <w:ind w:left="404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AAE6DF6">
      <w:start w:val="1"/>
      <w:numFmt w:val="decimal"/>
      <w:lvlText w:val="%7."/>
      <w:lvlJc w:val="left"/>
      <w:pPr>
        <w:ind w:left="47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F4282E8">
      <w:start w:val="1"/>
      <w:numFmt w:val="lowerLetter"/>
      <w:lvlText w:val="%8."/>
      <w:lvlJc w:val="left"/>
      <w:pPr>
        <w:ind w:left="54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4666FAA">
      <w:start w:val="1"/>
      <w:numFmt w:val="lowerRoman"/>
      <w:lvlText w:val="%9."/>
      <w:lvlJc w:val="left"/>
      <w:pPr>
        <w:ind w:left="620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25F423D"/>
    <w:multiLevelType w:val="multilevel"/>
    <w:tmpl w:val="3F2E11D2"/>
    <w:lvl w:ilvl="0">
      <w:start w:val="3"/>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8" w15:restartNumberingAfterBreak="0">
    <w:nsid w:val="2A2D4BE0"/>
    <w:multiLevelType w:val="hybridMultilevel"/>
    <w:tmpl w:val="47AE3896"/>
    <w:styleLink w:val="ImportedStyle1"/>
    <w:lvl w:ilvl="0" w:tplc="836A120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61453C8">
      <w:start w:val="1"/>
      <w:numFmt w:val="decimal"/>
      <w:lvlText w:val="%2."/>
      <w:lvlJc w:val="left"/>
      <w:pPr>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9EC6228">
      <w:start w:val="1"/>
      <w:numFmt w:val="lowerRoman"/>
      <w:lvlText w:val="%3."/>
      <w:lvlJc w:val="left"/>
      <w:pPr>
        <w:ind w:left="1854"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05F295DC">
      <w:start w:val="1"/>
      <w:numFmt w:val="decimal"/>
      <w:lvlText w:val="%4."/>
      <w:lvlJc w:val="left"/>
      <w:pPr>
        <w:ind w:left="257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F7A5712">
      <w:start w:val="1"/>
      <w:numFmt w:val="lowerLetter"/>
      <w:lvlText w:val="%5."/>
      <w:lvlJc w:val="left"/>
      <w:pPr>
        <w:ind w:left="329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9C4CE32">
      <w:start w:val="1"/>
      <w:numFmt w:val="lowerRoman"/>
      <w:lvlText w:val="%6."/>
      <w:lvlJc w:val="left"/>
      <w:pPr>
        <w:ind w:left="4014"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678386C">
      <w:start w:val="1"/>
      <w:numFmt w:val="decimal"/>
      <w:lvlText w:val="%7."/>
      <w:lvlJc w:val="left"/>
      <w:pPr>
        <w:ind w:left="47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324A9E6">
      <w:start w:val="1"/>
      <w:numFmt w:val="lowerLetter"/>
      <w:lvlText w:val="%8."/>
      <w:lvlJc w:val="left"/>
      <w:pPr>
        <w:ind w:left="54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804FFAE">
      <w:start w:val="1"/>
      <w:numFmt w:val="lowerRoman"/>
      <w:lvlText w:val="%9."/>
      <w:lvlJc w:val="left"/>
      <w:pPr>
        <w:ind w:left="6174"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B186766"/>
    <w:multiLevelType w:val="hybridMultilevel"/>
    <w:tmpl w:val="F63C1096"/>
    <w:lvl w:ilvl="0" w:tplc="366E7924">
      <w:start w:val="1"/>
      <w:numFmt w:val="decimal"/>
      <w:lvlText w:val="%1."/>
      <w:lvlJc w:val="left"/>
      <w:pPr>
        <w:ind w:left="45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1FA4D0A">
      <w:start w:val="1"/>
      <w:numFmt w:val="lowerLetter"/>
      <w:lvlText w:val="%2."/>
      <w:lvlJc w:val="left"/>
      <w:pPr>
        <w:ind w:left="117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046CBC">
      <w:start w:val="1"/>
      <w:numFmt w:val="lowerRoman"/>
      <w:lvlText w:val="%3."/>
      <w:lvlJc w:val="left"/>
      <w:pPr>
        <w:ind w:left="189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36296C2">
      <w:start w:val="1"/>
      <w:numFmt w:val="decimal"/>
      <w:lvlText w:val="%4."/>
      <w:lvlJc w:val="left"/>
      <w:pPr>
        <w:ind w:left="261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7BC7E7A">
      <w:start w:val="1"/>
      <w:numFmt w:val="lowerLetter"/>
      <w:lvlText w:val="%5."/>
      <w:lvlJc w:val="left"/>
      <w:pPr>
        <w:ind w:left="333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FC35AE">
      <w:start w:val="1"/>
      <w:numFmt w:val="lowerRoman"/>
      <w:lvlText w:val="%6."/>
      <w:lvlJc w:val="left"/>
      <w:pPr>
        <w:ind w:left="405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BACA64F6">
      <w:start w:val="1"/>
      <w:numFmt w:val="decimal"/>
      <w:lvlText w:val="%7."/>
      <w:lvlJc w:val="left"/>
      <w:pPr>
        <w:ind w:left="477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50A22EC">
      <w:start w:val="1"/>
      <w:numFmt w:val="lowerLetter"/>
      <w:lvlText w:val="%8."/>
      <w:lvlJc w:val="left"/>
      <w:pPr>
        <w:ind w:left="549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11A4C94">
      <w:start w:val="1"/>
      <w:numFmt w:val="lowerRoman"/>
      <w:lvlText w:val="%9."/>
      <w:lvlJc w:val="left"/>
      <w:pPr>
        <w:ind w:left="621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C2E1CF6"/>
    <w:multiLevelType w:val="hybridMultilevel"/>
    <w:tmpl w:val="9864CB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023058"/>
    <w:multiLevelType w:val="hybridMultilevel"/>
    <w:tmpl w:val="B5ECC970"/>
    <w:lvl w:ilvl="0" w:tplc="AE84AE08">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61ED570">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DF29C2C">
      <w:start w:val="1"/>
      <w:numFmt w:val="lowerRoman"/>
      <w:lvlText w:val="%3."/>
      <w:lvlJc w:val="left"/>
      <w:pPr>
        <w:ind w:left="21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F2805AA">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CC80004">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146ED56">
      <w:start w:val="1"/>
      <w:numFmt w:val="lowerRoman"/>
      <w:lvlText w:val="%6."/>
      <w:lvlJc w:val="left"/>
      <w:pPr>
        <w:ind w:left="43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ED6F7EA">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8EEFD9A">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64609A4">
      <w:start w:val="1"/>
      <w:numFmt w:val="lowerRoman"/>
      <w:lvlText w:val="%9."/>
      <w:lvlJc w:val="left"/>
      <w:pPr>
        <w:ind w:left="64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EA647E8"/>
    <w:multiLevelType w:val="hybridMultilevel"/>
    <w:tmpl w:val="FFB8C2FC"/>
    <w:lvl w:ilvl="0" w:tplc="5C187F94">
      <w:numFmt w:val="bullet"/>
      <w:lvlText w:val=""/>
      <w:lvlJc w:val="left"/>
      <w:pPr>
        <w:ind w:left="720" w:hanging="360"/>
      </w:pPr>
      <w:rPr>
        <w:rFonts w:ascii="Wingdings" w:eastAsia="Arial Unicode MS" w:hAnsi="Wingdings" w:cs="Times New Roman" w:hint="default"/>
      </w:rPr>
    </w:lvl>
    <w:lvl w:ilvl="1" w:tplc="AE7406D2" w:tentative="1">
      <w:start w:val="1"/>
      <w:numFmt w:val="bullet"/>
      <w:lvlText w:val="o"/>
      <w:lvlJc w:val="left"/>
      <w:pPr>
        <w:ind w:left="1440" w:hanging="360"/>
      </w:pPr>
      <w:rPr>
        <w:rFonts w:ascii="Courier New" w:hAnsi="Courier New" w:cs="Courier New" w:hint="default"/>
      </w:rPr>
    </w:lvl>
    <w:lvl w:ilvl="2" w:tplc="1D5A74D4" w:tentative="1">
      <w:start w:val="1"/>
      <w:numFmt w:val="bullet"/>
      <w:lvlText w:val=""/>
      <w:lvlJc w:val="left"/>
      <w:pPr>
        <w:ind w:left="2160" w:hanging="360"/>
      </w:pPr>
      <w:rPr>
        <w:rFonts w:ascii="Wingdings" w:hAnsi="Wingdings" w:hint="default"/>
      </w:rPr>
    </w:lvl>
    <w:lvl w:ilvl="3" w:tplc="499A136C" w:tentative="1">
      <w:start w:val="1"/>
      <w:numFmt w:val="bullet"/>
      <w:lvlText w:val=""/>
      <w:lvlJc w:val="left"/>
      <w:pPr>
        <w:ind w:left="2880" w:hanging="360"/>
      </w:pPr>
      <w:rPr>
        <w:rFonts w:ascii="Symbol" w:hAnsi="Symbol" w:hint="default"/>
      </w:rPr>
    </w:lvl>
    <w:lvl w:ilvl="4" w:tplc="84E262B4" w:tentative="1">
      <w:start w:val="1"/>
      <w:numFmt w:val="bullet"/>
      <w:lvlText w:val="o"/>
      <w:lvlJc w:val="left"/>
      <w:pPr>
        <w:ind w:left="3600" w:hanging="360"/>
      </w:pPr>
      <w:rPr>
        <w:rFonts w:ascii="Courier New" w:hAnsi="Courier New" w:cs="Courier New" w:hint="default"/>
      </w:rPr>
    </w:lvl>
    <w:lvl w:ilvl="5" w:tplc="2562AC4E" w:tentative="1">
      <w:start w:val="1"/>
      <w:numFmt w:val="bullet"/>
      <w:lvlText w:val=""/>
      <w:lvlJc w:val="left"/>
      <w:pPr>
        <w:ind w:left="4320" w:hanging="360"/>
      </w:pPr>
      <w:rPr>
        <w:rFonts w:ascii="Wingdings" w:hAnsi="Wingdings" w:hint="default"/>
      </w:rPr>
    </w:lvl>
    <w:lvl w:ilvl="6" w:tplc="E16A377A" w:tentative="1">
      <w:start w:val="1"/>
      <w:numFmt w:val="bullet"/>
      <w:lvlText w:val=""/>
      <w:lvlJc w:val="left"/>
      <w:pPr>
        <w:ind w:left="5040" w:hanging="360"/>
      </w:pPr>
      <w:rPr>
        <w:rFonts w:ascii="Symbol" w:hAnsi="Symbol" w:hint="default"/>
      </w:rPr>
    </w:lvl>
    <w:lvl w:ilvl="7" w:tplc="ADECB104" w:tentative="1">
      <w:start w:val="1"/>
      <w:numFmt w:val="bullet"/>
      <w:lvlText w:val="o"/>
      <w:lvlJc w:val="left"/>
      <w:pPr>
        <w:ind w:left="5760" w:hanging="360"/>
      </w:pPr>
      <w:rPr>
        <w:rFonts w:ascii="Courier New" w:hAnsi="Courier New" w:cs="Courier New" w:hint="default"/>
      </w:rPr>
    </w:lvl>
    <w:lvl w:ilvl="8" w:tplc="60E0C936" w:tentative="1">
      <w:start w:val="1"/>
      <w:numFmt w:val="bullet"/>
      <w:lvlText w:val=""/>
      <w:lvlJc w:val="left"/>
      <w:pPr>
        <w:ind w:left="6480" w:hanging="360"/>
      </w:pPr>
      <w:rPr>
        <w:rFonts w:ascii="Wingdings" w:hAnsi="Wingdings" w:hint="default"/>
      </w:rPr>
    </w:lvl>
  </w:abstractNum>
  <w:abstractNum w:abstractNumId="13" w15:restartNumberingAfterBreak="0">
    <w:nsid w:val="2F131B78"/>
    <w:multiLevelType w:val="hybridMultilevel"/>
    <w:tmpl w:val="8076C7BA"/>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C7C4A"/>
    <w:multiLevelType w:val="hybridMultilevel"/>
    <w:tmpl w:val="825C6ABE"/>
    <w:lvl w:ilvl="0" w:tplc="991675C2">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1F11548"/>
    <w:multiLevelType w:val="hybridMultilevel"/>
    <w:tmpl w:val="1FA6A8CC"/>
    <w:lvl w:ilvl="0" w:tplc="04090019">
      <w:start w:val="1"/>
      <w:numFmt w:val="bullet"/>
      <w:lvlText w:val="·"/>
      <w:lvlJc w:val="left"/>
      <w:pPr>
        <w:ind w:left="852"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572"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292"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right"/>
      <w:pPr>
        <w:ind w:left="3012" w:hanging="393"/>
      </w:pPr>
      <w:rPr>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148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220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292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364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36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30A428E"/>
    <w:multiLevelType w:val="multilevel"/>
    <w:tmpl w:val="21D2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D45084"/>
    <w:multiLevelType w:val="hybridMultilevel"/>
    <w:tmpl w:val="4E2A05C0"/>
    <w:lvl w:ilvl="0" w:tplc="F11A2C0C">
      <w:start w:val="1"/>
      <w:numFmt w:val="decimal"/>
      <w:lvlText w:val="%1."/>
      <w:lvlJc w:val="left"/>
      <w:pPr>
        <w:ind w:left="37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EB8D9DE">
      <w:start w:val="1"/>
      <w:numFmt w:val="lowerLetter"/>
      <w:lvlText w:val="%2."/>
      <w:lvlJc w:val="left"/>
      <w:pPr>
        <w:ind w:left="109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3C8798C">
      <w:start w:val="1"/>
      <w:numFmt w:val="lowerRoman"/>
      <w:lvlText w:val="%3."/>
      <w:lvlJc w:val="left"/>
      <w:pPr>
        <w:ind w:left="1815"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809001B">
      <w:start w:val="1"/>
      <w:numFmt w:val="decimal"/>
      <w:lvlText w:val="%4."/>
      <w:lvlJc w:val="left"/>
      <w:pPr>
        <w:ind w:left="253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3C03AC">
      <w:start w:val="1"/>
      <w:numFmt w:val="lowerLetter"/>
      <w:lvlText w:val="%5."/>
      <w:lvlJc w:val="left"/>
      <w:pPr>
        <w:ind w:left="325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3B4A8B0">
      <w:start w:val="1"/>
      <w:numFmt w:val="lowerRoman"/>
      <w:lvlText w:val="%6."/>
      <w:lvlJc w:val="left"/>
      <w:pPr>
        <w:ind w:left="3975"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C86B28A">
      <w:start w:val="1"/>
      <w:numFmt w:val="decimal"/>
      <w:lvlText w:val="%7."/>
      <w:lvlJc w:val="left"/>
      <w:pPr>
        <w:ind w:left="469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87EA0FE">
      <w:start w:val="1"/>
      <w:numFmt w:val="lowerLetter"/>
      <w:lvlText w:val="%8."/>
      <w:lvlJc w:val="left"/>
      <w:pPr>
        <w:ind w:left="541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432A15E">
      <w:start w:val="1"/>
      <w:numFmt w:val="lowerRoman"/>
      <w:lvlText w:val="%9."/>
      <w:lvlJc w:val="left"/>
      <w:pPr>
        <w:ind w:left="6135"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94726B0"/>
    <w:multiLevelType w:val="hybridMultilevel"/>
    <w:tmpl w:val="ACCC7A40"/>
    <w:lvl w:ilvl="0" w:tplc="DE1675F4">
      <w:start w:val="1"/>
      <w:numFmt w:val="bullet"/>
      <w:lvlText w:val="o"/>
      <w:lvlJc w:val="left"/>
      <w:pPr>
        <w:ind w:left="1179" w:hanging="360"/>
      </w:pPr>
      <w:rPr>
        <w:rFonts w:ascii="Courier New" w:hAnsi="Courier New" w:cs="Courier New" w:hint="default"/>
      </w:rPr>
    </w:lvl>
    <w:lvl w:ilvl="1" w:tplc="7CBA5A8E" w:tentative="1">
      <w:start w:val="1"/>
      <w:numFmt w:val="bullet"/>
      <w:lvlText w:val="o"/>
      <w:lvlJc w:val="left"/>
      <w:pPr>
        <w:ind w:left="1899" w:hanging="360"/>
      </w:pPr>
      <w:rPr>
        <w:rFonts w:ascii="Courier New" w:hAnsi="Courier New" w:cs="Courier New" w:hint="default"/>
      </w:rPr>
    </w:lvl>
    <w:lvl w:ilvl="2" w:tplc="4D12FCDE" w:tentative="1">
      <w:start w:val="1"/>
      <w:numFmt w:val="bullet"/>
      <w:lvlText w:val=""/>
      <w:lvlJc w:val="left"/>
      <w:pPr>
        <w:ind w:left="2619" w:hanging="360"/>
      </w:pPr>
      <w:rPr>
        <w:rFonts w:ascii="Wingdings" w:hAnsi="Wingdings" w:hint="default"/>
      </w:rPr>
    </w:lvl>
    <w:lvl w:ilvl="3" w:tplc="55EA6A56" w:tentative="1">
      <w:start w:val="1"/>
      <w:numFmt w:val="bullet"/>
      <w:lvlText w:val=""/>
      <w:lvlJc w:val="left"/>
      <w:pPr>
        <w:ind w:left="3339" w:hanging="360"/>
      </w:pPr>
      <w:rPr>
        <w:rFonts w:ascii="Symbol" w:hAnsi="Symbol" w:hint="default"/>
      </w:rPr>
    </w:lvl>
    <w:lvl w:ilvl="4" w:tplc="DD860F6E" w:tentative="1">
      <w:start w:val="1"/>
      <w:numFmt w:val="bullet"/>
      <w:lvlText w:val="o"/>
      <w:lvlJc w:val="left"/>
      <w:pPr>
        <w:ind w:left="4059" w:hanging="360"/>
      </w:pPr>
      <w:rPr>
        <w:rFonts w:ascii="Courier New" w:hAnsi="Courier New" w:cs="Courier New" w:hint="default"/>
      </w:rPr>
    </w:lvl>
    <w:lvl w:ilvl="5" w:tplc="3C1415E4" w:tentative="1">
      <w:start w:val="1"/>
      <w:numFmt w:val="bullet"/>
      <w:lvlText w:val=""/>
      <w:lvlJc w:val="left"/>
      <w:pPr>
        <w:ind w:left="4779" w:hanging="360"/>
      </w:pPr>
      <w:rPr>
        <w:rFonts w:ascii="Wingdings" w:hAnsi="Wingdings" w:hint="default"/>
      </w:rPr>
    </w:lvl>
    <w:lvl w:ilvl="6" w:tplc="1E3C3976" w:tentative="1">
      <w:start w:val="1"/>
      <w:numFmt w:val="bullet"/>
      <w:lvlText w:val=""/>
      <w:lvlJc w:val="left"/>
      <w:pPr>
        <w:ind w:left="5499" w:hanging="360"/>
      </w:pPr>
      <w:rPr>
        <w:rFonts w:ascii="Symbol" w:hAnsi="Symbol" w:hint="default"/>
      </w:rPr>
    </w:lvl>
    <w:lvl w:ilvl="7" w:tplc="B67C4ED0" w:tentative="1">
      <w:start w:val="1"/>
      <w:numFmt w:val="bullet"/>
      <w:lvlText w:val="o"/>
      <w:lvlJc w:val="left"/>
      <w:pPr>
        <w:ind w:left="6219" w:hanging="360"/>
      </w:pPr>
      <w:rPr>
        <w:rFonts w:ascii="Courier New" w:hAnsi="Courier New" w:cs="Courier New" w:hint="default"/>
      </w:rPr>
    </w:lvl>
    <w:lvl w:ilvl="8" w:tplc="00006E60" w:tentative="1">
      <w:start w:val="1"/>
      <w:numFmt w:val="bullet"/>
      <w:lvlText w:val=""/>
      <w:lvlJc w:val="left"/>
      <w:pPr>
        <w:ind w:left="6939" w:hanging="360"/>
      </w:pPr>
      <w:rPr>
        <w:rFonts w:ascii="Wingdings" w:hAnsi="Wingdings" w:hint="default"/>
      </w:rPr>
    </w:lvl>
  </w:abstractNum>
  <w:abstractNum w:abstractNumId="19" w15:restartNumberingAfterBreak="0">
    <w:nsid w:val="439E45BE"/>
    <w:multiLevelType w:val="singleLevel"/>
    <w:tmpl w:val="EEFCF72A"/>
    <w:lvl w:ilvl="0">
      <w:start w:val="3"/>
      <w:numFmt w:val="decimal"/>
      <w:lvlText w:val="3.%1."/>
      <w:lvlJc w:val="left"/>
      <w:pPr>
        <w:ind w:left="851" w:hanging="501"/>
      </w:pPr>
      <w:rPr>
        <w:rFonts w:ascii="Times New Roman" w:hAnsi="Times New Roman" w:cs="Times New Roman" w:hint="default"/>
        <w:b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0" w15:restartNumberingAfterBreak="0">
    <w:nsid w:val="4BBC399C"/>
    <w:multiLevelType w:val="hybridMultilevel"/>
    <w:tmpl w:val="06380C68"/>
    <w:numStyleLink w:val="ImportedStyle3"/>
  </w:abstractNum>
  <w:abstractNum w:abstractNumId="21" w15:restartNumberingAfterBreak="0">
    <w:nsid w:val="4C82699D"/>
    <w:multiLevelType w:val="hybridMultilevel"/>
    <w:tmpl w:val="4F48D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16304D"/>
    <w:multiLevelType w:val="hybridMultilevel"/>
    <w:tmpl w:val="3EEA1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E73B80"/>
    <w:multiLevelType w:val="hybridMultilevel"/>
    <w:tmpl w:val="47AE3896"/>
    <w:numStyleLink w:val="ImportedStyle1"/>
  </w:abstractNum>
  <w:abstractNum w:abstractNumId="24" w15:restartNumberingAfterBreak="0">
    <w:nsid w:val="5A426843"/>
    <w:multiLevelType w:val="hybridMultilevel"/>
    <w:tmpl w:val="30940C2E"/>
    <w:lvl w:ilvl="0" w:tplc="A2228966">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8D65866">
      <w:start w:val="1"/>
      <w:numFmt w:val="lowerLetter"/>
      <w:lvlText w:val="%2."/>
      <w:lvlJc w:val="left"/>
      <w:pPr>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0C51B8">
      <w:start w:val="1"/>
      <w:numFmt w:val="lowerRoman"/>
      <w:lvlText w:val="%3."/>
      <w:lvlJc w:val="left"/>
      <w:pPr>
        <w:ind w:left="1866"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A081A64">
      <w:start w:val="1"/>
      <w:numFmt w:val="decimal"/>
      <w:lvlText w:val="%4."/>
      <w:lvlJc w:val="left"/>
      <w:pPr>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64844A">
      <w:start w:val="1"/>
      <w:numFmt w:val="lowerLetter"/>
      <w:lvlText w:val="%5."/>
      <w:lvlJc w:val="left"/>
      <w:pPr>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02C60EC">
      <w:start w:val="1"/>
      <w:numFmt w:val="lowerRoman"/>
      <w:lvlText w:val="%6."/>
      <w:lvlJc w:val="left"/>
      <w:pPr>
        <w:ind w:left="4026"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3ECA7DA">
      <w:start w:val="1"/>
      <w:numFmt w:val="decimal"/>
      <w:lvlText w:val="%7."/>
      <w:lvlJc w:val="left"/>
      <w:pPr>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A6C231A">
      <w:start w:val="1"/>
      <w:numFmt w:val="lowerLetter"/>
      <w:lvlText w:val="%8."/>
      <w:lvlJc w:val="left"/>
      <w:pPr>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9A4D9C">
      <w:start w:val="1"/>
      <w:numFmt w:val="lowerRoman"/>
      <w:lvlText w:val="%9."/>
      <w:lvlJc w:val="left"/>
      <w:pPr>
        <w:ind w:left="6186"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DAB430F"/>
    <w:multiLevelType w:val="hybridMultilevel"/>
    <w:tmpl w:val="BE6E055A"/>
    <w:lvl w:ilvl="0" w:tplc="8758A24C">
      <w:start w:val="1"/>
      <w:numFmt w:val="decimal"/>
      <w:lvlText w:val="%1."/>
      <w:lvlJc w:val="left"/>
      <w:pPr>
        <w:ind w:left="4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108F820">
      <w:start w:val="1"/>
      <w:numFmt w:val="lowerLetter"/>
      <w:lvlText w:val="%2."/>
      <w:lvlJc w:val="left"/>
      <w:pPr>
        <w:ind w:left="11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960EBD4">
      <w:start w:val="1"/>
      <w:numFmt w:val="lowerRoman"/>
      <w:lvlText w:val="%3."/>
      <w:lvlJc w:val="left"/>
      <w:pPr>
        <w:ind w:left="188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B627180">
      <w:start w:val="1"/>
      <w:numFmt w:val="decimal"/>
      <w:lvlText w:val="%4."/>
      <w:lvlJc w:val="left"/>
      <w:pPr>
        <w:ind w:left="26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702D58A">
      <w:start w:val="1"/>
      <w:numFmt w:val="lowerLetter"/>
      <w:lvlText w:val="%5."/>
      <w:lvlJc w:val="left"/>
      <w:pPr>
        <w:ind w:left="33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6B60462">
      <w:start w:val="1"/>
      <w:numFmt w:val="lowerRoman"/>
      <w:lvlText w:val="%6."/>
      <w:lvlJc w:val="left"/>
      <w:pPr>
        <w:ind w:left="404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16A28F2">
      <w:start w:val="1"/>
      <w:numFmt w:val="decimal"/>
      <w:lvlText w:val="%7."/>
      <w:lvlJc w:val="left"/>
      <w:pPr>
        <w:ind w:left="47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CC64E20">
      <w:start w:val="1"/>
      <w:numFmt w:val="lowerLetter"/>
      <w:lvlText w:val="%8."/>
      <w:lvlJc w:val="left"/>
      <w:pPr>
        <w:ind w:left="54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EF43336">
      <w:start w:val="1"/>
      <w:numFmt w:val="lowerRoman"/>
      <w:lvlText w:val="%9."/>
      <w:lvlJc w:val="left"/>
      <w:pPr>
        <w:ind w:left="620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EBE642A"/>
    <w:multiLevelType w:val="hybridMultilevel"/>
    <w:tmpl w:val="BB6A57D4"/>
    <w:lvl w:ilvl="0" w:tplc="FFFFFFFF">
      <w:start w:val="1"/>
      <w:numFmt w:val="decimal"/>
      <w:lvlText w:val="%1."/>
      <w:lvlJc w:val="left"/>
      <w:pPr>
        <w:ind w:left="426" w:hanging="360"/>
      </w:pPr>
      <w:rPr>
        <w:caps w:val="0"/>
        <w:smallCaps w:val="0"/>
        <w:strike w:val="0"/>
        <w:dstrike w:val="0"/>
        <w:outline w:val="0"/>
        <w:emboss w:val="0"/>
        <w:imprint w:val="0"/>
        <w:spacing w:val="0"/>
        <w:w w:val="100"/>
        <w:kern w:val="0"/>
        <w:position w:val="0"/>
        <w:highlight w:val="none"/>
        <w:vertAlign w:val="baseline"/>
      </w:rPr>
    </w:lvl>
    <w:lvl w:ilvl="1" w:tplc="A23A2FFE">
      <w:start w:val="1"/>
      <w:numFmt w:val="lowerLetter"/>
      <w:lvlText w:val="%2."/>
      <w:lvlJc w:val="left"/>
      <w:pPr>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7F6B192">
      <w:start w:val="1"/>
      <w:numFmt w:val="lowerRoman"/>
      <w:lvlText w:val="%3."/>
      <w:lvlJc w:val="left"/>
      <w:pPr>
        <w:ind w:left="1866"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FFAB574">
      <w:start w:val="1"/>
      <w:numFmt w:val="decimal"/>
      <w:lvlText w:val="%4."/>
      <w:lvlJc w:val="left"/>
      <w:pPr>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1801C8C">
      <w:start w:val="1"/>
      <w:numFmt w:val="lowerLetter"/>
      <w:lvlText w:val="%5."/>
      <w:lvlJc w:val="left"/>
      <w:pPr>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14F02A">
      <w:start w:val="1"/>
      <w:numFmt w:val="lowerRoman"/>
      <w:lvlText w:val="%6."/>
      <w:lvlJc w:val="left"/>
      <w:pPr>
        <w:ind w:left="4026"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2C0A660">
      <w:start w:val="1"/>
      <w:numFmt w:val="decimal"/>
      <w:lvlText w:val="%7."/>
      <w:lvlJc w:val="left"/>
      <w:pPr>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05EB646">
      <w:start w:val="1"/>
      <w:numFmt w:val="lowerLetter"/>
      <w:lvlText w:val="%8."/>
      <w:lvlJc w:val="left"/>
      <w:pPr>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D29662">
      <w:start w:val="1"/>
      <w:numFmt w:val="lowerRoman"/>
      <w:lvlText w:val="%9."/>
      <w:lvlJc w:val="left"/>
      <w:pPr>
        <w:ind w:left="6186"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442064C"/>
    <w:multiLevelType w:val="hybridMultilevel"/>
    <w:tmpl w:val="9860148E"/>
    <w:lvl w:ilvl="0" w:tplc="C346F9EC">
      <w:start w:val="1"/>
      <w:numFmt w:val="decimal"/>
      <w:lvlText w:val="%1."/>
      <w:lvlJc w:val="left"/>
      <w:pPr>
        <w:ind w:left="360" w:hanging="360"/>
      </w:pPr>
      <w:rPr>
        <w:rFonts w:hint="default"/>
      </w:rPr>
    </w:lvl>
    <w:lvl w:ilvl="1" w:tplc="70B68532">
      <w:start w:val="1"/>
      <w:numFmt w:val="bullet"/>
      <w:lvlText w:val="o"/>
      <w:lvlJc w:val="left"/>
      <w:pPr>
        <w:ind w:left="1080" w:hanging="360"/>
      </w:pPr>
      <w:rPr>
        <w:rFonts w:ascii="Courier New" w:hAnsi="Courier New" w:cs="Courier New" w:hint="default"/>
      </w:rPr>
    </w:lvl>
    <w:lvl w:ilvl="2" w:tplc="541C4A84">
      <w:start w:val="1"/>
      <w:numFmt w:val="bullet"/>
      <w:lvlText w:val=""/>
      <w:lvlJc w:val="left"/>
      <w:pPr>
        <w:ind w:left="1800" w:hanging="360"/>
      </w:pPr>
      <w:rPr>
        <w:rFonts w:ascii="Wingdings" w:hAnsi="Wingdings" w:hint="default"/>
      </w:rPr>
    </w:lvl>
    <w:lvl w:ilvl="3" w:tplc="3636118E" w:tentative="1">
      <w:start w:val="1"/>
      <w:numFmt w:val="bullet"/>
      <w:lvlText w:val=""/>
      <w:lvlJc w:val="left"/>
      <w:pPr>
        <w:ind w:left="2520" w:hanging="360"/>
      </w:pPr>
      <w:rPr>
        <w:rFonts w:ascii="Symbol" w:hAnsi="Symbol" w:hint="default"/>
      </w:rPr>
    </w:lvl>
    <w:lvl w:ilvl="4" w:tplc="D980C4CA" w:tentative="1">
      <w:start w:val="1"/>
      <w:numFmt w:val="bullet"/>
      <w:lvlText w:val="o"/>
      <w:lvlJc w:val="left"/>
      <w:pPr>
        <w:ind w:left="3240" w:hanging="360"/>
      </w:pPr>
      <w:rPr>
        <w:rFonts w:ascii="Courier New" w:hAnsi="Courier New" w:cs="Courier New" w:hint="default"/>
      </w:rPr>
    </w:lvl>
    <w:lvl w:ilvl="5" w:tplc="0AFEF968" w:tentative="1">
      <w:start w:val="1"/>
      <w:numFmt w:val="bullet"/>
      <w:lvlText w:val=""/>
      <w:lvlJc w:val="left"/>
      <w:pPr>
        <w:ind w:left="3960" w:hanging="360"/>
      </w:pPr>
      <w:rPr>
        <w:rFonts w:ascii="Wingdings" w:hAnsi="Wingdings" w:hint="default"/>
      </w:rPr>
    </w:lvl>
    <w:lvl w:ilvl="6" w:tplc="98D6D36A" w:tentative="1">
      <w:start w:val="1"/>
      <w:numFmt w:val="bullet"/>
      <w:lvlText w:val=""/>
      <w:lvlJc w:val="left"/>
      <w:pPr>
        <w:ind w:left="4680" w:hanging="360"/>
      </w:pPr>
      <w:rPr>
        <w:rFonts w:ascii="Symbol" w:hAnsi="Symbol" w:hint="default"/>
      </w:rPr>
    </w:lvl>
    <w:lvl w:ilvl="7" w:tplc="442A54BC" w:tentative="1">
      <w:start w:val="1"/>
      <w:numFmt w:val="bullet"/>
      <w:lvlText w:val="o"/>
      <w:lvlJc w:val="left"/>
      <w:pPr>
        <w:ind w:left="5400" w:hanging="360"/>
      </w:pPr>
      <w:rPr>
        <w:rFonts w:ascii="Courier New" w:hAnsi="Courier New" w:cs="Courier New" w:hint="default"/>
      </w:rPr>
    </w:lvl>
    <w:lvl w:ilvl="8" w:tplc="4B9E8186" w:tentative="1">
      <w:start w:val="1"/>
      <w:numFmt w:val="bullet"/>
      <w:lvlText w:val=""/>
      <w:lvlJc w:val="left"/>
      <w:pPr>
        <w:ind w:left="6120" w:hanging="360"/>
      </w:pPr>
      <w:rPr>
        <w:rFonts w:ascii="Wingdings" w:hAnsi="Wingdings" w:hint="default"/>
      </w:rPr>
    </w:lvl>
  </w:abstractNum>
  <w:abstractNum w:abstractNumId="28" w15:restartNumberingAfterBreak="0">
    <w:nsid w:val="66800C0F"/>
    <w:multiLevelType w:val="hybridMultilevel"/>
    <w:tmpl w:val="2AC2D14E"/>
    <w:lvl w:ilvl="0" w:tplc="1809000F">
      <w:start w:val="4"/>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A841BC8"/>
    <w:multiLevelType w:val="hybridMultilevel"/>
    <w:tmpl w:val="F8104128"/>
    <w:lvl w:ilvl="0" w:tplc="406271A4">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6BBE1D56"/>
    <w:multiLevelType w:val="hybridMultilevel"/>
    <w:tmpl w:val="287C6ECC"/>
    <w:lvl w:ilvl="0" w:tplc="1809000F">
      <w:start w:val="1"/>
      <w:numFmt w:val="lowerLetter"/>
      <w:lvlText w:val="%1."/>
      <w:lvlJc w:val="left"/>
      <w:pPr>
        <w:ind w:left="39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lowerLetter"/>
      <w:lvlText w:val="%2."/>
      <w:lvlJc w:val="left"/>
      <w:pPr>
        <w:ind w:left="11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04090005">
      <w:start w:val="1"/>
      <w:numFmt w:val="lowerLetter"/>
      <w:lvlText w:val="%3."/>
      <w:lvlJc w:val="left"/>
      <w:pPr>
        <w:ind w:left="183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4090001">
      <w:start w:val="1"/>
      <w:numFmt w:val="decimal"/>
      <w:lvlText w:val="%4."/>
      <w:lvlJc w:val="left"/>
      <w:pPr>
        <w:ind w:left="459"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04090003">
      <w:start w:val="1"/>
      <w:numFmt w:val="lowerLetter"/>
      <w:lvlText w:val="%5."/>
      <w:lvlJc w:val="left"/>
      <w:pPr>
        <w:ind w:left="493" w:hanging="357"/>
      </w:pPr>
      <w:rPr>
        <w:caps w:val="0"/>
        <w:smallCaps w:val="0"/>
        <w:strike w:val="0"/>
        <w:dstrike w:val="0"/>
        <w:outline w:val="0"/>
        <w:emboss w:val="0"/>
        <w:imprint w:val="0"/>
        <w:spacing w:val="0"/>
        <w:w w:val="100"/>
        <w:kern w:val="0"/>
        <w:position w:val="0"/>
        <w:highlight w:val="none"/>
        <w:vertAlign w:val="baseline"/>
      </w:rPr>
    </w:lvl>
    <w:lvl w:ilvl="5" w:tplc="04090005">
      <w:start w:val="1"/>
      <w:numFmt w:val="decimal"/>
      <w:lvlText w:val="%6."/>
      <w:lvlJc w:val="left"/>
      <w:pPr>
        <w:ind w:left="527"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04090001">
      <w:start w:val="1"/>
      <w:numFmt w:val="decimal"/>
      <w:lvlText w:val="%7."/>
      <w:lvlJc w:val="left"/>
      <w:pPr>
        <w:ind w:left="561"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4090003">
      <w:start w:val="1"/>
      <w:numFmt w:val="decimal"/>
      <w:lvlText w:val="%8."/>
      <w:lvlJc w:val="left"/>
      <w:pPr>
        <w:ind w:left="595"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04090005">
      <w:start w:val="1"/>
      <w:numFmt w:val="decimal"/>
      <w:lvlText w:val="%9."/>
      <w:lvlJc w:val="left"/>
      <w:pPr>
        <w:ind w:left="629"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1674C4C"/>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3222ED5"/>
    <w:multiLevelType w:val="hybridMultilevel"/>
    <w:tmpl w:val="88E2E430"/>
    <w:lvl w:ilvl="0" w:tplc="5F56F92A">
      <w:start w:val="1"/>
      <w:numFmt w:val="decimal"/>
      <w:lvlText w:val="%1."/>
      <w:lvlJc w:val="left"/>
      <w:pPr>
        <w:ind w:left="360" w:hanging="360"/>
      </w:pPr>
      <w:rPr>
        <w:rFonts w:hAnsi="Arial Unicode MS"/>
        <w:i w:val="0"/>
        <w:caps w:val="0"/>
        <w:smallCaps w:val="0"/>
        <w:strike w:val="0"/>
        <w:dstrike w:val="0"/>
        <w:outline w:val="0"/>
        <w:emboss w:val="0"/>
        <w:imprint w:val="0"/>
        <w:spacing w:val="0"/>
        <w:w w:val="100"/>
        <w:kern w:val="0"/>
        <w:position w:val="0"/>
        <w:highlight w:val="none"/>
        <w:vertAlign w:val="baseline"/>
      </w:rPr>
    </w:lvl>
    <w:lvl w:ilvl="1" w:tplc="8528BD42">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F4E27E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9DA095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84C661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FA4FF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F94980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6B8B352">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1FA248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86F0472"/>
    <w:multiLevelType w:val="hybridMultilevel"/>
    <w:tmpl w:val="47AE3896"/>
    <w:numStyleLink w:val="ImportedStyle1"/>
  </w:abstractNum>
  <w:abstractNum w:abstractNumId="34" w15:restartNumberingAfterBreak="0">
    <w:nsid w:val="7B0C49B2"/>
    <w:multiLevelType w:val="hybridMultilevel"/>
    <w:tmpl w:val="F9F4B66C"/>
    <w:lvl w:ilvl="0" w:tplc="763081EE">
      <w:start w:val="1"/>
      <w:numFmt w:val="bullet"/>
      <w:lvlText w:val="·"/>
      <w:lvlJc w:val="left"/>
      <w:pPr>
        <w:ind w:left="39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26A9B8">
      <w:start w:val="1"/>
      <w:numFmt w:val="bullet"/>
      <w:lvlText w:val="·"/>
      <w:lvlJc w:val="left"/>
      <w:pPr>
        <w:ind w:left="11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79499EE">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82503C">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F76C65C">
      <w:start w:val="1"/>
      <w:numFmt w:val="bullet"/>
      <w:lvlText w:val="o"/>
      <w:lvlJc w:val="left"/>
      <w:pPr>
        <w:ind w:left="102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17A42CA">
      <w:start w:val="1"/>
      <w:numFmt w:val="bullet"/>
      <w:lvlText w:val="▪"/>
      <w:lvlJc w:val="left"/>
      <w:pPr>
        <w:ind w:left="174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D0BE4E">
      <w:start w:val="1"/>
      <w:numFmt w:val="bullet"/>
      <w:lvlText w:val="•"/>
      <w:lvlJc w:val="left"/>
      <w:pPr>
        <w:ind w:left="246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7CC691A">
      <w:start w:val="1"/>
      <w:numFmt w:val="bullet"/>
      <w:lvlText w:val="o"/>
      <w:lvlJc w:val="left"/>
      <w:pPr>
        <w:ind w:left="318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5006F02">
      <w:start w:val="1"/>
      <w:numFmt w:val="bullet"/>
      <w:lvlText w:val="▪"/>
      <w:lvlJc w:val="left"/>
      <w:pPr>
        <w:ind w:left="390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F070C01"/>
    <w:multiLevelType w:val="multilevel"/>
    <w:tmpl w:val="65C8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3"/>
    <w:lvlOverride w:ilvl="0">
      <w:lvl w:ilvl="0" w:tplc="EDCEA094">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abstractNumId w:val="1"/>
  </w:num>
  <w:num w:numId="4">
    <w:abstractNumId w:val="19"/>
  </w:num>
  <w:num w:numId="5">
    <w:abstractNumId w:val="6"/>
  </w:num>
  <w:num w:numId="6">
    <w:abstractNumId w:val="19"/>
  </w:num>
  <w:num w:numId="7">
    <w:abstractNumId w:val="17"/>
  </w:num>
  <w:num w:numId="8">
    <w:abstractNumId w:val="19"/>
  </w:num>
  <w:num w:numId="9">
    <w:abstractNumId w:val="26"/>
  </w:num>
  <w:num w:numId="10">
    <w:abstractNumId w:val="19"/>
  </w:num>
  <w:num w:numId="11">
    <w:abstractNumId w:val="9"/>
  </w:num>
  <w:num w:numId="12">
    <w:abstractNumId w:val="19"/>
  </w:num>
  <w:num w:numId="13">
    <w:abstractNumId w:val="5"/>
  </w:num>
  <w:num w:numId="14">
    <w:abstractNumId w:val="19"/>
  </w:num>
  <w:num w:numId="15">
    <w:abstractNumId w:val="3"/>
  </w:num>
  <w:num w:numId="16">
    <w:abstractNumId w:val="23"/>
    <w:lvlOverride w:ilvl="0">
      <w:startOverride w:val="4"/>
    </w:lvlOverride>
  </w:num>
  <w:num w:numId="17">
    <w:abstractNumId w:val="33"/>
  </w:num>
  <w:num w:numId="18">
    <w:abstractNumId w:val="25"/>
  </w:num>
  <w:num w:numId="19">
    <w:abstractNumId w:val="4"/>
  </w:num>
  <w:num w:numId="20">
    <w:abstractNumId w:val="20"/>
  </w:num>
  <w:num w:numId="21">
    <w:abstractNumId w:val="11"/>
  </w:num>
  <w:num w:numId="22">
    <w:abstractNumId w:val="24"/>
  </w:num>
  <w:num w:numId="23">
    <w:abstractNumId w:val="2"/>
  </w:num>
  <w:num w:numId="24">
    <w:abstractNumId w:val="33"/>
    <w:lvlOverride w:ilvl="0">
      <w:startOverride w:val="1"/>
      <w:lvl w:ilvl="0" w:tplc="AB5EA2C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5"/>
      <w:lvl w:ilvl="1" w:tplc="1CB8101C">
        <w:start w:val="5"/>
        <w:numFmt w:val="decimal"/>
        <w:lvlText w:val="%2."/>
        <w:lvlJc w:val="left"/>
        <w:pPr>
          <w:ind w:left="11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B422E5C">
        <w:start w:val="1"/>
        <w:numFmt w:val="lowerRoman"/>
        <w:lvlText w:val="%3."/>
        <w:lvlJc w:val="left"/>
        <w:pPr>
          <w:ind w:left="185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104E098">
        <w:start w:val="1"/>
        <w:numFmt w:val="decimal"/>
        <w:lvlText w:val="%4."/>
        <w:lvlJc w:val="left"/>
        <w:pPr>
          <w:ind w:left="257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EE28250">
        <w:start w:val="1"/>
        <w:numFmt w:val="lowerLetter"/>
        <w:lvlText w:val="%5."/>
        <w:lvlJc w:val="left"/>
        <w:pPr>
          <w:ind w:left="329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D267D42">
        <w:start w:val="1"/>
        <w:numFmt w:val="lowerRoman"/>
        <w:lvlText w:val="%6."/>
        <w:lvlJc w:val="left"/>
        <w:pPr>
          <w:ind w:left="401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7B84832">
        <w:start w:val="1"/>
        <w:numFmt w:val="decimal"/>
        <w:lvlText w:val="%7."/>
        <w:lvlJc w:val="left"/>
        <w:pPr>
          <w:ind w:left="47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65CC30C">
        <w:start w:val="1"/>
        <w:numFmt w:val="lowerLetter"/>
        <w:lvlText w:val="%8."/>
        <w:lvlJc w:val="left"/>
        <w:pPr>
          <w:ind w:left="545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37E6814">
        <w:start w:val="1"/>
        <w:numFmt w:val="lowerRoman"/>
        <w:lvlText w:val="%9."/>
        <w:lvlJc w:val="left"/>
        <w:pPr>
          <w:ind w:left="6174" w:hanging="29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32"/>
  </w:num>
  <w:num w:numId="26">
    <w:abstractNumId w:val="33"/>
    <w:lvlOverride w:ilvl="0">
      <w:startOverride w:val="1"/>
      <w:lvl w:ilvl="0" w:tplc="AB5EA2C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6"/>
      <w:lvl w:ilvl="1" w:tplc="1CB8101C">
        <w:start w:val="6"/>
        <w:numFmt w:val="decimal"/>
        <w:lvlText w:val="%2."/>
        <w:lvlJc w:val="left"/>
        <w:pPr>
          <w:ind w:left="11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B422E5C">
        <w:start w:val="1"/>
        <w:numFmt w:val="lowerRoman"/>
        <w:lvlText w:val="%3."/>
        <w:lvlJc w:val="left"/>
        <w:pPr>
          <w:ind w:left="185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104E098">
        <w:start w:val="1"/>
        <w:numFmt w:val="decimal"/>
        <w:lvlText w:val="%4."/>
        <w:lvlJc w:val="left"/>
        <w:pPr>
          <w:ind w:left="257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EE28250">
        <w:start w:val="1"/>
        <w:numFmt w:val="lowerLetter"/>
        <w:lvlText w:val="%5."/>
        <w:lvlJc w:val="left"/>
        <w:pPr>
          <w:ind w:left="329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D267D42">
        <w:start w:val="1"/>
        <w:numFmt w:val="lowerRoman"/>
        <w:lvlText w:val="%6."/>
        <w:lvlJc w:val="left"/>
        <w:pPr>
          <w:ind w:left="401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7B84832">
        <w:start w:val="1"/>
        <w:numFmt w:val="decimal"/>
        <w:lvlText w:val="%7."/>
        <w:lvlJc w:val="left"/>
        <w:pPr>
          <w:ind w:left="47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65CC30C">
        <w:start w:val="1"/>
        <w:numFmt w:val="lowerLetter"/>
        <w:lvlText w:val="%8."/>
        <w:lvlJc w:val="left"/>
        <w:pPr>
          <w:ind w:left="545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37E6814">
        <w:start w:val="1"/>
        <w:numFmt w:val="lowerRoman"/>
        <w:lvlText w:val="%9."/>
        <w:lvlJc w:val="left"/>
        <w:pPr>
          <w:ind w:left="6174" w:hanging="29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7">
    <w:abstractNumId w:val="30"/>
  </w:num>
  <w:num w:numId="28">
    <w:abstractNumId w:val="34"/>
  </w:num>
  <w:num w:numId="29">
    <w:abstractNumId w:val="33"/>
    <w:lvlOverride w:ilvl="0">
      <w:startOverride w:val="4"/>
    </w:lvlOverride>
  </w:num>
  <w:num w:numId="30">
    <w:abstractNumId w:val="27"/>
  </w:num>
  <w:num w:numId="31">
    <w:abstractNumId w:val="12"/>
  </w:num>
  <w:num w:numId="32">
    <w:abstractNumId w:val="15"/>
  </w:num>
  <w:num w:numId="33">
    <w:abstractNumId w:val="18"/>
  </w:num>
  <w:num w:numId="34">
    <w:abstractNumId w:val="0"/>
  </w:num>
  <w:num w:numId="35">
    <w:abstractNumId w:val="14"/>
  </w:num>
  <w:num w:numId="36">
    <w:abstractNumId w:val="28"/>
  </w:num>
  <w:num w:numId="37">
    <w:abstractNumId w:val="29"/>
    <w:lvlOverride w:ilvl="0">
      <w:startOverride w:val="1"/>
    </w:lvlOverride>
    <w:lvlOverride w:ilvl="1"/>
    <w:lvlOverride w:ilvl="2"/>
    <w:lvlOverride w:ilvl="3"/>
    <w:lvlOverride w:ilvl="4"/>
    <w:lvlOverride w:ilvl="5"/>
    <w:lvlOverride w:ilvl="6"/>
    <w:lvlOverride w:ilvl="7"/>
    <w:lvlOverride w:ilvl="8"/>
  </w:num>
  <w:num w:numId="38">
    <w:abstractNumId w:val="31"/>
  </w:num>
  <w:num w:numId="39">
    <w:abstractNumId w:val="7"/>
  </w:num>
  <w:num w:numId="40">
    <w:abstractNumId w:val="29"/>
  </w:num>
  <w:num w:numId="41">
    <w:abstractNumId w:val="35"/>
  </w:num>
  <w:num w:numId="42">
    <w:abstractNumId w:val="13"/>
  </w:num>
  <w:num w:numId="43">
    <w:abstractNumId w:val="10"/>
  </w:num>
  <w:num w:numId="44">
    <w:abstractNumId w:val="22"/>
  </w:num>
  <w:num w:numId="45">
    <w:abstractNumId w:val="21"/>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IE" w:vendorID="64" w:dllVersion="131078" w:nlCheck="1" w:checkStyle="1"/>
  <w:activeWritingStyle w:appName="MSWord" w:lang="en-GB" w:vendorID="64" w:dllVersion="131078" w:nlCheck="1" w:checkStyle="1"/>
  <w:activeWritingStyle w:appName="MSWord" w:lang="fr-FR" w:vendorID="64" w:dllVersion="131078" w:nlCheck="1" w:checkStyle="0"/>
  <w:activeWritingStyle w:appName="MSWord" w:lang="en-US"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64851C4-8A4D-4E30-A7D8-7C49E1487017"/>
    <w:docVar w:name="LW_COVERPAGE_TYPE" w:val="1"/>
    <w:docVar w:name="LW_CROSSREFERENCE" w:val="&lt;UNUSED&gt;"/>
    <w:docVar w:name="LW_DocType" w:val="NORMAL"/>
    <w:docVar w:name="LW_EMISSION" w:val="22.6.2022"/>
    <w:docVar w:name="LW_EMISSION_ISODATE" w:val="2022-06-22"/>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4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a force des partenariats commerciaux: ensemble pour une croissance économique verte et juste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7E6F5E"/>
    <w:rsid w:val="00000635"/>
    <w:rsid w:val="000040D9"/>
    <w:rsid w:val="0000425C"/>
    <w:rsid w:val="00004504"/>
    <w:rsid w:val="00004E9A"/>
    <w:rsid w:val="00011967"/>
    <w:rsid w:val="00011C9A"/>
    <w:rsid w:val="0001251E"/>
    <w:rsid w:val="000134E6"/>
    <w:rsid w:val="000171AA"/>
    <w:rsid w:val="000202C9"/>
    <w:rsid w:val="000203D2"/>
    <w:rsid w:val="00022235"/>
    <w:rsid w:val="00022808"/>
    <w:rsid w:val="000235F9"/>
    <w:rsid w:val="00025B7D"/>
    <w:rsid w:val="00025FE7"/>
    <w:rsid w:val="000276B1"/>
    <w:rsid w:val="000334AA"/>
    <w:rsid w:val="00033B68"/>
    <w:rsid w:val="00034430"/>
    <w:rsid w:val="00034BE0"/>
    <w:rsid w:val="0003738A"/>
    <w:rsid w:val="0004074F"/>
    <w:rsid w:val="00041950"/>
    <w:rsid w:val="0004489F"/>
    <w:rsid w:val="00044BA2"/>
    <w:rsid w:val="00052F74"/>
    <w:rsid w:val="000538EC"/>
    <w:rsid w:val="00054C55"/>
    <w:rsid w:val="0005522B"/>
    <w:rsid w:val="000558DA"/>
    <w:rsid w:val="000600C3"/>
    <w:rsid w:val="000604B0"/>
    <w:rsid w:val="000606BD"/>
    <w:rsid w:val="00061361"/>
    <w:rsid w:val="000622A1"/>
    <w:rsid w:val="000622DE"/>
    <w:rsid w:val="0006391D"/>
    <w:rsid w:val="00065045"/>
    <w:rsid w:val="0006671A"/>
    <w:rsid w:val="00066B41"/>
    <w:rsid w:val="00067AEB"/>
    <w:rsid w:val="0007265E"/>
    <w:rsid w:val="000729B7"/>
    <w:rsid w:val="00073A7F"/>
    <w:rsid w:val="00074094"/>
    <w:rsid w:val="000743F8"/>
    <w:rsid w:val="000752CD"/>
    <w:rsid w:val="00075B74"/>
    <w:rsid w:val="000763AB"/>
    <w:rsid w:val="00076A95"/>
    <w:rsid w:val="00077386"/>
    <w:rsid w:val="00077CB6"/>
    <w:rsid w:val="00077D58"/>
    <w:rsid w:val="00080CC3"/>
    <w:rsid w:val="00080E08"/>
    <w:rsid w:val="00080FDB"/>
    <w:rsid w:val="00081D02"/>
    <w:rsid w:val="0008322D"/>
    <w:rsid w:val="000838D1"/>
    <w:rsid w:val="00083945"/>
    <w:rsid w:val="00085D6D"/>
    <w:rsid w:val="00086F3C"/>
    <w:rsid w:val="00087086"/>
    <w:rsid w:val="000870BF"/>
    <w:rsid w:val="00087316"/>
    <w:rsid w:val="00090E1A"/>
    <w:rsid w:val="000910EE"/>
    <w:rsid w:val="00091C85"/>
    <w:rsid w:val="0009624C"/>
    <w:rsid w:val="000972D6"/>
    <w:rsid w:val="000A06CA"/>
    <w:rsid w:val="000A15A1"/>
    <w:rsid w:val="000A1748"/>
    <w:rsid w:val="000A176B"/>
    <w:rsid w:val="000A1F1D"/>
    <w:rsid w:val="000A3DEE"/>
    <w:rsid w:val="000A3EE8"/>
    <w:rsid w:val="000A4274"/>
    <w:rsid w:val="000A6123"/>
    <w:rsid w:val="000A6B1B"/>
    <w:rsid w:val="000A7B5F"/>
    <w:rsid w:val="000A7CAB"/>
    <w:rsid w:val="000B0F9A"/>
    <w:rsid w:val="000B15D3"/>
    <w:rsid w:val="000B173E"/>
    <w:rsid w:val="000B540A"/>
    <w:rsid w:val="000B56BE"/>
    <w:rsid w:val="000B6598"/>
    <w:rsid w:val="000B7731"/>
    <w:rsid w:val="000C59C5"/>
    <w:rsid w:val="000C5FD2"/>
    <w:rsid w:val="000C652A"/>
    <w:rsid w:val="000C753D"/>
    <w:rsid w:val="000C78E2"/>
    <w:rsid w:val="000D047A"/>
    <w:rsid w:val="000D0BCC"/>
    <w:rsid w:val="000D1E6F"/>
    <w:rsid w:val="000D382B"/>
    <w:rsid w:val="000D609A"/>
    <w:rsid w:val="000E0632"/>
    <w:rsid w:val="000E0D7A"/>
    <w:rsid w:val="000E2457"/>
    <w:rsid w:val="000E4726"/>
    <w:rsid w:val="000E49C0"/>
    <w:rsid w:val="000E61A6"/>
    <w:rsid w:val="000E6265"/>
    <w:rsid w:val="000E6D3E"/>
    <w:rsid w:val="000E73B9"/>
    <w:rsid w:val="000E7518"/>
    <w:rsid w:val="000F075F"/>
    <w:rsid w:val="000F3DFC"/>
    <w:rsid w:val="000F6090"/>
    <w:rsid w:val="000F780C"/>
    <w:rsid w:val="001004C0"/>
    <w:rsid w:val="00102D87"/>
    <w:rsid w:val="00107F02"/>
    <w:rsid w:val="00114E8E"/>
    <w:rsid w:val="00115E48"/>
    <w:rsid w:val="00116CC6"/>
    <w:rsid w:val="0012225C"/>
    <w:rsid w:val="00122B1C"/>
    <w:rsid w:val="001233E0"/>
    <w:rsid w:val="001269C3"/>
    <w:rsid w:val="00127048"/>
    <w:rsid w:val="00127DAC"/>
    <w:rsid w:val="00130C7F"/>
    <w:rsid w:val="00133DF7"/>
    <w:rsid w:val="001349CB"/>
    <w:rsid w:val="00134A18"/>
    <w:rsid w:val="00134E99"/>
    <w:rsid w:val="00135F1C"/>
    <w:rsid w:val="001360BA"/>
    <w:rsid w:val="001412D2"/>
    <w:rsid w:val="00142F91"/>
    <w:rsid w:val="00144C3B"/>
    <w:rsid w:val="00145785"/>
    <w:rsid w:val="00146B7B"/>
    <w:rsid w:val="00151204"/>
    <w:rsid w:val="001551F6"/>
    <w:rsid w:val="0015662A"/>
    <w:rsid w:val="001573C8"/>
    <w:rsid w:val="00161619"/>
    <w:rsid w:val="0016417F"/>
    <w:rsid w:val="001659AF"/>
    <w:rsid w:val="00165E05"/>
    <w:rsid w:val="00166142"/>
    <w:rsid w:val="001664A1"/>
    <w:rsid w:val="0016727A"/>
    <w:rsid w:val="001678AF"/>
    <w:rsid w:val="001709F6"/>
    <w:rsid w:val="001734EC"/>
    <w:rsid w:val="0017404F"/>
    <w:rsid w:val="001765C0"/>
    <w:rsid w:val="00177203"/>
    <w:rsid w:val="001775A7"/>
    <w:rsid w:val="00177E78"/>
    <w:rsid w:val="00183EC3"/>
    <w:rsid w:val="00184070"/>
    <w:rsid w:val="00186827"/>
    <w:rsid w:val="001878D7"/>
    <w:rsid w:val="001918B8"/>
    <w:rsid w:val="0019381B"/>
    <w:rsid w:val="00193A67"/>
    <w:rsid w:val="0019619F"/>
    <w:rsid w:val="00196E35"/>
    <w:rsid w:val="001A01A5"/>
    <w:rsid w:val="001A15AA"/>
    <w:rsid w:val="001A1FDA"/>
    <w:rsid w:val="001A2D4E"/>
    <w:rsid w:val="001A327B"/>
    <w:rsid w:val="001A3889"/>
    <w:rsid w:val="001A4896"/>
    <w:rsid w:val="001A63D3"/>
    <w:rsid w:val="001B119A"/>
    <w:rsid w:val="001B22DB"/>
    <w:rsid w:val="001B285D"/>
    <w:rsid w:val="001B29D2"/>
    <w:rsid w:val="001B3FA7"/>
    <w:rsid w:val="001B5429"/>
    <w:rsid w:val="001C1574"/>
    <w:rsid w:val="001D1784"/>
    <w:rsid w:val="001D1F92"/>
    <w:rsid w:val="001D58F9"/>
    <w:rsid w:val="001D6675"/>
    <w:rsid w:val="001D7846"/>
    <w:rsid w:val="001D7880"/>
    <w:rsid w:val="001E38D4"/>
    <w:rsid w:val="001E443E"/>
    <w:rsid w:val="001E5B01"/>
    <w:rsid w:val="001E75A2"/>
    <w:rsid w:val="001E7F55"/>
    <w:rsid w:val="001F02ED"/>
    <w:rsid w:val="001F06F2"/>
    <w:rsid w:val="001F1776"/>
    <w:rsid w:val="001F3051"/>
    <w:rsid w:val="001F44C3"/>
    <w:rsid w:val="001F5CDC"/>
    <w:rsid w:val="001F6FFE"/>
    <w:rsid w:val="001F7700"/>
    <w:rsid w:val="00200118"/>
    <w:rsid w:val="00201D18"/>
    <w:rsid w:val="00203BDB"/>
    <w:rsid w:val="00205505"/>
    <w:rsid w:val="00205C7B"/>
    <w:rsid w:val="00206A36"/>
    <w:rsid w:val="0021153A"/>
    <w:rsid w:val="002119F2"/>
    <w:rsid w:val="00212FF8"/>
    <w:rsid w:val="002163C1"/>
    <w:rsid w:val="00217AD0"/>
    <w:rsid w:val="0022099B"/>
    <w:rsid w:val="002211CE"/>
    <w:rsid w:val="002225AA"/>
    <w:rsid w:val="00223788"/>
    <w:rsid w:val="002239D2"/>
    <w:rsid w:val="00227131"/>
    <w:rsid w:val="002302B6"/>
    <w:rsid w:val="00230F3F"/>
    <w:rsid w:val="00231E78"/>
    <w:rsid w:val="00234B7C"/>
    <w:rsid w:val="002361D3"/>
    <w:rsid w:val="00241126"/>
    <w:rsid w:val="00241999"/>
    <w:rsid w:val="0024793D"/>
    <w:rsid w:val="00247F2F"/>
    <w:rsid w:val="002524D7"/>
    <w:rsid w:val="0025342B"/>
    <w:rsid w:val="0025533C"/>
    <w:rsid w:val="00256229"/>
    <w:rsid w:val="00257700"/>
    <w:rsid w:val="002620E1"/>
    <w:rsid w:val="002642C1"/>
    <w:rsid w:val="0026538F"/>
    <w:rsid w:val="00266AC3"/>
    <w:rsid w:val="00271445"/>
    <w:rsid w:val="00271930"/>
    <w:rsid w:val="00271D68"/>
    <w:rsid w:val="00272807"/>
    <w:rsid w:val="00272D43"/>
    <w:rsid w:val="00272E82"/>
    <w:rsid w:val="00273210"/>
    <w:rsid w:val="00274176"/>
    <w:rsid w:val="00274930"/>
    <w:rsid w:val="00274CC0"/>
    <w:rsid w:val="00274DC3"/>
    <w:rsid w:val="00277C90"/>
    <w:rsid w:val="002806D1"/>
    <w:rsid w:val="00280865"/>
    <w:rsid w:val="002830CF"/>
    <w:rsid w:val="00284CAE"/>
    <w:rsid w:val="002875E3"/>
    <w:rsid w:val="002918DA"/>
    <w:rsid w:val="00293933"/>
    <w:rsid w:val="002A070D"/>
    <w:rsid w:val="002A214D"/>
    <w:rsid w:val="002A31F7"/>
    <w:rsid w:val="002A3BC5"/>
    <w:rsid w:val="002A47CC"/>
    <w:rsid w:val="002A5F7B"/>
    <w:rsid w:val="002A6D0F"/>
    <w:rsid w:val="002A708C"/>
    <w:rsid w:val="002B14F4"/>
    <w:rsid w:val="002B4112"/>
    <w:rsid w:val="002B6B02"/>
    <w:rsid w:val="002C101E"/>
    <w:rsid w:val="002C3095"/>
    <w:rsid w:val="002C5625"/>
    <w:rsid w:val="002C6546"/>
    <w:rsid w:val="002D0E31"/>
    <w:rsid w:val="002D24DA"/>
    <w:rsid w:val="002D2615"/>
    <w:rsid w:val="002D29A1"/>
    <w:rsid w:val="002D312B"/>
    <w:rsid w:val="002D7755"/>
    <w:rsid w:val="002D779A"/>
    <w:rsid w:val="002E117B"/>
    <w:rsid w:val="002E3E5D"/>
    <w:rsid w:val="002E70E9"/>
    <w:rsid w:val="002F01DF"/>
    <w:rsid w:val="002F2145"/>
    <w:rsid w:val="002F30C9"/>
    <w:rsid w:val="002F377E"/>
    <w:rsid w:val="002F39BA"/>
    <w:rsid w:val="00302232"/>
    <w:rsid w:val="003027BC"/>
    <w:rsid w:val="00303C34"/>
    <w:rsid w:val="00303E8A"/>
    <w:rsid w:val="00304BE6"/>
    <w:rsid w:val="00310F02"/>
    <w:rsid w:val="00312591"/>
    <w:rsid w:val="00314137"/>
    <w:rsid w:val="00314145"/>
    <w:rsid w:val="003144DD"/>
    <w:rsid w:val="00314605"/>
    <w:rsid w:val="003146D9"/>
    <w:rsid w:val="00315A1F"/>
    <w:rsid w:val="00316ADB"/>
    <w:rsid w:val="00317301"/>
    <w:rsid w:val="00317630"/>
    <w:rsid w:val="003228A4"/>
    <w:rsid w:val="00322BE8"/>
    <w:rsid w:val="00322FBB"/>
    <w:rsid w:val="00323945"/>
    <w:rsid w:val="0032464E"/>
    <w:rsid w:val="00324BFB"/>
    <w:rsid w:val="00324E87"/>
    <w:rsid w:val="00325DB3"/>
    <w:rsid w:val="00330B13"/>
    <w:rsid w:val="00336649"/>
    <w:rsid w:val="00336C0A"/>
    <w:rsid w:val="00337784"/>
    <w:rsid w:val="0034083C"/>
    <w:rsid w:val="00343F51"/>
    <w:rsid w:val="0034624A"/>
    <w:rsid w:val="003479B8"/>
    <w:rsid w:val="00347D08"/>
    <w:rsid w:val="003527E1"/>
    <w:rsid w:val="00353484"/>
    <w:rsid w:val="00362331"/>
    <w:rsid w:val="003626C5"/>
    <w:rsid w:val="00362AF8"/>
    <w:rsid w:val="00363F2D"/>
    <w:rsid w:val="00365171"/>
    <w:rsid w:val="0036688D"/>
    <w:rsid w:val="00367FFE"/>
    <w:rsid w:val="0037134B"/>
    <w:rsid w:val="00373E01"/>
    <w:rsid w:val="00374B73"/>
    <w:rsid w:val="00377D69"/>
    <w:rsid w:val="00377DED"/>
    <w:rsid w:val="00381BCB"/>
    <w:rsid w:val="00382D91"/>
    <w:rsid w:val="003854C6"/>
    <w:rsid w:val="00385C1E"/>
    <w:rsid w:val="00390743"/>
    <w:rsid w:val="00390AEF"/>
    <w:rsid w:val="00393CAC"/>
    <w:rsid w:val="00394187"/>
    <w:rsid w:val="003977B9"/>
    <w:rsid w:val="003A0CEF"/>
    <w:rsid w:val="003A2D18"/>
    <w:rsid w:val="003A4708"/>
    <w:rsid w:val="003A55E9"/>
    <w:rsid w:val="003A6492"/>
    <w:rsid w:val="003A6A79"/>
    <w:rsid w:val="003A6B28"/>
    <w:rsid w:val="003B1C75"/>
    <w:rsid w:val="003B396B"/>
    <w:rsid w:val="003B5167"/>
    <w:rsid w:val="003C23ED"/>
    <w:rsid w:val="003C3FB9"/>
    <w:rsid w:val="003C5B87"/>
    <w:rsid w:val="003C5BC6"/>
    <w:rsid w:val="003C73A6"/>
    <w:rsid w:val="003D0128"/>
    <w:rsid w:val="003D089E"/>
    <w:rsid w:val="003D09EF"/>
    <w:rsid w:val="003D0ABD"/>
    <w:rsid w:val="003D46FB"/>
    <w:rsid w:val="003D4A9E"/>
    <w:rsid w:val="003D674C"/>
    <w:rsid w:val="003D6B7B"/>
    <w:rsid w:val="003D6BC2"/>
    <w:rsid w:val="003D6C12"/>
    <w:rsid w:val="003D75FF"/>
    <w:rsid w:val="003E442A"/>
    <w:rsid w:val="003E698B"/>
    <w:rsid w:val="003E7510"/>
    <w:rsid w:val="003F04D6"/>
    <w:rsid w:val="003F295A"/>
    <w:rsid w:val="003F2EB5"/>
    <w:rsid w:val="003F2F27"/>
    <w:rsid w:val="003F3C25"/>
    <w:rsid w:val="003F6983"/>
    <w:rsid w:val="003F75DF"/>
    <w:rsid w:val="00402CF9"/>
    <w:rsid w:val="0040416A"/>
    <w:rsid w:val="00405664"/>
    <w:rsid w:val="0040679B"/>
    <w:rsid w:val="00407A14"/>
    <w:rsid w:val="004101A9"/>
    <w:rsid w:val="00411824"/>
    <w:rsid w:val="00414102"/>
    <w:rsid w:val="00414C73"/>
    <w:rsid w:val="004165AE"/>
    <w:rsid w:val="00417B0D"/>
    <w:rsid w:val="00421A47"/>
    <w:rsid w:val="004234AA"/>
    <w:rsid w:val="004235F9"/>
    <w:rsid w:val="004266DE"/>
    <w:rsid w:val="00432567"/>
    <w:rsid w:val="00432CCF"/>
    <w:rsid w:val="00433576"/>
    <w:rsid w:val="004353EF"/>
    <w:rsid w:val="0044067B"/>
    <w:rsid w:val="00441A86"/>
    <w:rsid w:val="00441E76"/>
    <w:rsid w:val="0044291C"/>
    <w:rsid w:val="0044343B"/>
    <w:rsid w:val="00444833"/>
    <w:rsid w:val="004450C1"/>
    <w:rsid w:val="00446CE5"/>
    <w:rsid w:val="004500F5"/>
    <w:rsid w:val="0045051B"/>
    <w:rsid w:val="0045091C"/>
    <w:rsid w:val="00450BEB"/>
    <w:rsid w:val="00450C0B"/>
    <w:rsid w:val="00452DE5"/>
    <w:rsid w:val="004538FB"/>
    <w:rsid w:val="004606B3"/>
    <w:rsid w:val="00460BF1"/>
    <w:rsid w:val="004617F4"/>
    <w:rsid w:val="00462ACE"/>
    <w:rsid w:val="0046474A"/>
    <w:rsid w:val="00466E0A"/>
    <w:rsid w:val="00467F99"/>
    <w:rsid w:val="00470379"/>
    <w:rsid w:val="004772C1"/>
    <w:rsid w:val="00480536"/>
    <w:rsid w:val="00480A66"/>
    <w:rsid w:val="00480CCA"/>
    <w:rsid w:val="00480F21"/>
    <w:rsid w:val="00486F6C"/>
    <w:rsid w:val="00492323"/>
    <w:rsid w:val="00492F8B"/>
    <w:rsid w:val="00493FD6"/>
    <w:rsid w:val="004953A4"/>
    <w:rsid w:val="004A16C7"/>
    <w:rsid w:val="004A1A76"/>
    <w:rsid w:val="004A2BDB"/>
    <w:rsid w:val="004A4954"/>
    <w:rsid w:val="004A6F96"/>
    <w:rsid w:val="004A75F0"/>
    <w:rsid w:val="004B159A"/>
    <w:rsid w:val="004B3BC5"/>
    <w:rsid w:val="004B4596"/>
    <w:rsid w:val="004B469E"/>
    <w:rsid w:val="004B55E2"/>
    <w:rsid w:val="004B5FEF"/>
    <w:rsid w:val="004B6DC9"/>
    <w:rsid w:val="004B7ECE"/>
    <w:rsid w:val="004C07D5"/>
    <w:rsid w:val="004C1A84"/>
    <w:rsid w:val="004C775A"/>
    <w:rsid w:val="004D1E90"/>
    <w:rsid w:val="004D28E0"/>
    <w:rsid w:val="004D2B23"/>
    <w:rsid w:val="004D73F8"/>
    <w:rsid w:val="004D7857"/>
    <w:rsid w:val="004E0610"/>
    <w:rsid w:val="004E0779"/>
    <w:rsid w:val="004E1184"/>
    <w:rsid w:val="004E198B"/>
    <w:rsid w:val="004E41A8"/>
    <w:rsid w:val="004E429F"/>
    <w:rsid w:val="004E57CE"/>
    <w:rsid w:val="004E6DCC"/>
    <w:rsid w:val="004E6F58"/>
    <w:rsid w:val="004F0442"/>
    <w:rsid w:val="004F3ABD"/>
    <w:rsid w:val="004F4095"/>
    <w:rsid w:val="004F7B85"/>
    <w:rsid w:val="00500CD5"/>
    <w:rsid w:val="00504727"/>
    <w:rsid w:val="005052E7"/>
    <w:rsid w:val="0051125A"/>
    <w:rsid w:val="00511DD4"/>
    <w:rsid w:val="0051684D"/>
    <w:rsid w:val="0052206E"/>
    <w:rsid w:val="00522E6C"/>
    <w:rsid w:val="00522F32"/>
    <w:rsid w:val="00526E1C"/>
    <w:rsid w:val="0053053E"/>
    <w:rsid w:val="005330E3"/>
    <w:rsid w:val="00533CC5"/>
    <w:rsid w:val="00534014"/>
    <w:rsid w:val="0053543F"/>
    <w:rsid w:val="00536178"/>
    <w:rsid w:val="00537F24"/>
    <w:rsid w:val="00541FD7"/>
    <w:rsid w:val="0054245C"/>
    <w:rsid w:val="0054321B"/>
    <w:rsid w:val="00546A83"/>
    <w:rsid w:val="00546EE1"/>
    <w:rsid w:val="005477C0"/>
    <w:rsid w:val="005502A4"/>
    <w:rsid w:val="00550FC0"/>
    <w:rsid w:val="00550FD0"/>
    <w:rsid w:val="00556712"/>
    <w:rsid w:val="00556C0C"/>
    <w:rsid w:val="00556D95"/>
    <w:rsid w:val="0056076E"/>
    <w:rsid w:val="0056190B"/>
    <w:rsid w:val="00564072"/>
    <w:rsid w:val="00565307"/>
    <w:rsid w:val="00567AC8"/>
    <w:rsid w:val="00570080"/>
    <w:rsid w:val="0057126E"/>
    <w:rsid w:val="00571B60"/>
    <w:rsid w:val="00574C06"/>
    <w:rsid w:val="00575934"/>
    <w:rsid w:val="00577C20"/>
    <w:rsid w:val="0058357D"/>
    <w:rsid w:val="0058515A"/>
    <w:rsid w:val="00586756"/>
    <w:rsid w:val="00586B86"/>
    <w:rsid w:val="00587C7C"/>
    <w:rsid w:val="00590314"/>
    <w:rsid w:val="00592B18"/>
    <w:rsid w:val="0059342F"/>
    <w:rsid w:val="00593B0A"/>
    <w:rsid w:val="005972F0"/>
    <w:rsid w:val="00597D7A"/>
    <w:rsid w:val="005A2E48"/>
    <w:rsid w:val="005A3DD2"/>
    <w:rsid w:val="005A431B"/>
    <w:rsid w:val="005A4CEA"/>
    <w:rsid w:val="005A5500"/>
    <w:rsid w:val="005B1AAF"/>
    <w:rsid w:val="005B2178"/>
    <w:rsid w:val="005B2F1C"/>
    <w:rsid w:val="005B3924"/>
    <w:rsid w:val="005B48CA"/>
    <w:rsid w:val="005B6D0D"/>
    <w:rsid w:val="005C00CB"/>
    <w:rsid w:val="005C0793"/>
    <w:rsid w:val="005C1C21"/>
    <w:rsid w:val="005C21F0"/>
    <w:rsid w:val="005C251C"/>
    <w:rsid w:val="005C2C4B"/>
    <w:rsid w:val="005C57AD"/>
    <w:rsid w:val="005C5AF1"/>
    <w:rsid w:val="005C6F3A"/>
    <w:rsid w:val="005D0AB7"/>
    <w:rsid w:val="005D15B8"/>
    <w:rsid w:val="005D43AB"/>
    <w:rsid w:val="005D4F8F"/>
    <w:rsid w:val="005D6FEB"/>
    <w:rsid w:val="005E0935"/>
    <w:rsid w:val="005E5F58"/>
    <w:rsid w:val="005F034E"/>
    <w:rsid w:val="005F1289"/>
    <w:rsid w:val="005F1CDF"/>
    <w:rsid w:val="005F6351"/>
    <w:rsid w:val="0060000B"/>
    <w:rsid w:val="00601537"/>
    <w:rsid w:val="0060307A"/>
    <w:rsid w:val="00603CCE"/>
    <w:rsid w:val="006050B1"/>
    <w:rsid w:val="00605766"/>
    <w:rsid w:val="006074C8"/>
    <w:rsid w:val="006076DD"/>
    <w:rsid w:val="006118E0"/>
    <w:rsid w:val="0061305C"/>
    <w:rsid w:val="0061392F"/>
    <w:rsid w:val="00614BAD"/>
    <w:rsid w:val="0061509F"/>
    <w:rsid w:val="00615C5E"/>
    <w:rsid w:val="00616D2D"/>
    <w:rsid w:val="006216AA"/>
    <w:rsid w:val="00621AB3"/>
    <w:rsid w:val="00621E41"/>
    <w:rsid w:val="00624D50"/>
    <w:rsid w:val="0062685C"/>
    <w:rsid w:val="00626FE8"/>
    <w:rsid w:val="00627A5C"/>
    <w:rsid w:val="00630151"/>
    <w:rsid w:val="006325D1"/>
    <w:rsid w:val="00637116"/>
    <w:rsid w:val="00637CC0"/>
    <w:rsid w:val="00642839"/>
    <w:rsid w:val="00643EBF"/>
    <w:rsid w:val="006444BB"/>
    <w:rsid w:val="006460A1"/>
    <w:rsid w:val="0064612F"/>
    <w:rsid w:val="006475C1"/>
    <w:rsid w:val="00647855"/>
    <w:rsid w:val="006519EF"/>
    <w:rsid w:val="00651AD0"/>
    <w:rsid w:val="00653DFB"/>
    <w:rsid w:val="00655213"/>
    <w:rsid w:val="00655E59"/>
    <w:rsid w:val="00655FBE"/>
    <w:rsid w:val="00660B2E"/>
    <w:rsid w:val="00661535"/>
    <w:rsid w:val="006637F6"/>
    <w:rsid w:val="006641B2"/>
    <w:rsid w:val="00667D3A"/>
    <w:rsid w:val="0067047B"/>
    <w:rsid w:val="006707DB"/>
    <w:rsid w:val="00680DE8"/>
    <w:rsid w:val="00680EB2"/>
    <w:rsid w:val="00693370"/>
    <w:rsid w:val="00695916"/>
    <w:rsid w:val="00696063"/>
    <w:rsid w:val="00696707"/>
    <w:rsid w:val="006A0FD4"/>
    <w:rsid w:val="006A499F"/>
    <w:rsid w:val="006A57C5"/>
    <w:rsid w:val="006B157B"/>
    <w:rsid w:val="006B1C80"/>
    <w:rsid w:val="006B3EF4"/>
    <w:rsid w:val="006B6806"/>
    <w:rsid w:val="006B7028"/>
    <w:rsid w:val="006B799A"/>
    <w:rsid w:val="006C0F2B"/>
    <w:rsid w:val="006C0FE7"/>
    <w:rsid w:val="006C1549"/>
    <w:rsid w:val="006C23D5"/>
    <w:rsid w:val="006C3072"/>
    <w:rsid w:val="006C6456"/>
    <w:rsid w:val="006C7E09"/>
    <w:rsid w:val="006D13AA"/>
    <w:rsid w:val="006D23FF"/>
    <w:rsid w:val="006D3494"/>
    <w:rsid w:val="006D5D64"/>
    <w:rsid w:val="006D6161"/>
    <w:rsid w:val="006D646D"/>
    <w:rsid w:val="006D7BB3"/>
    <w:rsid w:val="006E0E37"/>
    <w:rsid w:val="006E1241"/>
    <w:rsid w:val="006E1445"/>
    <w:rsid w:val="006E14ED"/>
    <w:rsid w:val="006E280C"/>
    <w:rsid w:val="006E3032"/>
    <w:rsid w:val="006E465D"/>
    <w:rsid w:val="006E666B"/>
    <w:rsid w:val="006E77B2"/>
    <w:rsid w:val="006F0931"/>
    <w:rsid w:val="006F24AC"/>
    <w:rsid w:val="006F25BF"/>
    <w:rsid w:val="006F536F"/>
    <w:rsid w:val="006F61AB"/>
    <w:rsid w:val="006F68FD"/>
    <w:rsid w:val="007018A3"/>
    <w:rsid w:val="00701970"/>
    <w:rsid w:val="007033D7"/>
    <w:rsid w:val="007043AA"/>
    <w:rsid w:val="00706C24"/>
    <w:rsid w:val="0070715B"/>
    <w:rsid w:val="00710B7E"/>
    <w:rsid w:val="00713137"/>
    <w:rsid w:val="007132C0"/>
    <w:rsid w:val="007150A7"/>
    <w:rsid w:val="0072099B"/>
    <w:rsid w:val="0072207C"/>
    <w:rsid w:val="00723509"/>
    <w:rsid w:val="00726DD1"/>
    <w:rsid w:val="007322CF"/>
    <w:rsid w:val="00732423"/>
    <w:rsid w:val="00732840"/>
    <w:rsid w:val="0073707A"/>
    <w:rsid w:val="007379D5"/>
    <w:rsid w:val="00741309"/>
    <w:rsid w:val="007459E8"/>
    <w:rsid w:val="00747AFD"/>
    <w:rsid w:val="007513CD"/>
    <w:rsid w:val="00752B51"/>
    <w:rsid w:val="007560E7"/>
    <w:rsid w:val="007566EA"/>
    <w:rsid w:val="00756D93"/>
    <w:rsid w:val="007627C9"/>
    <w:rsid w:val="00762AF0"/>
    <w:rsid w:val="00762BB4"/>
    <w:rsid w:val="007660D0"/>
    <w:rsid w:val="007707BA"/>
    <w:rsid w:val="00770DA6"/>
    <w:rsid w:val="007714FA"/>
    <w:rsid w:val="00772578"/>
    <w:rsid w:val="00772CAB"/>
    <w:rsid w:val="00773F59"/>
    <w:rsid w:val="0077730A"/>
    <w:rsid w:val="00777E16"/>
    <w:rsid w:val="007809B1"/>
    <w:rsid w:val="00780A56"/>
    <w:rsid w:val="0078197A"/>
    <w:rsid w:val="00782935"/>
    <w:rsid w:val="00782E93"/>
    <w:rsid w:val="00784599"/>
    <w:rsid w:val="00784DDB"/>
    <w:rsid w:val="0078574B"/>
    <w:rsid w:val="00785844"/>
    <w:rsid w:val="007908A6"/>
    <w:rsid w:val="00792D36"/>
    <w:rsid w:val="007934B7"/>
    <w:rsid w:val="0079384C"/>
    <w:rsid w:val="00793BBD"/>
    <w:rsid w:val="00794AC6"/>
    <w:rsid w:val="00794CC2"/>
    <w:rsid w:val="00796053"/>
    <w:rsid w:val="007960A6"/>
    <w:rsid w:val="00796BEA"/>
    <w:rsid w:val="007970DF"/>
    <w:rsid w:val="007972C2"/>
    <w:rsid w:val="007A068B"/>
    <w:rsid w:val="007A0D70"/>
    <w:rsid w:val="007A174B"/>
    <w:rsid w:val="007A1B08"/>
    <w:rsid w:val="007A1DD3"/>
    <w:rsid w:val="007A25F7"/>
    <w:rsid w:val="007A44E6"/>
    <w:rsid w:val="007A5A87"/>
    <w:rsid w:val="007A5F44"/>
    <w:rsid w:val="007B0EC4"/>
    <w:rsid w:val="007B1BF8"/>
    <w:rsid w:val="007B241B"/>
    <w:rsid w:val="007B3E48"/>
    <w:rsid w:val="007B487B"/>
    <w:rsid w:val="007B6500"/>
    <w:rsid w:val="007C1BBD"/>
    <w:rsid w:val="007C6340"/>
    <w:rsid w:val="007D0BB5"/>
    <w:rsid w:val="007D3A52"/>
    <w:rsid w:val="007D4C29"/>
    <w:rsid w:val="007D4D40"/>
    <w:rsid w:val="007D5B6D"/>
    <w:rsid w:val="007D5C7C"/>
    <w:rsid w:val="007E0234"/>
    <w:rsid w:val="007E0A7D"/>
    <w:rsid w:val="007E2788"/>
    <w:rsid w:val="007E2B7E"/>
    <w:rsid w:val="007E2CFB"/>
    <w:rsid w:val="007E3417"/>
    <w:rsid w:val="007E4014"/>
    <w:rsid w:val="007E431D"/>
    <w:rsid w:val="007E48B4"/>
    <w:rsid w:val="007E552D"/>
    <w:rsid w:val="007E6F5E"/>
    <w:rsid w:val="007E7805"/>
    <w:rsid w:val="007F1657"/>
    <w:rsid w:val="007F2475"/>
    <w:rsid w:val="007F2E53"/>
    <w:rsid w:val="007F4B20"/>
    <w:rsid w:val="007F4B82"/>
    <w:rsid w:val="007F53C1"/>
    <w:rsid w:val="007F57CE"/>
    <w:rsid w:val="007F5EFC"/>
    <w:rsid w:val="008009F2"/>
    <w:rsid w:val="00801F8A"/>
    <w:rsid w:val="00802814"/>
    <w:rsid w:val="008037A4"/>
    <w:rsid w:val="00807187"/>
    <w:rsid w:val="0080719A"/>
    <w:rsid w:val="00810763"/>
    <w:rsid w:val="00811628"/>
    <w:rsid w:val="0081400C"/>
    <w:rsid w:val="00814025"/>
    <w:rsid w:val="008167EA"/>
    <w:rsid w:val="00816FB9"/>
    <w:rsid w:val="00817798"/>
    <w:rsid w:val="00822EA2"/>
    <w:rsid w:val="008236B0"/>
    <w:rsid w:val="008275A0"/>
    <w:rsid w:val="00827678"/>
    <w:rsid w:val="00830587"/>
    <w:rsid w:val="00833DD2"/>
    <w:rsid w:val="008340B8"/>
    <w:rsid w:val="00834FBA"/>
    <w:rsid w:val="0083609D"/>
    <w:rsid w:val="00836138"/>
    <w:rsid w:val="0083673E"/>
    <w:rsid w:val="00836C56"/>
    <w:rsid w:val="008378CC"/>
    <w:rsid w:val="008379F9"/>
    <w:rsid w:val="0084309C"/>
    <w:rsid w:val="00846B3D"/>
    <w:rsid w:val="00846C44"/>
    <w:rsid w:val="00851E06"/>
    <w:rsid w:val="008521B3"/>
    <w:rsid w:val="00852702"/>
    <w:rsid w:val="00854096"/>
    <w:rsid w:val="00854981"/>
    <w:rsid w:val="00856635"/>
    <w:rsid w:val="0085741F"/>
    <w:rsid w:val="008675DF"/>
    <w:rsid w:val="008705B3"/>
    <w:rsid w:val="00873F8D"/>
    <w:rsid w:val="008740E5"/>
    <w:rsid w:val="00875CBB"/>
    <w:rsid w:val="00876001"/>
    <w:rsid w:val="00876516"/>
    <w:rsid w:val="008827E2"/>
    <w:rsid w:val="008858CA"/>
    <w:rsid w:val="00886191"/>
    <w:rsid w:val="00893D46"/>
    <w:rsid w:val="00893FF8"/>
    <w:rsid w:val="00894F16"/>
    <w:rsid w:val="00897154"/>
    <w:rsid w:val="0089778F"/>
    <w:rsid w:val="008A0819"/>
    <w:rsid w:val="008A19A1"/>
    <w:rsid w:val="008A25AF"/>
    <w:rsid w:val="008A294E"/>
    <w:rsid w:val="008A2E48"/>
    <w:rsid w:val="008A43D8"/>
    <w:rsid w:val="008A441C"/>
    <w:rsid w:val="008A4708"/>
    <w:rsid w:val="008A47CC"/>
    <w:rsid w:val="008A6A3B"/>
    <w:rsid w:val="008A7634"/>
    <w:rsid w:val="008A77EE"/>
    <w:rsid w:val="008B1DDB"/>
    <w:rsid w:val="008B4C16"/>
    <w:rsid w:val="008B4CCD"/>
    <w:rsid w:val="008B6415"/>
    <w:rsid w:val="008B67EA"/>
    <w:rsid w:val="008C09E7"/>
    <w:rsid w:val="008C14DD"/>
    <w:rsid w:val="008C2F16"/>
    <w:rsid w:val="008C4B8B"/>
    <w:rsid w:val="008C5A67"/>
    <w:rsid w:val="008C5E82"/>
    <w:rsid w:val="008C61CD"/>
    <w:rsid w:val="008D0CF9"/>
    <w:rsid w:val="008D21FA"/>
    <w:rsid w:val="008D4203"/>
    <w:rsid w:val="008D5D3E"/>
    <w:rsid w:val="008E0FB2"/>
    <w:rsid w:val="008E1056"/>
    <w:rsid w:val="008E1A52"/>
    <w:rsid w:val="008E415D"/>
    <w:rsid w:val="008F0B6D"/>
    <w:rsid w:val="0090092D"/>
    <w:rsid w:val="00901859"/>
    <w:rsid w:val="0090198C"/>
    <w:rsid w:val="009024E5"/>
    <w:rsid w:val="009031D2"/>
    <w:rsid w:val="009043E9"/>
    <w:rsid w:val="00913D66"/>
    <w:rsid w:val="009171B7"/>
    <w:rsid w:val="00917DBB"/>
    <w:rsid w:val="00920179"/>
    <w:rsid w:val="00920A3D"/>
    <w:rsid w:val="00922513"/>
    <w:rsid w:val="009237EE"/>
    <w:rsid w:val="00924538"/>
    <w:rsid w:val="00924546"/>
    <w:rsid w:val="00924E88"/>
    <w:rsid w:val="009277D0"/>
    <w:rsid w:val="009322F0"/>
    <w:rsid w:val="00932512"/>
    <w:rsid w:val="00940593"/>
    <w:rsid w:val="00941348"/>
    <w:rsid w:val="009413AA"/>
    <w:rsid w:val="0094490D"/>
    <w:rsid w:val="00944E72"/>
    <w:rsid w:val="0094602E"/>
    <w:rsid w:val="0094692D"/>
    <w:rsid w:val="00950AD8"/>
    <w:rsid w:val="009545E8"/>
    <w:rsid w:val="00957ED6"/>
    <w:rsid w:val="009628C4"/>
    <w:rsid w:val="009655B4"/>
    <w:rsid w:val="00965A33"/>
    <w:rsid w:val="00966114"/>
    <w:rsid w:val="009667C3"/>
    <w:rsid w:val="00971459"/>
    <w:rsid w:val="00971DB9"/>
    <w:rsid w:val="00973743"/>
    <w:rsid w:val="009740F5"/>
    <w:rsid w:val="0097533B"/>
    <w:rsid w:val="009766B4"/>
    <w:rsid w:val="0097716A"/>
    <w:rsid w:val="009804D6"/>
    <w:rsid w:val="00980D18"/>
    <w:rsid w:val="0098135E"/>
    <w:rsid w:val="009842CB"/>
    <w:rsid w:val="00984464"/>
    <w:rsid w:val="009846CC"/>
    <w:rsid w:val="009847E7"/>
    <w:rsid w:val="00990578"/>
    <w:rsid w:val="00992423"/>
    <w:rsid w:val="00997EF9"/>
    <w:rsid w:val="009A0AA2"/>
    <w:rsid w:val="009A1796"/>
    <w:rsid w:val="009A1D9C"/>
    <w:rsid w:val="009A3EAD"/>
    <w:rsid w:val="009A69F8"/>
    <w:rsid w:val="009B1387"/>
    <w:rsid w:val="009B28D3"/>
    <w:rsid w:val="009B4F39"/>
    <w:rsid w:val="009C253D"/>
    <w:rsid w:val="009C6EAA"/>
    <w:rsid w:val="009C767A"/>
    <w:rsid w:val="009D124A"/>
    <w:rsid w:val="009D3803"/>
    <w:rsid w:val="009D5B17"/>
    <w:rsid w:val="009D7139"/>
    <w:rsid w:val="009D7426"/>
    <w:rsid w:val="009E0309"/>
    <w:rsid w:val="009E1439"/>
    <w:rsid w:val="009E5444"/>
    <w:rsid w:val="009E5D07"/>
    <w:rsid w:val="009E6A10"/>
    <w:rsid w:val="009E7179"/>
    <w:rsid w:val="009E7A67"/>
    <w:rsid w:val="009F022C"/>
    <w:rsid w:val="009F4559"/>
    <w:rsid w:val="009F70E7"/>
    <w:rsid w:val="009F72BD"/>
    <w:rsid w:val="009F7F0A"/>
    <w:rsid w:val="00A036E8"/>
    <w:rsid w:val="00A04B04"/>
    <w:rsid w:val="00A05DDD"/>
    <w:rsid w:val="00A05EA4"/>
    <w:rsid w:val="00A103B3"/>
    <w:rsid w:val="00A11663"/>
    <w:rsid w:val="00A173AC"/>
    <w:rsid w:val="00A1780F"/>
    <w:rsid w:val="00A20085"/>
    <w:rsid w:val="00A20BDB"/>
    <w:rsid w:val="00A22DFB"/>
    <w:rsid w:val="00A231D1"/>
    <w:rsid w:val="00A24BF6"/>
    <w:rsid w:val="00A25264"/>
    <w:rsid w:val="00A2639E"/>
    <w:rsid w:val="00A26F8F"/>
    <w:rsid w:val="00A3012B"/>
    <w:rsid w:val="00A30A80"/>
    <w:rsid w:val="00A31369"/>
    <w:rsid w:val="00A313F3"/>
    <w:rsid w:val="00A33B63"/>
    <w:rsid w:val="00A34CD1"/>
    <w:rsid w:val="00A37206"/>
    <w:rsid w:val="00A37B61"/>
    <w:rsid w:val="00A4312A"/>
    <w:rsid w:val="00A455A5"/>
    <w:rsid w:val="00A45C31"/>
    <w:rsid w:val="00A475F8"/>
    <w:rsid w:val="00A50258"/>
    <w:rsid w:val="00A510BC"/>
    <w:rsid w:val="00A51257"/>
    <w:rsid w:val="00A5386F"/>
    <w:rsid w:val="00A55139"/>
    <w:rsid w:val="00A556F0"/>
    <w:rsid w:val="00A558A5"/>
    <w:rsid w:val="00A6002B"/>
    <w:rsid w:val="00A619C3"/>
    <w:rsid w:val="00A645FF"/>
    <w:rsid w:val="00A64BCF"/>
    <w:rsid w:val="00A64EA1"/>
    <w:rsid w:val="00A65B14"/>
    <w:rsid w:val="00A70E46"/>
    <w:rsid w:val="00A7110C"/>
    <w:rsid w:val="00A7160B"/>
    <w:rsid w:val="00A71771"/>
    <w:rsid w:val="00A73DE8"/>
    <w:rsid w:val="00A74E2E"/>
    <w:rsid w:val="00A7525C"/>
    <w:rsid w:val="00A757BF"/>
    <w:rsid w:val="00A759B3"/>
    <w:rsid w:val="00A75D80"/>
    <w:rsid w:val="00A76530"/>
    <w:rsid w:val="00A86FD9"/>
    <w:rsid w:val="00A90779"/>
    <w:rsid w:val="00A90878"/>
    <w:rsid w:val="00A91584"/>
    <w:rsid w:val="00A921EB"/>
    <w:rsid w:val="00AA190A"/>
    <w:rsid w:val="00AA709D"/>
    <w:rsid w:val="00AA7C39"/>
    <w:rsid w:val="00AB3A0C"/>
    <w:rsid w:val="00AB4445"/>
    <w:rsid w:val="00AB4AD7"/>
    <w:rsid w:val="00AB5857"/>
    <w:rsid w:val="00AB6A5F"/>
    <w:rsid w:val="00AB7349"/>
    <w:rsid w:val="00AC16C6"/>
    <w:rsid w:val="00AC1ADD"/>
    <w:rsid w:val="00AC246C"/>
    <w:rsid w:val="00AC2C48"/>
    <w:rsid w:val="00AC3D20"/>
    <w:rsid w:val="00AC3FFC"/>
    <w:rsid w:val="00AC5F1A"/>
    <w:rsid w:val="00AD09B6"/>
    <w:rsid w:val="00AD0F4A"/>
    <w:rsid w:val="00AD2053"/>
    <w:rsid w:val="00AD4E4B"/>
    <w:rsid w:val="00AD718C"/>
    <w:rsid w:val="00AD7C92"/>
    <w:rsid w:val="00AD7E79"/>
    <w:rsid w:val="00AE0606"/>
    <w:rsid w:val="00AE0A5E"/>
    <w:rsid w:val="00AE0EC4"/>
    <w:rsid w:val="00AE271E"/>
    <w:rsid w:val="00AE410A"/>
    <w:rsid w:val="00AE4D7B"/>
    <w:rsid w:val="00AE650A"/>
    <w:rsid w:val="00AF0939"/>
    <w:rsid w:val="00AF132F"/>
    <w:rsid w:val="00AF2A45"/>
    <w:rsid w:val="00AF2EAB"/>
    <w:rsid w:val="00AF4829"/>
    <w:rsid w:val="00AF6509"/>
    <w:rsid w:val="00AF7674"/>
    <w:rsid w:val="00AF7D98"/>
    <w:rsid w:val="00B04BC9"/>
    <w:rsid w:val="00B04E73"/>
    <w:rsid w:val="00B07BC8"/>
    <w:rsid w:val="00B12A61"/>
    <w:rsid w:val="00B13226"/>
    <w:rsid w:val="00B14ED6"/>
    <w:rsid w:val="00B16B14"/>
    <w:rsid w:val="00B224B5"/>
    <w:rsid w:val="00B2289F"/>
    <w:rsid w:val="00B237CE"/>
    <w:rsid w:val="00B2488A"/>
    <w:rsid w:val="00B25049"/>
    <w:rsid w:val="00B26594"/>
    <w:rsid w:val="00B31CAC"/>
    <w:rsid w:val="00B3361B"/>
    <w:rsid w:val="00B34517"/>
    <w:rsid w:val="00B345C2"/>
    <w:rsid w:val="00B365FE"/>
    <w:rsid w:val="00B36776"/>
    <w:rsid w:val="00B368F1"/>
    <w:rsid w:val="00B375D7"/>
    <w:rsid w:val="00B424A1"/>
    <w:rsid w:val="00B44911"/>
    <w:rsid w:val="00B44CCA"/>
    <w:rsid w:val="00B46124"/>
    <w:rsid w:val="00B47481"/>
    <w:rsid w:val="00B47AEB"/>
    <w:rsid w:val="00B5091C"/>
    <w:rsid w:val="00B50BD8"/>
    <w:rsid w:val="00B510FA"/>
    <w:rsid w:val="00B516B4"/>
    <w:rsid w:val="00B52628"/>
    <w:rsid w:val="00B52B86"/>
    <w:rsid w:val="00B53E83"/>
    <w:rsid w:val="00B5498F"/>
    <w:rsid w:val="00B56342"/>
    <w:rsid w:val="00B57AFD"/>
    <w:rsid w:val="00B62A3D"/>
    <w:rsid w:val="00B664A4"/>
    <w:rsid w:val="00B6722C"/>
    <w:rsid w:val="00B755F9"/>
    <w:rsid w:val="00B75F02"/>
    <w:rsid w:val="00B76260"/>
    <w:rsid w:val="00B777EE"/>
    <w:rsid w:val="00B81701"/>
    <w:rsid w:val="00B82216"/>
    <w:rsid w:val="00B837EA"/>
    <w:rsid w:val="00B872D1"/>
    <w:rsid w:val="00B87B5F"/>
    <w:rsid w:val="00BA1303"/>
    <w:rsid w:val="00BA1F7A"/>
    <w:rsid w:val="00BA3435"/>
    <w:rsid w:val="00BA63B2"/>
    <w:rsid w:val="00BA78F0"/>
    <w:rsid w:val="00BB1DD0"/>
    <w:rsid w:val="00BB1EC6"/>
    <w:rsid w:val="00BB26CE"/>
    <w:rsid w:val="00BB3E9A"/>
    <w:rsid w:val="00BB4DBC"/>
    <w:rsid w:val="00BB5229"/>
    <w:rsid w:val="00BB6365"/>
    <w:rsid w:val="00BB641F"/>
    <w:rsid w:val="00BB6755"/>
    <w:rsid w:val="00BC0194"/>
    <w:rsid w:val="00BC0D18"/>
    <w:rsid w:val="00BC18F1"/>
    <w:rsid w:val="00BC1D74"/>
    <w:rsid w:val="00BC3C7C"/>
    <w:rsid w:val="00BC4E36"/>
    <w:rsid w:val="00BC757A"/>
    <w:rsid w:val="00BD20F1"/>
    <w:rsid w:val="00BD3D10"/>
    <w:rsid w:val="00BD6D9C"/>
    <w:rsid w:val="00BD7ECC"/>
    <w:rsid w:val="00BE2F1F"/>
    <w:rsid w:val="00BE3FF8"/>
    <w:rsid w:val="00BE46F0"/>
    <w:rsid w:val="00BE4EF3"/>
    <w:rsid w:val="00BE5002"/>
    <w:rsid w:val="00BE5A48"/>
    <w:rsid w:val="00BE7D90"/>
    <w:rsid w:val="00BF1E43"/>
    <w:rsid w:val="00BF27EE"/>
    <w:rsid w:val="00BF368F"/>
    <w:rsid w:val="00BF6CF4"/>
    <w:rsid w:val="00C02D6A"/>
    <w:rsid w:val="00C04407"/>
    <w:rsid w:val="00C04AA3"/>
    <w:rsid w:val="00C05D81"/>
    <w:rsid w:val="00C05EEA"/>
    <w:rsid w:val="00C064C4"/>
    <w:rsid w:val="00C06673"/>
    <w:rsid w:val="00C07EBA"/>
    <w:rsid w:val="00C11AA6"/>
    <w:rsid w:val="00C14E65"/>
    <w:rsid w:val="00C15E4D"/>
    <w:rsid w:val="00C17748"/>
    <w:rsid w:val="00C200F6"/>
    <w:rsid w:val="00C20415"/>
    <w:rsid w:val="00C23627"/>
    <w:rsid w:val="00C2474B"/>
    <w:rsid w:val="00C25621"/>
    <w:rsid w:val="00C25BD4"/>
    <w:rsid w:val="00C265A2"/>
    <w:rsid w:val="00C26856"/>
    <w:rsid w:val="00C27F27"/>
    <w:rsid w:val="00C312E9"/>
    <w:rsid w:val="00C3297B"/>
    <w:rsid w:val="00C35420"/>
    <w:rsid w:val="00C35AAF"/>
    <w:rsid w:val="00C36721"/>
    <w:rsid w:val="00C37F55"/>
    <w:rsid w:val="00C40001"/>
    <w:rsid w:val="00C40FDA"/>
    <w:rsid w:val="00C4135C"/>
    <w:rsid w:val="00C4247D"/>
    <w:rsid w:val="00C46DAE"/>
    <w:rsid w:val="00C4713A"/>
    <w:rsid w:val="00C4793F"/>
    <w:rsid w:val="00C47D4A"/>
    <w:rsid w:val="00C47FBD"/>
    <w:rsid w:val="00C512E7"/>
    <w:rsid w:val="00C51D39"/>
    <w:rsid w:val="00C524D7"/>
    <w:rsid w:val="00C52F93"/>
    <w:rsid w:val="00C540D3"/>
    <w:rsid w:val="00C56D4E"/>
    <w:rsid w:val="00C57EF6"/>
    <w:rsid w:val="00C61BD7"/>
    <w:rsid w:val="00C63FE1"/>
    <w:rsid w:val="00C64CD9"/>
    <w:rsid w:val="00C65135"/>
    <w:rsid w:val="00C65F7D"/>
    <w:rsid w:val="00C700BA"/>
    <w:rsid w:val="00C707E0"/>
    <w:rsid w:val="00C7323F"/>
    <w:rsid w:val="00C73C22"/>
    <w:rsid w:val="00C74AB3"/>
    <w:rsid w:val="00C74B0A"/>
    <w:rsid w:val="00C75CD2"/>
    <w:rsid w:val="00C7671B"/>
    <w:rsid w:val="00C77DBA"/>
    <w:rsid w:val="00C77EB4"/>
    <w:rsid w:val="00C803C5"/>
    <w:rsid w:val="00C80469"/>
    <w:rsid w:val="00C82560"/>
    <w:rsid w:val="00C844FB"/>
    <w:rsid w:val="00C84524"/>
    <w:rsid w:val="00C85E9E"/>
    <w:rsid w:val="00C90B50"/>
    <w:rsid w:val="00C91B46"/>
    <w:rsid w:val="00C92485"/>
    <w:rsid w:val="00C92EBB"/>
    <w:rsid w:val="00C930F2"/>
    <w:rsid w:val="00C94756"/>
    <w:rsid w:val="00C9497A"/>
    <w:rsid w:val="00C94A2C"/>
    <w:rsid w:val="00C96054"/>
    <w:rsid w:val="00C964DC"/>
    <w:rsid w:val="00C9683D"/>
    <w:rsid w:val="00C97C50"/>
    <w:rsid w:val="00CA1A93"/>
    <w:rsid w:val="00CA2C7E"/>
    <w:rsid w:val="00CA3918"/>
    <w:rsid w:val="00CA5365"/>
    <w:rsid w:val="00CA6EE3"/>
    <w:rsid w:val="00CB1B00"/>
    <w:rsid w:val="00CB1F44"/>
    <w:rsid w:val="00CB4D1F"/>
    <w:rsid w:val="00CB556E"/>
    <w:rsid w:val="00CB7F2B"/>
    <w:rsid w:val="00CC04DE"/>
    <w:rsid w:val="00CC562B"/>
    <w:rsid w:val="00CC58CC"/>
    <w:rsid w:val="00CC6EB0"/>
    <w:rsid w:val="00CD0FBB"/>
    <w:rsid w:val="00CD2302"/>
    <w:rsid w:val="00CD2FEC"/>
    <w:rsid w:val="00CD3E99"/>
    <w:rsid w:val="00CD63F0"/>
    <w:rsid w:val="00CD7CC3"/>
    <w:rsid w:val="00CE0BEB"/>
    <w:rsid w:val="00CE29A3"/>
    <w:rsid w:val="00CE305C"/>
    <w:rsid w:val="00CE3406"/>
    <w:rsid w:val="00CE3717"/>
    <w:rsid w:val="00CE5099"/>
    <w:rsid w:val="00CE539E"/>
    <w:rsid w:val="00CE5AE5"/>
    <w:rsid w:val="00CF0356"/>
    <w:rsid w:val="00CF26BA"/>
    <w:rsid w:val="00CF646F"/>
    <w:rsid w:val="00D00747"/>
    <w:rsid w:val="00D022B8"/>
    <w:rsid w:val="00D05E7A"/>
    <w:rsid w:val="00D0644D"/>
    <w:rsid w:val="00D109CC"/>
    <w:rsid w:val="00D11E23"/>
    <w:rsid w:val="00D12517"/>
    <w:rsid w:val="00D12F62"/>
    <w:rsid w:val="00D16AB0"/>
    <w:rsid w:val="00D1702C"/>
    <w:rsid w:val="00D25AB5"/>
    <w:rsid w:val="00D27069"/>
    <w:rsid w:val="00D33700"/>
    <w:rsid w:val="00D351EE"/>
    <w:rsid w:val="00D37C08"/>
    <w:rsid w:val="00D40DEB"/>
    <w:rsid w:val="00D438C4"/>
    <w:rsid w:val="00D460B9"/>
    <w:rsid w:val="00D478F6"/>
    <w:rsid w:val="00D512FA"/>
    <w:rsid w:val="00D5296E"/>
    <w:rsid w:val="00D5688A"/>
    <w:rsid w:val="00D57EB6"/>
    <w:rsid w:val="00D60296"/>
    <w:rsid w:val="00D6287D"/>
    <w:rsid w:val="00D6495F"/>
    <w:rsid w:val="00D6585A"/>
    <w:rsid w:val="00D70934"/>
    <w:rsid w:val="00D7123E"/>
    <w:rsid w:val="00D736A4"/>
    <w:rsid w:val="00D758E2"/>
    <w:rsid w:val="00D76F2E"/>
    <w:rsid w:val="00D80F38"/>
    <w:rsid w:val="00D8110D"/>
    <w:rsid w:val="00D8119C"/>
    <w:rsid w:val="00D816DF"/>
    <w:rsid w:val="00D839AD"/>
    <w:rsid w:val="00D84C1A"/>
    <w:rsid w:val="00D87306"/>
    <w:rsid w:val="00D93708"/>
    <w:rsid w:val="00D93A15"/>
    <w:rsid w:val="00D94917"/>
    <w:rsid w:val="00D95619"/>
    <w:rsid w:val="00D97704"/>
    <w:rsid w:val="00DA05A9"/>
    <w:rsid w:val="00DA3BC7"/>
    <w:rsid w:val="00DB0A00"/>
    <w:rsid w:val="00DB333F"/>
    <w:rsid w:val="00DB3F64"/>
    <w:rsid w:val="00DB4648"/>
    <w:rsid w:val="00DB57FB"/>
    <w:rsid w:val="00DB70F4"/>
    <w:rsid w:val="00DC1EB3"/>
    <w:rsid w:val="00DC2268"/>
    <w:rsid w:val="00DC315E"/>
    <w:rsid w:val="00DC3794"/>
    <w:rsid w:val="00DC461C"/>
    <w:rsid w:val="00DD232C"/>
    <w:rsid w:val="00DD249B"/>
    <w:rsid w:val="00DD3715"/>
    <w:rsid w:val="00DD37CA"/>
    <w:rsid w:val="00DD4611"/>
    <w:rsid w:val="00DD4AA8"/>
    <w:rsid w:val="00DD4F7A"/>
    <w:rsid w:val="00DD5534"/>
    <w:rsid w:val="00DE0F54"/>
    <w:rsid w:val="00DE1A49"/>
    <w:rsid w:val="00DE20FC"/>
    <w:rsid w:val="00DE24C6"/>
    <w:rsid w:val="00DE366A"/>
    <w:rsid w:val="00DE5FCA"/>
    <w:rsid w:val="00DE7832"/>
    <w:rsid w:val="00DE7DB5"/>
    <w:rsid w:val="00DF134E"/>
    <w:rsid w:val="00DF1824"/>
    <w:rsid w:val="00DF1C44"/>
    <w:rsid w:val="00DF200D"/>
    <w:rsid w:val="00DF38F7"/>
    <w:rsid w:val="00DF5D92"/>
    <w:rsid w:val="00E043C2"/>
    <w:rsid w:val="00E10B15"/>
    <w:rsid w:val="00E11AB7"/>
    <w:rsid w:val="00E126FC"/>
    <w:rsid w:val="00E130DA"/>
    <w:rsid w:val="00E13829"/>
    <w:rsid w:val="00E16BC3"/>
    <w:rsid w:val="00E1778C"/>
    <w:rsid w:val="00E2055F"/>
    <w:rsid w:val="00E233B4"/>
    <w:rsid w:val="00E24E46"/>
    <w:rsid w:val="00E25DF5"/>
    <w:rsid w:val="00E25F9C"/>
    <w:rsid w:val="00E32244"/>
    <w:rsid w:val="00E342ED"/>
    <w:rsid w:val="00E345EC"/>
    <w:rsid w:val="00E3560D"/>
    <w:rsid w:val="00E36EC8"/>
    <w:rsid w:val="00E36FF6"/>
    <w:rsid w:val="00E37A1B"/>
    <w:rsid w:val="00E41C8F"/>
    <w:rsid w:val="00E42684"/>
    <w:rsid w:val="00E43177"/>
    <w:rsid w:val="00E43B4B"/>
    <w:rsid w:val="00E45445"/>
    <w:rsid w:val="00E4576A"/>
    <w:rsid w:val="00E461F4"/>
    <w:rsid w:val="00E46DFD"/>
    <w:rsid w:val="00E47276"/>
    <w:rsid w:val="00E50472"/>
    <w:rsid w:val="00E5108B"/>
    <w:rsid w:val="00E56B7B"/>
    <w:rsid w:val="00E57C27"/>
    <w:rsid w:val="00E6000C"/>
    <w:rsid w:val="00E6209A"/>
    <w:rsid w:val="00E6459E"/>
    <w:rsid w:val="00E66785"/>
    <w:rsid w:val="00E719FB"/>
    <w:rsid w:val="00E7268F"/>
    <w:rsid w:val="00E736B3"/>
    <w:rsid w:val="00E748E6"/>
    <w:rsid w:val="00E77CFD"/>
    <w:rsid w:val="00E82E61"/>
    <w:rsid w:val="00E82E74"/>
    <w:rsid w:val="00E83A08"/>
    <w:rsid w:val="00E852A3"/>
    <w:rsid w:val="00E932CE"/>
    <w:rsid w:val="00E93FA7"/>
    <w:rsid w:val="00E9414C"/>
    <w:rsid w:val="00E94308"/>
    <w:rsid w:val="00E94A83"/>
    <w:rsid w:val="00E94F4B"/>
    <w:rsid w:val="00E95C80"/>
    <w:rsid w:val="00E96F29"/>
    <w:rsid w:val="00EA01BD"/>
    <w:rsid w:val="00EA5D41"/>
    <w:rsid w:val="00EB2744"/>
    <w:rsid w:val="00EB383F"/>
    <w:rsid w:val="00EB7434"/>
    <w:rsid w:val="00EC0B2D"/>
    <w:rsid w:val="00EC205D"/>
    <w:rsid w:val="00EC5FD0"/>
    <w:rsid w:val="00ED0FA0"/>
    <w:rsid w:val="00ED489C"/>
    <w:rsid w:val="00EE1A85"/>
    <w:rsid w:val="00EE2354"/>
    <w:rsid w:val="00EE441C"/>
    <w:rsid w:val="00EE4F65"/>
    <w:rsid w:val="00EE5031"/>
    <w:rsid w:val="00EE56C8"/>
    <w:rsid w:val="00EE5C6C"/>
    <w:rsid w:val="00EE76CA"/>
    <w:rsid w:val="00EF1BAF"/>
    <w:rsid w:val="00EF46BE"/>
    <w:rsid w:val="00EF4B8E"/>
    <w:rsid w:val="00EF5696"/>
    <w:rsid w:val="00EF69AA"/>
    <w:rsid w:val="00EF6FE2"/>
    <w:rsid w:val="00F02E51"/>
    <w:rsid w:val="00F03D80"/>
    <w:rsid w:val="00F0566C"/>
    <w:rsid w:val="00F057AB"/>
    <w:rsid w:val="00F05D6E"/>
    <w:rsid w:val="00F05E1E"/>
    <w:rsid w:val="00F0690D"/>
    <w:rsid w:val="00F07A21"/>
    <w:rsid w:val="00F07E50"/>
    <w:rsid w:val="00F100B0"/>
    <w:rsid w:val="00F131B7"/>
    <w:rsid w:val="00F139C6"/>
    <w:rsid w:val="00F14CBF"/>
    <w:rsid w:val="00F16E54"/>
    <w:rsid w:val="00F20D97"/>
    <w:rsid w:val="00F31793"/>
    <w:rsid w:val="00F363BD"/>
    <w:rsid w:val="00F36C82"/>
    <w:rsid w:val="00F40647"/>
    <w:rsid w:val="00F40765"/>
    <w:rsid w:val="00F414CC"/>
    <w:rsid w:val="00F41B6D"/>
    <w:rsid w:val="00F427A5"/>
    <w:rsid w:val="00F42E27"/>
    <w:rsid w:val="00F42F4D"/>
    <w:rsid w:val="00F43FC8"/>
    <w:rsid w:val="00F474C4"/>
    <w:rsid w:val="00F522B8"/>
    <w:rsid w:val="00F541E3"/>
    <w:rsid w:val="00F54B3F"/>
    <w:rsid w:val="00F5516B"/>
    <w:rsid w:val="00F57A85"/>
    <w:rsid w:val="00F60033"/>
    <w:rsid w:val="00F62746"/>
    <w:rsid w:val="00F63D0D"/>
    <w:rsid w:val="00F64F2B"/>
    <w:rsid w:val="00F679CB"/>
    <w:rsid w:val="00F70B90"/>
    <w:rsid w:val="00F70E50"/>
    <w:rsid w:val="00F72317"/>
    <w:rsid w:val="00F724EB"/>
    <w:rsid w:val="00F72CA6"/>
    <w:rsid w:val="00F76E62"/>
    <w:rsid w:val="00F828F2"/>
    <w:rsid w:val="00F8322A"/>
    <w:rsid w:val="00F838D4"/>
    <w:rsid w:val="00F84F89"/>
    <w:rsid w:val="00F915AD"/>
    <w:rsid w:val="00F9274A"/>
    <w:rsid w:val="00F94181"/>
    <w:rsid w:val="00F96AB3"/>
    <w:rsid w:val="00F96B2F"/>
    <w:rsid w:val="00F97A42"/>
    <w:rsid w:val="00FA12F9"/>
    <w:rsid w:val="00FA19E4"/>
    <w:rsid w:val="00FA1E18"/>
    <w:rsid w:val="00FA27BD"/>
    <w:rsid w:val="00FA5491"/>
    <w:rsid w:val="00FA57E0"/>
    <w:rsid w:val="00FA6357"/>
    <w:rsid w:val="00FA7186"/>
    <w:rsid w:val="00FA7E27"/>
    <w:rsid w:val="00FB1B1C"/>
    <w:rsid w:val="00FB3090"/>
    <w:rsid w:val="00FB3C76"/>
    <w:rsid w:val="00FB732B"/>
    <w:rsid w:val="00FB7503"/>
    <w:rsid w:val="00FC0930"/>
    <w:rsid w:val="00FC1820"/>
    <w:rsid w:val="00FC21E2"/>
    <w:rsid w:val="00FC42B3"/>
    <w:rsid w:val="00FC4BEB"/>
    <w:rsid w:val="00FC5D2B"/>
    <w:rsid w:val="00FC625D"/>
    <w:rsid w:val="00FD0B0F"/>
    <w:rsid w:val="00FD5492"/>
    <w:rsid w:val="00FD77D4"/>
    <w:rsid w:val="00FE140E"/>
    <w:rsid w:val="00FE1D39"/>
    <w:rsid w:val="00FE3B1F"/>
    <w:rsid w:val="00FE59B3"/>
    <w:rsid w:val="00FE5D70"/>
    <w:rsid w:val="00FE6A16"/>
    <w:rsid w:val="00FE6C4A"/>
    <w:rsid w:val="00FF7654"/>
    <w:rsid w:val="00FF7BC6"/>
    <w:rsid w:val="016AD295"/>
    <w:rsid w:val="03F31B6E"/>
    <w:rsid w:val="056FCF25"/>
    <w:rsid w:val="06134317"/>
    <w:rsid w:val="06F23B47"/>
    <w:rsid w:val="089DE432"/>
    <w:rsid w:val="09934554"/>
    <w:rsid w:val="09B0B07F"/>
    <w:rsid w:val="0A70BA97"/>
    <w:rsid w:val="0AED14EF"/>
    <w:rsid w:val="0AFE1C24"/>
    <w:rsid w:val="0B350A02"/>
    <w:rsid w:val="0D481F4D"/>
    <w:rsid w:val="100286D8"/>
    <w:rsid w:val="10D20764"/>
    <w:rsid w:val="1168710D"/>
    <w:rsid w:val="123529D0"/>
    <w:rsid w:val="14996D55"/>
    <w:rsid w:val="14E3D9CE"/>
    <w:rsid w:val="18664C9E"/>
    <w:rsid w:val="19015BB0"/>
    <w:rsid w:val="19B156A4"/>
    <w:rsid w:val="19D65B30"/>
    <w:rsid w:val="1A286A81"/>
    <w:rsid w:val="1A3AD92C"/>
    <w:rsid w:val="1B61EDB1"/>
    <w:rsid w:val="1BF39644"/>
    <w:rsid w:val="1DC7B83B"/>
    <w:rsid w:val="1DCE5832"/>
    <w:rsid w:val="1E63C348"/>
    <w:rsid w:val="1ED58DB7"/>
    <w:rsid w:val="235838EA"/>
    <w:rsid w:val="235D8D56"/>
    <w:rsid w:val="23D98622"/>
    <w:rsid w:val="2645B7BE"/>
    <w:rsid w:val="268FD9AC"/>
    <w:rsid w:val="2759D45E"/>
    <w:rsid w:val="278015A1"/>
    <w:rsid w:val="27A1AFA5"/>
    <w:rsid w:val="297D5880"/>
    <w:rsid w:val="2C4F203C"/>
    <w:rsid w:val="2CB4F942"/>
    <w:rsid w:val="2CE24575"/>
    <w:rsid w:val="2CFF1B30"/>
    <w:rsid w:val="2D2FAF1F"/>
    <w:rsid w:val="2E142C86"/>
    <w:rsid w:val="2E9E0B71"/>
    <w:rsid w:val="2F1F5461"/>
    <w:rsid w:val="2F96CC94"/>
    <w:rsid w:val="30BB24C2"/>
    <w:rsid w:val="31115688"/>
    <w:rsid w:val="31D28C53"/>
    <w:rsid w:val="32790529"/>
    <w:rsid w:val="32AFD438"/>
    <w:rsid w:val="34355E87"/>
    <w:rsid w:val="35E4C7AB"/>
    <w:rsid w:val="35F98E57"/>
    <w:rsid w:val="3651FBE5"/>
    <w:rsid w:val="3841CDD7"/>
    <w:rsid w:val="38465239"/>
    <w:rsid w:val="3898824E"/>
    <w:rsid w:val="3909FEA6"/>
    <w:rsid w:val="3913060F"/>
    <w:rsid w:val="399B69D0"/>
    <w:rsid w:val="3B0AE0D4"/>
    <w:rsid w:val="3B668A62"/>
    <w:rsid w:val="3BA40E3B"/>
    <w:rsid w:val="3D2E8B51"/>
    <w:rsid w:val="3D2FAEF1"/>
    <w:rsid w:val="3D9CC460"/>
    <w:rsid w:val="3DBABB24"/>
    <w:rsid w:val="41E8B01D"/>
    <w:rsid w:val="423B9E7E"/>
    <w:rsid w:val="4270401B"/>
    <w:rsid w:val="427106D1"/>
    <w:rsid w:val="43424C16"/>
    <w:rsid w:val="442E2183"/>
    <w:rsid w:val="453FA9F7"/>
    <w:rsid w:val="4558D254"/>
    <w:rsid w:val="45E1C318"/>
    <w:rsid w:val="483EC944"/>
    <w:rsid w:val="49018CEF"/>
    <w:rsid w:val="49328C37"/>
    <w:rsid w:val="4995E2CD"/>
    <w:rsid w:val="4A02EC81"/>
    <w:rsid w:val="4A268B16"/>
    <w:rsid w:val="4BD821D4"/>
    <w:rsid w:val="4CE92E5C"/>
    <w:rsid w:val="4D81FD2E"/>
    <w:rsid w:val="4F5F9953"/>
    <w:rsid w:val="503CC1E4"/>
    <w:rsid w:val="50A573F6"/>
    <w:rsid w:val="50B238E3"/>
    <w:rsid w:val="51664043"/>
    <w:rsid w:val="52C04620"/>
    <w:rsid w:val="52D96E7D"/>
    <w:rsid w:val="54998455"/>
    <w:rsid w:val="55E6AC0B"/>
    <w:rsid w:val="56B999AD"/>
    <w:rsid w:val="5856F0DF"/>
    <w:rsid w:val="5963A5F4"/>
    <w:rsid w:val="59DDE469"/>
    <w:rsid w:val="5A234A97"/>
    <w:rsid w:val="5AC0DBC4"/>
    <w:rsid w:val="5B170D8A"/>
    <w:rsid w:val="5E1E0393"/>
    <w:rsid w:val="5ED45AAA"/>
    <w:rsid w:val="5F3DDC2E"/>
    <w:rsid w:val="60A06DEE"/>
    <w:rsid w:val="6137FEF2"/>
    <w:rsid w:val="62AD5DDF"/>
    <w:rsid w:val="64723A4B"/>
    <w:rsid w:val="64B8A824"/>
    <w:rsid w:val="64C6A12E"/>
    <w:rsid w:val="65787122"/>
    <w:rsid w:val="65FAC6E1"/>
    <w:rsid w:val="67A9DB0D"/>
    <w:rsid w:val="689D9E00"/>
    <w:rsid w:val="68F9083B"/>
    <w:rsid w:val="69037706"/>
    <w:rsid w:val="69AD9829"/>
    <w:rsid w:val="69DB6D19"/>
    <w:rsid w:val="69F739F9"/>
    <w:rsid w:val="6A9F4767"/>
    <w:rsid w:val="6AE2C29D"/>
    <w:rsid w:val="6D514203"/>
    <w:rsid w:val="6D710F23"/>
    <w:rsid w:val="6D932CDE"/>
    <w:rsid w:val="70A8AFE5"/>
    <w:rsid w:val="713DE44D"/>
    <w:rsid w:val="72B497EC"/>
    <w:rsid w:val="746CA6FD"/>
    <w:rsid w:val="74F6E116"/>
    <w:rsid w:val="759B5227"/>
    <w:rsid w:val="75E9E794"/>
    <w:rsid w:val="769C88C0"/>
    <w:rsid w:val="7A634C50"/>
    <w:rsid w:val="7AED9890"/>
    <w:rsid w:val="7B057070"/>
    <w:rsid w:val="7D75F816"/>
    <w:rsid w:val="7E372DE1"/>
    <w:rsid w:val="7F9A1C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B4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fr-FR"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BodyA">
    <w:name w:val="Body A"/>
    <w:link w:val="BodyAChar"/>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Body">
    <w:name w:val="Body"/>
    <w:rsid w:val="002211CE"/>
    <w:rPr>
      <w:rFonts w:cs="Arial Unicode MS"/>
      <w:color w:val="000000"/>
      <w:sz w:val="24"/>
      <w:szCs w:val="24"/>
      <w:u w:color="000000"/>
      <w14:textOutline w14:w="0" w14:cap="flat" w14:cmpd="sng" w14:algn="ctr">
        <w14:noFill/>
        <w14:prstDash w14:val="solid"/>
        <w14:bevel/>
      </w14:textOutline>
    </w:rPr>
  </w:style>
  <w:style w:type="paragraph" w:styleId="ListParagraph">
    <w:name w:val="List Paragraph"/>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paragraph" w:customStyle="1" w:styleId="gmail-body">
    <w:name w:val="gmail-body"/>
    <w:rsid w:val="002211CE"/>
    <w:pPr>
      <w:spacing w:before="100" w:after="100"/>
    </w:pPr>
    <w:rPr>
      <w:rFonts w:cs="Arial Unicode MS"/>
      <w:color w:val="000000"/>
      <w:sz w:val="24"/>
      <w:szCs w:val="24"/>
      <w:u w:color="000000"/>
    </w:rPr>
  </w:style>
  <w:style w:type="paragraph" w:styleId="FootnoteText">
    <w:name w:val="footnote text"/>
    <w:link w:val="FootnoteTextChar"/>
    <w:rPr>
      <w:rFonts w:ascii="Calibri" w:hAnsi="Calibri" w:cs="Arial Unicode MS"/>
      <w:color w:val="000000"/>
      <w:u w:color="000000"/>
    </w:rPr>
  </w:style>
  <w:style w:type="character" w:customStyle="1" w:styleId="None">
    <w:name w:val="None"/>
  </w:style>
  <w:style w:type="character" w:customStyle="1" w:styleId="Hyperlink0">
    <w:name w:val="Hyperlink.0"/>
    <w:basedOn w:val="None"/>
    <w:rPr>
      <w:outline w:val="0"/>
      <w:color w:val="000000"/>
      <w:sz w:val="20"/>
      <w:szCs w:val="20"/>
      <w:u w:color="000000"/>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1">
    <w:name w:val="Hyperlink.1"/>
    <w:basedOn w:val="Link"/>
    <w:rPr>
      <w:rFonts w:ascii="Times New Roman" w:eastAsia="Times New Roman" w:hAnsi="Times New Roman" w:cs="Times New Roman"/>
      <w:outline w:val="0"/>
      <w:color w:val="0000FF"/>
      <w:u w:val="none" w:color="0000FF"/>
      <w14:textOutline w14:w="12700" w14:cap="flat" w14:cmpd="sng" w14:algn="ctr">
        <w14:noFill/>
        <w14:prstDash w14:val="solid"/>
        <w14:miter w14:lim="400000"/>
      </w14:textOutline>
    </w:rPr>
  </w:style>
  <w:style w:type="character" w:customStyle="1" w:styleId="Hyperlink2">
    <w:name w:val="Hyperlink.2"/>
    <w:basedOn w:val="Link"/>
    <w:rPr>
      <w:outline w:val="0"/>
      <w:color w:val="000000"/>
      <w:sz w:val="20"/>
      <w:szCs w:val="20"/>
      <w:u w:val="none" w:color="000000"/>
    </w:rPr>
  </w:style>
  <w:style w:type="character" w:customStyle="1" w:styleId="Hyperlink3">
    <w:name w:val="Hyperlink.3"/>
    <w:basedOn w:val="Link"/>
    <w:rPr>
      <w:rFonts w:ascii="Times New Roman" w:eastAsia="Times New Roman" w:hAnsi="Times New Roman" w:cs="Times New Roman"/>
      <w:outline w:val="0"/>
      <w:color w:val="0000FF"/>
      <w:u w:val="none" w:color="0000FF"/>
    </w:rPr>
  </w:style>
  <w:style w:type="character" w:customStyle="1" w:styleId="Hyperlink4">
    <w:name w:val="Hyperlink.4"/>
    <w:basedOn w:val="Link"/>
    <w:rPr>
      <w:rFonts w:ascii="Times New Roman" w:eastAsia="Times New Roman" w:hAnsi="Times New Roman" w:cs="Times New Roman"/>
      <w:outline w:val="0"/>
      <w:color w:val="0000FF"/>
      <w:u w:val="none" w:color="0000FF"/>
      <w:lang w:val="fr-FR"/>
    </w:rPr>
  </w:style>
  <w:style w:type="numbering" w:customStyle="1" w:styleId="ImportedStyle10">
    <w:name w:val="Imported Style 1.0"/>
    <w:pPr>
      <w:numPr>
        <w:numId w:val="3"/>
      </w:numPr>
    </w:pPr>
  </w:style>
  <w:style w:type="character" w:customStyle="1" w:styleId="Hyperlink5">
    <w:name w:val="Hyperlink.5"/>
    <w:basedOn w:val="Link"/>
    <w:rPr>
      <w:rFonts w:ascii="Times New Roman" w:eastAsia="Times New Roman" w:hAnsi="Times New Roman" w:cs="Times New Roman"/>
      <w:b/>
      <w:bCs/>
      <w:outline w:val="0"/>
      <w:color w:val="000000"/>
      <w:u w:val="single" w:color="00000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fr-FR" w:eastAsia="en-US"/>
    </w:rPr>
  </w:style>
  <w:style w:type="character" w:styleId="CommentReference">
    <w:name w:val="annotation reference"/>
    <w:basedOn w:val="DefaultParagraphFont"/>
    <w:uiPriority w:val="99"/>
    <w:semiHidden/>
    <w:unhideWhenUsed/>
    <w:rPr>
      <w:sz w:val="16"/>
      <w:szCs w:val="16"/>
    </w:rPr>
  </w:style>
  <w:style w:type="numbering" w:customStyle="1" w:styleId="ImportedStyle3">
    <w:name w:val="Imported Style 3"/>
    <w:rsid w:val="002211CE"/>
    <w:pPr>
      <w:numPr>
        <w:numId w:val="19"/>
      </w:numPr>
    </w:pPr>
  </w:style>
  <w:style w:type="paragraph" w:styleId="Revision">
    <w:name w:val="Revision"/>
    <w:hidden/>
    <w:uiPriority w:val="99"/>
    <w:semiHidden/>
    <w:rsid w:val="002211C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paragraph" w:styleId="CommentSubject">
    <w:name w:val="annotation subject"/>
    <w:basedOn w:val="CommentText"/>
    <w:next w:val="CommentText"/>
    <w:link w:val="CommentSubjectChar"/>
    <w:uiPriority w:val="99"/>
    <w:semiHidden/>
    <w:unhideWhenUsed/>
    <w:rsid w:val="002211CE"/>
    <w:rPr>
      <w:b/>
      <w:bCs/>
    </w:rPr>
  </w:style>
  <w:style w:type="character" w:customStyle="1" w:styleId="CommentSubjectChar">
    <w:name w:val="Comment Subject Char"/>
    <w:basedOn w:val="CommentTextChar"/>
    <w:link w:val="CommentSubject"/>
    <w:uiPriority w:val="99"/>
    <w:semiHidden/>
    <w:rsid w:val="002211CE"/>
    <w:rPr>
      <w:b/>
      <w:bCs/>
      <w:lang w:val="fr-FR" w:eastAsia="en-US"/>
    </w:rPr>
  </w:style>
  <w:style w:type="paragraph" w:styleId="BalloonText">
    <w:name w:val="Balloon Text"/>
    <w:basedOn w:val="Normal"/>
    <w:link w:val="BalloonTextChar"/>
    <w:uiPriority w:val="99"/>
    <w:semiHidden/>
    <w:unhideWhenUsed/>
    <w:rsid w:val="002211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1CE"/>
    <w:rPr>
      <w:rFonts w:ascii="Segoe UI" w:hAnsi="Segoe UI" w:cs="Segoe UI"/>
      <w:sz w:val="18"/>
      <w:szCs w:val="18"/>
      <w:lang w:eastAsia="en-US"/>
    </w:rPr>
  </w:style>
  <w:style w:type="character" w:styleId="FootnoteReference">
    <w:name w:val="footnote reference"/>
    <w:basedOn w:val="DefaultParagraphFont"/>
    <w:uiPriority w:val="99"/>
    <w:semiHidden/>
    <w:unhideWhenUsed/>
    <w:rsid w:val="002211CE"/>
    <w:rPr>
      <w:vertAlign w:val="superscript"/>
    </w:rPr>
  </w:style>
  <w:style w:type="character" w:styleId="FollowedHyperlink">
    <w:name w:val="FollowedHyperlink"/>
    <w:basedOn w:val="DefaultParagraphFont"/>
    <w:uiPriority w:val="99"/>
    <w:semiHidden/>
    <w:unhideWhenUsed/>
    <w:rsid w:val="002211CE"/>
    <w:rPr>
      <w:color w:val="FF00FF" w:themeColor="followedHyperlink"/>
      <w:u w:val="single"/>
    </w:rPr>
  </w:style>
  <w:style w:type="paragraph" w:styleId="EndnoteText">
    <w:name w:val="endnote text"/>
    <w:basedOn w:val="Normal"/>
    <w:link w:val="EndnoteTextChar"/>
    <w:uiPriority w:val="99"/>
    <w:semiHidden/>
    <w:unhideWhenUsed/>
    <w:rsid w:val="002211CE"/>
    <w:rPr>
      <w:sz w:val="20"/>
      <w:szCs w:val="20"/>
    </w:rPr>
  </w:style>
  <w:style w:type="character" w:customStyle="1" w:styleId="EndnoteTextChar">
    <w:name w:val="Endnote Text Char"/>
    <w:basedOn w:val="DefaultParagraphFont"/>
    <w:link w:val="EndnoteText"/>
    <w:uiPriority w:val="99"/>
    <w:semiHidden/>
    <w:rsid w:val="002211CE"/>
    <w:rPr>
      <w:lang w:eastAsia="en-US"/>
    </w:rPr>
  </w:style>
  <w:style w:type="character" w:styleId="EndnoteReference">
    <w:name w:val="endnote reference"/>
    <w:basedOn w:val="DefaultParagraphFont"/>
    <w:uiPriority w:val="99"/>
    <w:semiHidden/>
    <w:unhideWhenUsed/>
    <w:rsid w:val="002211CE"/>
    <w:rPr>
      <w:vertAlign w:val="superscript"/>
    </w:rPr>
  </w:style>
  <w:style w:type="character" w:customStyle="1" w:styleId="Marker">
    <w:name w:val="Marker"/>
    <w:basedOn w:val="DefaultParagraphFont"/>
    <w:rsid w:val="007132C0"/>
    <w:rPr>
      <w:color w:val="0000FF"/>
      <w:shd w:val="clear" w:color="auto" w:fill="auto"/>
    </w:rPr>
  </w:style>
  <w:style w:type="paragraph" w:customStyle="1" w:styleId="Pagedecouverture">
    <w:name w:val="Page de couverture"/>
    <w:basedOn w:val="Normal"/>
    <w:next w:val="Normal"/>
    <w:rsid w:val="007132C0"/>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rsid w:val="007132C0"/>
    <w:pPr>
      <w:tabs>
        <w:tab w:val="center" w:pos="4535"/>
        <w:tab w:val="right" w:pos="9071"/>
        <w:tab w:val="right" w:pos="9921"/>
      </w:tabs>
      <w:spacing w:before="360"/>
      <w:ind w:left="-850" w:right="-850"/>
    </w:pPr>
  </w:style>
  <w:style w:type="character" w:customStyle="1" w:styleId="BodyAChar">
    <w:name w:val="Body A Char"/>
    <w:basedOn w:val="DefaultParagraphFont"/>
    <w:link w:val="BodyA"/>
    <w:rsid w:val="007132C0"/>
    <w:rPr>
      <w:rFonts w:ascii="Calibri" w:hAnsi="Calibri" w:cs="Arial Unicode MS"/>
      <w:color w:val="000000"/>
      <w:sz w:val="22"/>
      <w:szCs w:val="22"/>
      <w:u w:color="000000"/>
      <w:lang w:val="fr-FR"/>
      <w14:textOutline w14:w="12700" w14:cap="flat" w14:cmpd="sng" w14:algn="ctr">
        <w14:noFill/>
        <w14:prstDash w14:val="solid"/>
        <w14:miter w14:lim="400000"/>
      </w14:textOutline>
    </w:rPr>
  </w:style>
  <w:style w:type="character" w:customStyle="1" w:styleId="FooterCoverPageChar">
    <w:name w:val="Footer Cover Page Char"/>
    <w:basedOn w:val="BodyAChar"/>
    <w:link w:val="FooterCoverPage"/>
    <w:rsid w:val="007132C0"/>
    <w:rPr>
      <w:rFonts w:ascii="Calibri" w:hAnsi="Calibri" w:cs="Arial Unicode MS"/>
      <w:color w:val="000000"/>
      <w:sz w:val="24"/>
      <w:szCs w:val="24"/>
      <w:u w:color="000000"/>
      <w:lang w:val="fr-FR" w:eastAsia="en-US"/>
      <w14:textOutline w14:w="12700" w14:cap="flat" w14:cmpd="sng" w14:algn="ctr">
        <w14:noFill/>
        <w14:prstDash w14:val="solid"/>
        <w14:miter w14:lim="400000"/>
      </w14:textOutline>
    </w:rPr>
  </w:style>
  <w:style w:type="paragraph" w:customStyle="1" w:styleId="FooterSensitivity">
    <w:name w:val="Footer Sensitivity"/>
    <w:basedOn w:val="Normal"/>
    <w:link w:val="FooterSensitivityChar"/>
    <w:rsid w:val="007132C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BodyAChar"/>
    <w:link w:val="FooterSensitivity"/>
    <w:rsid w:val="007132C0"/>
    <w:rPr>
      <w:rFonts w:ascii="Calibri" w:hAnsi="Calibri" w:cs="Arial Unicode MS"/>
      <w:b/>
      <w:color w:val="000000"/>
      <w:sz w:val="32"/>
      <w:szCs w:val="24"/>
      <w:u w:color="000000"/>
      <w:lang w:val="fr-FR" w:eastAsia="en-US"/>
      <w14:textOutline w14:w="12700" w14:cap="flat" w14:cmpd="sng" w14:algn="ctr">
        <w14:noFill/>
        <w14:prstDash w14:val="solid"/>
        <w14:miter w14:lim="400000"/>
      </w14:textOutline>
    </w:rPr>
  </w:style>
  <w:style w:type="paragraph" w:customStyle="1" w:styleId="HeaderCoverPage">
    <w:name w:val="Header Cover Page"/>
    <w:basedOn w:val="Normal"/>
    <w:link w:val="HeaderCoverPageChar"/>
    <w:rsid w:val="007132C0"/>
    <w:pPr>
      <w:tabs>
        <w:tab w:val="center" w:pos="4535"/>
        <w:tab w:val="right" w:pos="9071"/>
      </w:tabs>
      <w:spacing w:after="120"/>
      <w:jc w:val="both"/>
    </w:pPr>
  </w:style>
  <w:style w:type="character" w:customStyle="1" w:styleId="HeaderCoverPageChar">
    <w:name w:val="Header Cover Page Char"/>
    <w:basedOn w:val="BodyAChar"/>
    <w:link w:val="HeaderCoverPage"/>
    <w:rsid w:val="007132C0"/>
    <w:rPr>
      <w:rFonts w:ascii="Calibri" w:hAnsi="Calibri" w:cs="Arial Unicode MS"/>
      <w:color w:val="000000"/>
      <w:sz w:val="24"/>
      <w:szCs w:val="24"/>
      <w:u w:color="000000"/>
      <w:lang w:val="fr-FR" w:eastAsia="en-US"/>
      <w14:textOutline w14:w="12700" w14:cap="flat" w14:cmpd="sng" w14:algn="ctr">
        <w14:noFill/>
        <w14:prstDash w14:val="solid"/>
        <w14:miter w14:lim="400000"/>
      </w14:textOutline>
    </w:rPr>
  </w:style>
  <w:style w:type="paragraph" w:customStyle="1" w:styleId="HeaderSensitivity">
    <w:name w:val="Header Sensitivity"/>
    <w:basedOn w:val="Normal"/>
    <w:link w:val="HeaderSensitivityChar"/>
    <w:rsid w:val="007132C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AChar"/>
    <w:link w:val="HeaderSensitivity"/>
    <w:rsid w:val="007132C0"/>
    <w:rPr>
      <w:rFonts w:ascii="Calibri" w:hAnsi="Calibri" w:cs="Arial Unicode MS"/>
      <w:b/>
      <w:color w:val="000000"/>
      <w:sz w:val="32"/>
      <w:szCs w:val="24"/>
      <w:u w:color="000000"/>
      <w:lang w:val="fr-FR" w:eastAsia="en-US"/>
      <w14:textOutline w14:w="12700" w14:cap="flat" w14:cmpd="sng" w14:algn="ctr">
        <w14:noFill/>
        <w14:prstDash w14:val="solid"/>
        <w14:miter w14:lim="400000"/>
      </w14:textOutline>
    </w:rPr>
  </w:style>
  <w:style w:type="paragraph" w:customStyle="1" w:styleId="HeaderSensitivityRight">
    <w:name w:val="Header Sensitivity Right"/>
    <w:basedOn w:val="Normal"/>
    <w:link w:val="HeaderSensitivityRightChar"/>
    <w:rsid w:val="00BB6755"/>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BodyAChar"/>
    <w:link w:val="HeaderSensitivityRight"/>
    <w:rsid w:val="007132C0"/>
    <w:rPr>
      <w:rFonts w:ascii="Calibri" w:hAnsi="Calibri" w:cs="Arial Unicode MS"/>
      <w:color w:val="000000"/>
      <w:sz w:val="28"/>
      <w:szCs w:val="24"/>
      <w:u w:color="000000"/>
      <w:lang w:val="fr-FR" w:eastAsia="en-US"/>
      <w14:textOutline w14:w="12700" w14:cap="flat" w14:cmpd="sng" w14:algn="ctr">
        <w14:noFill/>
        <w14:prstDash w14:val="solid"/>
        <w14:miter w14:lim="400000"/>
      </w14:textOutline>
    </w:rPr>
  </w:style>
  <w:style w:type="paragraph" w:customStyle="1" w:styleId="Typedudocument">
    <w:name w:val="Type du document"/>
    <w:basedOn w:val="Normal"/>
    <w:next w:val="Normal"/>
    <w:rsid w:val="007132C0"/>
    <w:pPr>
      <w:pBdr>
        <w:top w:val="none" w:sz="0" w:space="0" w:color="auto"/>
        <w:left w:val="none" w:sz="0" w:space="0" w:color="auto"/>
        <w:bottom w:val="none" w:sz="0" w:space="0" w:color="auto"/>
        <w:right w:val="none" w:sz="0" w:space="0" w:color="auto"/>
        <w:between w:val="none" w:sz="0" w:space="0" w:color="auto"/>
        <w:bar w:val="none" w:sz="0" w:color="auto"/>
      </w:pBdr>
      <w:spacing w:before="360"/>
      <w:jc w:val="center"/>
    </w:pPr>
    <w:rPr>
      <w:rFonts w:eastAsiaTheme="minorHAnsi"/>
      <w:b/>
      <w:szCs w:val="22"/>
      <w:bdr w:val="none" w:sz="0" w:space="0" w:color="auto"/>
    </w:rPr>
  </w:style>
  <w:style w:type="paragraph" w:customStyle="1" w:styleId="Titreobjet">
    <w:name w:val="Titre objet"/>
    <w:basedOn w:val="Normal"/>
    <w:next w:val="Normal"/>
    <w:rsid w:val="007132C0"/>
    <w:p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pPr>
    <w:rPr>
      <w:rFonts w:eastAsiaTheme="minorHAnsi"/>
      <w:b/>
      <w:szCs w:val="22"/>
      <w:bdr w:val="none" w:sz="0" w:space="0" w:color="auto"/>
    </w:rPr>
  </w:style>
  <w:style w:type="character" w:customStyle="1" w:styleId="FooterChar">
    <w:name w:val="Footer Char"/>
    <w:basedOn w:val="DefaultParagraphFont"/>
    <w:link w:val="Footer"/>
    <w:uiPriority w:val="99"/>
    <w:rsid w:val="00E43B4B"/>
    <w:rPr>
      <w:rFonts w:ascii="Calibri" w:eastAsia="Calibri" w:hAnsi="Calibri" w:cs="Calibri"/>
      <w:color w:val="000000"/>
      <w:sz w:val="22"/>
      <w:szCs w:val="22"/>
      <w:u w:color="000000"/>
      <w:lang w:val="fr-FR"/>
    </w:rPr>
  </w:style>
  <w:style w:type="paragraph" w:styleId="NormalWeb">
    <w:name w:val="Normal (Web)"/>
    <w:basedOn w:val="Normal"/>
    <w:uiPriority w:val="99"/>
    <w:semiHidden/>
    <w:unhideWhenUsed/>
    <w:rsid w:val="007D3A52"/>
  </w:style>
  <w:style w:type="character" w:customStyle="1" w:styleId="FootnoteTextChar">
    <w:name w:val="Footnote Text Char"/>
    <w:basedOn w:val="DefaultParagraphFont"/>
    <w:link w:val="FootnoteText"/>
    <w:rsid w:val="00924538"/>
    <w:rPr>
      <w:rFonts w:ascii="Calibri" w:hAnsi="Calibri" w:cs="Arial Unicode MS"/>
      <w:color w:val="000000"/>
      <w:u w:color="000000"/>
      <w:lang w:val="fr-FR"/>
    </w:rPr>
  </w:style>
  <w:style w:type="paragraph" w:customStyle="1" w:styleId="bodya0">
    <w:name w:val="bodya"/>
    <w:basedOn w:val="Normal"/>
    <w:rsid w:val="0029393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rPr>
  </w:style>
  <w:style w:type="paragraph" w:customStyle="1" w:styleId="Disclaimer">
    <w:name w:val="Disclaimer"/>
    <w:basedOn w:val="Normal"/>
    <w:rsid w:val="00BB6755"/>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rsid w:val="00BB67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rsid w:val="00BB67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rsid w:val="00BB67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33424">
      <w:bodyDiv w:val="1"/>
      <w:marLeft w:val="0"/>
      <w:marRight w:val="0"/>
      <w:marTop w:val="0"/>
      <w:marBottom w:val="0"/>
      <w:divBdr>
        <w:top w:val="none" w:sz="0" w:space="0" w:color="auto"/>
        <w:left w:val="none" w:sz="0" w:space="0" w:color="auto"/>
        <w:bottom w:val="none" w:sz="0" w:space="0" w:color="auto"/>
        <w:right w:val="none" w:sz="0" w:space="0" w:color="auto"/>
      </w:divBdr>
    </w:div>
    <w:div w:id="103621791">
      <w:bodyDiv w:val="1"/>
      <w:marLeft w:val="0"/>
      <w:marRight w:val="0"/>
      <w:marTop w:val="0"/>
      <w:marBottom w:val="0"/>
      <w:divBdr>
        <w:top w:val="none" w:sz="0" w:space="0" w:color="auto"/>
        <w:left w:val="none" w:sz="0" w:space="0" w:color="auto"/>
        <w:bottom w:val="none" w:sz="0" w:space="0" w:color="auto"/>
        <w:right w:val="none" w:sz="0" w:space="0" w:color="auto"/>
      </w:divBdr>
    </w:div>
    <w:div w:id="132795815">
      <w:bodyDiv w:val="1"/>
      <w:marLeft w:val="0"/>
      <w:marRight w:val="0"/>
      <w:marTop w:val="0"/>
      <w:marBottom w:val="0"/>
      <w:divBdr>
        <w:top w:val="none" w:sz="0" w:space="0" w:color="auto"/>
        <w:left w:val="none" w:sz="0" w:space="0" w:color="auto"/>
        <w:bottom w:val="none" w:sz="0" w:space="0" w:color="auto"/>
        <w:right w:val="none" w:sz="0" w:space="0" w:color="auto"/>
      </w:divBdr>
    </w:div>
    <w:div w:id="324357310">
      <w:bodyDiv w:val="1"/>
      <w:marLeft w:val="0"/>
      <w:marRight w:val="0"/>
      <w:marTop w:val="0"/>
      <w:marBottom w:val="0"/>
      <w:divBdr>
        <w:top w:val="none" w:sz="0" w:space="0" w:color="auto"/>
        <w:left w:val="none" w:sz="0" w:space="0" w:color="auto"/>
        <w:bottom w:val="none" w:sz="0" w:space="0" w:color="auto"/>
        <w:right w:val="none" w:sz="0" w:space="0" w:color="auto"/>
      </w:divBdr>
    </w:div>
    <w:div w:id="437604643">
      <w:bodyDiv w:val="1"/>
      <w:marLeft w:val="0"/>
      <w:marRight w:val="0"/>
      <w:marTop w:val="0"/>
      <w:marBottom w:val="0"/>
      <w:divBdr>
        <w:top w:val="none" w:sz="0" w:space="0" w:color="auto"/>
        <w:left w:val="none" w:sz="0" w:space="0" w:color="auto"/>
        <w:bottom w:val="none" w:sz="0" w:space="0" w:color="auto"/>
        <w:right w:val="none" w:sz="0" w:space="0" w:color="auto"/>
      </w:divBdr>
    </w:div>
    <w:div w:id="489369567">
      <w:bodyDiv w:val="1"/>
      <w:marLeft w:val="0"/>
      <w:marRight w:val="0"/>
      <w:marTop w:val="0"/>
      <w:marBottom w:val="0"/>
      <w:divBdr>
        <w:top w:val="none" w:sz="0" w:space="0" w:color="auto"/>
        <w:left w:val="none" w:sz="0" w:space="0" w:color="auto"/>
        <w:bottom w:val="none" w:sz="0" w:space="0" w:color="auto"/>
        <w:right w:val="none" w:sz="0" w:space="0" w:color="auto"/>
      </w:divBdr>
    </w:div>
    <w:div w:id="535852799">
      <w:bodyDiv w:val="1"/>
      <w:marLeft w:val="0"/>
      <w:marRight w:val="0"/>
      <w:marTop w:val="0"/>
      <w:marBottom w:val="0"/>
      <w:divBdr>
        <w:top w:val="none" w:sz="0" w:space="0" w:color="auto"/>
        <w:left w:val="none" w:sz="0" w:space="0" w:color="auto"/>
        <w:bottom w:val="none" w:sz="0" w:space="0" w:color="auto"/>
        <w:right w:val="none" w:sz="0" w:space="0" w:color="auto"/>
      </w:divBdr>
    </w:div>
    <w:div w:id="576523325">
      <w:bodyDiv w:val="1"/>
      <w:marLeft w:val="0"/>
      <w:marRight w:val="0"/>
      <w:marTop w:val="0"/>
      <w:marBottom w:val="0"/>
      <w:divBdr>
        <w:top w:val="none" w:sz="0" w:space="0" w:color="auto"/>
        <w:left w:val="none" w:sz="0" w:space="0" w:color="auto"/>
        <w:bottom w:val="none" w:sz="0" w:space="0" w:color="auto"/>
        <w:right w:val="none" w:sz="0" w:space="0" w:color="auto"/>
      </w:divBdr>
    </w:div>
    <w:div w:id="629357344">
      <w:bodyDiv w:val="1"/>
      <w:marLeft w:val="0"/>
      <w:marRight w:val="0"/>
      <w:marTop w:val="0"/>
      <w:marBottom w:val="0"/>
      <w:divBdr>
        <w:top w:val="none" w:sz="0" w:space="0" w:color="auto"/>
        <w:left w:val="none" w:sz="0" w:space="0" w:color="auto"/>
        <w:bottom w:val="none" w:sz="0" w:space="0" w:color="auto"/>
        <w:right w:val="none" w:sz="0" w:space="0" w:color="auto"/>
      </w:divBdr>
    </w:div>
    <w:div w:id="739668071">
      <w:bodyDiv w:val="1"/>
      <w:marLeft w:val="0"/>
      <w:marRight w:val="0"/>
      <w:marTop w:val="0"/>
      <w:marBottom w:val="0"/>
      <w:divBdr>
        <w:top w:val="none" w:sz="0" w:space="0" w:color="auto"/>
        <w:left w:val="none" w:sz="0" w:space="0" w:color="auto"/>
        <w:bottom w:val="none" w:sz="0" w:space="0" w:color="auto"/>
        <w:right w:val="none" w:sz="0" w:space="0" w:color="auto"/>
      </w:divBdr>
    </w:div>
    <w:div w:id="740952871">
      <w:bodyDiv w:val="1"/>
      <w:marLeft w:val="0"/>
      <w:marRight w:val="0"/>
      <w:marTop w:val="0"/>
      <w:marBottom w:val="0"/>
      <w:divBdr>
        <w:top w:val="none" w:sz="0" w:space="0" w:color="auto"/>
        <w:left w:val="none" w:sz="0" w:space="0" w:color="auto"/>
        <w:bottom w:val="none" w:sz="0" w:space="0" w:color="auto"/>
        <w:right w:val="none" w:sz="0" w:space="0" w:color="auto"/>
      </w:divBdr>
    </w:div>
    <w:div w:id="765619847">
      <w:bodyDiv w:val="1"/>
      <w:marLeft w:val="0"/>
      <w:marRight w:val="0"/>
      <w:marTop w:val="0"/>
      <w:marBottom w:val="0"/>
      <w:divBdr>
        <w:top w:val="none" w:sz="0" w:space="0" w:color="auto"/>
        <w:left w:val="none" w:sz="0" w:space="0" w:color="auto"/>
        <w:bottom w:val="none" w:sz="0" w:space="0" w:color="auto"/>
        <w:right w:val="none" w:sz="0" w:space="0" w:color="auto"/>
      </w:divBdr>
    </w:div>
    <w:div w:id="804346716">
      <w:bodyDiv w:val="1"/>
      <w:marLeft w:val="0"/>
      <w:marRight w:val="0"/>
      <w:marTop w:val="0"/>
      <w:marBottom w:val="0"/>
      <w:divBdr>
        <w:top w:val="none" w:sz="0" w:space="0" w:color="auto"/>
        <w:left w:val="none" w:sz="0" w:space="0" w:color="auto"/>
        <w:bottom w:val="none" w:sz="0" w:space="0" w:color="auto"/>
        <w:right w:val="none" w:sz="0" w:space="0" w:color="auto"/>
      </w:divBdr>
    </w:div>
    <w:div w:id="860585979">
      <w:bodyDiv w:val="1"/>
      <w:marLeft w:val="0"/>
      <w:marRight w:val="0"/>
      <w:marTop w:val="0"/>
      <w:marBottom w:val="0"/>
      <w:divBdr>
        <w:top w:val="none" w:sz="0" w:space="0" w:color="auto"/>
        <w:left w:val="none" w:sz="0" w:space="0" w:color="auto"/>
        <w:bottom w:val="none" w:sz="0" w:space="0" w:color="auto"/>
        <w:right w:val="none" w:sz="0" w:space="0" w:color="auto"/>
      </w:divBdr>
    </w:div>
    <w:div w:id="913317423">
      <w:bodyDiv w:val="1"/>
      <w:marLeft w:val="0"/>
      <w:marRight w:val="0"/>
      <w:marTop w:val="0"/>
      <w:marBottom w:val="0"/>
      <w:divBdr>
        <w:top w:val="none" w:sz="0" w:space="0" w:color="auto"/>
        <w:left w:val="none" w:sz="0" w:space="0" w:color="auto"/>
        <w:bottom w:val="none" w:sz="0" w:space="0" w:color="auto"/>
        <w:right w:val="none" w:sz="0" w:space="0" w:color="auto"/>
      </w:divBdr>
    </w:div>
    <w:div w:id="986981111">
      <w:bodyDiv w:val="1"/>
      <w:marLeft w:val="0"/>
      <w:marRight w:val="0"/>
      <w:marTop w:val="0"/>
      <w:marBottom w:val="0"/>
      <w:divBdr>
        <w:top w:val="none" w:sz="0" w:space="0" w:color="auto"/>
        <w:left w:val="none" w:sz="0" w:space="0" w:color="auto"/>
        <w:bottom w:val="none" w:sz="0" w:space="0" w:color="auto"/>
        <w:right w:val="none" w:sz="0" w:space="0" w:color="auto"/>
      </w:divBdr>
    </w:div>
    <w:div w:id="1032223125">
      <w:bodyDiv w:val="1"/>
      <w:marLeft w:val="0"/>
      <w:marRight w:val="0"/>
      <w:marTop w:val="0"/>
      <w:marBottom w:val="0"/>
      <w:divBdr>
        <w:top w:val="none" w:sz="0" w:space="0" w:color="auto"/>
        <w:left w:val="none" w:sz="0" w:space="0" w:color="auto"/>
        <w:bottom w:val="none" w:sz="0" w:space="0" w:color="auto"/>
        <w:right w:val="none" w:sz="0" w:space="0" w:color="auto"/>
      </w:divBdr>
    </w:div>
    <w:div w:id="1041632242">
      <w:bodyDiv w:val="1"/>
      <w:marLeft w:val="0"/>
      <w:marRight w:val="0"/>
      <w:marTop w:val="0"/>
      <w:marBottom w:val="0"/>
      <w:divBdr>
        <w:top w:val="none" w:sz="0" w:space="0" w:color="auto"/>
        <w:left w:val="none" w:sz="0" w:space="0" w:color="auto"/>
        <w:bottom w:val="none" w:sz="0" w:space="0" w:color="auto"/>
        <w:right w:val="none" w:sz="0" w:space="0" w:color="auto"/>
      </w:divBdr>
    </w:div>
    <w:div w:id="1122192631">
      <w:bodyDiv w:val="1"/>
      <w:marLeft w:val="0"/>
      <w:marRight w:val="0"/>
      <w:marTop w:val="0"/>
      <w:marBottom w:val="0"/>
      <w:divBdr>
        <w:top w:val="none" w:sz="0" w:space="0" w:color="auto"/>
        <w:left w:val="none" w:sz="0" w:space="0" w:color="auto"/>
        <w:bottom w:val="none" w:sz="0" w:space="0" w:color="auto"/>
        <w:right w:val="none" w:sz="0" w:space="0" w:color="auto"/>
      </w:divBdr>
    </w:div>
    <w:div w:id="1123692169">
      <w:bodyDiv w:val="1"/>
      <w:marLeft w:val="0"/>
      <w:marRight w:val="0"/>
      <w:marTop w:val="0"/>
      <w:marBottom w:val="0"/>
      <w:divBdr>
        <w:top w:val="none" w:sz="0" w:space="0" w:color="auto"/>
        <w:left w:val="none" w:sz="0" w:space="0" w:color="auto"/>
        <w:bottom w:val="none" w:sz="0" w:space="0" w:color="auto"/>
        <w:right w:val="none" w:sz="0" w:space="0" w:color="auto"/>
      </w:divBdr>
    </w:div>
    <w:div w:id="1219587508">
      <w:bodyDiv w:val="1"/>
      <w:marLeft w:val="0"/>
      <w:marRight w:val="0"/>
      <w:marTop w:val="0"/>
      <w:marBottom w:val="0"/>
      <w:divBdr>
        <w:top w:val="none" w:sz="0" w:space="0" w:color="auto"/>
        <w:left w:val="none" w:sz="0" w:space="0" w:color="auto"/>
        <w:bottom w:val="none" w:sz="0" w:space="0" w:color="auto"/>
        <w:right w:val="none" w:sz="0" w:space="0" w:color="auto"/>
      </w:divBdr>
    </w:div>
    <w:div w:id="1486510570">
      <w:bodyDiv w:val="1"/>
      <w:marLeft w:val="0"/>
      <w:marRight w:val="0"/>
      <w:marTop w:val="0"/>
      <w:marBottom w:val="0"/>
      <w:divBdr>
        <w:top w:val="none" w:sz="0" w:space="0" w:color="auto"/>
        <w:left w:val="none" w:sz="0" w:space="0" w:color="auto"/>
        <w:bottom w:val="none" w:sz="0" w:space="0" w:color="auto"/>
        <w:right w:val="none" w:sz="0" w:space="0" w:color="auto"/>
      </w:divBdr>
    </w:div>
    <w:div w:id="1489051151">
      <w:bodyDiv w:val="1"/>
      <w:marLeft w:val="0"/>
      <w:marRight w:val="0"/>
      <w:marTop w:val="0"/>
      <w:marBottom w:val="0"/>
      <w:divBdr>
        <w:top w:val="none" w:sz="0" w:space="0" w:color="auto"/>
        <w:left w:val="none" w:sz="0" w:space="0" w:color="auto"/>
        <w:bottom w:val="none" w:sz="0" w:space="0" w:color="auto"/>
        <w:right w:val="none" w:sz="0" w:space="0" w:color="auto"/>
      </w:divBdr>
    </w:div>
    <w:div w:id="1511021691">
      <w:bodyDiv w:val="1"/>
      <w:marLeft w:val="0"/>
      <w:marRight w:val="0"/>
      <w:marTop w:val="0"/>
      <w:marBottom w:val="0"/>
      <w:divBdr>
        <w:top w:val="none" w:sz="0" w:space="0" w:color="auto"/>
        <w:left w:val="none" w:sz="0" w:space="0" w:color="auto"/>
        <w:bottom w:val="none" w:sz="0" w:space="0" w:color="auto"/>
        <w:right w:val="none" w:sz="0" w:space="0" w:color="auto"/>
      </w:divBdr>
    </w:div>
    <w:div w:id="1594818581">
      <w:bodyDiv w:val="1"/>
      <w:marLeft w:val="0"/>
      <w:marRight w:val="0"/>
      <w:marTop w:val="0"/>
      <w:marBottom w:val="0"/>
      <w:divBdr>
        <w:top w:val="none" w:sz="0" w:space="0" w:color="auto"/>
        <w:left w:val="none" w:sz="0" w:space="0" w:color="auto"/>
        <w:bottom w:val="none" w:sz="0" w:space="0" w:color="auto"/>
        <w:right w:val="none" w:sz="0" w:space="0" w:color="auto"/>
      </w:divBdr>
    </w:div>
    <w:div w:id="1684697560">
      <w:bodyDiv w:val="1"/>
      <w:marLeft w:val="0"/>
      <w:marRight w:val="0"/>
      <w:marTop w:val="0"/>
      <w:marBottom w:val="0"/>
      <w:divBdr>
        <w:top w:val="none" w:sz="0" w:space="0" w:color="auto"/>
        <w:left w:val="none" w:sz="0" w:space="0" w:color="auto"/>
        <w:bottom w:val="none" w:sz="0" w:space="0" w:color="auto"/>
        <w:right w:val="none" w:sz="0" w:space="0" w:color="auto"/>
      </w:divBdr>
    </w:div>
    <w:div w:id="1867480182">
      <w:bodyDiv w:val="1"/>
      <w:marLeft w:val="0"/>
      <w:marRight w:val="0"/>
      <w:marTop w:val="0"/>
      <w:marBottom w:val="0"/>
      <w:divBdr>
        <w:top w:val="none" w:sz="0" w:space="0" w:color="auto"/>
        <w:left w:val="none" w:sz="0" w:space="0" w:color="auto"/>
        <w:bottom w:val="none" w:sz="0" w:space="0" w:color="auto"/>
        <w:right w:val="none" w:sz="0" w:space="0" w:color="auto"/>
      </w:divBdr>
    </w:div>
    <w:div w:id="2069378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52021PC0564" TargetMode="External"/><Relationship Id="rId13" Type="http://schemas.openxmlformats.org/officeDocument/2006/relationships/hyperlink" Target="https://ec.europa.eu/commission/presscorner/detail/fr/IP_21_6882" TargetMode="External"/><Relationship Id="rId18" Type="http://schemas.openxmlformats.org/officeDocument/2006/relationships/hyperlink" Target="https://trade.ec.europa.eu/access-to-markets/en/form-assets/operational_guidelines.pdf" TargetMode="External"/><Relationship Id="rId3" Type="http://schemas.openxmlformats.org/officeDocument/2006/relationships/hyperlink" Target="https://policy.trade.ec.europa.eu/development-and-sustainability/sustainable-development/sustainable-development-eu-trade-agreements_en" TargetMode="External"/><Relationship Id="rId7" Type="http://schemas.openxmlformats.org/officeDocument/2006/relationships/hyperlink" Target="https://ec.europa.eu/commission/presscorner/detail/fr/ip_22_1187" TargetMode="External"/><Relationship Id="rId12" Type="http://schemas.openxmlformats.org/officeDocument/2006/relationships/hyperlink" Target="https://eur-lex.europa.eu/legal-content/FR/TXT/HTML/?uri=CELEX:52021PC0579&amp;qid=1655368426412&amp;from=FR" TargetMode="External"/><Relationship Id="rId17" Type="http://schemas.openxmlformats.org/officeDocument/2006/relationships/hyperlink" Target="https://trade.ec.europa.eu/doclib/docs/2021/november/tradoc_159907.pdf" TargetMode="External"/><Relationship Id="rId2" Type="http://schemas.openxmlformats.org/officeDocument/2006/relationships/hyperlink" Target="https://eur-lex.europa.eu/resource.html?uri=cellar:b828d165-1c22-11ea-8c1f-01aa75ed71a1.0022.02/DOC_1&amp;format=PDF" TargetMode="External"/><Relationship Id="rId16" Type="http://schemas.openxmlformats.org/officeDocument/2006/relationships/hyperlink" Target="https://policy.trade.ec.europa.eu/enforcement-and-protection/chief-trade-enforcement-officer_fr" TargetMode="External"/><Relationship Id="rId1" Type="http://schemas.openxmlformats.org/officeDocument/2006/relationships/hyperlink" Target="https://trade.ec.europa.eu/doclib/docs/2018/february/tradoc_156618.pdf" TargetMode="External"/><Relationship Id="rId6" Type="http://schemas.openxmlformats.org/officeDocument/2006/relationships/hyperlink" Target="https://eur-lex.europa.eu/legal-content/FR/TXT/HTML/?uri=CELEX:52021DC0066&amp;from=FR" TargetMode="External"/><Relationship Id="rId11" Type="http://schemas.openxmlformats.org/officeDocument/2006/relationships/hyperlink" Target="https://eur-lex.europa.eu/legal-content/FR/TXT/?uri=CELEX%3A52022PC0071" TargetMode="External"/><Relationship Id="rId5" Type="http://schemas.openxmlformats.org/officeDocument/2006/relationships/hyperlink" Target="https://policy.trade.ec.europa.eu/consultations/open-public-consultation-trade-and-sustainable-development-tsd-review_en" TargetMode="External"/><Relationship Id="rId15" Type="http://schemas.openxmlformats.org/officeDocument/2006/relationships/hyperlink" Target="https://policy.trade.ec.europa.eu/news/ban-export-credits-coal-fired-electricity-projects-agreed-oecd-2021-10-22_en" TargetMode="External"/><Relationship Id="rId10" Type="http://schemas.openxmlformats.org/officeDocument/2006/relationships/hyperlink" Target="https://eur-lex.europa.eu/legal-content/FR/TXT/?uri=CELEX:52021DC0390" TargetMode="External"/><Relationship Id="rId4" Type="http://schemas.openxmlformats.org/officeDocument/2006/relationships/hyperlink" Target="https://trade.ec.europa.eu/doclib/docs/2022/february/tradoc_160043.pdf" TargetMode="External"/><Relationship Id="rId9" Type="http://schemas.openxmlformats.org/officeDocument/2006/relationships/hyperlink" Target="https://eur-lex.europa.eu/legal-content/FR/TXT/?uri=CELEX%3A52021PC0706" TargetMode="External"/><Relationship Id="rId14" Type="http://schemas.openxmlformats.org/officeDocument/2006/relationships/hyperlink" Target="https://ec.europa.eu/commission/commissioners/2019-2024/dombrovskis/announcements/speech-executive-vice-president-valdis-dombrovskis-trade-climate-cop26_e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7D3D4-2359-42FE-8337-74F0722A4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6508</Words>
  <Characters>36966</Characters>
  <Application>Microsoft Office Word</Application>
  <DocSecurity>0</DocSecurity>
  <Lines>551</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2022-06-21T05:51:00Z</dcterms:created>
  <dcterms:modified xsi:type="dcterms:W3CDTF">2022-06-28T17:35:00Z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2022-06-19T14:43:57Z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aeb0c9d9-ba22-42b7-81e5-99ec75eb0b3d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